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4153C">
      <w:pPr>
        <w:tabs>
          <w:tab w:val="left" w:pos="315"/>
          <w:tab w:val="left" w:pos="8820"/>
        </w:tabs>
        <w:spacing w:before="240" w:beforeLines="100" w:after="120" w:afterLines="50" w:line="500" w:lineRule="exact"/>
        <w:ind w:right="254" w:rightChars="127"/>
        <w:jc w:val="center"/>
        <w:rPr>
          <w:b/>
          <w:bCs/>
          <w:color w:val="auto"/>
          <w:sz w:val="52"/>
          <w:szCs w:val="52"/>
          <w:highlight w:val="none"/>
          <w:vertAlign w:val="superscript"/>
        </w:rPr>
      </w:pPr>
    </w:p>
    <w:p w14:paraId="2ADE5FD3">
      <w:pPr>
        <w:tabs>
          <w:tab w:val="left" w:pos="315"/>
          <w:tab w:val="left" w:pos="8820"/>
        </w:tabs>
        <w:spacing w:before="240" w:beforeLines="100" w:after="120" w:afterLines="50" w:line="500" w:lineRule="exact"/>
        <w:ind w:right="254" w:rightChars="127"/>
        <w:jc w:val="center"/>
        <w:rPr>
          <w:b/>
          <w:bCs/>
          <w:color w:val="auto"/>
          <w:sz w:val="52"/>
          <w:szCs w:val="52"/>
          <w:highlight w:val="none"/>
        </w:rPr>
      </w:pPr>
    </w:p>
    <w:p w14:paraId="4EB8FB45">
      <w:pPr>
        <w:tabs>
          <w:tab w:val="left" w:pos="315"/>
          <w:tab w:val="left" w:pos="8820"/>
        </w:tabs>
        <w:spacing w:before="240" w:beforeLines="100" w:after="120" w:afterLines="50" w:line="500" w:lineRule="exact"/>
        <w:ind w:right="254" w:rightChars="127"/>
        <w:jc w:val="center"/>
        <w:rPr>
          <w:rFonts w:hint="eastAsia" w:eastAsia="宋体"/>
          <w:b/>
          <w:bCs/>
          <w:color w:val="auto"/>
          <w:sz w:val="52"/>
          <w:szCs w:val="52"/>
          <w:highlight w:val="none"/>
          <w:lang w:eastAsia="zh-CN"/>
        </w:rPr>
      </w:pPr>
      <w:bookmarkStart w:id="0" w:name="_Hlk9544796"/>
      <w:r>
        <w:rPr>
          <w:rFonts w:hint="eastAsia"/>
          <w:b/>
          <w:bCs/>
          <w:color w:val="auto"/>
          <w:sz w:val="52"/>
          <w:szCs w:val="52"/>
          <w:highlight w:val="none"/>
          <w:lang w:val="en-US" w:eastAsia="zh-CN"/>
        </w:rPr>
        <w:t>安徽省</w:t>
      </w:r>
      <w:r>
        <w:rPr>
          <w:rFonts w:hint="eastAsia"/>
          <w:b/>
          <w:bCs/>
          <w:color w:val="auto"/>
          <w:sz w:val="52"/>
          <w:szCs w:val="52"/>
          <w:highlight w:val="none"/>
        </w:rPr>
        <w:t>政府采购</w:t>
      </w:r>
      <w:r>
        <w:rPr>
          <w:rFonts w:hint="eastAsia"/>
          <w:b/>
          <w:bCs/>
          <w:color w:val="auto"/>
          <w:sz w:val="52"/>
          <w:szCs w:val="52"/>
          <w:highlight w:val="none"/>
          <w:lang w:eastAsia="zh-CN"/>
        </w:rPr>
        <w:t>项目</w:t>
      </w:r>
    </w:p>
    <w:p w14:paraId="55B12112">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竞争性谈判文件示范文本（工程类）</w:t>
      </w:r>
    </w:p>
    <w:bookmarkEnd w:id="0"/>
    <w:p w14:paraId="0E15653C">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w:t>
      </w:r>
      <w:r>
        <w:rPr>
          <w:rFonts w:hint="eastAsia"/>
          <w:b/>
          <w:bCs/>
          <w:color w:val="auto"/>
          <w:sz w:val="52"/>
          <w:szCs w:val="52"/>
          <w:highlight w:val="none"/>
          <w:lang w:val="en-US" w:eastAsia="zh-CN"/>
        </w:rPr>
        <w:t>2026版本</w:t>
      </w:r>
      <w:r>
        <w:rPr>
          <w:rFonts w:hint="eastAsia"/>
          <w:b/>
          <w:bCs/>
          <w:color w:val="auto"/>
          <w:sz w:val="52"/>
          <w:szCs w:val="52"/>
          <w:highlight w:val="none"/>
        </w:rPr>
        <w:t>）</w:t>
      </w:r>
    </w:p>
    <w:p w14:paraId="2814B8CE">
      <w:pPr>
        <w:tabs>
          <w:tab w:val="left" w:pos="315"/>
          <w:tab w:val="left" w:pos="8820"/>
        </w:tabs>
        <w:spacing w:before="240" w:beforeLines="100" w:after="120" w:afterLines="50" w:line="500" w:lineRule="exact"/>
        <w:ind w:right="254" w:rightChars="127"/>
        <w:jc w:val="center"/>
        <w:rPr>
          <w:bCs/>
          <w:color w:val="auto"/>
          <w:sz w:val="44"/>
          <w:szCs w:val="44"/>
          <w:highlight w:val="none"/>
        </w:rPr>
      </w:pPr>
    </w:p>
    <w:p w14:paraId="7F9B768B">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3D611051">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7088DF1A">
      <w:pPr>
        <w:tabs>
          <w:tab w:val="left" w:pos="315"/>
          <w:tab w:val="left" w:pos="8820"/>
        </w:tabs>
        <w:spacing w:before="240" w:beforeLines="100" w:after="120" w:afterLines="50" w:line="500" w:lineRule="exact"/>
        <w:ind w:right="254" w:rightChars="127"/>
        <w:jc w:val="both"/>
        <w:rPr>
          <w:b/>
          <w:bCs/>
          <w:color w:val="auto"/>
          <w:sz w:val="44"/>
          <w:szCs w:val="44"/>
          <w:highlight w:val="none"/>
        </w:rPr>
      </w:pPr>
    </w:p>
    <w:p w14:paraId="0DED962E">
      <w:pPr>
        <w:pStyle w:val="5"/>
        <w:rPr>
          <w:color w:val="auto"/>
          <w:highlight w:val="none"/>
        </w:rPr>
      </w:pPr>
    </w:p>
    <w:p w14:paraId="0837F122">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4C4AC020">
      <w:pPr>
        <w:tabs>
          <w:tab w:val="left" w:pos="2410"/>
        </w:tabs>
        <w:autoSpaceDE w:val="0"/>
        <w:autoSpaceDN w:val="0"/>
        <w:adjustRightInd w:val="0"/>
        <w:snapToGrid w:val="0"/>
        <w:spacing w:line="360" w:lineRule="auto"/>
        <w:rPr>
          <w:rFonts w:hint="default" w:eastAsia="宋体"/>
          <w:b/>
          <w:color w:val="auto"/>
          <w:spacing w:val="20"/>
          <w:sz w:val="32"/>
          <w:szCs w:val="32"/>
          <w:highlight w:val="non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2026年公园游园设施安全整治项目</w:t>
      </w:r>
    </w:p>
    <w:p w14:paraId="7BFD8B45">
      <w:pPr>
        <w:tabs>
          <w:tab w:val="left" w:pos="2410"/>
        </w:tabs>
        <w:autoSpaceDE w:val="0"/>
        <w:autoSpaceDN w:val="0"/>
        <w:adjustRightInd w:val="0"/>
        <w:snapToGrid w:val="0"/>
        <w:spacing w:line="360" w:lineRule="auto"/>
        <w:rPr>
          <w:rFonts w:hint="eastAsia" w:eastAsia="宋体"/>
          <w:b/>
          <w:color w:val="auto"/>
          <w:spacing w:val="20"/>
          <w:sz w:val="32"/>
          <w:szCs w:val="32"/>
          <w:highlight w:val="none"/>
          <w:lang w:eastAsia="zh-CN"/>
        </w:rPr>
      </w:pPr>
      <w:r>
        <w:rPr>
          <w:rFonts w:hint="eastAsia"/>
          <w:b/>
          <w:color w:val="auto"/>
          <w:spacing w:val="20"/>
          <w:sz w:val="32"/>
          <w:szCs w:val="32"/>
          <w:highlight w:val="none"/>
        </w:rPr>
        <w:t>项目编号：</w:t>
      </w:r>
      <w:r>
        <w:rPr>
          <w:rFonts w:hint="eastAsia"/>
          <w:b/>
          <w:color w:val="auto"/>
          <w:spacing w:val="20"/>
          <w:sz w:val="32"/>
          <w:szCs w:val="32"/>
          <w:highlight w:val="none"/>
          <w:u w:val="single"/>
          <w:lang w:eastAsia="zh-CN"/>
        </w:rPr>
        <w:t>czsjcg202609-023</w:t>
      </w:r>
    </w:p>
    <w:p w14:paraId="235FF663">
      <w:pPr>
        <w:tabs>
          <w:tab w:val="left" w:pos="2410"/>
        </w:tabs>
        <w:autoSpaceDE w:val="0"/>
        <w:autoSpaceDN w:val="0"/>
        <w:adjustRightInd w:val="0"/>
        <w:snapToGrid w:val="0"/>
        <w:spacing w:line="360" w:lineRule="auto"/>
        <w:rPr>
          <w:rFonts w:hint="eastAsia" w:eastAsia="宋体"/>
          <w:b/>
          <w:color w:val="auto"/>
          <w:spacing w:val="20"/>
          <w:sz w:val="32"/>
          <w:szCs w:val="32"/>
          <w:highlight w:val="none"/>
          <w:lang w:eastAsia="zh-CN"/>
        </w:rPr>
      </w:pPr>
      <w:r>
        <w:rPr>
          <w:rFonts w:hint="eastAsia"/>
          <w:b/>
          <w:color w:val="auto"/>
          <w:spacing w:val="20"/>
          <w:sz w:val="32"/>
          <w:szCs w:val="32"/>
          <w:highlight w:val="none"/>
        </w:rPr>
        <w:t>采 购 人：</w:t>
      </w:r>
      <w:r>
        <w:rPr>
          <w:rFonts w:hint="eastAsia"/>
          <w:b/>
          <w:color w:val="auto"/>
          <w:spacing w:val="20"/>
          <w:sz w:val="32"/>
          <w:szCs w:val="32"/>
          <w:highlight w:val="none"/>
          <w:u w:val="single"/>
          <w:lang w:eastAsia="zh-CN"/>
        </w:rPr>
        <w:t>滁州市园林景观管理中心</w:t>
      </w:r>
    </w:p>
    <w:p w14:paraId="76671252">
      <w:pPr>
        <w:tabs>
          <w:tab w:val="left" w:pos="2410"/>
        </w:tabs>
        <w:autoSpaceDE w:val="0"/>
        <w:autoSpaceDN w:val="0"/>
        <w:adjustRightInd w:val="0"/>
        <w:snapToGrid w:val="0"/>
        <w:spacing w:line="360" w:lineRule="auto"/>
        <w:rPr>
          <w:b/>
          <w:bCs/>
          <w:color w:val="auto"/>
          <w:sz w:val="44"/>
          <w:szCs w:val="44"/>
          <w:highlight w:val="none"/>
        </w:rPr>
      </w:pPr>
      <w:r>
        <w:rPr>
          <w:rFonts w:hint="eastAsia"/>
          <w:b/>
          <w:color w:val="auto"/>
          <w:spacing w:val="20"/>
          <w:sz w:val="32"/>
          <w:szCs w:val="32"/>
          <w:highlight w:val="none"/>
        </w:rPr>
        <w:t>采购代理机构：</w:t>
      </w:r>
      <w:r>
        <w:rPr>
          <w:rFonts w:hint="eastAsia"/>
          <w:b/>
          <w:color w:val="auto"/>
          <w:spacing w:val="20"/>
          <w:sz w:val="32"/>
          <w:szCs w:val="32"/>
          <w:highlight w:val="none"/>
          <w:u w:val="single"/>
        </w:rPr>
        <w:t>滁州市城投工程咨询管理有限公司</w:t>
      </w:r>
    </w:p>
    <w:p w14:paraId="44F9C08D">
      <w:pPr>
        <w:tabs>
          <w:tab w:val="left" w:pos="2410"/>
        </w:tabs>
        <w:autoSpaceDE w:val="0"/>
        <w:autoSpaceDN w:val="0"/>
        <w:adjustRightInd w:val="0"/>
        <w:snapToGrid w:val="0"/>
        <w:spacing w:line="360" w:lineRule="auto"/>
        <w:jc w:val="center"/>
        <w:rPr>
          <w:b/>
          <w:color w:val="auto"/>
          <w:sz w:val="36"/>
          <w:highlight w:val="none"/>
        </w:rPr>
      </w:pPr>
    </w:p>
    <w:p w14:paraId="40147D49">
      <w:pPr>
        <w:tabs>
          <w:tab w:val="left" w:pos="2410"/>
        </w:tabs>
        <w:autoSpaceDE w:val="0"/>
        <w:autoSpaceDN w:val="0"/>
        <w:adjustRightInd w:val="0"/>
        <w:snapToGrid w:val="0"/>
        <w:spacing w:line="360" w:lineRule="auto"/>
        <w:jc w:val="center"/>
        <w:rPr>
          <w:b/>
          <w:color w:val="auto"/>
          <w:sz w:val="36"/>
          <w:highlight w:val="none"/>
        </w:rPr>
      </w:pPr>
      <w:r>
        <w:rPr>
          <w:rFonts w:hint="eastAsia"/>
          <w:b/>
          <w:color w:val="auto"/>
          <w:sz w:val="36"/>
          <w:highlight w:val="none"/>
          <w:u w:val="single"/>
        </w:rPr>
        <w:t xml:space="preserve"> </w:t>
      </w:r>
      <w:r>
        <w:rPr>
          <w:rFonts w:hint="eastAsia"/>
          <w:b/>
          <w:color w:val="auto"/>
          <w:sz w:val="36"/>
          <w:highlight w:val="none"/>
          <w:u w:val="single"/>
          <w:lang w:val="en-US" w:eastAsia="zh-CN"/>
        </w:rPr>
        <w:t>2026</w:t>
      </w:r>
      <w:r>
        <w:rPr>
          <w:rFonts w:hint="eastAsia"/>
          <w:b/>
          <w:color w:val="auto"/>
          <w:sz w:val="36"/>
          <w:highlight w:val="none"/>
          <w:u w:val="single"/>
        </w:rPr>
        <w:t xml:space="preserve"> </w:t>
      </w:r>
      <w:r>
        <w:rPr>
          <w:rFonts w:hint="eastAsia"/>
          <w:b/>
          <w:color w:val="auto"/>
          <w:sz w:val="36"/>
          <w:highlight w:val="none"/>
        </w:rPr>
        <w:t>年</w:t>
      </w:r>
      <w:r>
        <w:rPr>
          <w:rFonts w:hint="eastAsia"/>
          <w:b/>
          <w:color w:val="auto"/>
          <w:sz w:val="36"/>
          <w:highlight w:val="none"/>
          <w:u w:val="single"/>
        </w:rPr>
        <w:t xml:space="preserve"> </w:t>
      </w:r>
      <w:r>
        <w:rPr>
          <w:rFonts w:hint="eastAsia"/>
          <w:b/>
          <w:color w:val="auto"/>
          <w:sz w:val="36"/>
          <w:highlight w:val="none"/>
          <w:u w:val="single"/>
          <w:lang w:val="en-US" w:eastAsia="zh-CN"/>
        </w:rPr>
        <w:t>9</w:t>
      </w:r>
      <w:r>
        <w:rPr>
          <w:rFonts w:hint="eastAsia"/>
          <w:b/>
          <w:color w:val="auto"/>
          <w:sz w:val="36"/>
          <w:highlight w:val="none"/>
          <w:u w:val="single"/>
        </w:rPr>
        <w:t xml:space="preserve"> </w:t>
      </w:r>
      <w:r>
        <w:rPr>
          <w:rFonts w:hint="eastAsia"/>
          <w:b/>
          <w:color w:val="auto"/>
          <w:sz w:val="36"/>
          <w:highlight w:val="none"/>
        </w:rPr>
        <w:t>月</w:t>
      </w:r>
      <w:r>
        <w:rPr>
          <w:b/>
          <w:color w:val="auto"/>
          <w:sz w:val="36"/>
          <w:highlight w:val="none"/>
        </w:rPr>
        <w:br w:type="page"/>
      </w:r>
    </w:p>
    <w:p w14:paraId="03AA45EE">
      <w:pPr>
        <w:tabs>
          <w:tab w:val="left" w:pos="2410"/>
        </w:tabs>
        <w:autoSpaceDE w:val="0"/>
        <w:autoSpaceDN w:val="0"/>
        <w:adjustRightInd w:val="0"/>
        <w:snapToGrid w:val="0"/>
        <w:spacing w:line="360" w:lineRule="auto"/>
        <w:jc w:val="center"/>
        <w:rPr>
          <w:b/>
          <w:color w:val="auto"/>
          <w:sz w:val="28"/>
          <w:highlight w:val="none"/>
        </w:rPr>
      </w:pPr>
      <w:r>
        <w:rPr>
          <w:rFonts w:hint="eastAsia"/>
          <w:b/>
          <w:color w:val="auto"/>
          <w:sz w:val="28"/>
          <w:highlight w:val="none"/>
        </w:rPr>
        <w:t>目  录</w:t>
      </w:r>
    </w:p>
    <w:p w14:paraId="3B1E3C6E">
      <w:pPr>
        <w:tabs>
          <w:tab w:val="left" w:pos="2410"/>
        </w:tabs>
        <w:autoSpaceDE w:val="0"/>
        <w:autoSpaceDN w:val="0"/>
        <w:adjustRightInd w:val="0"/>
        <w:snapToGrid w:val="0"/>
        <w:spacing w:line="360" w:lineRule="auto"/>
        <w:jc w:val="center"/>
        <w:rPr>
          <w:b/>
          <w:color w:val="auto"/>
          <w:sz w:val="28"/>
          <w:highlight w:val="none"/>
        </w:rPr>
      </w:pPr>
    </w:p>
    <w:p w14:paraId="53A0B8B2">
      <w:pPr>
        <w:pStyle w:val="37"/>
        <w:tabs>
          <w:tab w:val="right" w:leader="dot" w:pos="8279"/>
        </w:tabs>
        <w:rPr>
          <w:color w:val="auto"/>
          <w:highlight w:val="none"/>
        </w:rPr>
      </w:pPr>
      <w:r>
        <w:rPr>
          <w:rFonts w:asciiTheme="minorEastAsia" w:hAnsiTheme="minorEastAsia"/>
          <w:b/>
          <w:bCs/>
          <w:color w:val="auto"/>
          <w:sz w:val="24"/>
          <w:szCs w:val="24"/>
          <w:highlight w:val="none"/>
        </w:rPr>
        <w:fldChar w:fldCharType="begin"/>
      </w:r>
      <w:r>
        <w:rPr>
          <w:rFonts w:asciiTheme="minorEastAsia" w:hAnsiTheme="minorEastAsia"/>
          <w:b/>
          <w:bCs/>
          <w:color w:val="auto"/>
          <w:sz w:val="24"/>
          <w:szCs w:val="24"/>
          <w:highlight w:val="none"/>
        </w:rPr>
        <w:instrText xml:space="preserve"> </w:instrText>
      </w:r>
      <w:r>
        <w:rPr>
          <w:rFonts w:hint="eastAsia" w:asciiTheme="minorEastAsia" w:hAnsiTheme="minorEastAsia"/>
          <w:b/>
          <w:bCs/>
          <w:color w:val="auto"/>
          <w:sz w:val="24"/>
          <w:szCs w:val="24"/>
          <w:highlight w:val="none"/>
        </w:rPr>
        <w:instrText xml:space="preserve">TOC \o "1-2" \h \z \u</w:instrText>
      </w:r>
      <w:r>
        <w:rPr>
          <w:rFonts w:asciiTheme="minorEastAsia" w:hAnsiTheme="minorEastAsia"/>
          <w:b/>
          <w:bCs/>
          <w:color w:val="auto"/>
          <w:sz w:val="24"/>
          <w:szCs w:val="24"/>
          <w:highlight w:val="none"/>
        </w:rPr>
        <w:instrText xml:space="preserve"> </w:instrText>
      </w:r>
      <w:r>
        <w:rPr>
          <w:rFonts w:asciiTheme="minorEastAsia" w:hAnsiTheme="minorEastAsia"/>
          <w:b/>
          <w:bCs/>
          <w:color w:val="auto"/>
          <w:sz w:val="24"/>
          <w:szCs w:val="24"/>
          <w:highlight w:val="none"/>
        </w:rPr>
        <w:fldChar w:fldCharType="separate"/>
      </w: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_Toc12523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谈判邀请</w:t>
      </w:r>
      <w:r>
        <w:rPr>
          <w:color w:val="auto"/>
          <w:highlight w:val="none"/>
        </w:rPr>
        <w:tab/>
      </w:r>
      <w:r>
        <w:rPr>
          <w:color w:val="auto"/>
          <w:highlight w:val="none"/>
        </w:rPr>
        <w:fldChar w:fldCharType="begin"/>
      </w:r>
      <w:r>
        <w:rPr>
          <w:color w:val="auto"/>
          <w:highlight w:val="none"/>
        </w:rPr>
        <w:instrText xml:space="preserve"> PAGEREF _Toc12523 \h </w:instrText>
      </w:r>
      <w:r>
        <w:rPr>
          <w:color w:val="auto"/>
          <w:highlight w:val="none"/>
        </w:rPr>
        <w:fldChar w:fldCharType="separate"/>
      </w:r>
      <w:r>
        <w:rPr>
          <w:color w:val="auto"/>
          <w:highlight w:val="none"/>
        </w:rPr>
        <w:t>1</w:t>
      </w:r>
      <w:r>
        <w:rPr>
          <w:color w:val="auto"/>
          <w:highlight w:val="none"/>
        </w:rPr>
        <w:fldChar w:fldCharType="end"/>
      </w:r>
      <w:r>
        <w:rPr>
          <w:rFonts w:asciiTheme="minorEastAsia" w:hAnsiTheme="minorEastAsia"/>
          <w:bCs/>
          <w:color w:val="auto"/>
          <w:szCs w:val="24"/>
          <w:highlight w:val="none"/>
        </w:rPr>
        <w:fldChar w:fldCharType="end"/>
      </w:r>
    </w:p>
    <w:p w14:paraId="254DE9AA">
      <w:pPr>
        <w:pStyle w:val="37"/>
        <w:tabs>
          <w:tab w:val="right" w:leader="dot" w:pos="8279"/>
        </w:tabs>
        <w:rPr>
          <w:color w:val="auto"/>
          <w:highlight w:val="none"/>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_Toc32399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供应商</w:t>
      </w:r>
      <w:r>
        <w:rPr>
          <w:rFonts w:asciiTheme="minorEastAsia" w:hAnsiTheme="minorEastAsia" w:eastAsiaTheme="minorEastAsia"/>
          <w:color w:val="auto"/>
          <w:highlight w:val="none"/>
        </w:rPr>
        <w:t>须知</w:t>
      </w:r>
      <w:r>
        <w:rPr>
          <w:color w:val="auto"/>
          <w:highlight w:val="none"/>
        </w:rPr>
        <w:tab/>
      </w:r>
      <w:r>
        <w:rPr>
          <w:color w:val="auto"/>
          <w:highlight w:val="none"/>
        </w:rPr>
        <w:fldChar w:fldCharType="begin"/>
      </w:r>
      <w:r>
        <w:rPr>
          <w:color w:val="auto"/>
          <w:highlight w:val="none"/>
        </w:rPr>
        <w:instrText xml:space="preserve"> PAGEREF _Toc32399 \h </w:instrText>
      </w:r>
      <w:r>
        <w:rPr>
          <w:color w:val="auto"/>
          <w:highlight w:val="none"/>
        </w:rPr>
        <w:fldChar w:fldCharType="separate"/>
      </w:r>
      <w:r>
        <w:rPr>
          <w:color w:val="auto"/>
          <w:highlight w:val="none"/>
        </w:rPr>
        <w:t>1</w:t>
      </w:r>
      <w:r>
        <w:rPr>
          <w:color w:val="auto"/>
          <w:highlight w:val="none"/>
        </w:rPr>
        <w:fldChar w:fldCharType="end"/>
      </w:r>
      <w:r>
        <w:rPr>
          <w:rFonts w:asciiTheme="minorEastAsia" w:hAnsiTheme="minorEastAsia"/>
          <w:bCs/>
          <w:color w:val="auto"/>
          <w:szCs w:val="24"/>
          <w:highlight w:val="none"/>
        </w:rPr>
        <w:fldChar w:fldCharType="end"/>
      </w:r>
    </w:p>
    <w:p w14:paraId="4C169DC6">
      <w:pPr>
        <w:pStyle w:val="37"/>
        <w:tabs>
          <w:tab w:val="right" w:leader="dot" w:pos="8279"/>
        </w:tabs>
        <w:rPr>
          <w:color w:val="auto"/>
          <w:highlight w:val="none"/>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_Toc6146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_Toc6146 \h </w:instrText>
      </w:r>
      <w:r>
        <w:rPr>
          <w:color w:val="auto"/>
          <w:highlight w:val="none"/>
        </w:rPr>
        <w:fldChar w:fldCharType="separate"/>
      </w:r>
      <w:r>
        <w:rPr>
          <w:color w:val="auto"/>
          <w:highlight w:val="none"/>
        </w:rPr>
        <w:t>23</w:t>
      </w:r>
      <w:r>
        <w:rPr>
          <w:color w:val="auto"/>
          <w:highlight w:val="none"/>
        </w:rPr>
        <w:fldChar w:fldCharType="end"/>
      </w:r>
      <w:r>
        <w:rPr>
          <w:rFonts w:asciiTheme="minorEastAsia" w:hAnsiTheme="minorEastAsia"/>
          <w:bCs/>
          <w:color w:val="auto"/>
          <w:szCs w:val="24"/>
          <w:highlight w:val="none"/>
        </w:rPr>
        <w:fldChar w:fldCharType="end"/>
      </w:r>
    </w:p>
    <w:p w14:paraId="0314B464">
      <w:pPr>
        <w:pStyle w:val="37"/>
        <w:tabs>
          <w:tab w:val="right" w:leader="dot" w:pos="8279"/>
        </w:tabs>
        <w:rPr>
          <w:color w:val="auto"/>
          <w:highlight w:val="none"/>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_Toc28266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第四章  评审方法和标准</w:t>
      </w:r>
      <w:r>
        <w:rPr>
          <w:color w:val="auto"/>
          <w:highlight w:val="none"/>
        </w:rPr>
        <w:tab/>
      </w:r>
      <w:r>
        <w:rPr>
          <w:color w:val="auto"/>
          <w:highlight w:val="none"/>
        </w:rPr>
        <w:fldChar w:fldCharType="begin"/>
      </w:r>
      <w:r>
        <w:rPr>
          <w:color w:val="auto"/>
          <w:highlight w:val="none"/>
        </w:rPr>
        <w:instrText xml:space="preserve"> PAGEREF _Toc28266 \h </w:instrText>
      </w:r>
      <w:r>
        <w:rPr>
          <w:color w:val="auto"/>
          <w:highlight w:val="none"/>
        </w:rPr>
        <w:fldChar w:fldCharType="separate"/>
      </w:r>
      <w:r>
        <w:rPr>
          <w:color w:val="auto"/>
          <w:highlight w:val="none"/>
        </w:rPr>
        <w:t>25</w:t>
      </w:r>
      <w:r>
        <w:rPr>
          <w:color w:val="auto"/>
          <w:highlight w:val="none"/>
        </w:rPr>
        <w:fldChar w:fldCharType="end"/>
      </w:r>
      <w:r>
        <w:rPr>
          <w:rFonts w:asciiTheme="minorEastAsia" w:hAnsiTheme="minorEastAsia"/>
          <w:bCs/>
          <w:color w:val="auto"/>
          <w:szCs w:val="24"/>
          <w:highlight w:val="none"/>
        </w:rPr>
        <w:fldChar w:fldCharType="end"/>
      </w:r>
    </w:p>
    <w:p w14:paraId="18755E1F">
      <w:pPr>
        <w:pStyle w:val="37"/>
        <w:tabs>
          <w:tab w:val="right" w:leader="dot" w:pos="8279"/>
        </w:tabs>
        <w:rPr>
          <w:color w:val="auto"/>
          <w:highlight w:val="none"/>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_Toc32646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_Toc32646 \h </w:instrText>
      </w:r>
      <w:r>
        <w:rPr>
          <w:color w:val="auto"/>
          <w:highlight w:val="none"/>
        </w:rPr>
        <w:fldChar w:fldCharType="separate"/>
      </w:r>
      <w:r>
        <w:rPr>
          <w:color w:val="auto"/>
          <w:highlight w:val="none"/>
        </w:rPr>
        <w:t>32</w:t>
      </w:r>
      <w:r>
        <w:rPr>
          <w:color w:val="auto"/>
          <w:highlight w:val="none"/>
        </w:rPr>
        <w:fldChar w:fldCharType="end"/>
      </w:r>
      <w:r>
        <w:rPr>
          <w:rFonts w:asciiTheme="minorEastAsia" w:hAnsiTheme="minorEastAsia"/>
          <w:bCs/>
          <w:color w:val="auto"/>
          <w:szCs w:val="24"/>
          <w:highlight w:val="none"/>
        </w:rPr>
        <w:fldChar w:fldCharType="end"/>
      </w:r>
    </w:p>
    <w:p w14:paraId="7E6B8483">
      <w:pPr>
        <w:pStyle w:val="37"/>
        <w:tabs>
          <w:tab w:val="right" w:leader="dot" w:pos="8279"/>
        </w:tabs>
        <w:rPr>
          <w:color w:val="auto"/>
          <w:highlight w:val="none"/>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_Toc16770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_Toc16770 \h </w:instrText>
      </w:r>
      <w:r>
        <w:rPr>
          <w:color w:val="auto"/>
          <w:highlight w:val="none"/>
        </w:rPr>
        <w:fldChar w:fldCharType="separate"/>
      </w:r>
      <w:r>
        <w:rPr>
          <w:color w:val="auto"/>
          <w:highlight w:val="none"/>
        </w:rPr>
        <w:t>64</w:t>
      </w:r>
      <w:r>
        <w:rPr>
          <w:color w:val="auto"/>
          <w:highlight w:val="none"/>
        </w:rPr>
        <w:fldChar w:fldCharType="end"/>
      </w:r>
      <w:r>
        <w:rPr>
          <w:rFonts w:asciiTheme="minorEastAsia" w:hAnsiTheme="minorEastAsia"/>
          <w:bCs/>
          <w:color w:val="auto"/>
          <w:szCs w:val="24"/>
          <w:highlight w:val="none"/>
        </w:rPr>
        <w:fldChar w:fldCharType="end"/>
      </w:r>
    </w:p>
    <w:p w14:paraId="6BC60794">
      <w:pPr>
        <w:pStyle w:val="37"/>
        <w:tabs>
          <w:tab w:val="right" w:leader="dot" w:pos="8279"/>
        </w:tabs>
        <w:rPr>
          <w:color w:val="auto"/>
          <w:highlight w:val="none"/>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_Toc25478 </w:instrText>
      </w:r>
      <w:r>
        <w:rPr>
          <w:rFonts w:asciiTheme="minorEastAsia" w:hAnsiTheme="minorEastAsia"/>
          <w:bCs/>
          <w:color w:val="auto"/>
          <w:szCs w:val="24"/>
          <w:highlight w:val="none"/>
        </w:rPr>
        <w:fldChar w:fldCharType="separate"/>
      </w:r>
      <w:r>
        <w:rPr>
          <w:rFonts w:hint="eastAsia"/>
          <w:bCs/>
          <w:color w:val="auto"/>
          <w:highlight w:val="none"/>
        </w:rPr>
        <w:t>第</w:t>
      </w:r>
      <w:r>
        <w:rPr>
          <w:rFonts w:hint="eastAsia"/>
          <w:bCs/>
          <w:color w:val="auto"/>
          <w:highlight w:val="none"/>
          <w:lang w:val="en-US" w:eastAsia="zh-CN"/>
        </w:rPr>
        <w:t>七</w:t>
      </w:r>
      <w:r>
        <w:rPr>
          <w:rFonts w:hint="eastAsia"/>
          <w:bCs/>
          <w:color w:val="auto"/>
          <w:highlight w:val="none"/>
        </w:rPr>
        <w:t>章  政府采购</w:t>
      </w:r>
      <w:r>
        <w:rPr>
          <w:rFonts w:hint="eastAsia" w:asciiTheme="minorEastAsia" w:hAnsiTheme="minorEastAsia" w:eastAsiaTheme="minorEastAsia"/>
          <w:color w:val="auto"/>
          <w:highlight w:val="none"/>
        </w:rPr>
        <w:t>供应</w:t>
      </w:r>
      <w:r>
        <w:rPr>
          <w:rFonts w:hint="eastAsia"/>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_Toc25478 \h </w:instrText>
      </w:r>
      <w:r>
        <w:rPr>
          <w:color w:val="auto"/>
          <w:highlight w:val="none"/>
        </w:rPr>
        <w:fldChar w:fldCharType="separate"/>
      </w:r>
      <w:r>
        <w:rPr>
          <w:color w:val="auto"/>
          <w:highlight w:val="none"/>
        </w:rPr>
        <w:t>81</w:t>
      </w:r>
      <w:r>
        <w:rPr>
          <w:color w:val="auto"/>
          <w:highlight w:val="none"/>
        </w:rPr>
        <w:fldChar w:fldCharType="end"/>
      </w:r>
      <w:r>
        <w:rPr>
          <w:rFonts w:asciiTheme="minorEastAsia" w:hAnsiTheme="minorEastAsia"/>
          <w:bCs/>
          <w:color w:val="auto"/>
          <w:szCs w:val="24"/>
          <w:highlight w:val="none"/>
        </w:rPr>
        <w:fldChar w:fldCharType="end"/>
      </w:r>
    </w:p>
    <w:p w14:paraId="4968A42E">
      <w:pPr>
        <w:pStyle w:val="47"/>
        <w:tabs>
          <w:tab w:val="right" w:leader="dot" w:pos="8296"/>
        </w:tabs>
        <w:rPr>
          <w:rFonts w:asciiTheme="minorEastAsia" w:hAnsiTheme="minorEastAsia"/>
          <w:b/>
          <w:color w:val="auto"/>
          <w:sz w:val="32"/>
          <w:highlight w:val="none"/>
        </w:rPr>
      </w:pPr>
      <w:r>
        <w:rPr>
          <w:rFonts w:asciiTheme="minorEastAsia" w:hAnsiTheme="minorEastAsia"/>
          <w:bCs/>
          <w:color w:val="auto"/>
          <w:szCs w:val="24"/>
          <w:highlight w:val="none"/>
        </w:rPr>
        <w:fldChar w:fldCharType="end"/>
      </w:r>
    </w:p>
    <w:p w14:paraId="3E2E4AD6">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p>
    <w:p w14:paraId="25E06161">
      <w:pPr>
        <w:spacing w:line="360" w:lineRule="auto"/>
        <w:jc w:val="center"/>
        <w:outlineLvl w:val="0"/>
        <w:rPr>
          <w:rFonts w:asciiTheme="minorEastAsia" w:hAnsiTheme="minorEastAsia" w:eastAsiaTheme="minorEastAsia"/>
          <w:b/>
          <w:color w:val="auto"/>
          <w:sz w:val="28"/>
          <w:highlight w:val="none"/>
        </w:rPr>
      </w:pPr>
      <w:bookmarkStart w:id="1" w:name="_Toc12523"/>
      <w:bookmarkStart w:id="2" w:name="_Toc32399"/>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谈判邀请</w:t>
      </w:r>
      <w:bookmarkEnd w:id="1"/>
    </w:p>
    <w:p w14:paraId="0449009F">
      <w:pPr>
        <w:keepNext w:val="0"/>
        <w:keepLines w:val="0"/>
        <w:pageBreakBefore w:val="0"/>
        <w:widowControl w:val="0"/>
        <w:kinsoku/>
        <w:wordWrap w:val="0"/>
        <w:overflowPunct/>
        <w:topLinePunct w:val="0"/>
        <w:autoSpaceDE/>
        <w:autoSpaceDN/>
        <w:bidi w:val="0"/>
        <w:adjustRightInd/>
        <w:snapToGrid/>
        <w:spacing w:line="336" w:lineRule="auto"/>
        <w:ind w:firstLine="420" w:firstLineChars="200"/>
        <w:textAlignment w:val="auto"/>
        <w:outlineLvl w:val="2"/>
        <w:rPr>
          <w:rFonts w:hint="eastAsia" w:ascii="宋体" w:hAnsi="宋体" w:eastAsia="宋体" w:cs="宋体"/>
          <w:color w:val="auto"/>
          <w:kern w:val="2"/>
          <w:sz w:val="24"/>
          <w:szCs w:val="24"/>
          <w:highlight w:val="none"/>
        </w:rPr>
      </w:pPr>
      <w:bookmarkStart w:id="3" w:name="_Toc8980"/>
      <w:bookmarkStart w:id="4" w:name="_Toc29179"/>
      <w:r>
        <w:rPr>
          <w:rFonts w:hint="eastAsia" w:ascii="宋体" w:hAnsi="宋体" w:eastAsia="宋体" w:cs="宋体"/>
          <w:color w:val="auto"/>
          <w:kern w:val="0"/>
          <w:sz w:val="21"/>
          <w:szCs w:val="21"/>
          <w:highlight w:val="none"/>
          <w:lang w:val="en-US" w:eastAsia="zh-CN"/>
        </w:rPr>
        <w:t xml:space="preserve"> </w:t>
      </w:r>
      <w:bookmarkStart w:id="5" w:name="_Toc1215"/>
      <w:r>
        <w:rPr>
          <w:rFonts w:hint="eastAsia" w:ascii="宋体" w:hAnsi="宋体" w:eastAsia="宋体" w:cs="宋体"/>
          <w:color w:val="auto"/>
          <w:kern w:val="2"/>
          <w:sz w:val="24"/>
          <w:szCs w:val="24"/>
          <w:highlight w:val="none"/>
          <w:lang w:val="en-US" w:eastAsia="zh-CN" w:bidi="ar"/>
        </w:rPr>
        <w:t>项目概况</w:t>
      </w:r>
    </w:p>
    <w:p w14:paraId="3CCE7E46">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kern w:val="2"/>
          <w:sz w:val="24"/>
          <w:szCs w:val="24"/>
          <w:highlight w:val="none"/>
        </w:rPr>
      </w:pPr>
      <w:r>
        <w:rPr>
          <w:rFonts w:hint="eastAsia" w:cs="宋体"/>
          <w:color w:val="auto"/>
          <w:kern w:val="2"/>
          <w:sz w:val="24"/>
          <w:szCs w:val="24"/>
          <w:highlight w:val="none"/>
          <w:u w:val="single"/>
          <w:lang w:val="en-US" w:eastAsia="zh-CN" w:bidi="ar"/>
        </w:rPr>
        <w:t>2026年公园游园设施安全整治项目</w:t>
      </w:r>
      <w:r>
        <w:rPr>
          <w:rFonts w:hint="eastAsia" w:ascii="宋体" w:hAnsi="宋体" w:eastAsia="宋体" w:cs="宋体"/>
          <w:color w:val="auto"/>
          <w:kern w:val="2"/>
          <w:sz w:val="24"/>
          <w:szCs w:val="24"/>
          <w:highlight w:val="none"/>
          <w:lang w:val="en-US" w:eastAsia="zh-CN" w:bidi="ar"/>
        </w:rPr>
        <w:t>的潜在</w:t>
      </w:r>
      <w:r>
        <w:rPr>
          <w:rFonts w:hint="eastAsia" w:cs="宋体"/>
          <w:color w:val="auto"/>
          <w:kern w:val="2"/>
          <w:sz w:val="24"/>
          <w:szCs w:val="24"/>
          <w:highlight w:val="none"/>
          <w:lang w:val="en-US" w:eastAsia="zh-CN" w:bidi="ar"/>
        </w:rPr>
        <w:t>供应商</w:t>
      </w:r>
      <w:r>
        <w:rPr>
          <w:rFonts w:hint="eastAsia" w:ascii="宋体" w:hAnsi="宋体" w:eastAsia="宋体" w:cs="宋体"/>
          <w:color w:val="auto"/>
          <w:kern w:val="2"/>
          <w:sz w:val="24"/>
          <w:szCs w:val="24"/>
          <w:highlight w:val="none"/>
          <w:lang w:val="en-US" w:eastAsia="zh-CN" w:bidi="ar"/>
        </w:rPr>
        <w:t>应在</w:t>
      </w:r>
      <w:r>
        <w:rPr>
          <w:rFonts w:hint="eastAsia" w:ascii="宋体" w:hAnsi="宋体" w:eastAsia="宋体" w:cs="宋体"/>
          <w:color w:val="auto"/>
          <w:kern w:val="2"/>
          <w:sz w:val="24"/>
          <w:szCs w:val="24"/>
          <w:highlight w:val="none"/>
          <w:u w:val="single"/>
          <w:lang w:val="en-US" w:eastAsia="zh-CN" w:bidi="ar"/>
        </w:rPr>
        <w:t>滁州市公共资源交易中心网（</w:t>
      </w:r>
      <w:r>
        <w:rPr>
          <w:rFonts w:hint="eastAsia" w:ascii="宋体" w:hAnsi="宋体" w:eastAsia="宋体" w:cs="宋体"/>
          <w:color w:val="auto"/>
          <w:kern w:val="2"/>
          <w:sz w:val="24"/>
          <w:szCs w:val="24"/>
          <w:highlight w:val="none"/>
          <w:lang w:val="en-US" w:eastAsia="zh-CN" w:bidi="ar"/>
        </w:rPr>
        <w:fldChar w:fldCharType="begin"/>
      </w:r>
      <w:r>
        <w:rPr>
          <w:rFonts w:hint="eastAsia" w:ascii="宋体" w:hAnsi="宋体" w:eastAsia="宋体" w:cs="宋体"/>
          <w:color w:val="auto"/>
          <w:kern w:val="2"/>
          <w:sz w:val="24"/>
          <w:szCs w:val="24"/>
          <w:highlight w:val="none"/>
          <w:lang w:val="en-US" w:eastAsia="zh-CN" w:bidi="ar"/>
        </w:rPr>
        <w:instrText xml:space="preserve"> HYPERLINK "https://ggzy.chuzhou.gov.cn/" </w:instrText>
      </w:r>
      <w:r>
        <w:rPr>
          <w:rFonts w:hint="eastAsia" w:ascii="宋体" w:hAnsi="宋体" w:eastAsia="宋体" w:cs="宋体"/>
          <w:color w:val="auto"/>
          <w:kern w:val="2"/>
          <w:sz w:val="24"/>
          <w:szCs w:val="24"/>
          <w:highlight w:val="none"/>
          <w:lang w:val="en-US" w:eastAsia="zh-CN" w:bidi="ar"/>
        </w:rPr>
        <w:fldChar w:fldCharType="separate"/>
      </w:r>
      <w:r>
        <w:rPr>
          <w:rStyle w:val="67"/>
          <w:rFonts w:hint="eastAsia" w:ascii="宋体" w:hAnsi="宋体" w:eastAsia="宋体" w:cs="宋体"/>
          <w:color w:val="auto"/>
          <w:sz w:val="24"/>
          <w:szCs w:val="24"/>
          <w:highlight w:val="none"/>
          <w:u w:val="single"/>
        </w:rPr>
        <w:t>http://ggzy.chuzhou.gov.cn/</w:t>
      </w:r>
      <w:r>
        <w:rPr>
          <w:rFonts w:hint="eastAsia" w:ascii="宋体" w:hAnsi="宋体" w:eastAsia="宋体" w:cs="宋体"/>
          <w:color w:val="auto"/>
          <w:kern w:val="2"/>
          <w:sz w:val="24"/>
          <w:szCs w:val="24"/>
          <w:highlight w:val="none"/>
          <w:lang w:val="en-US" w:eastAsia="zh-CN" w:bidi="ar"/>
        </w:rPr>
        <w:fldChar w:fldCharType="end"/>
      </w:r>
      <w:r>
        <w:rPr>
          <w:rFonts w:hint="eastAsia" w:ascii="宋体" w:hAnsi="宋体" w:eastAsia="宋体" w:cs="宋体"/>
          <w:color w:val="auto"/>
          <w:kern w:val="2"/>
          <w:sz w:val="24"/>
          <w:szCs w:val="24"/>
          <w:highlight w:val="none"/>
          <w:u w:val="single"/>
          <w:lang w:val="en-US" w:eastAsia="zh-CN" w:bidi="ar"/>
        </w:rPr>
        <w:t>）</w:t>
      </w:r>
      <w:r>
        <w:rPr>
          <w:rFonts w:hint="eastAsia" w:ascii="宋体" w:hAnsi="宋体" w:eastAsia="宋体" w:cs="宋体"/>
          <w:color w:val="auto"/>
          <w:kern w:val="2"/>
          <w:sz w:val="24"/>
          <w:szCs w:val="24"/>
          <w:highlight w:val="none"/>
          <w:lang w:val="en-US" w:eastAsia="zh-CN" w:bidi="ar"/>
        </w:rPr>
        <w:t>获取</w:t>
      </w:r>
      <w:r>
        <w:rPr>
          <w:rFonts w:hint="eastAsia" w:cs="宋体"/>
          <w:color w:val="auto"/>
          <w:kern w:val="2"/>
          <w:sz w:val="24"/>
          <w:szCs w:val="24"/>
          <w:highlight w:val="none"/>
          <w:lang w:val="en-US" w:eastAsia="zh-CN" w:bidi="ar"/>
        </w:rPr>
        <w:t>采购</w:t>
      </w:r>
      <w:r>
        <w:rPr>
          <w:rFonts w:hint="eastAsia" w:ascii="宋体" w:hAnsi="宋体" w:eastAsia="宋体" w:cs="宋体"/>
          <w:color w:val="auto"/>
          <w:kern w:val="2"/>
          <w:sz w:val="24"/>
          <w:szCs w:val="24"/>
          <w:highlight w:val="none"/>
          <w:lang w:val="en-US" w:eastAsia="zh-CN" w:bidi="ar"/>
        </w:rPr>
        <w:t>文件，并于</w:t>
      </w:r>
      <w:r>
        <w:rPr>
          <w:rFonts w:hint="eastAsia" w:cs="宋体"/>
          <w:color w:val="auto"/>
          <w:kern w:val="2"/>
          <w:sz w:val="24"/>
          <w:szCs w:val="24"/>
          <w:highlight w:val="none"/>
          <w:u w:val="single"/>
          <w:lang w:val="en-US" w:eastAsia="zh-CN" w:bidi="ar"/>
        </w:rPr>
        <w:t>2026年9月16日</w:t>
      </w:r>
      <w:r>
        <w:rPr>
          <w:rFonts w:hint="eastAsia" w:cs="宋体"/>
          <w:bCs/>
          <w:color w:val="auto"/>
          <w:kern w:val="2"/>
          <w:sz w:val="24"/>
          <w:szCs w:val="24"/>
          <w:highlight w:val="none"/>
          <w:u w:val="single"/>
          <w:lang w:val="en-US" w:eastAsia="zh-CN" w:bidi="ar"/>
        </w:rPr>
        <w:t>8</w:t>
      </w:r>
      <w:r>
        <w:rPr>
          <w:rFonts w:hint="eastAsia" w:ascii="宋体" w:hAnsi="宋体" w:eastAsia="宋体" w:cs="宋体"/>
          <w:bCs/>
          <w:color w:val="auto"/>
          <w:kern w:val="2"/>
          <w:sz w:val="24"/>
          <w:szCs w:val="24"/>
          <w:highlight w:val="none"/>
          <w:u w:val="single"/>
          <w:lang w:val="en-US" w:eastAsia="zh-CN" w:bidi="ar"/>
        </w:rPr>
        <w:t>点</w:t>
      </w:r>
      <w:r>
        <w:rPr>
          <w:rFonts w:hint="eastAsia" w:cs="宋体"/>
          <w:bCs/>
          <w:color w:val="auto"/>
          <w:kern w:val="2"/>
          <w:sz w:val="24"/>
          <w:szCs w:val="24"/>
          <w:highlight w:val="none"/>
          <w:u w:val="single"/>
          <w:lang w:val="en-US" w:eastAsia="zh-CN" w:bidi="ar"/>
        </w:rPr>
        <w:t>30分</w:t>
      </w:r>
      <w:r>
        <w:rPr>
          <w:rFonts w:hint="eastAsia" w:ascii="宋体" w:hAnsi="宋体" w:eastAsia="宋体" w:cs="宋体"/>
          <w:bCs/>
          <w:color w:val="auto"/>
          <w:kern w:val="2"/>
          <w:sz w:val="24"/>
          <w:szCs w:val="24"/>
          <w:highlight w:val="none"/>
          <w:lang w:val="en-US" w:eastAsia="zh-CN" w:bidi="ar"/>
        </w:rPr>
        <w:t>（北京时间）前递交</w:t>
      </w:r>
      <w:r>
        <w:rPr>
          <w:rFonts w:hint="eastAsia" w:cs="宋体"/>
          <w:bCs/>
          <w:color w:val="auto"/>
          <w:kern w:val="2"/>
          <w:sz w:val="24"/>
          <w:szCs w:val="24"/>
          <w:highlight w:val="none"/>
          <w:lang w:val="en-US" w:eastAsia="zh-CN" w:bidi="ar"/>
        </w:rPr>
        <w:t>响应</w:t>
      </w:r>
      <w:r>
        <w:rPr>
          <w:rFonts w:hint="eastAsia" w:ascii="宋体" w:hAnsi="宋体" w:eastAsia="宋体" w:cs="宋体"/>
          <w:bCs/>
          <w:color w:val="auto"/>
          <w:kern w:val="2"/>
          <w:sz w:val="24"/>
          <w:szCs w:val="24"/>
          <w:highlight w:val="none"/>
          <w:lang w:val="en-US" w:eastAsia="zh-CN" w:bidi="ar"/>
        </w:rPr>
        <w:t>文件</w:t>
      </w:r>
      <w:r>
        <w:rPr>
          <w:rFonts w:hint="eastAsia" w:ascii="宋体" w:hAnsi="宋体" w:eastAsia="宋体" w:cs="宋体"/>
          <w:color w:val="auto"/>
          <w:kern w:val="2"/>
          <w:sz w:val="24"/>
          <w:szCs w:val="24"/>
          <w:highlight w:val="none"/>
          <w:lang w:val="en-US" w:eastAsia="zh-CN" w:bidi="ar"/>
        </w:rPr>
        <w:t>。</w:t>
      </w:r>
    </w:p>
    <w:p w14:paraId="5A325CEE">
      <w:pPr>
        <w:keepNext w:val="0"/>
        <w:keepLines w:val="0"/>
        <w:pageBreakBefore w:val="0"/>
        <w:widowControl w:val="0"/>
        <w:kinsoku/>
        <w:overflowPunct/>
        <w:topLinePunct w:val="0"/>
        <w:autoSpaceDE/>
        <w:autoSpaceDN/>
        <w:bidi w:val="0"/>
        <w:adjustRightInd/>
        <w:snapToGrid/>
        <w:spacing w:line="336" w:lineRule="auto"/>
        <w:ind w:firstLine="437"/>
        <w:textAlignment w:val="auto"/>
        <w:outlineLvl w:val="1"/>
        <w:rPr>
          <w:rFonts w:hint="default" w:ascii="宋体" w:hAnsi="宋体" w:eastAsia="宋体"/>
          <w:b/>
          <w:bCs/>
          <w:color w:val="auto"/>
          <w:sz w:val="24"/>
          <w:szCs w:val="18"/>
          <w:highlight w:val="none"/>
          <w:lang w:val="en-US" w:eastAsia="zh-CN"/>
        </w:rPr>
      </w:pPr>
      <w:bookmarkStart w:id="6" w:name="_Toc35393790"/>
      <w:bookmarkEnd w:id="6"/>
      <w:bookmarkStart w:id="7" w:name="_Toc35393621"/>
      <w:bookmarkEnd w:id="7"/>
      <w:bookmarkStart w:id="8" w:name="_Toc28359079"/>
      <w:bookmarkEnd w:id="8"/>
      <w:bookmarkStart w:id="9" w:name="_Toc28359002"/>
      <w:bookmarkEnd w:id="9"/>
      <w:bookmarkStart w:id="10" w:name="_Toc58430305"/>
      <w:bookmarkEnd w:id="10"/>
      <w:bookmarkStart w:id="11" w:name="_Hlk24379207"/>
      <w:r>
        <w:rPr>
          <w:rFonts w:hint="eastAsia" w:ascii="宋体" w:hAnsi="宋体" w:eastAsia="宋体"/>
          <w:b/>
          <w:bCs/>
          <w:color w:val="auto"/>
          <w:sz w:val="24"/>
          <w:szCs w:val="18"/>
          <w:highlight w:val="none"/>
        </w:rPr>
        <w:t>一、</w:t>
      </w:r>
      <w:bookmarkEnd w:id="11"/>
      <w:r>
        <w:rPr>
          <w:rFonts w:hint="eastAsia"/>
          <w:b/>
          <w:bCs/>
          <w:color w:val="auto"/>
          <w:sz w:val="24"/>
          <w:szCs w:val="18"/>
          <w:highlight w:val="none"/>
          <w:lang w:val="en-US" w:eastAsia="zh-CN"/>
        </w:rPr>
        <w:t>项目基本情况</w:t>
      </w:r>
    </w:p>
    <w:p w14:paraId="67EC436E">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i w:val="0"/>
          <w:iCs w:val="0"/>
          <w:color w:val="auto"/>
          <w:kern w:val="2"/>
          <w:sz w:val="24"/>
          <w:szCs w:val="24"/>
          <w:highlight w:val="none"/>
          <w:lang w:val="en-US" w:eastAsia="zh-CN" w:bidi="ar"/>
        </w:rPr>
      </w:pPr>
      <w:r>
        <w:rPr>
          <w:rFonts w:hint="eastAsia" w:ascii="宋体" w:hAnsi="宋体" w:eastAsia="宋体" w:cs="宋体"/>
          <w:i w:val="0"/>
          <w:iCs w:val="0"/>
          <w:color w:val="auto"/>
          <w:kern w:val="2"/>
          <w:sz w:val="24"/>
          <w:szCs w:val="24"/>
          <w:highlight w:val="none"/>
          <w:lang w:val="en-US" w:eastAsia="zh-CN" w:bidi="ar"/>
        </w:rPr>
        <w:t>项目编号</w:t>
      </w:r>
      <w:r>
        <w:rPr>
          <w:rFonts w:hint="eastAsia" w:cs="宋体"/>
          <w:i w:val="0"/>
          <w:iCs w:val="0"/>
          <w:color w:val="auto"/>
          <w:kern w:val="2"/>
          <w:sz w:val="24"/>
          <w:szCs w:val="24"/>
          <w:highlight w:val="none"/>
          <w:lang w:val="en-US" w:eastAsia="zh-CN" w:bidi="ar"/>
        </w:rPr>
        <w:t xml:space="preserve">：czsjcg202609-023 </w:t>
      </w:r>
    </w:p>
    <w:p w14:paraId="73DA6109">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项目名称：</w:t>
      </w:r>
      <w:r>
        <w:rPr>
          <w:rFonts w:hint="eastAsia" w:cs="宋体"/>
          <w:color w:val="auto"/>
          <w:kern w:val="2"/>
          <w:sz w:val="24"/>
          <w:szCs w:val="24"/>
          <w:highlight w:val="none"/>
          <w:lang w:val="en-US" w:eastAsia="zh-CN" w:bidi="ar"/>
        </w:rPr>
        <w:t>2026年公园游园设施安全整治项目</w:t>
      </w:r>
    </w:p>
    <w:p w14:paraId="455810CC">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采购方式：竞争性谈判</w:t>
      </w:r>
    </w:p>
    <w:p w14:paraId="52FD57A7">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预算金额：</w:t>
      </w:r>
      <w:r>
        <w:rPr>
          <w:rFonts w:hint="eastAsia" w:cs="宋体"/>
          <w:color w:val="auto"/>
          <w:kern w:val="2"/>
          <w:sz w:val="24"/>
          <w:szCs w:val="24"/>
          <w:highlight w:val="none"/>
          <w:lang w:val="en-US" w:eastAsia="zh-CN" w:bidi="ar"/>
        </w:rPr>
        <w:t>650000.00元</w:t>
      </w:r>
    </w:p>
    <w:p w14:paraId="1313F39A">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最高限价：本项目最高限价为</w:t>
      </w:r>
      <w:r>
        <w:rPr>
          <w:rFonts w:hint="eastAsia" w:cs="宋体"/>
          <w:color w:val="auto"/>
          <w:kern w:val="2"/>
          <w:sz w:val="24"/>
          <w:szCs w:val="24"/>
          <w:highlight w:val="none"/>
          <w:lang w:val="en-US" w:eastAsia="zh-CN" w:bidi="ar"/>
        </w:rPr>
        <w:t>648787.79</w:t>
      </w:r>
      <w:r>
        <w:rPr>
          <w:rFonts w:hint="eastAsia" w:ascii="宋体" w:hAnsi="宋体" w:eastAsia="宋体" w:cs="宋体"/>
          <w:color w:val="auto"/>
          <w:kern w:val="2"/>
          <w:sz w:val="24"/>
          <w:szCs w:val="24"/>
          <w:highlight w:val="none"/>
          <w:lang w:val="en-US" w:eastAsia="zh-CN" w:bidi="ar"/>
        </w:rPr>
        <w:t>元，高于最高限价的，其响应文件按无效响应处理。</w:t>
      </w:r>
    </w:p>
    <w:p w14:paraId="04B0F8E1">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kern w:val="2"/>
          <w:sz w:val="24"/>
          <w:szCs w:val="24"/>
          <w:highlight w:val="none"/>
          <w:u w:val="single"/>
        </w:rPr>
      </w:pPr>
      <w:r>
        <w:rPr>
          <w:rFonts w:hint="eastAsia" w:cs="宋体"/>
          <w:color w:val="auto"/>
          <w:kern w:val="2"/>
          <w:sz w:val="24"/>
          <w:szCs w:val="24"/>
          <w:highlight w:val="none"/>
          <w:lang w:val="en-US" w:eastAsia="zh-CN" w:bidi="ar"/>
        </w:rPr>
        <w:t>采购需求：清流河公园一期会峰路桥北侧水体驳岸倾斜坍塌整治、南湖公园四期丰泰门至一院约600米园路积水问题整治、内城河公园三中东门对面亭子地基下沉柱体腐烂等问题整治、北湖公园拱极门东北侧北湖北岸大理石护栏倾斜塌落及墙砖脱落维修恢复等各项涉及安全隐患急需维修的内容。</w:t>
      </w:r>
    </w:p>
    <w:p w14:paraId="2D598500">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合同履行期限：</w:t>
      </w:r>
      <w:r>
        <w:rPr>
          <w:rFonts w:hint="eastAsia" w:cs="宋体"/>
          <w:color w:val="auto"/>
          <w:kern w:val="2"/>
          <w:sz w:val="24"/>
          <w:szCs w:val="24"/>
          <w:highlight w:val="none"/>
          <w:lang w:val="en-US" w:eastAsia="zh-CN" w:bidi="ar"/>
        </w:rPr>
        <w:t>总工期不高于60个日历天。供应商自报的承诺工期为考核标准。因供应商原因造成的工期延误，每推迟一天，按500元/天处以违约金。</w:t>
      </w:r>
    </w:p>
    <w:p w14:paraId="5283E10A">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本项目不接受联合体。</w:t>
      </w:r>
    </w:p>
    <w:p w14:paraId="39B1A883">
      <w:pPr>
        <w:keepNext w:val="0"/>
        <w:keepLines w:val="0"/>
        <w:pageBreakBefore w:val="0"/>
        <w:widowControl w:val="0"/>
        <w:kinsoku/>
        <w:overflowPunct/>
        <w:topLinePunct w:val="0"/>
        <w:autoSpaceDE/>
        <w:autoSpaceDN/>
        <w:bidi w:val="0"/>
        <w:adjustRightInd/>
        <w:snapToGrid/>
        <w:spacing w:line="336" w:lineRule="auto"/>
        <w:ind w:firstLine="437"/>
        <w:textAlignment w:val="auto"/>
        <w:outlineLvl w:val="1"/>
        <w:rPr>
          <w:rFonts w:hint="eastAsia" w:ascii="宋体" w:hAnsi="宋体" w:eastAsia="宋体"/>
          <w:b/>
          <w:bCs/>
          <w:color w:val="auto"/>
          <w:sz w:val="24"/>
          <w:szCs w:val="18"/>
          <w:highlight w:val="none"/>
        </w:rPr>
      </w:pPr>
      <w:bookmarkStart w:id="12" w:name="_Toc58430306"/>
      <w:bookmarkEnd w:id="12"/>
      <w:bookmarkStart w:id="13" w:name="_Toc28359003"/>
      <w:bookmarkEnd w:id="13"/>
      <w:bookmarkStart w:id="14" w:name="_Toc35393791"/>
      <w:bookmarkEnd w:id="14"/>
      <w:bookmarkStart w:id="15" w:name="_Toc35393622"/>
      <w:bookmarkEnd w:id="15"/>
      <w:bookmarkStart w:id="16" w:name="_Toc28359080"/>
      <w:r>
        <w:rPr>
          <w:rFonts w:hint="eastAsia" w:ascii="宋体" w:hAnsi="宋体" w:eastAsia="宋体"/>
          <w:b/>
          <w:bCs/>
          <w:color w:val="auto"/>
          <w:sz w:val="24"/>
          <w:szCs w:val="18"/>
          <w:highlight w:val="none"/>
        </w:rPr>
        <w:t>二、申请人的资格要求</w:t>
      </w:r>
      <w:bookmarkEnd w:id="16"/>
    </w:p>
    <w:p w14:paraId="7E1983C8">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1.满足《中华人民共和国政府采购法》第二十二条规定；</w:t>
      </w:r>
    </w:p>
    <w:p w14:paraId="7B237712">
      <w:pPr>
        <w:spacing w:line="420" w:lineRule="exact"/>
        <w:ind w:firstLine="480" w:firstLineChars="200"/>
        <w:jc w:val="left"/>
        <w:rPr>
          <w:rFonts w:hint="eastAsia" w:ascii="宋体" w:hAnsi="宋体" w:eastAsia="宋体" w:cs="宋体"/>
          <w:color w:val="auto"/>
          <w:sz w:val="24"/>
          <w:highlight w:val="none"/>
        </w:rPr>
      </w:pPr>
      <w:bookmarkStart w:id="17" w:name="_Toc28359081"/>
      <w:bookmarkEnd w:id="17"/>
      <w:bookmarkStart w:id="18" w:name="_Toc28359004"/>
      <w:r>
        <w:rPr>
          <w:rFonts w:hint="eastAsia" w:ascii="宋体" w:hAnsi="宋体" w:eastAsia="宋体" w:cs="宋体"/>
          <w:color w:val="auto"/>
          <w:kern w:val="2"/>
          <w:sz w:val="24"/>
          <w:szCs w:val="24"/>
          <w:highlight w:val="none"/>
          <w:lang w:val="en-US" w:eastAsia="zh-CN" w:bidi="ar"/>
        </w:rPr>
        <w:t>2.落实政府采购政策需满足的资格要求：</w:t>
      </w:r>
      <w:bookmarkEnd w:id="18"/>
      <w:r>
        <w:rPr>
          <w:rFonts w:hint="eastAsia" w:ascii="宋体" w:hAnsi="宋体" w:eastAsia="宋体" w:cs="宋体"/>
          <w:color w:val="auto"/>
          <w:kern w:val="2"/>
          <w:sz w:val="24"/>
          <w:szCs w:val="24"/>
          <w:highlight w:val="none"/>
          <w:lang w:val="en-US" w:eastAsia="zh-CN" w:bidi="ar"/>
        </w:rPr>
        <w:t>按照财政部、工业和信息化部制定的《政府采购促进中小企业发展管理办法》，本项目为专门面向中小企业采购项目。企业划型标准按照《关于印发中小企业划型标准规定的通知》（工信部联企业〔2011〕300号）规定执行</w:t>
      </w:r>
      <w:r>
        <w:rPr>
          <w:rFonts w:hint="eastAsia" w:ascii="宋体" w:hAnsi="宋体" w:eastAsia="宋体" w:cs="宋体"/>
          <w:color w:val="auto"/>
          <w:sz w:val="24"/>
          <w:highlight w:val="none"/>
        </w:rPr>
        <w:t>；</w:t>
      </w:r>
    </w:p>
    <w:p w14:paraId="7B54CA9C">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3.本项目的特定资格要求：</w:t>
      </w:r>
      <w:r>
        <w:rPr>
          <w:rFonts w:hint="eastAsia" w:cs="宋体"/>
          <w:color w:val="auto"/>
          <w:kern w:val="2"/>
          <w:sz w:val="24"/>
          <w:szCs w:val="24"/>
          <w:highlight w:val="none"/>
          <w:lang w:val="en-US" w:eastAsia="zh-CN" w:bidi="ar"/>
        </w:rPr>
        <w:t>①供应商具有市政公用工程施工总承包叁级（或以上）证书，并具有有效的安全生产许可证；②供应商拟派的项目经理具有市政公用工程专业二级（或以上）注册建造师注册证书，且具备有效的安全生产考核合格(B类)证书；</w:t>
      </w:r>
    </w:p>
    <w:p w14:paraId="17EAE9FB">
      <w:pPr>
        <w:keepNext w:val="0"/>
        <w:keepLines w:val="0"/>
        <w:pageBreakBefore w:val="0"/>
        <w:widowControl w:val="0"/>
        <w:kinsoku/>
        <w:overflowPunct/>
        <w:topLinePunct w:val="0"/>
        <w:autoSpaceDE/>
        <w:autoSpaceDN/>
        <w:bidi w:val="0"/>
        <w:adjustRightInd/>
        <w:snapToGrid/>
        <w:spacing w:line="336" w:lineRule="auto"/>
        <w:ind w:firstLine="437"/>
        <w:textAlignment w:val="auto"/>
        <w:outlineLvl w:val="1"/>
        <w:rPr>
          <w:rFonts w:hint="eastAsia" w:ascii="宋体" w:hAnsi="宋体" w:eastAsia="宋体"/>
          <w:b/>
          <w:bCs/>
          <w:color w:val="auto"/>
          <w:sz w:val="24"/>
          <w:szCs w:val="18"/>
          <w:highlight w:val="none"/>
        </w:rPr>
      </w:pPr>
      <w:bookmarkStart w:id="19" w:name="_Toc58430307"/>
      <w:r>
        <w:rPr>
          <w:rFonts w:hint="eastAsia" w:ascii="宋体" w:hAnsi="宋体" w:eastAsia="宋体"/>
          <w:b/>
          <w:bCs/>
          <w:color w:val="auto"/>
          <w:sz w:val="24"/>
          <w:szCs w:val="18"/>
          <w:highlight w:val="none"/>
        </w:rPr>
        <w:t>三、</w:t>
      </w:r>
      <w:bookmarkEnd w:id="19"/>
      <w:r>
        <w:rPr>
          <w:rFonts w:hint="eastAsia" w:ascii="宋体" w:hAnsi="宋体" w:eastAsia="宋体"/>
          <w:b/>
          <w:bCs/>
          <w:color w:val="auto"/>
          <w:sz w:val="24"/>
          <w:szCs w:val="18"/>
          <w:highlight w:val="none"/>
        </w:rPr>
        <w:t>获取采购文件</w:t>
      </w:r>
    </w:p>
    <w:p w14:paraId="2428D32F">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kern w:val="2"/>
          <w:sz w:val="24"/>
          <w:szCs w:val="24"/>
          <w:highlight w:val="none"/>
          <w:u w:val="single"/>
          <w:lang w:val="en-US" w:eastAsia="zh-CN" w:bidi="ar"/>
        </w:rPr>
      </w:pPr>
      <w:r>
        <w:rPr>
          <w:rFonts w:hint="eastAsia" w:ascii="宋体" w:hAnsi="宋体" w:eastAsia="宋体" w:cs="宋体"/>
          <w:color w:val="auto"/>
          <w:kern w:val="2"/>
          <w:sz w:val="24"/>
          <w:szCs w:val="24"/>
          <w:highlight w:val="none"/>
          <w:lang w:val="en-US" w:eastAsia="zh-CN" w:bidi="ar"/>
        </w:rPr>
        <w:t>时间：</w:t>
      </w:r>
      <w:r>
        <w:rPr>
          <w:rFonts w:hint="eastAsia" w:cs="宋体"/>
          <w:color w:val="auto"/>
          <w:kern w:val="2"/>
          <w:sz w:val="24"/>
          <w:szCs w:val="24"/>
          <w:highlight w:val="none"/>
          <w:u w:val="single"/>
          <w:lang w:val="en-US" w:eastAsia="zh-CN" w:bidi="ar"/>
        </w:rPr>
        <w:t>2026年9月10日</w:t>
      </w:r>
      <w:r>
        <w:rPr>
          <w:rFonts w:hint="eastAsia" w:ascii="宋体" w:hAnsi="宋体" w:eastAsia="宋体" w:cs="宋体"/>
          <w:color w:val="auto"/>
          <w:kern w:val="2"/>
          <w:sz w:val="24"/>
          <w:szCs w:val="24"/>
          <w:highlight w:val="none"/>
          <w:lang w:val="en-US" w:eastAsia="zh-CN" w:bidi="ar"/>
        </w:rPr>
        <w:t>至</w:t>
      </w:r>
      <w:r>
        <w:rPr>
          <w:rFonts w:hint="eastAsia" w:cs="宋体"/>
          <w:color w:val="auto"/>
          <w:kern w:val="2"/>
          <w:sz w:val="24"/>
          <w:szCs w:val="24"/>
          <w:highlight w:val="none"/>
          <w:u w:val="single"/>
          <w:lang w:val="en-US" w:eastAsia="zh-CN" w:bidi="ar"/>
        </w:rPr>
        <w:t>2026年9月16日</w:t>
      </w:r>
    </w:p>
    <w:p w14:paraId="380F898C">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地点：滁州市公共资源交易中心网</w:t>
      </w:r>
    </w:p>
    <w:p w14:paraId="5900F000">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方式：网上下载</w:t>
      </w:r>
    </w:p>
    <w:p w14:paraId="74CF013F">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售价：0元</w:t>
      </w:r>
    </w:p>
    <w:p w14:paraId="2D6E3D3F">
      <w:pPr>
        <w:keepNext w:val="0"/>
        <w:keepLines w:val="0"/>
        <w:pageBreakBefore w:val="0"/>
        <w:widowControl w:val="0"/>
        <w:kinsoku/>
        <w:overflowPunct/>
        <w:topLinePunct w:val="0"/>
        <w:autoSpaceDE/>
        <w:autoSpaceDN/>
        <w:bidi w:val="0"/>
        <w:adjustRightInd/>
        <w:snapToGrid/>
        <w:spacing w:line="336" w:lineRule="auto"/>
        <w:ind w:firstLine="437"/>
        <w:textAlignment w:val="auto"/>
        <w:outlineLvl w:val="1"/>
        <w:rPr>
          <w:rFonts w:hint="eastAsia" w:ascii="宋体" w:hAnsi="宋体" w:eastAsia="宋体"/>
          <w:b/>
          <w:bCs/>
          <w:color w:val="auto"/>
          <w:sz w:val="24"/>
          <w:szCs w:val="18"/>
          <w:highlight w:val="none"/>
        </w:rPr>
      </w:pPr>
      <w:bookmarkStart w:id="20" w:name="_Toc35393624"/>
      <w:bookmarkEnd w:id="20"/>
      <w:bookmarkStart w:id="21" w:name="_Toc28359082"/>
      <w:bookmarkEnd w:id="21"/>
      <w:bookmarkStart w:id="22" w:name="_Toc35393793"/>
      <w:bookmarkEnd w:id="22"/>
      <w:bookmarkStart w:id="23" w:name="_Toc28359005"/>
      <w:bookmarkEnd w:id="23"/>
      <w:bookmarkStart w:id="24" w:name="_Toc58430308"/>
      <w:r>
        <w:rPr>
          <w:rFonts w:hint="eastAsia" w:ascii="宋体" w:hAnsi="宋体" w:eastAsia="宋体"/>
          <w:b/>
          <w:bCs/>
          <w:color w:val="auto"/>
          <w:sz w:val="24"/>
          <w:szCs w:val="18"/>
          <w:highlight w:val="none"/>
        </w:rPr>
        <w:t>四、</w:t>
      </w:r>
      <w:bookmarkEnd w:id="24"/>
      <w:r>
        <w:rPr>
          <w:rFonts w:hint="eastAsia" w:ascii="宋体" w:hAnsi="宋体" w:eastAsia="宋体"/>
          <w:b/>
          <w:bCs/>
          <w:color w:val="auto"/>
          <w:sz w:val="24"/>
          <w:szCs w:val="18"/>
          <w:highlight w:val="none"/>
        </w:rPr>
        <w:t>响应文件提交</w:t>
      </w:r>
    </w:p>
    <w:p w14:paraId="0C2960E6">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bCs/>
          <w:color w:val="auto"/>
          <w:kern w:val="2"/>
          <w:sz w:val="24"/>
          <w:szCs w:val="24"/>
          <w:highlight w:val="none"/>
          <w:u w:val="single"/>
        </w:rPr>
      </w:pPr>
      <w:r>
        <w:rPr>
          <w:rFonts w:hint="eastAsia" w:asciiTheme="minorEastAsia" w:hAnsiTheme="minorEastAsia" w:eastAsiaTheme="minorEastAsia" w:cstheme="minorEastAsia"/>
          <w:bCs/>
          <w:color w:val="auto"/>
          <w:sz w:val="24"/>
          <w:szCs w:val="24"/>
          <w:highlight w:val="none"/>
        </w:rPr>
        <w:t>截止时间：</w:t>
      </w:r>
      <w:r>
        <w:rPr>
          <w:rFonts w:hint="eastAsia" w:cs="宋体"/>
          <w:color w:val="auto"/>
          <w:kern w:val="2"/>
          <w:sz w:val="24"/>
          <w:szCs w:val="24"/>
          <w:highlight w:val="none"/>
          <w:u w:val="single"/>
          <w:lang w:val="en-US" w:eastAsia="zh-CN" w:bidi="ar"/>
        </w:rPr>
        <w:t>2026年9月16日</w:t>
      </w:r>
      <w:r>
        <w:rPr>
          <w:rFonts w:hint="eastAsia" w:cs="宋体"/>
          <w:bCs/>
          <w:color w:val="auto"/>
          <w:kern w:val="2"/>
          <w:sz w:val="24"/>
          <w:szCs w:val="24"/>
          <w:highlight w:val="none"/>
          <w:u w:val="single"/>
          <w:lang w:val="en-US" w:eastAsia="zh-CN" w:bidi="ar"/>
        </w:rPr>
        <w:t>8</w:t>
      </w:r>
      <w:r>
        <w:rPr>
          <w:rFonts w:hint="eastAsia" w:ascii="宋体" w:hAnsi="宋体" w:eastAsia="宋体" w:cs="宋体"/>
          <w:bCs/>
          <w:color w:val="auto"/>
          <w:kern w:val="2"/>
          <w:sz w:val="24"/>
          <w:szCs w:val="24"/>
          <w:highlight w:val="none"/>
          <w:u w:val="single"/>
          <w:lang w:val="en-US" w:eastAsia="zh-CN" w:bidi="ar"/>
        </w:rPr>
        <w:t>点</w:t>
      </w:r>
      <w:r>
        <w:rPr>
          <w:rFonts w:hint="eastAsia" w:cs="宋体"/>
          <w:bCs/>
          <w:color w:val="auto"/>
          <w:kern w:val="2"/>
          <w:sz w:val="24"/>
          <w:szCs w:val="24"/>
          <w:highlight w:val="none"/>
          <w:u w:val="single"/>
          <w:lang w:val="en-US" w:eastAsia="zh-CN" w:bidi="ar"/>
        </w:rPr>
        <w:t>30分</w:t>
      </w:r>
      <w:r>
        <w:rPr>
          <w:rFonts w:hint="eastAsia" w:ascii="宋体" w:hAnsi="宋体" w:eastAsia="宋体" w:cs="宋体"/>
          <w:bCs/>
          <w:color w:val="auto"/>
          <w:kern w:val="2"/>
          <w:sz w:val="24"/>
          <w:szCs w:val="24"/>
          <w:highlight w:val="none"/>
          <w:u w:val="single"/>
          <w:lang w:val="en-US" w:eastAsia="zh-CN" w:bidi="ar"/>
        </w:rPr>
        <w:t>（</w:t>
      </w:r>
      <w:r>
        <w:rPr>
          <w:rFonts w:hint="eastAsia" w:ascii="宋体" w:hAnsi="宋体" w:eastAsia="宋体" w:cs="宋体"/>
          <w:bCs/>
          <w:color w:val="auto"/>
          <w:kern w:val="2"/>
          <w:sz w:val="24"/>
          <w:szCs w:val="24"/>
          <w:highlight w:val="none"/>
          <w:lang w:val="en-US" w:eastAsia="zh-CN" w:bidi="ar"/>
        </w:rPr>
        <w:t>北京时间）</w:t>
      </w:r>
      <w:r>
        <w:rPr>
          <w:rFonts w:hint="eastAsia" w:ascii="宋体" w:hAnsi="宋体" w:eastAsia="宋体" w:cs="宋体"/>
          <w:bCs/>
          <w:color w:val="auto"/>
          <w:kern w:val="2"/>
          <w:sz w:val="24"/>
          <w:szCs w:val="24"/>
          <w:highlight w:val="none"/>
          <w:u w:val="single"/>
          <w:lang w:val="en-US" w:eastAsia="zh-CN" w:bidi="ar"/>
        </w:rPr>
        <w:t>（从谈判文件开始发出之日起至供应商提交首次响应文件截止之日止不得少于3个工作日）</w:t>
      </w:r>
    </w:p>
    <w:p w14:paraId="358677C8">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地点：滁州市公共资源交易平台电子交易系统</w:t>
      </w:r>
    </w:p>
    <w:p w14:paraId="5C079F05">
      <w:pPr>
        <w:keepNext w:val="0"/>
        <w:keepLines w:val="0"/>
        <w:pageBreakBefore w:val="0"/>
        <w:widowControl w:val="0"/>
        <w:kinsoku/>
        <w:overflowPunct/>
        <w:topLinePunct w:val="0"/>
        <w:autoSpaceDE/>
        <w:autoSpaceDN/>
        <w:bidi w:val="0"/>
        <w:adjustRightInd/>
        <w:snapToGrid/>
        <w:spacing w:line="336" w:lineRule="auto"/>
        <w:ind w:firstLine="437"/>
        <w:textAlignment w:val="auto"/>
        <w:outlineLvl w:val="1"/>
        <w:rPr>
          <w:rFonts w:hint="eastAsia" w:ascii="宋体" w:hAnsi="宋体" w:eastAsia="宋体"/>
          <w:b/>
          <w:bCs/>
          <w:color w:val="auto"/>
          <w:sz w:val="24"/>
          <w:szCs w:val="18"/>
          <w:highlight w:val="none"/>
        </w:rPr>
      </w:pPr>
      <w:bookmarkStart w:id="25" w:name="_Toc35393625"/>
      <w:bookmarkEnd w:id="25"/>
      <w:bookmarkStart w:id="26" w:name="_Toc58430309"/>
      <w:bookmarkEnd w:id="26"/>
      <w:bookmarkStart w:id="27" w:name="_Toc35393794"/>
      <w:bookmarkEnd w:id="27"/>
      <w:bookmarkStart w:id="28" w:name="_Toc28359007"/>
      <w:bookmarkEnd w:id="28"/>
      <w:bookmarkStart w:id="29" w:name="_Toc8953"/>
      <w:bookmarkStart w:id="30" w:name="_Toc29151"/>
      <w:bookmarkStart w:id="31" w:name="_Toc28359084"/>
      <w:r>
        <w:rPr>
          <w:rFonts w:hint="eastAsia" w:ascii="宋体" w:hAnsi="宋体" w:eastAsia="宋体"/>
          <w:b/>
          <w:bCs/>
          <w:color w:val="auto"/>
          <w:sz w:val="24"/>
          <w:szCs w:val="18"/>
          <w:highlight w:val="none"/>
        </w:rPr>
        <w:t>五、</w:t>
      </w:r>
      <w:bookmarkEnd w:id="29"/>
      <w:r>
        <w:rPr>
          <w:rFonts w:hint="eastAsia" w:ascii="宋体" w:hAnsi="宋体" w:eastAsia="宋体"/>
          <w:b/>
          <w:bCs/>
          <w:color w:val="auto"/>
          <w:sz w:val="24"/>
          <w:szCs w:val="18"/>
          <w:highlight w:val="none"/>
        </w:rPr>
        <w:t>开启</w:t>
      </w:r>
      <w:bookmarkEnd w:id="30"/>
    </w:p>
    <w:p w14:paraId="5A398121">
      <w:pPr>
        <w:keepNext w:val="0"/>
        <w:keepLines w:val="0"/>
        <w:pageBreakBefore w:val="0"/>
        <w:widowControl w:val="0"/>
        <w:kinsoku/>
        <w:wordWrap/>
        <w:overflowPunct/>
        <w:topLinePunct w:val="0"/>
        <w:bidi w:val="0"/>
        <w:adjustRightInd w:val="0"/>
        <w:snapToGrid w:val="0"/>
        <w:spacing w:line="480" w:lineRule="exact"/>
        <w:ind w:firstLine="480" w:firstLineChars="200"/>
        <w:textAlignment w:val="auto"/>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时间：</w:t>
      </w:r>
      <w:r>
        <w:rPr>
          <w:rFonts w:hint="eastAsia" w:cs="宋体"/>
          <w:color w:val="auto"/>
          <w:kern w:val="2"/>
          <w:sz w:val="24"/>
          <w:szCs w:val="24"/>
          <w:highlight w:val="none"/>
          <w:u w:val="single"/>
          <w:lang w:val="en-US" w:eastAsia="zh-CN" w:bidi="ar"/>
        </w:rPr>
        <w:t>2026年9月16日</w:t>
      </w:r>
      <w:r>
        <w:rPr>
          <w:rFonts w:hint="eastAsia" w:asciiTheme="minorEastAsia" w:hAnsiTheme="minorEastAsia" w:eastAsiaTheme="minorEastAsia" w:cstheme="minorEastAsia"/>
          <w:bCs/>
          <w:color w:val="auto"/>
          <w:sz w:val="24"/>
          <w:szCs w:val="24"/>
          <w:highlight w:val="none"/>
          <w:u w:val="single"/>
          <w:lang w:val="en-US" w:eastAsia="zh-CN"/>
        </w:rPr>
        <w:t>8</w:t>
      </w:r>
      <w:r>
        <w:rPr>
          <w:rFonts w:hint="eastAsia" w:asciiTheme="minorEastAsia" w:hAnsiTheme="minorEastAsia" w:eastAsiaTheme="minorEastAsia" w:cstheme="minorEastAsia"/>
          <w:bCs/>
          <w:color w:val="auto"/>
          <w:sz w:val="24"/>
          <w:szCs w:val="24"/>
          <w:highlight w:val="none"/>
        </w:rPr>
        <w:t>点</w:t>
      </w:r>
      <w:r>
        <w:rPr>
          <w:rFonts w:hint="eastAsia" w:asciiTheme="minorEastAsia" w:hAnsiTheme="minorEastAsia" w:eastAsiaTheme="minorEastAsia" w:cstheme="minorEastAsia"/>
          <w:bCs/>
          <w:color w:val="auto"/>
          <w:sz w:val="24"/>
          <w:szCs w:val="24"/>
          <w:highlight w:val="none"/>
          <w:u w:val="single"/>
          <w:lang w:val="en-US" w:eastAsia="zh-CN"/>
        </w:rPr>
        <w:t>30</w:t>
      </w:r>
      <w:r>
        <w:rPr>
          <w:rFonts w:hint="eastAsia" w:asciiTheme="minorEastAsia" w:hAnsiTheme="minorEastAsia" w:eastAsiaTheme="minorEastAsia" w:cstheme="minorEastAsia"/>
          <w:bCs/>
          <w:color w:val="auto"/>
          <w:sz w:val="24"/>
          <w:szCs w:val="24"/>
          <w:highlight w:val="none"/>
        </w:rPr>
        <w:t>分（北京时间）</w:t>
      </w:r>
    </w:p>
    <w:p w14:paraId="1A1E49B1">
      <w:pPr>
        <w:keepNext w:val="0"/>
        <w:keepLines w:val="0"/>
        <w:pageBreakBefore w:val="0"/>
        <w:widowControl w:val="0"/>
        <w:kinsoku/>
        <w:wordWrap/>
        <w:overflowPunct/>
        <w:topLinePunct w:val="0"/>
        <w:bidi w:val="0"/>
        <w:adjustRightInd w:val="0"/>
        <w:snapToGrid w:val="0"/>
        <w:spacing w:line="480" w:lineRule="exact"/>
        <w:ind w:firstLine="480" w:firstLineChars="200"/>
        <w:textAlignment w:val="auto"/>
        <w:rPr>
          <w:rFonts w:hint="eastAsia" w:ascii="宋体" w:hAnsi="宋体" w:eastAsia="宋体"/>
          <w:color w:val="auto"/>
          <w:sz w:val="24"/>
          <w:szCs w:val="18"/>
          <w:highlight w:val="none"/>
          <w:lang w:val="en-US" w:eastAsia="zh-CN"/>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s="宋体"/>
          <w:color w:val="auto"/>
          <w:kern w:val="2"/>
          <w:sz w:val="24"/>
          <w:szCs w:val="24"/>
          <w:highlight w:val="none"/>
          <w:lang w:val="en-US" w:eastAsia="zh-CN" w:bidi="ar"/>
        </w:rPr>
        <w:t>滁州市公共资源交易平台电子交易系统</w:t>
      </w:r>
    </w:p>
    <w:p w14:paraId="4AF4BA23">
      <w:pPr>
        <w:keepNext w:val="0"/>
        <w:keepLines w:val="0"/>
        <w:pageBreakBefore w:val="0"/>
        <w:widowControl w:val="0"/>
        <w:kinsoku/>
        <w:overflowPunct/>
        <w:topLinePunct w:val="0"/>
        <w:autoSpaceDE/>
        <w:autoSpaceDN/>
        <w:bidi w:val="0"/>
        <w:adjustRightInd/>
        <w:snapToGrid/>
        <w:spacing w:line="336" w:lineRule="auto"/>
        <w:ind w:firstLine="437"/>
        <w:textAlignment w:val="auto"/>
        <w:outlineLvl w:val="1"/>
        <w:rPr>
          <w:rFonts w:hint="eastAsia" w:ascii="宋体" w:hAnsi="宋体" w:eastAsia="宋体"/>
          <w:b/>
          <w:bCs/>
          <w:color w:val="auto"/>
          <w:sz w:val="24"/>
          <w:szCs w:val="18"/>
          <w:highlight w:val="none"/>
        </w:rPr>
      </w:pPr>
      <w:r>
        <w:rPr>
          <w:rFonts w:hint="eastAsia"/>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31"/>
    </w:p>
    <w:p w14:paraId="7805F931">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自本公告发布之日起3个工作日。</w:t>
      </w:r>
    </w:p>
    <w:p w14:paraId="602CDB78">
      <w:pPr>
        <w:keepNext w:val="0"/>
        <w:keepLines w:val="0"/>
        <w:pageBreakBefore w:val="0"/>
        <w:widowControl w:val="0"/>
        <w:kinsoku/>
        <w:wordWrap/>
        <w:overflowPunct/>
        <w:topLinePunct w:val="0"/>
        <w:bidi w:val="0"/>
        <w:spacing w:line="480" w:lineRule="exact"/>
        <w:ind w:firstLine="437"/>
        <w:textAlignment w:val="auto"/>
        <w:outlineLvl w:val="1"/>
        <w:rPr>
          <w:rFonts w:hint="default" w:ascii="宋体" w:hAnsi="宋体" w:eastAsia="宋体"/>
          <w:b/>
          <w:bCs/>
          <w:color w:val="auto"/>
          <w:sz w:val="24"/>
          <w:szCs w:val="18"/>
          <w:highlight w:val="none"/>
          <w:lang w:val="en-US" w:eastAsia="zh-CN"/>
        </w:rPr>
      </w:pPr>
      <w:bookmarkStart w:id="32" w:name="_Toc58430310"/>
      <w:bookmarkEnd w:id="32"/>
      <w:r>
        <w:rPr>
          <w:rFonts w:hint="eastAsia" w:ascii="宋体" w:hAnsi="宋体" w:eastAsia="宋体"/>
          <w:b/>
          <w:bCs/>
          <w:color w:val="auto"/>
          <w:sz w:val="24"/>
          <w:szCs w:val="18"/>
          <w:highlight w:val="none"/>
        </w:rPr>
        <w:t>七、</w:t>
      </w:r>
      <w:r>
        <w:rPr>
          <w:rFonts w:hint="eastAsia" w:ascii="宋体" w:hAnsi="宋体" w:eastAsia="宋体"/>
          <w:b/>
          <w:bCs/>
          <w:color w:val="auto"/>
          <w:sz w:val="24"/>
          <w:szCs w:val="18"/>
          <w:highlight w:val="none"/>
          <w:lang w:val="en-US" w:eastAsia="zh-CN"/>
        </w:rPr>
        <w:t>保证金金额及缴纳账户</w:t>
      </w:r>
    </w:p>
    <w:p w14:paraId="626AAB1C">
      <w:pPr>
        <w:keepNext w:val="0"/>
        <w:keepLines w:val="0"/>
        <w:pageBreakBefore w:val="0"/>
        <w:widowControl w:val="0"/>
        <w:kinsoku/>
        <w:wordWrap/>
        <w:overflowPunct/>
        <w:topLinePunct w:val="0"/>
        <w:bidi w:val="0"/>
        <w:adjustRightInd w:val="0"/>
        <w:snapToGrid w:val="0"/>
        <w:spacing w:line="48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是否要求供应商提交保证金：不要求。</w:t>
      </w:r>
    </w:p>
    <w:p w14:paraId="3AE0CC02">
      <w:pPr>
        <w:keepNext w:val="0"/>
        <w:keepLines w:val="0"/>
        <w:pageBreakBefore w:val="0"/>
        <w:widowControl w:val="0"/>
        <w:kinsoku/>
        <w:overflowPunct/>
        <w:topLinePunct w:val="0"/>
        <w:autoSpaceDE/>
        <w:autoSpaceDN/>
        <w:bidi w:val="0"/>
        <w:adjustRightInd/>
        <w:snapToGrid/>
        <w:spacing w:line="336" w:lineRule="auto"/>
        <w:ind w:firstLine="437"/>
        <w:textAlignment w:val="auto"/>
        <w:outlineLvl w:val="1"/>
        <w:rPr>
          <w:rFonts w:hint="eastAsia" w:ascii="宋体" w:hAnsi="宋体" w:eastAsia="宋体"/>
          <w:b/>
          <w:bCs/>
          <w:color w:val="auto"/>
          <w:sz w:val="24"/>
          <w:szCs w:val="18"/>
          <w:highlight w:val="none"/>
          <w:lang w:val="en-US" w:eastAsia="zh-CN"/>
        </w:rPr>
      </w:pPr>
      <w:r>
        <w:rPr>
          <w:rFonts w:hint="eastAsia"/>
          <w:b/>
          <w:bCs/>
          <w:color w:val="auto"/>
          <w:sz w:val="24"/>
          <w:szCs w:val="18"/>
          <w:highlight w:val="none"/>
          <w:lang w:val="en-US" w:eastAsia="zh-CN"/>
        </w:rPr>
        <w:t>八</w:t>
      </w:r>
      <w:r>
        <w:rPr>
          <w:rFonts w:hint="eastAsia" w:ascii="宋体" w:hAnsi="宋体" w:eastAsia="宋体"/>
          <w:b/>
          <w:bCs/>
          <w:color w:val="auto"/>
          <w:sz w:val="24"/>
          <w:szCs w:val="18"/>
          <w:highlight w:val="none"/>
        </w:rPr>
        <w:t>、其他补充事宜</w:t>
      </w:r>
    </w:p>
    <w:p w14:paraId="7E70CFA0">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1.本项目只接受在安徽省公共资源交易市场主体库（http://ggzy.ah.gov.cn/ahggfwpt-zhutiku/dengludenglu）登记并进行信息确认提交的供应商参与，未登记的供应商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 ；2.CA数字证书有关问题：安徽CA客服</w:t>
      </w:r>
      <w:r>
        <w:rPr>
          <w:rFonts w:hint="eastAsia"/>
          <w:color w:val="auto"/>
          <w:sz w:val="24"/>
          <w:szCs w:val="18"/>
          <w:highlight w:val="none"/>
          <w:lang w:eastAsia="zh-CN"/>
        </w:rPr>
        <w:t>400-615-8899</w:t>
      </w:r>
      <w:r>
        <w:rPr>
          <w:rFonts w:hint="eastAsia" w:ascii="宋体" w:hAnsi="宋体" w:eastAsia="宋体"/>
          <w:color w:val="auto"/>
          <w:sz w:val="24"/>
          <w:szCs w:val="18"/>
          <w:highlight w:val="none"/>
        </w:rPr>
        <w:t>、0550-3019013（工作日），CFCA客服025-66085508 、0550-3801669（工作日）；3.市场主体招标环节和投标环节系统使用问题：0512-581885160（8：00-21：00）、0550-3801701（工作日）。因未及时通过CA数字证书登录省主体库对相关信息进行补充完善并确认提交，导致无法参与本项目的，责任自负。为保证系统使用过程中产生的问题能够及时得到解决，请各主体进行主体信息登记、更新、响应文件制作等相关操作。</w:t>
      </w:r>
    </w:p>
    <w:p w14:paraId="1EE46975">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2.请供应商登录滁州市公共资源交易中心网站查看参加本项目的程序。（具体操作步骤和程序请参见服务指南&gt;交易须知&gt;投标人填写投标信息、下载文件及网上提问操作手册）。</w:t>
      </w:r>
    </w:p>
    <w:p w14:paraId="2A0AC51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本项目采用不见面（远程解密)方式，开启时供应商无须至现场进行解密，采取远程解密方式解密响应文件，解密方式为：供应商在开启时间前使用CA数字证书登录滁州市“不见面开标系统”，网址为https://ggzy.chuzhou.gov.cn/BidOpening,等待开启并按系统提示进行相应的供应商解密等事项，无需到现场。采用本方式可以观看开启现场音视频直播并进行互动交流。具体操作方法见中心网站&gt;服务指南&gt;交易须知中的《滁州市不见面开标系统操作手册》。</w:t>
      </w:r>
    </w:p>
    <w:p w14:paraId="12A4CA3F">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4.供应商接到远程解密指令后，须在规定时间内解密。因供应商自身原因导致响应文件在规定时间内未能解密、解密失败或解密超时，响应文件无效；因采购代理机构原因或网上平台发生故障，导致无法按时完成响应文件解密的，经采购代理机构申请后可延迟解密时间</w:t>
      </w:r>
      <w:r>
        <w:rPr>
          <w:rFonts w:hint="eastAsia" w:ascii="宋体" w:hAnsi="宋体" w:eastAsia="宋体"/>
          <w:color w:val="auto"/>
          <w:sz w:val="24"/>
          <w:szCs w:val="18"/>
          <w:highlight w:val="none"/>
          <w:lang w:eastAsia="zh-CN"/>
        </w:rPr>
        <w:t>。</w:t>
      </w:r>
    </w:p>
    <w:bookmarkEnd w:id="5"/>
    <w:p w14:paraId="00AE0BD6">
      <w:pPr>
        <w:keepNext w:val="0"/>
        <w:keepLines w:val="0"/>
        <w:pageBreakBefore w:val="0"/>
        <w:widowControl w:val="0"/>
        <w:kinsoku/>
        <w:overflowPunct/>
        <w:topLinePunct w:val="0"/>
        <w:autoSpaceDE/>
        <w:autoSpaceDN/>
        <w:bidi w:val="0"/>
        <w:adjustRightInd/>
        <w:snapToGrid/>
        <w:spacing w:line="336" w:lineRule="auto"/>
        <w:ind w:firstLine="437"/>
        <w:textAlignment w:val="auto"/>
        <w:outlineLvl w:val="1"/>
        <w:rPr>
          <w:rFonts w:hint="eastAsia" w:ascii="宋体" w:hAnsi="宋体" w:eastAsia="宋体"/>
          <w:b/>
          <w:bCs/>
          <w:color w:val="auto"/>
          <w:sz w:val="24"/>
          <w:szCs w:val="18"/>
          <w:highlight w:val="none"/>
        </w:rPr>
      </w:pPr>
      <w:bookmarkStart w:id="33" w:name="_Toc7265"/>
      <w:bookmarkStart w:id="34" w:name="_Toc3854"/>
      <w:r>
        <w:rPr>
          <w:rFonts w:hint="eastAsia"/>
          <w:b/>
          <w:bCs/>
          <w:color w:val="auto"/>
          <w:sz w:val="24"/>
          <w:szCs w:val="18"/>
          <w:highlight w:val="none"/>
          <w:lang w:val="en-US" w:eastAsia="zh-CN"/>
        </w:rPr>
        <w:t>九</w:t>
      </w:r>
      <w:r>
        <w:rPr>
          <w:rFonts w:hint="eastAsia" w:ascii="宋体" w:hAnsi="宋体" w:eastAsia="宋体"/>
          <w:b/>
          <w:bCs/>
          <w:color w:val="auto"/>
          <w:sz w:val="24"/>
          <w:szCs w:val="18"/>
          <w:highlight w:val="none"/>
        </w:rPr>
        <w:t>、</w:t>
      </w:r>
      <w:bookmarkEnd w:id="33"/>
      <w:r>
        <w:rPr>
          <w:rFonts w:hint="eastAsia" w:ascii="宋体" w:hAnsi="宋体" w:eastAsia="宋体"/>
          <w:b/>
          <w:bCs/>
          <w:color w:val="auto"/>
          <w:sz w:val="24"/>
          <w:szCs w:val="18"/>
          <w:highlight w:val="none"/>
        </w:rPr>
        <w:t>对本次招标提出询问，请按以下方式联系</w:t>
      </w:r>
      <w:bookmarkEnd w:id="34"/>
    </w:p>
    <w:p w14:paraId="7BF55A7C">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656412A5">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hint="eastAsia"/>
          <w:color w:val="auto"/>
          <w:sz w:val="24"/>
          <w:szCs w:val="18"/>
          <w:highlight w:val="none"/>
          <w:u w:val="single"/>
          <w:lang w:eastAsia="zh-CN"/>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color w:val="auto"/>
          <w:sz w:val="24"/>
          <w:szCs w:val="18"/>
          <w:highlight w:val="none"/>
          <w:u w:val="single"/>
          <w:lang w:eastAsia="zh-CN"/>
        </w:rPr>
        <w:t xml:space="preserve">滁州市园林景观管理中心 </w:t>
      </w:r>
    </w:p>
    <w:p w14:paraId="270DD523">
      <w:pPr>
        <w:tabs>
          <w:tab w:val="left" w:pos="1600"/>
        </w:tabs>
        <w:wordWrap w:val="0"/>
        <w:autoSpaceDE w:val="0"/>
        <w:ind w:firstLine="480" w:firstLineChars="200"/>
        <w:rPr>
          <w:rFonts w:hint="eastAsia"/>
          <w:color w:val="auto"/>
          <w:sz w:val="24"/>
          <w:szCs w:val="18"/>
          <w:highlight w:val="none"/>
          <w:u w:val="single"/>
          <w:lang w:val="en-US" w:eastAsia="zh-CN"/>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color w:val="auto"/>
          <w:sz w:val="24"/>
          <w:szCs w:val="18"/>
          <w:highlight w:val="none"/>
          <w:u w:val="single"/>
          <w:lang w:val="en-US" w:eastAsia="zh-CN"/>
        </w:rPr>
        <w:t>滁州市花园西路81号林业大厦8楼</w:t>
      </w:r>
    </w:p>
    <w:p w14:paraId="0D4E1959">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color w:val="auto"/>
          <w:sz w:val="24"/>
          <w:szCs w:val="18"/>
          <w:highlight w:val="none"/>
          <w:u w:val="single"/>
          <w:lang w:eastAsia="zh-CN"/>
        </w:rPr>
        <w:t>曾建博</w:t>
      </w:r>
    </w:p>
    <w:p w14:paraId="74048A0C">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color w:val="auto"/>
          <w:sz w:val="24"/>
          <w:szCs w:val="18"/>
          <w:highlight w:val="none"/>
          <w:u w:val="single"/>
          <w:lang w:eastAsia="zh-CN"/>
        </w:rPr>
        <w:t xml:space="preserve">0550-3010861 </w:t>
      </w:r>
    </w:p>
    <w:p w14:paraId="5AEF0CB7">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lang w:val="en-US" w:eastAsia="zh-CN"/>
        </w:rPr>
        <w:t>信息</w:t>
      </w:r>
    </w:p>
    <w:p w14:paraId="7A064540">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滁州市城投工程咨询管理有限公司</w:t>
      </w:r>
      <w:r>
        <w:rPr>
          <w:rFonts w:ascii="宋体" w:hAnsi="宋体" w:eastAsia="宋体"/>
          <w:color w:val="auto"/>
          <w:sz w:val="24"/>
          <w:szCs w:val="18"/>
          <w:highlight w:val="none"/>
          <w:u w:val="single"/>
        </w:rPr>
        <w:t xml:space="preserve">  </w:t>
      </w:r>
    </w:p>
    <w:p w14:paraId="228042B7">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lang w:eastAsia="zh-CN"/>
        </w:rPr>
        <w:t>滁州市龙蟠大道109号房产商务大厦6楼</w:t>
      </w:r>
      <w:r>
        <w:rPr>
          <w:rFonts w:ascii="宋体" w:hAnsi="宋体" w:eastAsia="宋体"/>
          <w:color w:val="auto"/>
          <w:sz w:val="24"/>
          <w:szCs w:val="18"/>
          <w:highlight w:val="none"/>
          <w:u w:val="single"/>
        </w:rPr>
        <w:t xml:space="preserve">  </w:t>
      </w:r>
    </w:p>
    <w:p w14:paraId="11795999">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color w:val="auto"/>
          <w:highlight w:val="none"/>
        </w:rPr>
      </w:pPr>
      <w:r>
        <w:rPr>
          <w:rFonts w:hint="eastAsia" w:ascii="宋体" w:hAnsi="宋体" w:eastAsia="宋体"/>
          <w:color w:val="auto"/>
          <w:sz w:val="24"/>
          <w:szCs w:val="18"/>
          <w:highlight w:val="none"/>
          <w:lang w:val="en-US" w:eastAsia="zh-CN"/>
        </w:rPr>
        <w:t>联系人：</w:t>
      </w:r>
      <w:r>
        <w:rPr>
          <w:rFonts w:hint="eastAsia"/>
          <w:color w:val="auto"/>
          <w:sz w:val="24"/>
          <w:szCs w:val="18"/>
          <w:highlight w:val="none"/>
          <w:u w:val="single"/>
          <w:lang w:val="en-US" w:eastAsia="zh-CN"/>
        </w:rPr>
        <w:t>曹思敏</w:t>
      </w:r>
      <w:r>
        <w:rPr>
          <w:rFonts w:ascii="宋体" w:hAnsi="宋体" w:eastAsia="宋体"/>
          <w:color w:val="auto"/>
          <w:sz w:val="24"/>
          <w:szCs w:val="18"/>
          <w:highlight w:val="none"/>
          <w:u w:val="single"/>
        </w:rPr>
        <w:t xml:space="preserve"> </w:t>
      </w:r>
    </w:p>
    <w:p w14:paraId="792A8BE1">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color w:val="auto"/>
          <w:sz w:val="24"/>
          <w:szCs w:val="18"/>
          <w:highlight w:val="none"/>
          <w:u w:val="single"/>
          <w:lang w:eastAsia="zh-CN"/>
        </w:rPr>
        <w:t xml:space="preserve">0550-3519516、18712012204 </w:t>
      </w:r>
      <w:r>
        <w:rPr>
          <w:rFonts w:ascii="宋体" w:hAnsi="宋体" w:eastAsia="宋体"/>
          <w:color w:val="auto"/>
          <w:sz w:val="24"/>
          <w:szCs w:val="18"/>
          <w:highlight w:val="none"/>
          <w:u w:val="single"/>
        </w:rPr>
        <w:t xml:space="preserve">  </w:t>
      </w:r>
    </w:p>
    <w:p w14:paraId="2252864C">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b/>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w:t>
      </w:r>
      <w:r>
        <w:rPr>
          <w:rFonts w:hint="eastAsia" w:ascii="宋体" w:hAnsi="宋体" w:eastAsia="宋体"/>
          <w:color w:val="auto"/>
          <w:sz w:val="24"/>
          <w:szCs w:val="18"/>
          <w:highlight w:val="none"/>
          <w:lang w:val="en-US" w:eastAsia="zh-CN"/>
        </w:rPr>
        <w:t>信息</w:t>
      </w:r>
    </w:p>
    <w:bookmarkEnd w:id="3"/>
    <w:bookmarkEnd w:id="4"/>
    <w:p w14:paraId="71649EF5">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w:t>
      </w:r>
      <w:r>
        <w:rPr>
          <w:rFonts w:hint="eastAsia" w:ascii="宋体" w:hAnsi="宋体" w:eastAsia="宋体" w:cs="宋体"/>
          <w:color w:val="auto"/>
          <w:sz w:val="24"/>
          <w:szCs w:val="24"/>
          <w:highlight w:val="none"/>
          <w:u w:val="single"/>
          <w:lang w:val="en-US" w:eastAsia="zh-CN"/>
        </w:rPr>
        <w:t>滁州市公共资源交易监督管理局</w:t>
      </w:r>
    </w:p>
    <w:p w14:paraId="26F6E74F">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u w:val="single"/>
          <w:lang w:val="en-US" w:eastAsia="zh-CN"/>
        </w:rPr>
        <w:t>滁州市龙蟠大道109号房产大厦3楼</w:t>
      </w:r>
    </w:p>
    <w:p w14:paraId="02B96EC4">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outlineLvl w:val="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w:t>
      </w:r>
      <w:r>
        <w:rPr>
          <w:rFonts w:hint="eastAsia" w:ascii="宋体" w:hAnsi="宋体" w:eastAsia="宋体" w:cs="宋体"/>
          <w:color w:val="auto"/>
          <w:sz w:val="24"/>
          <w:szCs w:val="24"/>
          <w:highlight w:val="none"/>
          <w:u w:val="single"/>
          <w:lang w:val="en-US" w:eastAsia="zh-CN"/>
        </w:rPr>
        <w:t>0550-3801656</w:t>
      </w:r>
    </w:p>
    <w:p w14:paraId="7856624A">
      <w:pPr>
        <w:spacing w:line="360" w:lineRule="auto"/>
        <w:jc w:val="center"/>
        <w:outlineLvl w:val="0"/>
        <w:rPr>
          <w:rFonts w:hint="eastAsia" w:asciiTheme="minorEastAsia" w:hAnsiTheme="minorEastAsia" w:eastAsiaTheme="minorEastAsia"/>
          <w:b/>
          <w:color w:val="auto"/>
          <w:sz w:val="28"/>
          <w:highlight w:val="none"/>
        </w:rPr>
      </w:pPr>
    </w:p>
    <w:p w14:paraId="121AA89E">
      <w:pPr>
        <w:spacing w:line="360" w:lineRule="auto"/>
        <w:jc w:val="center"/>
        <w:outlineLvl w:val="0"/>
        <w:rPr>
          <w:rFonts w:hint="eastAsia" w:asciiTheme="minorEastAsia" w:hAnsiTheme="minorEastAsia" w:eastAsiaTheme="minorEastAsia"/>
          <w:b/>
          <w:color w:val="auto"/>
          <w:sz w:val="28"/>
          <w:highlight w:val="none"/>
        </w:rPr>
      </w:pPr>
    </w:p>
    <w:p w14:paraId="7C411590">
      <w:pPr>
        <w:spacing w:line="360" w:lineRule="auto"/>
        <w:jc w:val="both"/>
        <w:outlineLvl w:val="0"/>
        <w:rPr>
          <w:rFonts w:hint="eastAsia" w:asciiTheme="minorEastAsia" w:hAnsiTheme="minorEastAsia" w:eastAsiaTheme="minorEastAsia"/>
          <w:b/>
          <w:color w:val="auto"/>
          <w:sz w:val="28"/>
          <w:highlight w:val="none"/>
        </w:rPr>
      </w:pPr>
    </w:p>
    <w:p w14:paraId="0ADAE945">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
    </w:p>
    <w:p w14:paraId="6A6555EE">
      <w:pPr>
        <w:spacing w:line="360" w:lineRule="auto"/>
        <w:jc w:val="center"/>
        <w:outlineLvl w:val="1"/>
        <w:rPr>
          <w:rFonts w:asciiTheme="minorEastAsia" w:hAnsiTheme="minorEastAsia" w:eastAsiaTheme="minorEastAsia"/>
          <w:b/>
          <w:color w:val="auto"/>
          <w:sz w:val="24"/>
          <w:highlight w:val="none"/>
        </w:rPr>
      </w:pPr>
      <w:bookmarkStart w:id="35" w:name="_Toc14562"/>
      <w:bookmarkStart w:id="36" w:name="_Toc8634"/>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35"/>
      <w:bookmarkEnd w:id="36"/>
    </w:p>
    <w:p w14:paraId="116407B0">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6"/>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711"/>
        <w:gridCol w:w="6229"/>
      </w:tblGrid>
      <w:tr w14:paraId="0109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9C7EBDE">
            <w:pPr>
              <w:pStyle w:val="7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977" w:type="pct"/>
            <w:vAlign w:val="center"/>
          </w:tcPr>
          <w:p w14:paraId="0C91C4C0">
            <w:pPr>
              <w:pStyle w:val="7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56" w:type="pct"/>
            <w:vAlign w:val="center"/>
          </w:tcPr>
          <w:p w14:paraId="3F211920">
            <w:pPr>
              <w:pStyle w:val="7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463C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748A085E">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lang w:val="en-US" w:eastAsia="zh-CN"/>
              </w:rPr>
              <w:t>5</w:t>
            </w:r>
            <w:r>
              <w:rPr>
                <w:bCs/>
                <w:color w:val="auto"/>
                <w:kern w:val="2"/>
                <w:highlight w:val="none"/>
              </w:rPr>
              <w:t>.</w:t>
            </w:r>
            <w:r>
              <w:rPr>
                <w:rFonts w:hint="eastAsia"/>
                <w:bCs/>
                <w:color w:val="auto"/>
                <w:kern w:val="2"/>
                <w:highlight w:val="none"/>
                <w:lang w:val="en-US" w:eastAsia="zh-CN"/>
              </w:rPr>
              <w:t>2</w:t>
            </w:r>
          </w:p>
        </w:tc>
        <w:tc>
          <w:tcPr>
            <w:tcW w:w="977" w:type="pct"/>
            <w:vAlign w:val="center"/>
          </w:tcPr>
          <w:p w14:paraId="51F58959">
            <w:pPr>
              <w:pStyle w:val="77"/>
              <w:widowControl w:val="0"/>
              <w:spacing w:before="0" w:beforeAutospacing="0" w:after="0" w:afterAutospacing="0" w:line="360" w:lineRule="auto"/>
              <w:jc w:val="left"/>
              <w:rPr>
                <w:b w:val="0"/>
                <w:color w:val="auto"/>
                <w:sz w:val="24"/>
                <w:highlight w:val="none"/>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556" w:type="pct"/>
            <w:vAlign w:val="center"/>
          </w:tcPr>
          <w:p w14:paraId="62339049">
            <w:pPr>
              <w:spacing w:line="360" w:lineRule="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67B60B1B">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p>
          <w:p w14:paraId="3A37BD62">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bCs/>
                <w:color w:val="auto"/>
                <w:sz w:val="24"/>
                <w:highlight w:val="none"/>
                <w:u w:val="single"/>
                <w:lang w:val="en-US" w:eastAsia="zh-CN"/>
              </w:rPr>
              <w:t>/</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bCs/>
                <w:color w:val="auto"/>
                <w:sz w:val="24"/>
                <w:highlight w:val="none"/>
                <w:u w:val="single"/>
                <w:lang w:val="en-US" w:eastAsia="zh-CN"/>
              </w:rPr>
              <w:t>/</w:t>
            </w:r>
            <w:r>
              <w:rPr>
                <w:rFonts w:hint="eastAsia" w:ascii="宋体" w:hAnsi="宋体" w:eastAsia="宋体"/>
                <w:bCs/>
                <w:color w:val="auto"/>
                <w:sz w:val="24"/>
                <w:highlight w:val="none"/>
              </w:rPr>
              <w:t>日</w:t>
            </w:r>
            <w:r>
              <w:rPr>
                <w:rFonts w:hint="eastAsia"/>
                <w:bCs/>
                <w:color w:val="auto"/>
                <w:sz w:val="24"/>
                <w:highlight w:val="none"/>
                <w:u w:val="single"/>
                <w:lang w:val="en-US" w:eastAsia="zh-CN"/>
              </w:rPr>
              <w:t>/</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bCs/>
                <w:color w:val="auto"/>
                <w:sz w:val="24"/>
                <w:highlight w:val="none"/>
                <w:u w:val="single"/>
                <w:lang w:val="en-US" w:eastAsia="zh-CN"/>
              </w:rPr>
              <w:t>/</w:t>
            </w:r>
            <w:r>
              <w:rPr>
                <w:rFonts w:hint="eastAsia" w:ascii="宋体" w:hAnsi="宋体" w:eastAsia="宋体"/>
                <w:bCs/>
                <w:color w:val="auto"/>
                <w:sz w:val="24"/>
                <w:highlight w:val="none"/>
              </w:rPr>
              <w:t>分</w:t>
            </w:r>
          </w:p>
          <w:p w14:paraId="3C9EDCAB">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hint="eastAsia"/>
                <w:bCs/>
                <w:color w:val="auto"/>
                <w:sz w:val="24"/>
                <w:highlight w:val="none"/>
                <w:u w:val="single"/>
                <w:lang w:val="en-US" w:eastAsia="zh-CN"/>
              </w:rPr>
              <w:t>/</w:t>
            </w:r>
            <w:r>
              <w:rPr>
                <w:rFonts w:ascii="宋体" w:hAnsi="宋体" w:eastAsia="宋体"/>
                <w:bCs/>
                <w:color w:val="auto"/>
                <w:sz w:val="24"/>
                <w:highlight w:val="none"/>
                <w:u w:val="single"/>
              </w:rPr>
              <w:t xml:space="preserve">   </w:t>
            </w:r>
          </w:p>
          <w:p w14:paraId="7D36AA96">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hint="eastAsia"/>
                <w:bCs/>
                <w:color w:val="auto"/>
                <w:sz w:val="24"/>
                <w:highlight w:val="none"/>
                <w:u w:val="single"/>
                <w:lang w:val="en-US" w:eastAsia="zh-CN"/>
              </w:rPr>
              <w:t>/</w:t>
            </w:r>
            <w:r>
              <w:rPr>
                <w:rFonts w:ascii="宋体" w:hAnsi="宋体" w:eastAsia="宋体"/>
                <w:bCs/>
                <w:color w:val="auto"/>
                <w:sz w:val="24"/>
                <w:highlight w:val="none"/>
                <w:u w:val="single"/>
              </w:rPr>
              <w:t xml:space="preserve">  </w:t>
            </w:r>
          </w:p>
          <w:p w14:paraId="71A7C695">
            <w:pPr>
              <w:pStyle w:val="77"/>
              <w:widowControl w:val="0"/>
              <w:spacing w:before="0" w:beforeAutospacing="0" w:after="0" w:afterAutospacing="0" w:line="360" w:lineRule="auto"/>
              <w:jc w:val="both"/>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如供应商未参加采购人统一组织的现场考察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，由此引起的一切责任由供应商自行承担。</w:t>
            </w:r>
          </w:p>
        </w:tc>
      </w:tr>
      <w:tr w14:paraId="1143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06FDED0">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977" w:type="pct"/>
            <w:vAlign w:val="center"/>
          </w:tcPr>
          <w:p w14:paraId="59C3BDCB">
            <w:pPr>
              <w:pStyle w:val="7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3556" w:type="pct"/>
            <w:vAlign w:val="center"/>
          </w:tcPr>
          <w:p w14:paraId="30BC76A3">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2026年9月15日17</w:t>
            </w:r>
            <w:r>
              <w:rPr>
                <w:b w:val="0"/>
                <w:color w:val="auto"/>
                <w:sz w:val="24"/>
                <w:highlight w:val="none"/>
              </w:rPr>
              <w:t>时</w:t>
            </w:r>
            <w:r>
              <w:rPr>
                <w:rFonts w:hint="eastAsia"/>
                <w:b w:val="0"/>
                <w:color w:val="auto"/>
                <w:sz w:val="24"/>
                <w:highlight w:val="none"/>
                <w:u w:val="single"/>
                <w:lang w:val="en-US" w:eastAsia="zh-CN"/>
              </w:rPr>
              <w:t>30</w:t>
            </w:r>
            <w:r>
              <w:rPr>
                <w:rFonts w:hint="eastAsia"/>
                <w:b w:val="0"/>
                <w:color w:val="auto"/>
                <w:sz w:val="24"/>
                <w:highlight w:val="none"/>
                <w:lang w:val="en-US" w:eastAsia="zh-CN"/>
              </w:rPr>
              <w:t>分</w:t>
            </w:r>
          </w:p>
        </w:tc>
      </w:tr>
      <w:tr w14:paraId="0AC9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65" w:type="pct"/>
            <w:vAlign w:val="center"/>
          </w:tcPr>
          <w:p w14:paraId="427C2F75">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977" w:type="pct"/>
            <w:vAlign w:val="center"/>
          </w:tcPr>
          <w:p w14:paraId="5EDA745A">
            <w:pPr>
              <w:pStyle w:val="7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包别划分</w:t>
            </w:r>
          </w:p>
        </w:tc>
        <w:tc>
          <w:tcPr>
            <w:tcW w:w="3556" w:type="pct"/>
            <w:vAlign w:val="center"/>
          </w:tcPr>
          <w:p w14:paraId="20D81A6D">
            <w:pPr>
              <w:pStyle w:val="7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lang w:eastAsia="zh-CN"/>
              </w:rPr>
              <w:t>☑</w:t>
            </w:r>
            <w:r>
              <w:rPr>
                <w:b w:val="0"/>
                <w:color w:val="auto"/>
                <w:sz w:val="24"/>
                <w:highlight w:val="none"/>
              </w:rPr>
              <w:t>不分包     □分为  个包</w:t>
            </w:r>
          </w:p>
          <w:p w14:paraId="5D3718AB">
            <w:pPr>
              <w:pStyle w:val="7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rPr>
              <w:t>供应商参加多个包谈判的成交</w:t>
            </w:r>
            <w:r>
              <w:rPr>
                <w:b w:val="0"/>
                <w:bCs w:val="0"/>
                <w:color w:val="auto"/>
                <w:sz w:val="24"/>
                <w:szCs w:val="24"/>
                <w:highlight w:val="none"/>
              </w:rPr>
              <w:t>包</w:t>
            </w:r>
            <w:r>
              <w:rPr>
                <w:rFonts w:hint="eastAsia"/>
                <w:b w:val="0"/>
                <w:bCs w:val="0"/>
                <w:color w:val="auto"/>
                <w:sz w:val="24"/>
                <w:szCs w:val="24"/>
                <w:highlight w:val="none"/>
              </w:rPr>
              <w:t>数规定：</w:t>
            </w:r>
            <w:r>
              <w:rPr>
                <w:rFonts w:hint="eastAsia"/>
                <w:b w:val="0"/>
                <w:bCs w:val="0"/>
                <w:color w:val="auto"/>
                <w:sz w:val="24"/>
                <w:szCs w:val="18"/>
                <w:highlight w:val="none"/>
                <w:u w:val="single"/>
              </w:rPr>
              <w:t xml:space="preserve"> </w:t>
            </w:r>
            <w:r>
              <w:rPr>
                <w:b w:val="0"/>
                <w:bCs w:val="0"/>
                <w:color w:val="auto"/>
                <w:sz w:val="24"/>
                <w:szCs w:val="18"/>
                <w:highlight w:val="none"/>
                <w:u w:val="single"/>
              </w:rPr>
              <w:t xml:space="preserve">     </w:t>
            </w:r>
            <w:r>
              <w:rPr>
                <w:rFonts w:hint="eastAsia"/>
                <w:b w:val="0"/>
                <w:bCs w:val="0"/>
                <w:color w:val="auto"/>
                <w:sz w:val="24"/>
                <w:szCs w:val="18"/>
                <w:highlight w:val="none"/>
                <w:u w:val="single"/>
                <w:lang w:val="en-US" w:eastAsia="zh-CN"/>
              </w:rPr>
              <w:t>/</w:t>
            </w:r>
            <w:r>
              <w:rPr>
                <w:b w:val="0"/>
                <w:bCs w:val="0"/>
                <w:color w:val="auto"/>
                <w:sz w:val="24"/>
                <w:szCs w:val="18"/>
                <w:highlight w:val="none"/>
                <w:u w:val="single"/>
              </w:rPr>
              <w:t xml:space="preserve">        </w:t>
            </w:r>
          </w:p>
        </w:tc>
      </w:tr>
      <w:tr w14:paraId="51CE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65" w:type="pct"/>
            <w:vAlign w:val="center"/>
          </w:tcPr>
          <w:p w14:paraId="6E2106DC">
            <w:pPr>
              <w:pStyle w:val="7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977" w:type="pct"/>
            <w:vAlign w:val="center"/>
          </w:tcPr>
          <w:p w14:paraId="1D8125DE">
            <w:pPr>
              <w:pStyle w:val="7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谈判保证金</w:t>
            </w:r>
          </w:p>
        </w:tc>
        <w:tc>
          <w:tcPr>
            <w:tcW w:w="3556" w:type="pct"/>
            <w:vAlign w:val="center"/>
          </w:tcPr>
          <w:p w14:paraId="4D82D9E0">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3AB0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2749B2B8">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977" w:type="pct"/>
            <w:vAlign w:val="center"/>
          </w:tcPr>
          <w:p w14:paraId="7B17347E">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谈判有效期</w:t>
            </w:r>
          </w:p>
        </w:tc>
        <w:tc>
          <w:tcPr>
            <w:tcW w:w="3556" w:type="pct"/>
            <w:vAlign w:val="center"/>
          </w:tcPr>
          <w:p w14:paraId="3FD54C4C">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rPr>
              <w:t xml:space="preserve"> </w:t>
            </w:r>
            <w:r>
              <w:rPr>
                <w:rFonts w:hint="eastAsia"/>
                <w:b w:val="0"/>
                <w:color w:val="auto"/>
                <w:sz w:val="24"/>
                <w:highlight w:val="none"/>
                <w:u w:val="single"/>
                <w:lang w:val="en-US" w:eastAsia="zh-CN"/>
              </w:rPr>
              <w:t>90</w:t>
            </w:r>
            <w:r>
              <w:rPr>
                <w:rFonts w:hint="eastAsia"/>
                <w:b w:val="0"/>
                <w:color w:val="auto"/>
                <w:sz w:val="24"/>
                <w:highlight w:val="none"/>
                <w:u w:val="single"/>
              </w:rPr>
              <w:t xml:space="preserve"> </w:t>
            </w:r>
            <w:r>
              <w:rPr>
                <w:rFonts w:hint="eastAsia"/>
                <w:b w:val="0"/>
                <w:color w:val="auto"/>
                <w:sz w:val="24"/>
                <w:highlight w:val="none"/>
              </w:rPr>
              <w:t>日历日</w:t>
            </w:r>
          </w:p>
        </w:tc>
      </w:tr>
      <w:tr w14:paraId="5F9C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16B802A">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977" w:type="pct"/>
            <w:vAlign w:val="center"/>
          </w:tcPr>
          <w:p w14:paraId="60F56268">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3556" w:type="pct"/>
            <w:vAlign w:val="center"/>
          </w:tcPr>
          <w:p w14:paraId="4296DC7F">
            <w:pPr>
              <w:pStyle w:val="77"/>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single"/>
                <w:lang w:val="en-US" w:eastAsia="zh-CN"/>
              </w:rPr>
              <w:t xml:space="preserve"> 60 </w:t>
            </w:r>
            <w:r>
              <w:rPr>
                <w:rFonts w:hint="eastAsia"/>
                <w:b w:val="0"/>
                <w:color w:val="auto"/>
                <w:sz w:val="24"/>
                <w:highlight w:val="none"/>
                <w:u w:val="none"/>
              </w:rPr>
              <w:t>分钟内</w:t>
            </w:r>
          </w:p>
        </w:tc>
      </w:tr>
      <w:tr w14:paraId="59DB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AC551F2">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977" w:type="pct"/>
            <w:vAlign w:val="center"/>
          </w:tcPr>
          <w:p w14:paraId="0EC5B27F">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3556" w:type="pct"/>
            <w:vAlign w:val="center"/>
          </w:tcPr>
          <w:p w14:paraId="70099C8F">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最低评标价法</w:t>
            </w:r>
          </w:p>
        </w:tc>
      </w:tr>
      <w:tr w14:paraId="7601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142DF76">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977" w:type="pct"/>
            <w:vAlign w:val="center"/>
          </w:tcPr>
          <w:p w14:paraId="79AEAA74">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最后报价扣除</w:t>
            </w:r>
          </w:p>
          <w:p w14:paraId="53283B8B">
            <w:pPr>
              <w:pStyle w:val="77"/>
              <w:widowControl w:val="0"/>
              <w:spacing w:before="0" w:beforeAutospacing="0" w:after="0" w:afterAutospacing="0" w:line="360" w:lineRule="auto"/>
              <w:jc w:val="both"/>
              <w:rPr>
                <w:b w:val="0"/>
                <w:color w:val="auto"/>
                <w:sz w:val="24"/>
                <w:highlight w:val="none"/>
              </w:rPr>
            </w:pPr>
            <w:r>
              <w:rPr>
                <w:rFonts w:hint="eastAsia"/>
                <w:b w:val="0"/>
                <w:i/>
                <w:color w:val="auto"/>
                <w:sz w:val="24"/>
                <w:highlight w:val="none"/>
              </w:rPr>
              <w:t>（非专门面向中小企业采购项目适用）</w:t>
            </w:r>
          </w:p>
        </w:tc>
        <w:tc>
          <w:tcPr>
            <w:tcW w:w="3556" w:type="pct"/>
            <w:vAlign w:val="center"/>
          </w:tcPr>
          <w:p w14:paraId="02933765">
            <w:pPr>
              <w:pStyle w:val="7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65321CC1">
            <w:pPr>
              <w:pStyle w:val="7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single"/>
              </w:rPr>
              <w:t>同</w:t>
            </w:r>
            <w:r>
              <w:rPr>
                <w:rFonts w:ascii="宋体" w:hAnsi="宋体" w:eastAsia="宋体"/>
                <w:b w:val="0"/>
                <w:color w:val="auto"/>
                <w:sz w:val="24"/>
                <w:highlight w:val="none"/>
                <w:u w:val="single"/>
              </w:rPr>
              <w:t>小型和微型企业</w:t>
            </w:r>
            <w:r>
              <w:rPr>
                <w:rFonts w:hint="eastAsia" w:ascii="宋体" w:hAnsi="宋体" w:eastAsia="宋体"/>
                <w:b w:val="0"/>
                <w:color w:val="auto"/>
                <w:sz w:val="24"/>
                <w:highlight w:val="none"/>
              </w:rPr>
              <w:t>。</w:t>
            </w:r>
          </w:p>
          <w:p w14:paraId="67AE0551">
            <w:pPr>
              <w:pStyle w:val="7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single"/>
              </w:rPr>
              <w:t>同</w:t>
            </w:r>
            <w:r>
              <w:rPr>
                <w:rFonts w:ascii="宋体" w:hAnsi="宋体" w:eastAsia="宋体"/>
                <w:b w:val="0"/>
                <w:color w:val="auto"/>
                <w:sz w:val="24"/>
                <w:highlight w:val="none"/>
                <w:u w:val="single"/>
              </w:rPr>
              <w:t>小型和微型企业</w:t>
            </w:r>
            <w:r>
              <w:rPr>
                <w:rFonts w:hint="eastAsia" w:ascii="宋体" w:hAnsi="宋体" w:eastAsia="宋体"/>
                <w:b w:val="0"/>
                <w:color w:val="auto"/>
                <w:sz w:val="24"/>
                <w:highlight w:val="none"/>
              </w:rPr>
              <w:t>。</w:t>
            </w:r>
          </w:p>
          <w:p w14:paraId="7647B7DF">
            <w:pPr>
              <w:pStyle w:val="7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4C5BC6DB">
            <w:pPr>
              <w:pStyle w:val="7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2827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Merge w:val="restart"/>
            <w:vAlign w:val="center"/>
          </w:tcPr>
          <w:p w14:paraId="22C7B357">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977" w:type="pct"/>
            <w:vMerge w:val="restart"/>
            <w:vAlign w:val="center"/>
          </w:tcPr>
          <w:p w14:paraId="7B3C0CC6">
            <w:pPr>
              <w:pStyle w:val="77"/>
              <w:widowControl w:val="0"/>
              <w:spacing w:before="0" w:beforeAutospacing="0" w:after="0" w:afterAutospacing="0" w:line="360" w:lineRule="auto"/>
              <w:jc w:val="both"/>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56" w:type="pct"/>
            <w:vAlign w:val="center"/>
          </w:tcPr>
          <w:p w14:paraId="5949D84F">
            <w:pPr>
              <w:pStyle w:val="77"/>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rPr>
              <w:t>谈判小组推荐成交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p>
        </w:tc>
      </w:tr>
      <w:tr w14:paraId="6D4B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Merge w:val="continue"/>
            <w:vAlign w:val="center"/>
          </w:tcPr>
          <w:p w14:paraId="53C43950">
            <w:pPr>
              <w:pStyle w:val="78"/>
              <w:pBdr>
                <w:bottom w:val="none" w:color="auto" w:sz="0" w:space="0"/>
              </w:pBdr>
              <w:tabs>
                <w:tab w:val="clear" w:pos="4153"/>
                <w:tab w:val="clear" w:pos="8306"/>
              </w:tabs>
              <w:adjustRightInd/>
              <w:spacing w:line="360" w:lineRule="auto"/>
              <w:textAlignment w:val="auto"/>
              <w:rPr>
                <w:bCs/>
                <w:color w:val="auto"/>
                <w:kern w:val="2"/>
                <w:highlight w:val="none"/>
              </w:rPr>
            </w:pPr>
          </w:p>
        </w:tc>
        <w:tc>
          <w:tcPr>
            <w:tcW w:w="977" w:type="pct"/>
            <w:vMerge w:val="continue"/>
            <w:vAlign w:val="center"/>
          </w:tcPr>
          <w:p w14:paraId="0BF9055B">
            <w:pPr>
              <w:pStyle w:val="77"/>
              <w:widowControl w:val="0"/>
              <w:spacing w:before="0" w:beforeAutospacing="0" w:after="0" w:afterAutospacing="0" w:line="360" w:lineRule="auto"/>
              <w:jc w:val="both"/>
              <w:rPr>
                <w:b w:val="0"/>
                <w:color w:val="auto"/>
                <w:sz w:val="24"/>
                <w:highlight w:val="none"/>
              </w:rPr>
            </w:pPr>
          </w:p>
        </w:tc>
        <w:tc>
          <w:tcPr>
            <w:tcW w:w="3556" w:type="pct"/>
            <w:vAlign w:val="center"/>
          </w:tcPr>
          <w:p w14:paraId="4A320CC9">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264631F0">
            <w:pPr>
              <w:pStyle w:val="77"/>
              <w:widowControl w:val="0"/>
              <w:spacing w:before="0" w:beforeAutospacing="0" w:after="0" w:afterAutospacing="0" w:line="360" w:lineRule="auto"/>
              <w:jc w:val="both"/>
              <w:rPr>
                <w:b w:val="0"/>
                <w:color w:val="auto"/>
                <w:sz w:val="24"/>
                <w:highlight w:val="none"/>
              </w:rPr>
            </w:pPr>
            <w:r>
              <w:rPr>
                <w:rFonts w:hint="eastAsia" w:asciiTheme="minorEastAsia" w:hAnsiTheme="minorEastAsia"/>
                <w:color w:val="auto"/>
                <w:sz w:val="24"/>
                <w:szCs w:val="24"/>
                <w:highlight w:val="none"/>
              </w:rPr>
              <w:sym w:font="Wingdings" w:char="00A8"/>
            </w:r>
            <w:r>
              <w:rPr>
                <w:rFonts w:hint="eastAsia"/>
                <w:b w:val="0"/>
                <w:color w:val="auto"/>
                <w:sz w:val="24"/>
                <w:highlight w:val="none"/>
              </w:rPr>
              <w:t xml:space="preserve">采购人委托谈判小组确定 </w:t>
            </w:r>
            <w:r>
              <w:rPr>
                <w:b w:val="0"/>
                <w:color w:val="auto"/>
                <w:sz w:val="24"/>
                <w:highlight w:val="none"/>
              </w:rPr>
              <w:t xml:space="preserve">   </w:t>
            </w:r>
            <w:r>
              <w:rPr>
                <w:rFonts w:hint="eastAsia"/>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采购人确定</w:t>
            </w:r>
          </w:p>
        </w:tc>
      </w:tr>
      <w:tr w14:paraId="44FC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06D5EA2">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977" w:type="pct"/>
            <w:vAlign w:val="center"/>
          </w:tcPr>
          <w:p w14:paraId="703AA66A">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随成交结果公告同时公告的内容</w:t>
            </w:r>
          </w:p>
        </w:tc>
        <w:tc>
          <w:tcPr>
            <w:tcW w:w="3556" w:type="pct"/>
            <w:vAlign w:val="center"/>
          </w:tcPr>
          <w:p w14:paraId="111F0179">
            <w:pPr>
              <w:pStyle w:val="77"/>
              <w:widowControl w:val="0"/>
              <w:numPr>
                <w:ilvl w:val="0"/>
                <w:numId w:val="2"/>
              </w:numPr>
              <w:spacing w:before="0" w:beforeAutospacing="0" w:after="0" w:afterAutospacing="0" w:line="360" w:lineRule="auto"/>
              <w:jc w:val="both"/>
              <w:rPr>
                <w:rFonts w:hint="eastAsia"/>
                <w:b w:val="0"/>
                <w:i/>
                <w:iCs/>
                <w:color w:val="auto"/>
                <w:sz w:val="24"/>
                <w:highlight w:val="none"/>
                <w:u w:val="none"/>
                <w:lang w:val="en-US" w:eastAsia="zh-CN"/>
              </w:rPr>
            </w:pPr>
            <w:r>
              <w:rPr>
                <w:rFonts w:hint="eastAsia" w:ascii="宋体" w:hAnsi="宋体" w:eastAsia="宋体"/>
                <w:b w:val="0"/>
                <w:color w:val="auto"/>
                <w:sz w:val="24"/>
                <w:highlight w:val="none"/>
                <w:u w:val="none"/>
              </w:rPr>
              <w:t>中小企业声明函；</w:t>
            </w:r>
            <w:r>
              <w:rPr>
                <w:rFonts w:hint="eastAsia"/>
                <w:b w:val="0"/>
                <w:i/>
                <w:iCs/>
                <w:color w:val="auto"/>
                <w:sz w:val="24"/>
                <w:highlight w:val="none"/>
                <w:u w:val="none"/>
                <w:lang w:val="en-US" w:eastAsia="zh-CN"/>
              </w:rPr>
              <w:t xml:space="preserve"> </w:t>
            </w:r>
          </w:p>
          <w:p w14:paraId="5D108ECD">
            <w:pPr>
              <w:pStyle w:val="77"/>
              <w:widowControl w:val="0"/>
              <w:numPr>
                <w:ilvl w:val="0"/>
                <w:numId w:val="0"/>
              </w:numPr>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67B7DFFF">
            <w:pPr>
              <w:pStyle w:val="77"/>
              <w:widowControl w:val="0"/>
              <w:spacing w:before="0" w:beforeAutospacing="0" w:after="0" w:afterAutospacing="0" w:line="360" w:lineRule="auto"/>
              <w:jc w:val="both"/>
              <w:rPr>
                <w:b w:val="0"/>
                <w:bCs w:val="0"/>
                <w:color w:val="auto"/>
                <w:sz w:val="24"/>
                <w:szCs w:val="24"/>
                <w:highlight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）因落实政府采购政策等原因进行价格扣除后中标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供应商的评审报价</w:t>
            </w:r>
            <w:r>
              <w:rPr>
                <w:rFonts w:hint="eastAsia"/>
                <w:b w:val="0"/>
                <w:color w:val="auto"/>
                <w:sz w:val="24"/>
                <w:highlight w:val="none"/>
                <w:u w:val="none"/>
                <w:lang w:eastAsia="zh-CN"/>
              </w:rPr>
              <w:t>；</w:t>
            </w:r>
          </w:p>
        </w:tc>
      </w:tr>
      <w:tr w14:paraId="563B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1D994CAF">
            <w:pPr>
              <w:pStyle w:val="7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977" w:type="pct"/>
            <w:vAlign w:val="center"/>
          </w:tcPr>
          <w:p w14:paraId="6DE63D52">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3556" w:type="pct"/>
            <w:vAlign w:val="center"/>
          </w:tcPr>
          <w:p w14:paraId="67DF36F2">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 xml:space="preserve">□书面 </w:t>
            </w:r>
            <w:r>
              <w:rPr>
                <w:b w:val="0"/>
                <w:color w:val="auto"/>
                <w:sz w:val="24"/>
                <w:highlight w:val="none"/>
              </w:rPr>
              <w:t xml:space="preserve">    </w:t>
            </w:r>
            <w:r>
              <w:rPr>
                <w:rFonts w:hint="eastAsia"/>
                <w:b w:val="0"/>
                <w:bCs w:val="0"/>
                <w:color w:val="auto"/>
                <w:sz w:val="24"/>
                <w:szCs w:val="24"/>
                <w:highlight w:val="none"/>
              </w:rPr>
              <w:sym w:font="Wingdings" w:char="00FE"/>
            </w:r>
            <w:r>
              <w:rPr>
                <w:rFonts w:hint="eastAsia"/>
                <w:b w:val="0"/>
                <w:color w:val="auto"/>
                <w:sz w:val="24"/>
                <w:highlight w:val="none"/>
              </w:rPr>
              <w:t>数据电文</w:t>
            </w:r>
          </w:p>
        </w:tc>
      </w:tr>
      <w:tr w14:paraId="3CC2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D879EF4">
            <w:pPr>
              <w:pStyle w:val="78"/>
              <w:pBdr>
                <w:bottom w:val="none" w:color="auto" w:sz="0" w:space="0"/>
              </w:pBdr>
              <w:tabs>
                <w:tab w:val="clear" w:pos="4153"/>
                <w:tab w:val="clear" w:pos="8306"/>
              </w:tabs>
              <w:adjustRightInd/>
              <w:spacing w:line="240" w:lineRule="auto"/>
              <w:textAlignment w:val="auto"/>
              <w:rPr>
                <w:rFonts w:hint="eastAsia" w:ascii="宋体" w:hAnsi="宋体" w:eastAsia="宋体" w:cstheme="minorBidi"/>
                <w:bCs/>
                <w:color w:val="auto"/>
                <w:kern w:val="2"/>
                <w:sz w:val="24"/>
                <w:szCs w:val="20"/>
                <w:highlight w:val="none"/>
                <w:lang w:val="en-US" w:eastAsia="zh-CN" w:bidi="ar-SA"/>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977" w:type="pct"/>
            <w:vAlign w:val="center"/>
          </w:tcPr>
          <w:p w14:paraId="5805A565">
            <w:pPr>
              <w:pStyle w:val="77"/>
              <w:widowControl w:val="0"/>
              <w:spacing w:before="0" w:beforeAutospacing="0" w:after="0" w:afterAutospacing="0" w:line="360" w:lineRule="auto"/>
              <w:jc w:val="both"/>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宋体"/>
                <w:b w:val="0"/>
                <w:bCs/>
                <w:color w:val="auto"/>
                <w:sz w:val="24"/>
                <w:szCs w:val="24"/>
                <w:highlight w:val="none"/>
                <w:lang w:val="en-US" w:eastAsia="zh-CN"/>
              </w:rPr>
              <w:t>告知谈判结果的形式</w:t>
            </w:r>
          </w:p>
        </w:tc>
        <w:tc>
          <w:tcPr>
            <w:tcW w:w="3556" w:type="pct"/>
            <w:vAlign w:val="center"/>
          </w:tcPr>
          <w:p w14:paraId="672421D7">
            <w:pPr>
              <w:pStyle w:val="77"/>
              <w:widowControl w:val="0"/>
              <w:spacing w:before="0" w:beforeAutospacing="0" w:after="0" w:afterAutospacing="0" w:line="360" w:lineRule="auto"/>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sym w:font="Wingdings" w:char="00FE"/>
            </w:r>
            <w:r>
              <w:rPr>
                <w:rFonts w:hint="eastAsia" w:ascii="宋体" w:hAnsi="宋体" w:eastAsia="宋体" w:cs="宋体"/>
                <w:b w:val="0"/>
                <w:bCs/>
                <w:color w:val="auto"/>
                <w:sz w:val="24"/>
                <w:szCs w:val="24"/>
                <w:highlight w:val="none"/>
                <w:lang w:val="en-US" w:eastAsia="zh-CN"/>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ascii="宋体" w:hAnsi="宋体" w:eastAsia="宋体" w:cs="宋体"/>
                <w:b w:val="0"/>
                <w:bCs/>
                <w:color w:val="auto"/>
                <w:sz w:val="24"/>
                <w:szCs w:val="24"/>
                <w:highlight w:val="none"/>
                <w:lang w:val="en-US" w:eastAsia="zh-CN"/>
              </w:rPr>
              <w:t>系统查看</w:t>
            </w:r>
          </w:p>
          <w:p w14:paraId="56FB7CFC">
            <w:pPr>
              <w:pStyle w:val="7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b w:val="0"/>
                <w:color w:val="auto"/>
                <w:sz w:val="24"/>
                <w:highlight w:val="none"/>
                <w:lang w:val="en-US" w:eastAsia="zh-CN"/>
              </w:rPr>
              <w:t>谈判现场告知</w:t>
            </w:r>
          </w:p>
        </w:tc>
      </w:tr>
      <w:tr w14:paraId="386E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21FD45EB">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977" w:type="pct"/>
            <w:vAlign w:val="center"/>
          </w:tcPr>
          <w:p w14:paraId="6CB0998D">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6227" w:type="dxa"/>
            <w:vAlign w:val="top"/>
          </w:tcPr>
          <w:p w14:paraId="7967B526">
            <w:pPr>
              <w:spacing w:line="360" w:lineRule="auto"/>
              <w:rPr>
                <w:bCs/>
                <w:color w:val="auto"/>
                <w:sz w:val="24"/>
                <w:szCs w:val="28"/>
                <w:highlight w:val="none"/>
              </w:rPr>
            </w:pPr>
            <w:r>
              <w:rPr>
                <w:rFonts w:hint="eastAsia"/>
                <w:bCs/>
                <w:color w:val="auto"/>
                <w:sz w:val="24"/>
                <w:szCs w:val="28"/>
                <w:highlight w:val="none"/>
              </w:rPr>
              <w:t>（1）金额：</w:t>
            </w:r>
          </w:p>
          <w:p w14:paraId="0AC72B17">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免收</w:t>
            </w:r>
          </w:p>
          <w:p w14:paraId="3E59A066">
            <w:pPr>
              <w:spacing w:line="360" w:lineRule="auto"/>
              <w:rPr>
                <w:bCs/>
                <w:color w:val="auto"/>
                <w:sz w:val="24"/>
                <w:szCs w:val="28"/>
                <w:highlight w:val="none"/>
              </w:rPr>
            </w:pPr>
            <w:r>
              <w:rPr>
                <w:rFonts w:hint="eastAsia"/>
                <w:b w:val="0"/>
                <w:color w:val="auto"/>
                <w:sz w:val="24"/>
                <w:highlight w:val="none"/>
                <w:lang w:val="en-US" w:eastAsia="zh-CN"/>
              </w:rPr>
              <w:t>☑</w:t>
            </w:r>
            <w:r>
              <w:rPr>
                <w:rFonts w:hint="eastAsia"/>
                <w:bCs/>
                <w:color w:val="auto"/>
                <w:sz w:val="24"/>
                <w:szCs w:val="28"/>
                <w:highlight w:val="none"/>
              </w:rPr>
              <w:t>合同价的</w:t>
            </w:r>
            <w:r>
              <w:rPr>
                <w:rFonts w:hint="eastAsia"/>
                <w:bCs/>
                <w:color w:val="auto"/>
                <w:sz w:val="24"/>
                <w:szCs w:val="28"/>
                <w:highlight w:val="none"/>
                <w:u w:val="single"/>
                <w:lang w:val="en-US" w:eastAsia="zh-CN"/>
              </w:rPr>
              <w:t>2</w:t>
            </w:r>
            <w:r>
              <w:rPr>
                <w:bCs/>
                <w:color w:val="auto"/>
                <w:sz w:val="24"/>
                <w:szCs w:val="28"/>
                <w:highlight w:val="none"/>
              </w:rPr>
              <w:t>%</w:t>
            </w:r>
          </w:p>
          <w:p w14:paraId="704B95D1">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定额收取：人民币</w:t>
            </w:r>
            <w:r>
              <w:rPr>
                <w:rFonts w:hint="eastAsia"/>
                <w:bCs/>
                <w:color w:val="auto"/>
                <w:sz w:val="24"/>
                <w:szCs w:val="28"/>
                <w:highlight w:val="none"/>
                <w:u w:val="single"/>
              </w:rPr>
              <w:t xml:space="preserve">              </w:t>
            </w:r>
            <w:r>
              <w:rPr>
                <w:rFonts w:hint="eastAsia"/>
                <w:bCs/>
                <w:color w:val="auto"/>
                <w:sz w:val="24"/>
                <w:szCs w:val="28"/>
                <w:highlight w:val="none"/>
              </w:rPr>
              <w:t>元</w:t>
            </w:r>
          </w:p>
          <w:p w14:paraId="0BC2795F">
            <w:pPr>
              <w:spacing w:line="360" w:lineRule="auto"/>
              <w:rPr>
                <w:bCs/>
                <w:color w:val="auto"/>
                <w:sz w:val="24"/>
                <w:szCs w:val="28"/>
                <w:highlight w:val="none"/>
              </w:rPr>
            </w:pPr>
            <w:r>
              <w:rPr>
                <w:rFonts w:hint="eastAsia"/>
                <w:bCs/>
                <w:color w:val="auto"/>
                <w:sz w:val="24"/>
                <w:szCs w:val="28"/>
                <w:highlight w:val="none"/>
              </w:rPr>
              <w:t>（2）支付方式：</w:t>
            </w:r>
          </w:p>
          <w:p w14:paraId="0A908354">
            <w:pPr>
              <w:spacing w:line="360" w:lineRule="auto"/>
              <w:rPr>
                <w:bCs/>
                <w:color w:val="auto"/>
                <w:sz w:val="24"/>
                <w:szCs w:val="28"/>
                <w:highlight w:val="none"/>
              </w:rPr>
            </w:pPr>
            <w:r>
              <w:rPr>
                <w:rFonts w:hint="eastAsia"/>
                <w:b w:val="0"/>
                <w:color w:val="auto"/>
                <w:sz w:val="24"/>
                <w:highlight w:val="none"/>
                <w:lang w:val="en-US" w:eastAsia="zh-CN"/>
              </w:rPr>
              <w:t>☑</w:t>
            </w:r>
            <w:r>
              <w:rPr>
                <w:bCs/>
                <w:color w:val="auto"/>
                <w:sz w:val="24"/>
                <w:szCs w:val="28"/>
                <w:highlight w:val="none"/>
              </w:rPr>
              <w:t>转账/电汇</w:t>
            </w:r>
            <w:r>
              <w:rPr>
                <w:rFonts w:hint="eastAsia"/>
                <w:bCs/>
                <w:color w:val="auto"/>
                <w:sz w:val="24"/>
                <w:szCs w:val="28"/>
                <w:highlight w:val="none"/>
              </w:rPr>
              <w:t xml:space="preserve"> </w:t>
            </w:r>
            <w:r>
              <w:rPr>
                <w:rFonts w:hint="eastAsia"/>
                <w:b w:val="0"/>
                <w:color w:val="auto"/>
                <w:sz w:val="24"/>
                <w:highlight w:val="none"/>
                <w:lang w:val="en-US" w:eastAsia="zh-CN"/>
              </w:rPr>
              <w:t>☑</w:t>
            </w:r>
            <w:r>
              <w:rPr>
                <w:bCs/>
                <w:color w:val="auto"/>
                <w:sz w:val="24"/>
                <w:szCs w:val="28"/>
                <w:highlight w:val="none"/>
              </w:rPr>
              <w:t xml:space="preserve">支票 </w:t>
            </w:r>
            <w:r>
              <w:rPr>
                <w:rFonts w:hint="eastAsia"/>
                <w:b w:val="0"/>
                <w:color w:val="auto"/>
                <w:sz w:val="24"/>
                <w:highlight w:val="none"/>
                <w:lang w:val="en-US" w:eastAsia="zh-CN"/>
              </w:rPr>
              <w:t>☑</w:t>
            </w:r>
            <w:r>
              <w:rPr>
                <w:bCs/>
                <w:color w:val="auto"/>
                <w:sz w:val="24"/>
                <w:szCs w:val="28"/>
                <w:highlight w:val="none"/>
              </w:rPr>
              <w:t>汇票</w:t>
            </w:r>
            <w:r>
              <w:rPr>
                <w:rFonts w:hint="eastAsia"/>
                <w:bCs/>
                <w:color w:val="auto"/>
                <w:sz w:val="24"/>
                <w:szCs w:val="28"/>
                <w:highlight w:val="none"/>
              </w:rPr>
              <w:t xml:space="preserve"> </w:t>
            </w:r>
            <w:r>
              <w:rPr>
                <w:rFonts w:hint="eastAsia"/>
                <w:b w:val="0"/>
                <w:color w:val="auto"/>
                <w:sz w:val="24"/>
                <w:highlight w:val="none"/>
                <w:lang w:val="en-US" w:eastAsia="zh-CN"/>
              </w:rPr>
              <w:t>☑</w:t>
            </w:r>
            <w:r>
              <w:rPr>
                <w:rFonts w:hint="eastAsia"/>
                <w:bCs/>
                <w:color w:val="auto"/>
                <w:sz w:val="24"/>
                <w:szCs w:val="28"/>
                <w:highlight w:val="none"/>
              </w:rPr>
              <w:t xml:space="preserve">本票 </w:t>
            </w:r>
            <w:r>
              <w:rPr>
                <w:rFonts w:hint="eastAsia"/>
                <w:b w:val="0"/>
                <w:color w:val="auto"/>
                <w:sz w:val="24"/>
                <w:highlight w:val="none"/>
                <w:lang w:val="en-US" w:eastAsia="zh-CN"/>
              </w:rPr>
              <w:t>☑</w:t>
            </w:r>
            <w:r>
              <w:rPr>
                <w:bCs/>
                <w:color w:val="auto"/>
                <w:sz w:val="24"/>
                <w:szCs w:val="28"/>
                <w:highlight w:val="none"/>
              </w:rPr>
              <w:t>保</w:t>
            </w:r>
            <w:r>
              <w:rPr>
                <w:rFonts w:hint="eastAsia"/>
                <w:bCs/>
                <w:color w:val="auto"/>
                <w:sz w:val="24"/>
                <w:szCs w:val="28"/>
                <w:highlight w:val="none"/>
              </w:rPr>
              <w:t xml:space="preserve">险 </w:t>
            </w:r>
            <w:r>
              <w:rPr>
                <w:rFonts w:hint="eastAsia"/>
                <w:b w:val="0"/>
                <w:color w:val="auto"/>
                <w:sz w:val="24"/>
                <w:highlight w:val="none"/>
                <w:lang w:val="en-US" w:eastAsia="zh-CN"/>
              </w:rPr>
              <w:t>☑</w:t>
            </w:r>
            <w:r>
              <w:rPr>
                <w:rFonts w:hint="eastAsia"/>
                <w:bCs/>
                <w:color w:val="auto"/>
                <w:sz w:val="24"/>
                <w:szCs w:val="28"/>
                <w:highlight w:val="none"/>
              </w:rPr>
              <w:t>保</w:t>
            </w:r>
            <w:r>
              <w:rPr>
                <w:bCs/>
                <w:color w:val="auto"/>
                <w:sz w:val="24"/>
                <w:szCs w:val="28"/>
                <w:highlight w:val="none"/>
              </w:rPr>
              <w:t>函</w:t>
            </w:r>
          </w:p>
          <w:p w14:paraId="7E0913D5">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另行通知    </w:t>
            </w:r>
            <w:r>
              <w:rPr>
                <w:rFonts w:hint="eastAsia" w:ascii="宋体" w:hAnsi="宋体" w:eastAsia="宋体"/>
                <w:bCs/>
                <w:color w:val="auto"/>
                <w:kern w:val="0"/>
                <w:sz w:val="24"/>
                <w:szCs w:val="28"/>
                <w:highlight w:val="none"/>
              </w:rPr>
              <w:t xml:space="preserve">              </w:t>
            </w:r>
          </w:p>
          <w:p w14:paraId="42573178">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u w:val="single"/>
              </w:rPr>
              <w:t xml:space="preserve">    </w:t>
            </w:r>
          </w:p>
          <w:p w14:paraId="51972E9C">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olor w:val="auto"/>
                <w:sz w:val="24"/>
                <w:highlight w:val="none"/>
                <w:u w:val="single"/>
              </w:rPr>
              <w:t>另行通知</w:t>
            </w:r>
            <w:r>
              <w:rPr>
                <w:rFonts w:hint="eastAsia" w:ascii="宋体" w:hAnsi="宋体" w:eastAsia="宋体"/>
                <w:bCs/>
                <w:color w:val="auto"/>
                <w:kern w:val="0"/>
                <w:sz w:val="24"/>
                <w:szCs w:val="28"/>
                <w:highlight w:val="none"/>
                <w:u w:val="single"/>
              </w:rPr>
              <w:t xml:space="preserve">    </w:t>
            </w:r>
          </w:p>
          <w:p w14:paraId="062BD1C6">
            <w:pPr>
              <w:spacing w:line="360" w:lineRule="auto"/>
              <w:rPr>
                <w:b/>
                <w:bCs/>
                <w:color w:val="auto"/>
                <w:sz w:val="24"/>
                <w:szCs w:val="24"/>
                <w:highlight w:val="none"/>
              </w:rPr>
            </w:pPr>
            <w:r>
              <w:rPr>
                <w:rFonts w:hint="eastAsia"/>
                <w:b/>
                <w:bCs/>
                <w:color w:val="auto"/>
                <w:sz w:val="24"/>
                <w:szCs w:val="24"/>
                <w:highlight w:val="none"/>
              </w:rPr>
              <w:t>注意事项：</w:t>
            </w:r>
          </w:p>
          <w:p w14:paraId="14A9846F">
            <w:pPr>
              <w:spacing w:line="360" w:lineRule="auto"/>
              <w:rPr>
                <w:b/>
                <w:bCs/>
                <w:color w:val="auto"/>
                <w:sz w:val="24"/>
                <w:szCs w:val="24"/>
                <w:highlight w:val="none"/>
              </w:rPr>
            </w:pPr>
            <w:r>
              <w:rPr>
                <w:rFonts w:hint="eastAsia"/>
                <w:b/>
                <w:bCs/>
                <w:color w:val="auto"/>
                <w:sz w:val="24"/>
                <w:szCs w:val="24"/>
                <w:highlight w:val="none"/>
              </w:rPr>
              <w:t>（1）以上各类机构出具的以担保函、保证保险承担责任的方式均须满足无条件见索即付条件。</w:t>
            </w:r>
          </w:p>
          <w:p w14:paraId="796978E8">
            <w:pPr>
              <w:pStyle w:val="77"/>
              <w:widowControl w:val="0"/>
              <w:spacing w:before="0" w:beforeAutospacing="0" w:after="0" w:afterAutospacing="0" w:line="360" w:lineRule="auto"/>
              <w:jc w:val="both"/>
              <w:rPr>
                <w:color w:val="auto"/>
                <w:sz w:val="24"/>
                <w:highlight w:val="none"/>
              </w:rPr>
            </w:pPr>
            <w:r>
              <w:rPr>
                <w:rFonts w:hint="eastAsia"/>
                <w:bCs w:val="0"/>
                <w:color w:val="auto"/>
                <w:sz w:val="24"/>
                <w:szCs w:val="24"/>
                <w:highlight w:val="none"/>
              </w:rPr>
              <w:t>（2）以担保函、保证保险形式缴纳履约保证金的，受益人和收取单位须为采购人。</w:t>
            </w:r>
          </w:p>
        </w:tc>
      </w:tr>
      <w:tr w14:paraId="6611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16A21895">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977" w:type="pct"/>
            <w:vAlign w:val="center"/>
          </w:tcPr>
          <w:p w14:paraId="04B4F0F8">
            <w:pPr>
              <w:pStyle w:val="7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56" w:type="pct"/>
            <w:vAlign w:val="center"/>
          </w:tcPr>
          <w:p w14:paraId="4BCCB96B">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bCs/>
                <w:color w:val="auto"/>
                <w:kern w:val="0"/>
                <w:sz w:val="24"/>
                <w:szCs w:val="28"/>
                <w:highlight w:val="none"/>
                <w:lang w:val="en-US" w:eastAsia="zh-CN"/>
              </w:rPr>
              <w:t>成交供应商</w:t>
            </w:r>
          </w:p>
          <w:p w14:paraId="4E765F44">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cs="宋体"/>
                <w:color w:val="auto"/>
                <w:sz w:val="24"/>
                <w:szCs w:val="24"/>
                <w:highlight w:val="none"/>
                <w:u w:val="single"/>
                <w:lang w:val="en-US" w:eastAsia="zh-CN"/>
              </w:rPr>
              <w:t>成</w:t>
            </w:r>
            <w:r>
              <w:rPr>
                <w:rFonts w:hint="eastAsia" w:cs="宋体"/>
                <w:color w:val="auto"/>
                <w:sz w:val="24"/>
                <w:szCs w:val="24"/>
                <w:highlight w:val="none"/>
                <w:u w:val="single" w:color="auto"/>
                <w:lang w:val="en-US" w:eastAsia="zh-CN"/>
              </w:rPr>
              <w:t>交供应商</w:t>
            </w:r>
            <w:r>
              <w:rPr>
                <w:rFonts w:hint="eastAsia" w:ascii="宋体" w:hAnsi="宋体" w:eastAsia="宋体" w:cs="宋体"/>
                <w:b w:val="0"/>
                <w:bCs w:val="0"/>
                <w:color w:val="auto"/>
                <w:kern w:val="2"/>
                <w:sz w:val="24"/>
                <w:szCs w:val="24"/>
                <w:highlight w:val="none"/>
                <w:u w:val="single" w:color="auto"/>
                <w:lang w:val="en-US" w:eastAsia="zh-CN" w:bidi="ar-SA"/>
              </w:rPr>
              <w:t>领取成交通知书时一次性支付给代理机构。</w:t>
            </w:r>
            <w:r>
              <w:rPr>
                <w:rFonts w:ascii="宋体" w:hAnsi="宋体" w:eastAsia="宋体" w:cs="宋体"/>
                <w:color w:val="auto"/>
                <w:sz w:val="24"/>
                <w:szCs w:val="24"/>
                <w:highlight w:val="none"/>
                <w:u w:val="single" w:color="auto"/>
              </w:rPr>
              <w:t xml:space="preserve"> </w:t>
            </w:r>
          </w:p>
          <w:p w14:paraId="469B97A4">
            <w:pPr>
              <w:pStyle w:val="7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bCs/>
                <w:color w:val="auto"/>
                <w:sz w:val="24"/>
                <w:szCs w:val="28"/>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cs="宋体"/>
                <w:b w:val="0"/>
                <w:bCs w:val="0"/>
                <w:color w:val="auto"/>
                <w:sz w:val="24"/>
                <w:szCs w:val="24"/>
                <w:highlight w:val="none"/>
                <w:u w:val="single" w:color="auto"/>
                <w:lang w:val="en-US" w:eastAsia="zh-CN"/>
              </w:rPr>
              <w:t>3250</w:t>
            </w:r>
            <w:r>
              <w:rPr>
                <w:rFonts w:hint="eastAsia" w:ascii="宋体" w:hAnsi="宋体" w:eastAsia="宋体" w:cs="宋体"/>
                <w:b w:val="0"/>
                <w:bCs w:val="0"/>
                <w:color w:val="auto"/>
                <w:kern w:val="2"/>
                <w:sz w:val="24"/>
                <w:szCs w:val="24"/>
                <w:highlight w:val="none"/>
                <w:u w:val="single" w:color="auto"/>
                <w:lang w:val="en-US" w:eastAsia="zh-CN" w:bidi="ar-SA"/>
              </w:rPr>
              <w:t>元</w:t>
            </w:r>
            <w:r>
              <w:rPr>
                <w:rFonts w:hint="eastAsia" w:cs="宋体"/>
                <w:b w:val="0"/>
                <w:bCs w:val="0"/>
                <w:color w:val="auto"/>
                <w:kern w:val="2"/>
                <w:sz w:val="24"/>
                <w:szCs w:val="24"/>
                <w:highlight w:val="none"/>
                <w:u w:val="single" w:color="auto"/>
                <w:lang w:val="en-US" w:eastAsia="zh-CN" w:bidi="ar-SA"/>
              </w:rPr>
              <w:t>，参考《国家计委关于印发〈招标代理服务收费管理暂行办法〉的通知》（计价格〔2002〕1980 号）文件规定的50%计算。</w:t>
            </w:r>
            <w:r>
              <w:rPr>
                <w:rFonts w:ascii="宋体" w:hAnsi="宋体" w:eastAsia="宋体" w:cs="宋体"/>
                <w:color w:val="auto"/>
                <w:sz w:val="24"/>
                <w:szCs w:val="24"/>
                <w:highlight w:val="none"/>
                <w:u w:val="single" w:color="auto"/>
              </w:rPr>
              <w:t xml:space="preserve"> </w:t>
            </w:r>
          </w:p>
        </w:tc>
      </w:tr>
      <w:tr w14:paraId="788D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2295D0C">
            <w:pPr>
              <w:pStyle w:val="78"/>
              <w:pBdr>
                <w:bottom w:val="none" w:color="auto" w:sz="0" w:space="0"/>
              </w:pBdr>
              <w:tabs>
                <w:tab w:val="clear" w:pos="4153"/>
                <w:tab w:val="clear" w:pos="8306"/>
              </w:tabs>
              <w:adjustRightInd/>
              <w:spacing w:line="360" w:lineRule="auto"/>
              <w:textAlignment w:val="auto"/>
              <w:rPr>
                <w:rFonts w:hint="default"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977" w:type="pct"/>
            <w:vAlign w:val="center"/>
          </w:tcPr>
          <w:p w14:paraId="20109D72">
            <w:pPr>
              <w:pStyle w:val="7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56" w:type="pct"/>
            <w:vAlign w:val="center"/>
          </w:tcPr>
          <w:p w14:paraId="616C84AB">
            <w:pPr>
              <w:pStyle w:val="77"/>
              <w:widowControl w:val="0"/>
              <w:spacing w:before="0" w:beforeAutospacing="0" w:after="0" w:afterAutospacing="0" w:line="360" w:lineRule="auto"/>
              <w:jc w:val="both"/>
              <w:rPr>
                <w:rFonts w:hint="eastAsia" w:ascii="宋体" w:hAnsi="宋体" w:eastAsia="宋体"/>
                <w:b w:val="0"/>
                <w:bCs/>
                <w:color w:val="auto"/>
                <w:sz w:val="24"/>
                <w:highlight w:val="none"/>
                <w:lang w:val="en-US" w:eastAsia="zh-CN"/>
              </w:rPr>
            </w:pPr>
            <w:r>
              <w:rPr>
                <w:rFonts w:hint="eastAsia"/>
                <w:b w:val="0"/>
                <w:bCs/>
                <w:color w:val="auto"/>
                <w:sz w:val="24"/>
                <w:highlight w:val="none"/>
                <w:lang w:val="en-US" w:eastAsia="zh-CN"/>
              </w:rPr>
              <w:t>（1）</w:t>
            </w:r>
            <w:r>
              <w:rPr>
                <w:rFonts w:hint="eastAsia" w:ascii="宋体" w:hAnsi="宋体" w:eastAsia="宋体"/>
                <w:b w:val="0"/>
                <w:bCs/>
                <w:color w:val="auto"/>
                <w:sz w:val="24"/>
                <w:highlight w:val="none"/>
                <w:lang w:val="en-US" w:eastAsia="zh-CN"/>
              </w:rPr>
              <w:t>采购人与成交供应商应当自发出成交通知书之日起7个工作日内签订合同，采购合同签订之日起2个工作日内完成政府采购合同公开。</w:t>
            </w:r>
          </w:p>
          <w:p w14:paraId="4DFFE19F">
            <w:pPr>
              <w:pStyle w:val="7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ascii="宋体" w:hAnsi="宋体" w:eastAsia="宋体" w:cs="宋体"/>
                <w:b w:val="0"/>
                <w:bCs/>
                <w:color w:val="auto"/>
                <w:sz w:val="24"/>
                <w:szCs w:val="24"/>
                <w:highlight w:val="none"/>
              </w:rPr>
              <w:t>（2）采购人与</w:t>
            </w:r>
            <w:r>
              <w:rPr>
                <w:rFonts w:hint="eastAsia" w:ascii="宋体" w:hAnsi="宋体" w:eastAsia="宋体"/>
                <w:b w:val="0"/>
                <w:bCs/>
                <w:color w:val="auto"/>
                <w:sz w:val="24"/>
                <w:highlight w:val="none"/>
                <w:lang w:val="en-US" w:eastAsia="zh-CN"/>
              </w:rPr>
              <w:t>成交供应商</w:t>
            </w:r>
            <w:r>
              <w:rPr>
                <w:rFonts w:ascii="宋体" w:hAnsi="宋体" w:eastAsia="宋体" w:cs="宋体"/>
                <w:b w:val="0"/>
                <w:bCs/>
                <w:color w:val="auto"/>
                <w:sz w:val="24"/>
                <w:szCs w:val="24"/>
                <w:highlight w:val="none"/>
              </w:rPr>
              <w:t>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5B78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6AED4C51">
            <w:pPr>
              <w:pStyle w:val="7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977" w:type="pct"/>
            <w:vAlign w:val="center"/>
          </w:tcPr>
          <w:p w14:paraId="4F960EC8">
            <w:pPr>
              <w:pStyle w:val="77"/>
              <w:widowControl w:val="0"/>
              <w:spacing w:before="0" w:beforeAutospacing="0" w:after="0" w:afterAutospacing="0" w:line="360" w:lineRule="auto"/>
              <w:jc w:val="both"/>
              <w:rPr>
                <w:b w:val="0"/>
                <w:bCs/>
                <w:color w:val="auto"/>
                <w:sz w:val="24"/>
                <w:highlight w:val="none"/>
              </w:rPr>
            </w:pPr>
            <w:r>
              <w:rPr>
                <w:rFonts w:hint="eastAsia"/>
                <w:b w:val="0"/>
                <w:bCs/>
                <w:color w:val="auto"/>
                <w:sz w:val="24"/>
                <w:highlight w:val="none"/>
              </w:rPr>
              <w:t>质疑函递交方式、接收部门、联系电话和通讯地址</w:t>
            </w:r>
          </w:p>
        </w:tc>
        <w:tc>
          <w:tcPr>
            <w:tcW w:w="3556" w:type="pct"/>
            <w:vAlign w:val="center"/>
          </w:tcPr>
          <w:p w14:paraId="2608271D">
            <w:pPr>
              <w:pStyle w:val="77"/>
              <w:widowControl w:val="0"/>
              <w:spacing w:before="0" w:beforeAutospacing="0" w:after="0" w:afterAutospacing="0" w:line="360" w:lineRule="auto"/>
              <w:jc w:val="both"/>
              <w:rPr>
                <w:rFonts w:hint="eastAsia"/>
                <w:b w:val="0"/>
                <w:bCs/>
                <w:color w:val="auto"/>
                <w:sz w:val="24"/>
                <w:highlight w:val="none"/>
                <w:u w:val="single"/>
                <w:lang w:eastAsia="zh-CN"/>
              </w:rPr>
            </w:pPr>
            <w:r>
              <w:rPr>
                <w:rFonts w:hint="eastAsia" w:ascii="宋体" w:hAnsi="宋体" w:eastAsia="宋体"/>
                <w:b w:val="0"/>
                <w:bCs/>
                <w:color w:val="auto"/>
                <w:sz w:val="24"/>
                <w:highlight w:val="none"/>
              </w:rPr>
              <w:t>递交方式：</w:t>
            </w:r>
            <w:r>
              <w:rPr>
                <w:rFonts w:hint="eastAsia" w:ascii="宋体" w:hAnsi="宋体" w:eastAsia="宋体"/>
                <w:b w:val="0"/>
                <w:bCs/>
                <w:color w:val="auto"/>
                <w:sz w:val="24"/>
                <w:highlight w:val="none"/>
                <w:u w:val="single"/>
              </w:rPr>
              <w:t>如供应商对谈判文件有质疑，依据中华人民共和国财政部令第 94 号《政府采购质疑和投诉办法》规定提出质疑</w:t>
            </w:r>
            <w:r>
              <w:rPr>
                <w:rFonts w:hint="eastAsia"/>
                <w:b w:val="0"/>
                <w:bCs/>
                <w:color w:val="auto"/>
                <w:sz w:val="24"/>
                <w:highlight w:val="none"/>
                <w:u w:val="single"/>
                <w:lang w:eastAsia="zh-CN"/>
              </w:rPr>
              <w:t>；</w:t>
            </w:r>
          </w:p>
          <w:p w14:paraId="67B4B4D1">
            <w:pPr>
              <w:pStyle w:val="77"/>
              <w:widowControl w:val="0"/>
              <w:spacing w:before="0" w:beforeAutospacing="0" w:after="0" w:afterAutospacing="0" w:line="360" w:lineRule="auto"/>
              <w:jc w:val="both"/>
              <w:rPr>
                <w:rFonts w:hint="eastAsia" w:ascii="宋体" w:hAnsi="宋体" w:eastAsia="宋体"/>
                <w:b w:val="0"/>
                <w:bCs/>
                <w:color w:val="auto"/>
                <w:sz w:val="24"/>
                <w:highlight w:val="none"/>
                <w:lang w:val="en-US" w:eastAsia="zh-CN"/>
              </w:rPr>
            </w:pPr>
            <w:r>
              <w:rPr>
                <w:rFonts w:hint="eastAsia" w:ascii="宋体" w:hAnsi="宋体" w:eastAsia="宋体"/>
                <w:b w:val="0"/>
                <w:bCs/>
                <w:color w:val="auto"/>
                <w:kern w:val="0"/>
                <w:sz w:val="24"/>
                <w:szCs w:val="28"/>
                <w:highlight w:val="none"/>
                <w:u w:val="single"/>
              </w:rPr>
              <w:t>供应商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r>
              <w:rPr>
                <w:rFonts w:hint="eastAsia" w:ascii="宋体" w:hAnsi="宋体" w:eastAsia="宋体"/>
                <w:b w:val="0"/>
                <w:bCs/>
                <w:color w:val="auto"/>
                <w:kern w:val="0"/>
                <w:sz w:val="24"/>
                <w:szCs w:val="28"/>
                <w:highlight w:val="none"/>
                <w:u w:val="single"/>
                <w:lang w:eastAsia="zh-CN"/>
              </w:rPr>
              <w:t>。</w:t>
            </w:r>
          </w:p>
          <w:p w14:paraId="5BD2979D">
            <w:pPr>
              <w:pStyle w:val="77"/>
              <w:widowControl w:val="0"/>
              <w:spacing w:before="0" w:beforeAutospacing="0" w:after="0" w:afterAutospacing="0" w:line="360" w:lineRule="auto"/>
              <w:jc w:val="both"/>
              <w:rPr>
                <w:rFonts w:hint="eastAsia" w:ascii="宋体" w:hAnsi="宋体" w:eastAsia="宋体"/>
                <w:b w:val="0"/>
                <w:bCs/>
                <w:color w:val="auto"/>
                <w:sz w:val="24"/>
                <w:szCs w:val="18"/>
                <w:highlight w:val="none"/>
                <w:lang w:eastAsia="zh-CN"/>
              </w:rPr>
            </w:pPr>
            <w:r>
              <w:rPr>
                <w:rFonts w:hint="eastAsia" w:ascii="宋体" w:hAnsi="宋体" w:eastAsia="宋体"/>
                <w:b w:val="0"/>
                <w:bCs/>
                <w:color w:val="auto"/>
                <w:sz w:val="24"/>
                <w:highlight w:val="none"/>
              </w:rPr>
              <w:t>接收部门：</w:t>
            </w:r>
            <w:r>
              <w:rPr>
                <w:rFonts w:hint="eastAsia"/>
                <w:b w:val="0"/>
                <w:bCs/>
                <w:color w:val="auto"/>
                <w:kern w:val="0"/>
                <w:sz w:val="24"/>
                <w:szCs w:val="28"/>
                <w:highlight w:val="none"/>
                <w:u w:val="single"/>
                <w:lang w:eastAsia="zh-CN"/>
              </w:rPr>
              <w:t>滁州市园林景观管理中心</w:t>
            </w:r>
            <w:r>
              <w:rPr>
                <w:rFonts w:hint="eastAsia" w:ascii="宋体" w:hAnsi="宋体" w:eastAsia="宋体"/>
                <w:b w:val="0"/>
                <w:bCs/>
                <w:color w:val="auto"/>
                <w:kern w:val="0"/>
                <w:sz w:val="24"/>
                <w:szCs w:val="28"/>
                <w:highlight w:val="none"/>
                <w:u w:val="single"/>
                <w:lang w:val="en-US" w:eastAsia="zh-CN"/>
              </w:rPr>
              <w:t>、</w:t>
            </w:r>
            <w:r>
              <w:rPr>
                <w:rFonts w:hint="eastAsia" w:ascii="宋体" w:hAnsi="宋体" w:eastAsia="宋体"/>
                <w:b w:val="0"/>
                <w:bCs/>
                <w:color w:val="auto"/>
                <w:kern w:val="0"/>
                <w:sz w:val="24"/>
                <w:szCs w:val="28"/>
                <w:highlight w:val="none"/>
                <w:u w:val="single"/>
                <w:lang w:eastAsia="zh-CN"/>
              </w:rPr>
              <w:t>滁州市城投工程咨询管理有限公司；</w:t>
            </w:r>
          </w:p>
          <w:p w14:paraId="0EB546D7">
            <w:pPr>
              <w:pStyle w:val="77"/>
              <w:widowControl w:val="0"/>
              <w:spacing w:before="0" w:beforeAutospacing="0" w:after="0" w:afterAutospacing="0" w:line="360" w:lineRule="auto"/>
              <w:jc w:val="both"/>
              <w:rPr>
                <w:rFonts w:hint="eastAsia" w:ascii="宋体" w:hAnsi="宋体" w:eastAsia="宋体"/>
                <w:b w:val="0"/>
                <w:bCs/>
                <w:color w:val="auto"/>
                <w:kern w:val="0"/>
                <w:sz w:val="24"/>
                <w:szCs w:val="28"/>
                <w:highlight w:val="none"/>
                <w:u w:val="single"/>
              </w:rPr>
            </w:pPr>
            <w:r>
              <w:rPr>
                <w:rFonts w:ascii="宋体" w:hAnsi="宋体" w:eastAsia="宋体"/>
                <w:b w:val="0"/>
                <w:bCs/>
                <w:color w:val="auto"/>
                <w:sz w:val="24"/>
                <w:highlight w:val="none"/>
              </w:rPr>
              <w:t>联系电话：</w:t>
            </w:r>
            <w:r>
              <w:rPr>
                <w:rFonts w:hint="eastAsia"/>
                <w:b w:val="0"/>
                <w:bCs/>
                <w:color w:val="auto"/>
                <w:kern w:val="0"/>
                <w:sz w:val="24"/>
                <w:szCs w:val="28"/>
                <w:highlight w:val="none"/>
                <w:u w:val="single"/>
                <w:lang w:eastAsia="zh-CN"/>
              </w:rPr>
              <w:t xml:space="preserve">0550-3010861 </w:t>
            </w:r>
            <w:r>
              <w:rPr>
                <w:rFonts w:hint="eastAsia" w:ascii="宋体" w:hAnsi="宋体" w:eastAsia="宋体"/>
                <w:b w:val="0"/>
                <w:bCs/>
                <w:color w:val="auto"/>
                <w:kern w:val="0"/>
                <w:sz w:val="24"/>
                <w:szCs w:val="28"/>
                <w:highlight w:val="none"/>
                <w:u w:val="single"/>
                <w:lang w:eastAsia="zh-CN"/>
              </w:rPr>
              <w:t>、</w:t>
            </w:r>
            <w:r>
              <w:rPr>
                <w:rFonts w:hint="eastAsia"/>
                <w:b w:val="0"/>
                <w:bCs/>
                <w:color w:val="auto"/>
                <w:kern w:val="0"/>
                <w:sz w:val="24"/>
                <w:szCs w:val="28"/>
                <w:highlight w:val="none"/>
                <w:u w:val="single"/>
                <w:lang w:eastAsia="zh-CN"/>
              </w:rPr>
              <w:t xml:space="preserve">0550-3519516、18712012204 </w:t>
            </w:r>
            <w:r>
              <w:rPr>
                <w:rFonts w:hint="eastAsia" w:ascii="宋体" w:hAnsi="宋体" w:eastAsia="宋体"/>
                <w:b w:val="0"/>
                <w:bCs/>
                <w:color w:val="auto"/>
                <w:kern w:val="0"/>
                <w:sz w:val="24"/>
                <w:szCs w:val="28"/>
                <w:highlight w:val="none"/>
                <w:u w:val="single"/>
                <w:lang w:eastAsia="zh-CN"/>
              </w:rPr>
              <w:t>；</w:t>
            </w:r>
          </w:p>
          <w:p w14:paraId="6D5A19AF">
            <w:pPr>
              <w:pStyle w:val="77"/>
              <w:widowControl w:val="0"/>
              <w:spacing w:before="0" w:beforeAutospacing="0" w:after="0" w:afterAutospacing="0" w:line="360" w:lineRule="auto"/>
              <w:jc w:val="both"/>
              <w:rPr>
                <w:b w:val="0"/>
                <w:bCs/>
                <w:color w:val="auto"/>
                <w:sz w:val="24"/>
                <w:highlight w:val="none"/>
              </w:rPr>
            </w:pPr>
            <w:r>
              <w:rPr>
                <w:rFonts w:hint="eastAsia" w:ascii="宋体" w:hAnsi="宋体" w:eastAsia="宋体"/>
                <w:b w:val="0"/>
                <w:bCs/>
                <w:color w:val="auto"/>
                <w:sz w:val="24"/>
                <w:highlight w:val="none"/>
              </w:rPr>
              <w:t>通讯地址：</w:t>
            </w:r>
            <w:r>
              <w:rPr>
                <w:rFonts w:hint="eastAsia"/>
                <w:b w:val="0"/>
                <w:bCs/>
                <w:color w:val="auto"/>
                <w:kern w:val="0"/>
                <w:sz w:val="24"/>
                <w:szCs w:val="28"/>
                <w:highlight w:val="none"/>
                <w:u w:val="single"/>
                <w:lang w:eastAsia="zh-CN"/>
              </w:rPr>
              <w:t>滁州市花园西路81号林业大厦8楼、滁州市龙蟠大道109号房产大厦6楼。</w:t>
            </w:r>
          </w:p>
        </w:tc>
      </w:tr>
      <w:tr w14:paraId="383E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1EE0AB30">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3</w:t>
            </w:r>
            <w:r>
              <w:rPr>
                <w:rFonts w:hint="eastAsia"/>
                <w:bCs/>
                <w:color w:val="auto"/>
                <w:kern w:val="2"/>
                <w:highlight w:val="none"/>
                <w:lang w:val="en-US" w:eastAsia="zh-CN"/>
              </w:rPr>
              <w:t>0</w:t>
            </w:r>
          </w:p>
        </w:tc>
        <w:tc>
          <w:tcPr>
            <w:tcW w:w="977" w:type="pct"/>
            <w:vAlign w:val="center"/>
          </w:tcPr>
          <w:p w14:paraId="5945593C">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其他内容</w:t>
            </w:r>
          </w:p>
        </w:tc>
        <w:tc>
          <w:tcPr>
            <w:tcW w:w="3556" w:type="pct"/>
            <w:vAlign w:val="center"/>
          </w:tcPr>
          <w:p w14:paraId="77DD2C73">
            <w:pPr>
              <w:pStyle w:val="77"/>
              <w:widowControl w:val="0"/>
              <w:spacing w:before="0" w:beforeAutospacing="0" w:after="0" w:afterAutospacing="0" w:line="360" w:lineRule="auto"/>
              <w:jc w:val="both"/>
              <w:rPr>
                <w:b w:val="0"/>
                <w:color w:val="auto"/>
                <w:sz w:val="24"/>
                <w:highlight w:val="none"/>
              </w:rPr>
            </w:pPr>
          </w:p>
        </w:tc>
      </w:tr>
      <w:tr w14:paraId="22BD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202F17B">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977" w:type="pct"/>
            <w:vAlign w:val="center"/>
          </w:tcPr>
          <w:p w14:paraId="49AEC236">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承包方式</w:t>
            </w:r>
          </w:p>
        </w:tc>
        <w:tc>
          <w:tcPr>
            <w:tcW w:w="3556" w:type="pct"/>
            <w:vAlign w:val="center"/>
          </w:tcPr>
          <w:p w14:paraId="421F7558">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施工总承包  □专业承包</w:t>
            </w:r>
          </w:p>
        </w:tc>
      </w:tr>
      <w:tr w14:paraId="1418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2FBCCB0">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977" w:type="pct"/>
            <w:vAlign w:val="center"/>
          </w:tcPr>
          <w:p w14:paraId="431E8E9D">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计价方式</w:t>
            </w:r>
          </w:p>
        </w:tc>
        <w:tc>
          <w:tcPr>
            <w:tcW w:w="3556" w:type="pct"/>
            <w:vAlign w:val="center"/>
          </w:tcPr>
          <w:p w14:paraId="7CD456DD">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工程量清单综合单价报价法</w:t>
            </w:r>
          </w:p>
          <w:p w14:paraId="4C925E6E">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□全费用综合单价报价法</w:t>
            </w:r>
          </w:p>
        </w:tc>
      </w:tr>
      <w:tr w14:paraId="2BC6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03E31AA">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977" w:type="pct"/>
            <w:vAlign w:val="center"/>
          </w:tcPr>
          <w:p w14:paraId="2AAE3E66">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56" w:type="pct"/>
            <w:vAlign w:val="center"/>
          </w:tcPr>
          <w:p w14:paraId="203FEA99">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rFonts w:hint="eastAsia"/>
                <w:b w:val="0"/>
                <w:color w:val="auto"/>
                <w:sz w:val="24"/>
                <w:highlight w:val="none"/>
                <w:lang w:val="en-US" w:eastAsia="zh-CN"/>
              </w:rPr>
              <w:t>总工期</w:t>
            </w:r>
            <w:r>
              <w:rPr>
                <w:rFonts w:hint="eastAsia"/>
                <w:b w:val="0"/>
                <w:color w:val="auto"/>
                <w:sz w:val="24"/>
                <w:highlight w:val="none"/>
                <w:lang w:eastAsia="zh-CN"/>
              </w:rPr>
              <w:t>不高于</w:t>
            </w:r>
            <w:r>
              <w:rPr>
                <w:rFonts w:hint="eastAsia"/>
                <w:b w:val="0"/>
                <w:color w:val="auto"/>
                <w:sz w:val="24"/>
                <w:highlight w:val="none"/>
                <w:lang w:val="en-US" w:eastAsia="zh-CN"/>
              </w:rPr>
              <w:t>6</w:t>
            </w:r>
            <w:r>
              <w:rPr>
                <w:rFonts w:hint="eastAsia"/>
                <w:b w:val="0"/>
                <w:color w:val="auto"/>
                <w:sz w:val="24"/>
                <w:highlight w:val="none"/>
                <w:lang w:eastAsia="zh-CN"/>
              </w:rPr>
              <w:t>0个日历天</w:t>
            </w:r>
            <w:r>
              <w:rPr>
                <w:rFonts w:hint="eastAsia"/>
                <w:b w:val="0"/>
                <w:color w:val="auto"/>
                <w:sz w:val="24"/>
                <w:highlight w:val="none"/>
              </w:rPr>
              <w:t>。</w:t>
            </w:r>
            <w:r>
              <w:rPr>
                <w:rFonts w:hint="eastAsia"/>
                <w:b w:val="0"/>
                <w:color w:val="auto"/>
                <w:sz w:val="24"/>
                <w:highlight w:val="none"/>
                <w:lang w:eastAsia="zh-CN"/>
              </w:rPr>
              <w:t>供应商自报的承诺工期为考核标准。因供应商原因造成的工期延误，每推迟一天，按500元/天处以违约金。</w:t>
            </w:r>
          </w:p>
          <w:p w14:paraId="6E9E61B9">
            <w:pPr>
              <w:pStyle w:val="77"/>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bookmarkStart w:id="37" w:name="EB2a2e1a22d449405a860670c095486ab8"/>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u w:val="single"/>
                <w:lang w:val="en-US" w:eastAsia="zh-CN"/>
              </w:rPr>
              <w:t>/</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rPr>
              <w:t>年</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u w:val="single"/>
                <w:lang w:val="en-US" w:eastAsia="zh-CN"/>
              </w:rPr>
              <w:t>/</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rPr>
              <w:t>月</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u w:val="single"/>
                <w:lang w:val="en-US" w:eastAsia="zh-CN"/>
              </w:rPr>
              <w:t>/</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rPr>
              <w:t>日，具体开工时间以开工令</w:t>
            </w:r>
            <w:r>
              <w:rPr>
                <w:rFonts w:hint="eastAsia" w:cs="宋体"/>
                <w:b w:val="0"/>
                <w:color w:val="auto"/>
                <w:sz w:val="24"/>
                <w:szCs w:val="24"/>
                <w:highlight w:val="none"/>
                <w:lang w:eastAsia="zh-CN"/>
              </w:rPr>
              <w:t>（</w:t>
            </w:r>
            <w:r>
              <w:rPr>
                <w:rFonts w:hint="eastAsia" w:cs="宋体"/>
                <w:b w:val="0"/>
                <w:color w:val="auto"/>
                <w:sz w:val="24"/>
                <w:szCs w:val="24"/>
                <w:highlight w:val="none"/>
                <w:lang w:val="en-US" w:eastAsia="zh-CN"/>
              </w:rPr>
              <w:t>或采购人下达通知</w:t>
            </w:r>
            <w:r>
              <w:rPr>
                <w:rFonts w:hint="eastAsia" w:cs="宋体"/>
                <w:b w:val="0"/>
                <w:color w:val="auto"/>
                <w:sz w:val="24"/>
                <w:szCs w:val="24"/>
                <w:highlight w:val="none"/>
                <w:lang w:eastAsia="zh-CN"/>
              </w:rPr>
              <w:t>）</w:t>
            </w:r>
            <w:r>
              <w:rPr>
                <w:rFonts w:hint="eastAsia" w:ascii="宋体" w:hAnsi="宋体" w:eastAsia="宋体" w:cs="宋体"/>
                <w:b w:val="0"/>
                <w:color w:val="auto"/>
                <w:sz w:val="24"/>
                <w:szCs w:val="24"/>
                <w:highlight w:val="none"/>
                <w:lang w:val="en-US" w:eastAsia="zh-CN"/>
              </w:rPr>
              <w:t>载明的时间</w:t>
            </w:r>
            <w:r>
              <w:rPr>
                <w:rFonts w:hint="eastAsia" w:ascii="宋体" w:hAnsi="宋体" w:eastAsia="宋体" w:cs="宋体"/>
                <w:b w:val="0"/>
                <w:color w:val="auto"/>
                <w:sz w:val="24"/>
                <w:szCs w:val="24"/>
                <w:highlight w:val="none"/>
              </w:rPr>
              <w:t>为准</w:t>
            </w:r>
            <w:r>
              <w:rPr>
                <w:rFonts w:hint="eastAsia" w:cs="宋体"/>
                <w:b w:val="0"/>
                <w:color w:val="auto"/>
                <w:sz w:val="24"/>
                <w:szCs w:val="24"/>
                <w:highlight w:val="none"/>
                <w:lang w:eastAsia="zh-CN"/>
              </w:rPr>
              <w:t>。</w:t>
            </w:r>
            <w:bookmarkEnd w:id="37"/>
          </w:p>
        </w:tc>
      </w:tr>
      <w:tr w14:paraId="3904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1E4CAC9B">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977" w:type="pct"/>
            <w:vAlign w:val="center"/>
          </w:tcPr>
          <w:p w14:paraId="7A0900A6">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3556" w:type="pct"/>
            <w:vAlign w:val="center"/>
          </w:tcPr>
          <w:p w14:paraId="3D1C0FE3">
            <w:pPr>
              <w:pStyle w:val="104"/>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09F9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5106DAD">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977" w:type="pct"/>
            <w:vAlign w:val="center"/>
          </w:tcPr>
          <w:p w14:paraId="75694E6D">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安全文明要求</w:t>
            </w:r>
          </w:p>
        </w:tc>
        <w:tc>
          <w:tcPr>
            <w:tcW w:w="3556" w:type="pct"/>
            <w:vAlign w:val="center"/>
          </w:tcPr>
          <w:p w14:paraId="33E2959C">
            <w:pPr>
              <w:pStyle w:val="77"/>
              <w:widowControl w:val="0"/>
              <w:spacing w:before="0" w:beforeAutospacing="0" w:after="0" w:afterAutospacing="0" w:line="360" w:lineRule="auto"/>
              <w:jc w:val="both"/>
              <w:rPr>
                <w:b w:val="0"/>
                <w:color w:val="auto"/>
                <w:sz w:val="24"/>
                <w:highlight w:val="none"/>
              </w:rPr>
            </w:pPr>
            <w:r>
              <w:rPr>
                <w:rFonts w:hint="eastAsia"/>
                <w:color w:val="auto"/>
                <w:sz w:val="24"/>
                <w:highlight w:val="none"/>
              </w:rPr>
              <w:t>必须确保安全文明施工，符合国家和项目所在地现行相关规定</w:t>
            </w:r>
          </w:p>
        </w:tc>
      </w:tr>
      <w:tr w14:paraId="5122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777045FB">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977" w:type="pct"/>
            <w:vAlign w:val="center"/>
          </w:tcPr>
          <w:p w14:paraId="6A6E7595">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总包及分包规定</w:t>
            </w:r>
          </w:p>
        </w:tc>
        <w:tc>
          <w:tcPr>
            <w:tcW w:w="3556" w:type="pct"/>
            <w:vAlign w:val="center"/>
          </w:tcPr>
          <w:p w14:paraId="536D5D8D">
            <w:pPr>
              <w:spacing w:line="360" w:lineRule="auto"/>
              <w:rPr>
                <w:rFonts w:ascii="Calibri" w:hAnsi="Calibri" w:cs="Times New Roman"/>
                <w:b/>
                <w:bCs/>
                <w:color w:val="auto"/>
                <w:kern w:val="2"/>
                <w:sz w:val="24"/>
                <w:szCs w:val="28"/>
                <w:highlight w:val="none"/>
              </w:rPr>
            </w:pPr>
            <w:r>
              <w:rPr>
                <w:rFonts w:hint="eastAsia" w:ascii="Calibri" w:hAnsi="Calibri" w:cs="Times New Roman"/>
                <w:b/>
                <w:bCs/>
                <w:color w:val="auto"/>
                <w:kern w:val="2"/>
                <w:sz w:val="24"/>
                <w:szCs w:val="28"/>
                <w:highlight w:val="none"/>
              </w:rPr>
              <w:t>供应商不得在成交后将工程转包给其它施工单位。</w:t>
            </w:r>
          </w:p>
          <w:p w14:paraId="441E8D4A">
            <w:pPr>
              <w:spacing w:line="360" w:lineRule="auto"/>
              <w:jc w:val="left"/>
              <w:rPr>
                <w:rFonts w:cs="Times New Roman"/>
                <w:b/>
                <w:color w:val="auto"/>
                <w:kern w:val="2"/>
                <w:sz w:val="24"/>
                <w:szCs w:val="22"/>
                <w:highlight w:val="none"/>
              </w:rPr>
            </w:pPr>
            <w:r>
              <w:rPr>
                <w:rFonts w:hint="eastAsia" w:cs="Times New Roman"/>
                <w:b/>
                <w:color w:val="auto"/>
                <w:kern w:val="2"/>
                <w:sz w:val="24"/>
                <w:szCs w:val="22"/>
                <w:highlight w:val="none"/>
              </w:rPr>
              <w:t>分包情况</w:t>
            </w:r>
          </w:p>
          <w:p w14:paraId="702ACFB1">
            <w:pPr>
              <w:spacing w:line="360" w:lineRule="auto"/>
              <w:jc w:val="left"/>
              <w:rPr>
                <w:rFonts w:cs="Times New Roman"/>
                <w:color w:val="auto"/>
                <w:kern w:val="2"/>
                <w:sz w:val="24"/>
                <w:szCs w:val="22"/>
                <w:highlight w:val="none"/>
              </w:rPr>
            </w:pPr>
            <w:r>
              <w:rPr>
                <w:rFonts w:hint="eastAsia" w:cs="Times New Roman"/>
                <w:color w:val="auto"/>
                <w:kern w:val="2"/>
                <w:sz w:val="24"/>
                <w:szCs w:val="22"/>
                <w:highlight w:val="none"/>
              </w:rPr>
              <w:t>□允许专业分包，</w:t>
            </w:r>
            <w:r>
              <w:rPr>
                <w:rFonts w:hint="eastAsia" w:ascii="Calibri" w:hAnsi="Calibri" w:cs="Times New Roman"/>
                <w:color w:val="auto"/>
                <w:kern w:val="2"/>
                <w:sz w:val="24"/>
                <w:szCs w:val="22"/>
                <w:highlight w:val="none"/>
              </w:rPr>
              <w:t>分包项目、内容及分包商须经采购人及监理单位同意和认可</w:t>
            </w:r>
          </w:p>
          <w:p w14:paraId="3A0A62D9">
            <w:pPr>
              <w:pStyle w:val="77"/>
              <w:widowControl w:val="0"/>
              <w:spacing w:before="0" w:beforeAutospacing="0" w:after="0" w:afterAutospacing="0" w:line="360" w:lineRule="auto"/>
              <w:jc w:val="both"/>
              <w:rPr>
                <w:b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0C4E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753E4D8E">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977" w:type="pct"/>
            <w:vAlign w:val="center"/>
          </w:tcPr>
          <w:p w14:paraId="0C4B1F99">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现场条件</w:t>
            </w:r>
          </w:p>
        </w:tc>
        <w:tc>
          <w:tcPr>
            <w:tcW w:w="3556" w:type="pct"/>
            <w:vAlign w:val="center"/>
          </w:tcPr>
          <w:p w14:paraId="26B910B7">
            <w:pPr>
              <w:pStyle w:val="77"/>
              <w:widowControl w:val="0"/>
              <w:spacing w:before="0" w:beforeAutospacing="0" w:after="0" w:afterAutospacing="0" w:line="360" w:lineRule="auto"/>
              <w:jc w:val="both"/>
              <w:rPr>
                <w:b w:val="0"/>
                <w:color w:val="auto"/>
                <w:sz w:val="24"/>
                <w:highlight w:val="none"/>
              </w:rPr>
            </w:pPr>
            <w:r>
              <w:rPr>
                <w:rFonts w:hint="eastAsia"/>
                <w:color w:val="auto"/>
                <w:sz w:val="24"/>
                <w:highlight w:val="none"/>
              </w:rPr>
              <w:t>具备开工条件</w:t>
            </w:r>
          </w:p>
        </w:tc>
      </w:tr>
      <w:tr w14:paraId="258B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710ACE18">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977" w:type="pct"/>
            <w:vAlign w:val="center"/>
          </w:tcPr>
          <w:p w14:paraId="4FFF08CE">
            <w:pPr>
              <w:pStyle w:val="7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采购人提供的资料</w:t>
            </w:r>
          </w:p>
        </w:tc>
        <w:tc>
          <w:tcPr>
            <w:tcW w:w="3556" w:type="pct"/>
            <w:vAlign w:val="center"/>
          </w:tcPr>
          <w:p w14:paraId="4960A9C6">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谈判文件</w:t>
            </w:r>
          </w:p>
          <w:p w14:paraId="57070105">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1F62BD6C">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最高投标限价</w:t>
            </w:r>
          </w:p>
          <w:p w14:paraId="2C288B3B">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电子版图纸</w:t>
            </w:r>
          </w:p>
          <w:p w14:paraId="2E46A5F5">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0638D47D">
            <w:pPr>
              <w:pStyle w:val="77"/>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上述资料请供应商在获取谈判文件后，自行登录电子交易系统下载本项目附件。</w:t>
            </w:r>
          </w:p>
        </w:tc>
      </w:tr>
      <w:tr w14:paraId="4360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5BBCB68F">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977" w:type="pct"/>
            <w:vAlign w:val="center"/>
          </w:tcPr>
          <w:p w14:paraId="0712F22D">
            <w:pPr>
              <w:pStyle w:val="7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工程量清单和最高投标限价编制费</w:t>
            </w:r>
          </w:p>
        </w:tc>
        <w:tc>
          <w:tcPr>
            <w:tcW w:w="3556" w:type="pct"/>
            <w:vAlign w:val="center"/>
          </w:tcPr>
          <w:p w14:paraId="05101BA2">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ascii="宋体" w:hAnsi="宋体" w:eastAsia="宋体" w:cs="宋体"/>
                <w:color w:val="auto"/>
                <w:sz w:val="24"/>
                <w:szCs w:val="24"/>
                <w:highlight w:val="none"/>
                <w:u w:val="single" w:color="auto"/>
              </w:rPr>
              <w:t xml:space="preserve"> </w:t>
            </w:r>
            <w:r>
              <w:rPr>
                <w:rFonts w:hint="eastAsia" w:cs="宋体"/>
                <w:color w:val="auto"/>
                <w:sz w:val="24"/>
                <w:szCs w:val="24"/>
                <w:highlight w:val="none"/>
                <w:u w:val="single" w:color="auto"/>
                <w:lang w:val="en-US" w:eastAsia="zh-CN"/>
              </w:rPr>
              <w:t xml:space="preserve"> 采购人</w:t>
            </w:r>
            <w:r>
              <w:rPr>
                <w:rFonts w:ascii="宋体" w:hAnsi="宋体" w:eastAsia="宋体" w:cs="宋体"/>
                <w:color w:val="auto"/>
                <w:sz w:val="24"/>
                <w:szCs w:val="24"/>
                <w:highlight w:val="none"/>
                <w:u w:val="single" w:color="auto"/>
              </w:rPr>
              <w:t xml:space="preserve">   </w:t>
            </w:r>
          </w:p>
          <w:p w14:paraId="7C3F0E79">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color="auto"/>
              </w:rPr>
              <w:t xml:space="preserve">  </w:t>
            </w:r>
            <w:r>
              <w:rPr>
                <w:rFonts w:hint="eastAsia" w:cs="宋体"/>
                <w:color w:val="auto"/>
                <w:sz w:val="24"/>
                <w:szCs w:val="24"/>
                <w:highlight w:val="none"/>
                <w:u w:val="single" w:color="auto"/>
                <w:lang w:val="en-US" w:eastAsia="zh-CN"/>
              </w:rPr>
              <w:t>转账</w:t>
            </w:r>
            <w:r>
              <w:rPr>
                <w:rFonts w:ascii="宋体" w:hAnsi="宋体" w:eastAsia="宋体" w:cs="宋体"/>
                <w:color w:val="auto"/>
                <w:sz w:val="24"/>
                <w:szCs w:val="24"/>
                <w:highlight w:val="none"/>
                <w:u w:val="single" w:color="auto"/>
              </w:rPr>
              <w:t xml:space="preserve">     </w:t>
            </w:r>
          </w:p>
          <w:p w14:paraId="717274E2">
            <w:pPr>
              <w:pStyle w:val="77"/>
              <w:widowControl w:val="0"/>
              <w:spacing w:before="0" w:beforeAutospacing="0" w:after="0" w:afterAutospacing="0" w:line="360" w:lineRule="auto"/>
              <w:jc w:val="both"/>
              <w:rPr>
                <w:b w:val="0"/>
                <w:color w:val="auto"/>
                <w:sz w:val="24"/>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ascii="宋体" w:hAnsi="宋体" w:eastAsia="宋体" w:cs="宋体"/>
                <w:color w:val="auto"/>
                <w:sz w:val="24"/>
                <w:szCs w:val="24"/>
                <w:highlight w:val="none"/>
                <w:u w:val="single" w:color="auto"/>
              </w:rPr>
              <w:t xml:space="preserve"> </w:t>
            </w:r>
            <w:r>
              <w:rPr>
                <w:rFonts w:ascii="宋体" w:hAnsi="宋体" w:eastAsia="宋体" w:cs="宋体"/>
                <w:b w:val="0"/>
                <w:bCs w:val="0"/>
                <w:color w:val="auto"/>
                <w:sz w:val="24"/>
                <w:szCs w:val="24"/>
                <w:highlight w:val="none"/>
                <w:u w:val="single" w:color="auto"/>
                <w:lang w:val="en-US" w:eastAsia="zh-CN" w:bidi="ar-SA"/>
              </w:rPr>
              <w:t xml:space="preserve"> </w:t>
            </w:r>
            <w:r>
              <w:rPr>
                <w:rFonts w:hint="eastAsia" w:ascii="宋体" w:hAnsi="宋体" w:eastAsia="宋体" w:cs="宋体"/>
                <w:b w:val="0"/>
                <w:bCs w:val="0"/>
                <w:color w:val="auto"/>
                <w:sz w:val="24"/>
                <w:szCs w:val="24"/>
                <w:highlight w:val="none"/>
                <w:u w:val="single" w:color="auto"/>
                <w:lang w:val="en-US" w:eastAsia="zh-CN" w:bidi="ar-SA"/>
              </w:rPr>
              <w:t>双方约定为准</w:t>
            </w:r>
            <w:r>
              <w:rPr>
                <w:rFonts w:ascii="宋体" w:hAnsi="宋体" w:eastAsia="宋体" w:cs="宋体"/>
                <w:color w:val="auto"/>
                <w:sz w:val="24"/>
                <w:szCs w:val="24"/>
                <w:highlight w:val="none"/>
                <w:u w:val="single" w:color="auto"/>
              </w:rPr>
              <w:t xml:space="preserve">  </w:t>
            </w:r>
          </w:p>
        </w:tc>
      </w:tr>
      <w:tr w14:paraId="52D8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7B7CF1E">
            <w:pPr>
              <w:pStyle w:val="7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977" w:type="pct"/>
            <w:vAlign w:val="center"/>
          </w:tcPr>
          <w:p w14:paraId="623167AA">
            <w:pPr>
              <w:pStyle w:val="7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6227" w:type="dxa"/>
            <w:vAlign w:val="center"/>
          </w:tcPr>
          <w:p w14:paraId="10464046">
            <w:pPr>
              <w:numPr>
                <w:ilvl w:val="0"/>
                <w:numId w:val="0"/>
              </w:numPr>
              <w:spacing w:line="360" w:lineRule="auto"/>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1、解释权：</w:t>
            </w:r>
          </w:p>
          <w:p w14:paraId="168FDB2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谈判</w:t>
            </w:r>
            <w:r>
              <w:rPr>
                <w:rFonts w:asciiTheme="minorEastAsia" w:hAnsiTheme="minorEastAsia" w:eastAsiaTheme="minorEastAsia"/>
                <w:bCs/>
                <w:color w:val="auto"/>
                <w:sz w:val="24"/>
                <w:szCs w:val="24"/>
                <w:highlight w:val="none"/>
              </w:rPr>
              <w:t>文件的各个组成文件应互为解释，互为说明；</w:t>
            </w:r>
          </w:p>
          <w:p w14:paraId="0EDEAA4A">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652CAE95">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E756C4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谈判</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谈判及响应文件提交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竞争性谈判</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谈判邀请、供应商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57D0371A">
            <w:pPr>
              <w:pStyle w:val="7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402EB68F">
            <w:pPr>
              <w:pStyle w:val="7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lang w:val="en-US" w:eastAsia="zh-CN"/>
              </w:rPr>
              <w:t>2、</w:t>
            </w:r>
            <w:r>
              <w:rPr>
                <w:rFonts w:hint="eastAsia"/>
                <w:b w:val="0"/>
                <w:color w:val="auto"/>
                <w:sz w:val="24"/>
                <w:highlight w:val="none"/>
              </w:rPr>
              <w:t>“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供应商融资申请信息推送第三方平台、意向金融机构。</w:t>
            </w:r>
          </w:p>
          <w:p w14:paraId="4FB2CF07">
            <w:pPr>
              <w:pStyle w:val="52"/>
              <w:keepNext w:val="0"/>
              <w:keepLines w:val="0"/>
              <w:widowControl w:val="0"/>
              <w:suppressLineNumbers w:val="0"/>
              <w:spacing w:before="0" w:beforeAutospacing="0" w:after="0" w:afterAutospacing="0" w:line="360" w:lineRule="auto"/>
              <w:ind w:left="0" w:right="0"/>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3、电子保函指引：成交供应商可访问安徽省政府采购网“融资/保函”栏目，申请办理电子保函（包括：履约保函、预付款保函）。</w:t>
            </w:r>
          </w:p>
          <w:p w14:paraId="6172BC05">
            <w:pPr>
              <w:pStyle w:val="52"/>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b w:val="0"/>
                <w:bCs/>
                <w:color w:val="auto"/>
                <w:kern w:val="2"/>
                <w:sz w:val="24"/>
                <w:szCs w:val="24"/>
                <w:highlight w:val="none"/>
              </w:rPr>
            </w:pPr>
            <w:r>
              <w:rPr>
                <w:rFonts w:hint="eastAsia" w:cs="@仿宋_GB2312" w:asciiTheme="minorEastAsia" w:hAnsiTheme="minorEastAsia" w:eastAsiaTheme="minorEastAsia"/>
                <w:b w:val="0"/>
                <w:bCs/>
                <w:color w:val="auto"/>
                <w:kern w:val="2"/>
                <w:sz w:val="24"/>
                <w:szCs w:val="24"/>
                <w:highlight w:val="none"/>
                <w:lang w:val="en-US" w:eastAsia="zh-CN" w:bidi="ar-SA"/>
              </w:rPr>
              <w:t>4.</w:t>
            </w:r>
            <w:r>
              <w:rPr>
                <w:rFonts w:hint="eastAsia" w:ascii="宋体" w:hAnsi="宋体" w:eastAsia="宋体" w:cs="宋体"/>
                <w:b w:val="0"/>
                <w:bCs/>
                <w:color w:val="auto"/>
                <w:kern w:val="2"/>
                <w:sz w:val="24"/>
                <w:szCs w:val="24"/>
                <w:highlight w:val="none"/>
                <w:lang w:val="en-US" w:eastAsia="zh-CN" w:bidi="ar"/>
              </w:rPr>
              <w:t>部分可提供线下政采贷的金融机构：</w:t>
            </w:r>
          </w:p>
          <w:p w14:paraId="65D6B909">
            <w:pPr>
              <w:pStyle w:val="77"/>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市本级</w:t>
            </w:r>
          </w:p>
          <w:p w14:paraId="663FCCFD">
            <w:pPr>
              <w:pStyle w:val="77"/>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金融机构名称：兴业银行滁州分行</w:t>
            </w:r>
          </w:p>
          <w:p w14:paraId="6D490014">
            <w:pPr>
              <w:pStyle w:val="77"/>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安徽省滁州市琅琊区丰乐大道1090号</w:t>
            </w:r>
          </w:p>
          <w:p w14:paraId="30FAF2C8">
            <w:pPr>
              <w:pStyle w:val="77"/>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俞冉：18256950224</w:t>
            </w:r>
          </w:p>
        </w:tc>
      </w:tr>
      <w:tr w14:paraId="306B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1A36A39B">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30.11</w:t>
            </w:r>
          </w:p>
        </w:tc>
        <w:tc>
          <w:tcPr>
            <w:tcW w:w="977" w:type="pct"/>
            <w:vAlign w:val="center"/>
          </w:tcPr>
          <w:p w14:paraId="714DD7F2">
            <w:pPr>
              <w:pStyle w:val="7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lang w:val="en-US" w:eastAsia="zh-CN"/>
              </w:rPr>
              <w:t>特别提示</w:t>
            </w:r>
          </w:p>
        </w:tc>
        <w:tc>
          <w:tcPr>
            <w:tcW w:w="3556" w:type="pct"/>
            <w:vAlign w:val="center"/>
          </w:tcPr>
          <w:p w14:paraId="06250ECD">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cs="@仿宋_GB2312" w:asciiTheme="minorEastAsia" w:hAnsiTheme="minorEastAsia" w:eastAsiaTheme="minorEastAsia"/>
                <w:b w:val="0"/>
                <w:bCs/>
                <w:color w:val="auto"/>
                <w:kern w:val="2"/>
                <w:sz w:val="24"/>
                <w:szCs w:val="24"/>
                <w:highlight w:val="none"/>
                <w:u w:val="none"/>
                <w:lang w:val="en-US" w:eastAsia="zh-CN" w:bidi="ar-SA"/>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（1）供应商应填写信息并下载谈判文件，否则无法上传响应文件。</w:t>
            </w:r>
          </w:p>
          <w:p w14:paraId="42F7367F">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cs="@仿宋_GB2312" w:asciiTheme="minorEastAsia" w:hAnsiTheme="minorEastAsia" w:eastAsiaTheme="minorEastAsia"/>
                <w:b w:val="0"/>
                <w:bCs/>
                <w:color w:val="auto"/>
                <w:kern w:val="2"/>
                <w:sz w:val="24"/>
                <w:szCs w:val="24"/>
                <w:highlight w:val="none"/>
                <w:u w:val="none"/>
                <w:lang w:val="en-US" w:eastAsia="zh-CN" w:bidi="ar-SA"/>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2）本项目采用电子招标投标，请供应商在滁州市公共资源交易中心网&gt;服务指南&gt;软件下载栏目点击下载投标文件制作工具。供应商需采用最新版投标文件制作工具。软件运行需在国际互联网络通畅状态，供应商需注意更新，以免造成响应文件制作错误，如因此导致谈判小组否决其参与资格，责任自负。如有技术问题请联系0550-3801701，4009980000。</w:t>
            </w:r>
          </w:p>
          <w:p w14:paraId="595865C0">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cs="@仿宋_GB2312" w:asciiTheme="minorEastAsia" w:hAnsiTheme="minorEastAsia" w:eastAsiaTheme="minorEastAsia"/>
                <w:b w:val="0"/>
                <w:bCs/>
                <w:color w:val="auto"/>
                <w:kern w:val="2"/>
                <w:sz w:val="24"/>
                <w:szCs w:val="24"/>
                <w:highlight w:val="none"/>
                <w:u w:val="none"/>
                <w:lang w:val="en-US" w:eastAsia="zh-CN" w:bidi="ar-SA"/>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（3）如果过程中出现谈判文件更改，应以最后发布的答疑澄清文件中的模板制作本项目最新响应文件。</w:t>
            </w:r>
          </w:p>
          <w:p w14:paraId="0A0E6F73">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cs="@仿宋_GB2312" w:asciiTheme="minorEastAsia" w:hAnsiTheme="minorEastAsia" w:eastAsiaTheme="minorEastAsia"/>
                <w:b w:val="0"/>
                <w:bCs/>
                <w:color w:val="auto"/>
                <w:kern w:val="2"/>
                <w:sz w:val="24"/>
                <w:szCs w:val="24"/>
                <w:highlight w:val="none"/>
                <w:u w:val="none"/>
                <w:lang w:val="en-US" w:eastAsia="zh-CN" w:bidi="ar-SA"/>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 xml:space="preserve">（4）供应商应当用本单位CA数字证书制作响应文件，制作成功后进行响应文件上传。 </w:t>
            </w:r>
          </w:p>
          <w:p w14:paraId="67A7336D">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cs="@仿宋_GB2312" w:asciiTheme="minorEastAsia" w:hAnsiTheme="minorEastAsia" w:eastAsiaTheme="minorEastAsia"/>
                <w:b w:val="0"/>
                <w:bCs/>
                <w:color w:val="auto"/>
                <w:kern w:val="2"/>
                <w:sz w:val="24"/>
                <w:szCs w:val="24"/>
                <w:highlight w:val="none"/>
                <w:u w:val="none"/>
                <w:lang w:val="en-US" w:eastAsia="zh-CN" w:bidi="ar-SA"/>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5）供应商须用CA数字证书盖章和加密响应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7BDCC5E8">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cs="@仿宋_GB2312" w:asciiTheme="minorEastAsia" w:hAnsiTheme="minorEastAsia" w:eastAsiaTheme="minorEastAsia"/>
                <w:b w:val="0"/>
                <w:bCs/>
                <w:color w:val="auto"/>
                <w:kern w:val="2"/>
                <w:sz w:val="24"/>
                <w:szCs w:val="24"/>
                <w:highlight w:val="none"/>
                <w:u w:val="none"/>
                <w:lang w:val="en-US" w:eastAsia="zh-CN" w:bidi="ar-SA"/>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（6）请供应商注意加密响应文件CA数字证书的有效期，不在有效期的CA数字证书无法解密响应文件。</w:t>
            </w:r>
          </w:p>
          <w:p w14:paraId="039E5753">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cs="@仿宋_GB2312" w:asciiTheme="minorEastAsia" w:hAnsiTheme="minorEastAsia" w:eastAsiaTheme="minorEastAsia"/>
                <w:b w:val="0"/>
                <w:bCs/>
                <w:color w:val="auto"/>
                <w:kern w:val="2"/>
                <w:sz w:val="24"/>
                <w:szCs w:val="24"/>
                <w:highlight w:val="none"/>
                <w:u w:val="none"/>
                <w:lang w:val="en-US" w:eastAsia="zh-CN" w:bidi="ar-SA"/>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（7）供应商投标MAC地址或供应商联系人或联系电话相同的，由谈判小组否决其资格，并报告监管部门作不良行为处理和进一步调查。</w:t>
            </w:r>
          </w:p>
          <w:p w14:paraId="148546AB">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cs="@仿宋_GB2312" w:asciiTheme="minorEastAsia" w:hAnsiTheme="minorEastAsia" w:eastAsiaTheme="minorEastAsia"/>
                <w:b w:val="0"/>
                <w:bCs/>
                <w:color w:val="auto"/>
                <w:kern w:val="2"/>
                <w:sz w:val="24"/>
                <w:szCs w:val="24"/>
                <w:highlight w:val="none"/>
                <w:u w:val="none"/>
                <w:lang w:val="en-US" w:eastAsia="zh-CN" w:bidi="ar-SA"/>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（8）供应商单方面出现其他供应商材料的（组成联合体响应的除外），由谈判小组否决其响应。</w:t>
            </w:r>
          </w:p>
          <w:p w14:paraId="29648BAC">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cs="@仿宋_GB2312" w:asciiTheme="minorEastAsia" w:hAnsiTheme="minorEastAsia" w:eastAsiaTheme="minorEastAsia"/>
                <w:b w:val="0"/>
                <w:bCs/>
                <w:color w:val="auto"/>
                <w:kern w:val="2"/>
                <w:sz w:val="24"/>
                <w:szCs w:val="24"/>
                <w:highlight w:val="none"/>
                <w:u w:val="none"/>
                <w:lang w:val="en-US" w:eastAsia="zh-CN" w:bidi="ar-SA"/>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9）评审时查询响应文件制作机器码、文件创建标识码及造价软件加密锁号。若存在响应文件制作机器码或创建标识码或造价软件加密锁号信息与其他供应商雷同的，由谈判小组否决其资格，依法依规予以处理。</w:t>
            </w:r>
          </w:p>
          <w:p w14:paraId="6B3001DF">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10）电子加密响应文件上传到系统后，需要供应商和代理公司到响应文件提交截止后共同解锁，不存在商务报价等信息通过系统泄密的风险；响应文件提交截止时间前，已上传的响应文件也可以撤回修改。集中到响应文件提交截止时间前上传电子加密响应文件，可能出现由于供应商制作电子响应文件不熟练、网络拥堵等不可预知的情况而且无法及时解决，丧失响应机会，请各供应商提前制作、上传电子加密响应文件，否则由于无法及时上传电子加密响应文件而无效响应的情况，责任自负！</w:t>
            </w:r>
          </w:p>
        </w:tc>
      </w:tr>
      <w:tr w14:paraId="3041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1EB96F4">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30.12</w:t>
            </w:r>
          </w:p>
        </w:tc>
        <w:tc>
          <w:tcPr>
            <w:tcW w:w="977" w:type="pct"/>
            <w:vAlign w:val="center"/>
          </w:tcPr>
          <w:p w14:paraId="55E6D4A7">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评审过程中</w:t>
            </w:r>
          </w:p>
          <w:p w14:paraId="358D4661">
            <w:pPr>
              <w:pStyle w:val="77"/>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的澄清、说明</w:t>
            </w:r>
          </w:p>
          <w:p w14:paraId="5B7FEE0A">
            <w:pPr>
              <w:pStyle w:val="7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lang w:val="en-US" w:eastAsia="zh-CN"/>
              </w:rPr>
              <w:t>或补正</w:t>
            </w:r>
          </w:p>
        </w:tc>
        <w:tc>
          <w:tcPr>
            <w:tcW w:w="3556" w:type="pct"/>
            <w:vAlign w:val="center"/>
          </w:tcPr>
          <w:p w14:paraId="0DE238E8">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cs="@仿宋_GB2312" w:asciiTheme="minorEastAsia" w:hAnsiTheme="minorEastAsia" w:eastAsiaTheme="minorEastAsia"/>
                <w:b w:val="0"/>
                <w:bCs/>
                <w:color w:val="auto"/>
                <w:kern w:val="2"/>
                <w:sz w:val="24"/>
                <w:szCs w:val="24"/>
                <w:highlight w:val="none"/>
                <w:u w:val="none"/>
                <w:lang w:val="en-US" w:eastAsia="zh-CN" w:bidi="ar-SA"/>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1）谈判小组通过网上招投标系统将需要澄清、说明或补正的内容以询标函的形式发送给供应商，供应商应安排专人登录网上招投标系统并保持在线状态，并确保联系方式有效，以便及时接收谈判小组可能发出的询标函。</w:t>
            </w:r>
          </w:p>
          <w:p w14:paraId="2EF07C75">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2）因供应商未登录网上招投标系统导致无法及时接收询标函（远程网上询标）或未在规定时间内按谈判小组要求进行澄清、说明或补正内容的视同供应商放弃澄清、说明或补正内容的权利，谈判小组可按对供应商不利的解释进行判定。</w:t>
            </w:r>
          </w:p>
        </w:tc>
      </w:tr>
      <w:tr w14:paraId="4D18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20AE0CD1">
            <w:pPr>
              <w:pStyle w:val="7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30.13</w:t>
            </w:r>
          </w:p>
        </w:tc>
        <w:tc>
          <w:tcPr>
            <w:tcW w:w="977" w:type="pct"/>
            <w:vAlign w:val="center"/>
          </w:tcPr>
          <w:p w14:paraId="1A14C254">
            <w:pPr>
              <w:pStyle w:val="77"/>
              <w:widowControl w:val="0"/>
              <w:spacing w:before="0" w:beforeAutospacing="0" w:after="0" w:afterAutospacing="0" w:line="360" w:lineRule="auto"/>
              <w:jc w:val="center"/>
              <w:rPr>
                <w:rFonts w:hint="eastAsia"/>
                <w:b w:val="0"/>
                <w:color w:val="auto"/>
                <w:sz w:val="24"/>
                <w:highlight w:val="none"/>
              </w:rPr>
            </w:pPr>
            <w:r>
              <w:rPr>
                <w:rFonts w:hint="eastAsia"/>
                <w:b w:val="0"/>
                <w:color w:val="auto"/>
                <w:sz w:val="24"/>
                <w:highlight w:val="none"/>
                <w:lang w:val="en-US" w:eastAsia="zh-CN"/>
              </w:rPr>
              <w:t>投诉</w:t>
            </w:r>
          </w:p>
        </w:tc>
        <w:tc>
          <w:tcPr>
            <w:tcW w:w="3556" w:type="pct"/>
            <w:vAlign w:val="center"/>
          </w:tcPr>
          <w:p w14:paraId="560E28DC">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cs="@仿宋_GB2312" w:asciiTheme="minorEastAsia" w:hAnsiTheme="minorEastAsia" w:eastAsiaTheme="minorEastAsia"/>
                <w:b w:val="0"/>
                <w:bCs/>
                <w:color w:val="auto"/>
                <w:kern w:val="2"/>
                <w:sz w:val="24"/>
                <w:szCs w:val="24"/>
                <w:highlight w:val="none"/>
                <w:u w:val="none"/>
                <w:lang w:val="en-US" w:eastAsia="zh-CN" w:bidi="ar-SA"/>
              </w:rPr>
              <w:t>供应商对采购人或采购代理机构的答复不满意，或者采购人或采购代理机构未在规定的时间内答复的，可以在答复期满后十五个工作日内按有关规定，以书面形式向同级政府采购监督管理部门提出投诉。</w:t>
            </w:r>
          </w:p>
        </w:tc>
      </w:tr>
      <w:tr w14:paraId="52D2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70C7B282">
            <w:pPr>
              <w:pStyle w:val="78"/>
              <w:pBdr>
                <w:bottom w:val="none" w:color="auto" w:sz="0" w:space="0"/>
              </w:pBdr>
              <w:tabs>
                <w:tab w:val="clear" w:pos="4153"/>
                <w:tab w:val="clear" w:pos="8306"/>
              </w:tabs>
              <w:adjustRightInd/>
              <w:spacing w:line="360" w:lineRule="auto"/>
              <w:textAlignment w:val="auto"/>
              <w:rPr>
                <w:rFonts w:hint="default"/>
                <w:b w:val="0"/>
                <w:bCs/>
                <w:color w:val="auto"/>
                <w:kern w:val="2"/>
                <w:highlight w:val="none"/>
                <w:lang w:val="en-US" w:eastAsia="zh-CN"/>
              </w:rPr>
            </w:pPr>
            <w:r>
              <w:rPr>
                <w:rFonts w:hint="eastAsia"/>
                <w:b w:val="0"/>
                <w:bCs/>
                <w:color w:val="auto"/>
                <w:kern w:val="2"/>
                <w:highlight w:val="none"/>
                <w:lang w:val="en-US" w:eastAsia="zh-CN"/>
              </w:rPr>
              <w:t>30.14</w:t>
            </w:r>
          </w:p>
        </w:tc>
        <w:tc>
          <w:tcPr>
            <w:tcW w:w="977" w:type="pct"/>
            <w:vAlign w:val="center"/>
          </w:tcPr>
          <w:p w14:paraId="0E06F0A7">
            <w:pPr>
              <w:pStyle w:val="77"/>
              <w:widowControl w:val="0"/>
              <w:spacing w:before="0" w:beforeAutospacing="0" w:after="0" w:afterAutospacing="0" w:line="360" w:lineRule="auto"/>
              <w:jc w:val="center"/>
              <w:rPr>
                <w:rFonts w:hint="default"/>
                <w:b w:val="0"/>
                <w:bCs/>
                <w:color w:val="auto"/>
                <w:sz w:val="24"/>
                <w:highlight w:val="none"/>
                <w:lang w:val="en-US" w:eastAsia="zh-CN"/>
              </w:rPr>
            </w:pPr>
            <w:r>
              <w:rPr>
                <w:rFonts w:hint="eastAsia"/>
                <w:b w:val="0"/>
                <w:bCs/>
                <w:color w:val="auto"/>
                <w:sz w:val="24"/>
                <w:highlight w:val="none"/>
                <w:lang w:val="en-US" w:eastAsia="zh-CN"/>
              </w:rPr>
              <w:t>重要说明</w:t>
            </w:r>
          </w:p>
        </w:tc>
        <w:tc>
          <w:tcPr>
            <w:tcW w:w="3556" w:type="pct"/>
            <w:vAlign w:val="center"/>
          </w:tcPr>
          <w:p w14:paraId="5874BF06">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1.本项目为面向中小企业预留份额的采购包，专门面向中</w:t>
            </w:r>
          </w:p>
          <w:p w14:paraId="3AE94177">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小企业采购。专门面向中小企业采购的项目或者采购包，</w:t>
            </w:r>
          </w:p>
          <w:p w14:paraId="40E1EABE">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 xml:space="preserve">不再执行价格评审优惠的扶持政策。 </w:t>
            </w:r>
          </w:p>
          <w:p w14:paraId="0CACAE9D">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2.</w:t>
            </w:r>
            <w:r>
              <w:rPr>
                <w:rFonts w:hint="eastAsia" w:asciiTheme="minorEastAsia" w:hAnsiTheme="minorEastAsia" w:eastAsiaTheme="minorEastAsia"/>
                <w:b w:val="0"/>
                <w:color w:val="auto"/>
                <w:sz w:val="24"/>
                <w:szCs w:val="24"/>
                <w:highlight w:val="none"/>
              </w:rPr>
              <w:t>采购标的对应的中小企业划分标准所属行业：建筑业</w:t>
            </w:r>
          </w:p>
          <w:p w14:paraId="478FEDC0">
            <w:pPr>
              <w:pStyle w:val="7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cs="@仿宋_GB2312" w:asciiTheme="minorEastAsia" w:hAnsiTheme="minorEastAsia" w:eastAsiaTheme="minorEastAsia"/>
                <w:b/>
                <w:bCs w:val="0"/>
                <w:color w:val="auto"/>
                <w:kern w:val="2"/>
                <w:sz w:val="24"/>
                <w:szCs w:val="24"/>
                <w:highlight w:val="none"/>
                <w:u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w:t>
            </w:r>
            <w:r>
              <w:rPr>
                <w:rFonts w:hint="eastAsia" w:cs="@仿宋_GB2312" w:asciiTheme="minorEastAsia" w:hAnsiTheme="minorEastAsia" w:eastAsiaTheme="minorEastAsia"/>
                <w:b w:val="0"/>
                <w:bCs/>
                <w:color w:val="auto"/>
                <w:kern w:val="2"/>
                <w:sz w:val="24"/>
                <w:szCs w:val="24"/>
                <w:highlight w:val="none"/>
                <w:u w:val="none"/>
                <w:lang w:val="en-US" w:eastAsia="zh-CN" w:bidi="ar-SA"/>
              </w:rPr>
              <w:t>落实政府采购支持节能产品、环境标志产品政策。</w:t>
            </w:r>
          </w:p>
        </w:tc>
      </w:tr>
    </w:tbl>
    <w:p w14:paraId="4FBA7814">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8" w:name="_Toc19323"/>
      <w:bookmarkStart w:id="39" w:name="_Toc32464"/>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38"/>
      <w:bookmarkEnd w:id="39"/>
    </w:p>
    <w:p w14:paraId="2691015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7385C07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07B79DE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.2采购代理机构：是指集中采购机构或从事采购代理业务的社会中介机构。</w:t>
      </w:r>
    </w:p>
    <w:p w14:paraId="635536E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1058DC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27D57A1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1BA9BAF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谈判</w:t>
      </w:r>
      <w:r>
        <w:rPr>
          <w:color w:val="auto"/>
          <w:sz w:val="24"/>
          <w:highlight w:val="none"/>
        </w:rPr>
        <w:t>文件。</w:t>
      </w:r>
    </w:p>
    <w:p w14:paraId="47262D3E">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若竞争性谈判公告</w:t>
      </w:r>
      <w:r>
        <w:rPr>
          <w:bCs/>
          <w:color w:val="auto"/>
          <w:sz w:val="24"/>
          <w:szCs w:val="28"/>
          <w:highlight w:val="none"/>
        </w:rPr>
        <w:t>中允许联合体</w:t>
      </w:r>
      <w:r>
        <w:rPr>
          <w:rFonts w:hint="eastAsia"/>
          <w:bCs/>
          <w:color w:val="auto"/>
          <w:sz w:val="24"/>
          <w:szCs w:val="28"/>
          <w:highlight w:val="none"/>
        </w:rPr>
        <w:t>参加谈判</w:t>
      </w:r>
      <w:r>
        <w:rPr>
          <w:bCs/>
          <w:color w:val="auto"/>
          <w:sz w:val="24"/>
          <w:szCs w:val="28"/>
          <w:highlight w:val="none"/>
        </w:rPr>
        <w:t>，对联合体规定如下：</w:t>
      </w:r>
    </w:p>
    <w:p w14:paraId="40262F0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两个以上供应商可以组成一个谈判联合体，以一个供应商的身份谈判</w:t>
      </w:r>
      <w:r>
        <w:rPr>
          <w:color w:val="auto"/>
          <w:sz w:val="24"/>
          <w:highlight w:val="none"/>
        </w:rPr>
        <w:t>。</w:t>
      </w:r>
      <w:r>
        <w:rPr>
          <w:b w:val="0"/>
          <w:color w:val="auto"/>
          <w:sz w:val="24"/>
          <w:highlight w:val="none"/>
        </w:rPr>
        <w:t>联合体参加谈判的，</w:t>
      </w:r>
      <w:r>
        <w:rPr>
          <w:rFonts w:hint="eastAsia"/>
          <w:b w:val="0"/>
          <w:color w:val="auto"/>
          <w:sz w:val="24"/>
          <w:highlight w:val="none"/>
        </w:rPr>
        <w:t>谈判文件获取</w:t>
      </w:r>
      <w:r>
        <w:rPr>
          <w:b w:val="0"/>
          <w:color w:val="auto"/>
          <w:sz w:val="24"/>
          <w:highlight w:val="none"/>
        </w:rPr>
        <w:t>手续由联合体</w:t>
      </w:r>
      <w:r>
        <w:rPr>
          <w:rFonts w:hint="eastAsia"/>
          <w:b w:val="0"/>
          <w:color w:val="auto"/>
          <w:sz w:val="24"/>
          <w:highlight w:val="none"/>
        </w:rPr>
        <w:t>中</w:t>
      </w:r>
      <w:r>
        <w:rPr>
          <w:b w:val="0"/>
          <w:color w:val="auto"/>
          <w:sz w:val="24"/>
          <w:highlight w:val="none"/>
        </w:rPr>
        <w:t>任一</w:t>
      </w:r>
      <w:r>
        <w:rPr>
          <w:rFonts w:hint="eastAsia"/>
          <w:b w:val="0"/>
          <w:color w:val="auto"/>
          <w:sz w:val="24"/>
          <w:highlight w:val="none"/>
        </w:rPr>
        <w:t>成员单位</w:t>
      </w:r>
      <w:r>
        <w:rPr>
          <w:b w:val="0"/>
          <w:color w:val="auto"/>
          <w:sz w:val="24"/>
          <w:highlight w:val="none"/>
        </w:rPr>
        <w:t>办理均可。</w:t>
      </w:r>
    </w:p>
    <w:p w14:paraId="74EA75F9">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345496E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5589AFF8">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32E12BA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谈判</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1324E27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4D82216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谈判</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33138B25">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.8对联合体参加谈判的其他资格要求见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2A682948">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4280E5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.1本项目的采购人已获得足以支付本次谈判后所签订的合同项下的资金。</w:t>
      </w:r>
    </w:p>
    <w:p w14:paraId="0BA97B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谈判费用</w:t>
      </w:r>
    </w:p>
    <w:p w14:paraId="04B83825">
      <w:pPr>
        <w:spacing w:line="360" w:lineRule="auto"/>
        <w:ind w:firstLine="437"/>
        <w:rPr>
          <w:color w:val="auto"/>
          <w:sz w:val="24"/>
          <w:highlight w:val="none"/>
        </w:rPr>
      </w:pPr>
      <w:r>
        <w:rPr>
          <w:rFonts w:hint="eastAsia"/>
          <w:color w:val="auto"/>
          <w:sz w:val="24"/>
          <w:highlight w:val="none"/>
        </w:rPr>
        <w:t>不论谈判的结果如何，供应商应承担其所有与准备和参加谈判有关的费用。</w:t>
      </w:r>
    </w:p>
    <w:p w14:paraId="57C9096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6E16B6CD">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7302FA8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谈判文件构成</w:t>
      </w:r>
    </w:p>
    <w:p w14:paraId="30B62AB9">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.1谈判文件包括下列内容：</w:t>
      </w:r>
    </w:p>
    <w:p w14:paraId="105A853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谈判邀请</w:t>
      </w:r>
    </w:p>
    <w:p w14:paraId="0E4B2CAD">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6CD27D5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D46834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5E716FF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736864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0EB873D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7EF0B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0F8B5FB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文件所有的事项、格式、条款和技术规范等。</w:t>
      </w:r>
    </w:p>
    <w:p w14:paraId="33A256C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谈判文件的澄清与修改</w:t>
      </w:r>
    </w:p>
    <w:p w14:paraId="3E7A21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7D10B79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40" w:name="_Hlk16458572"/>
      <w:r>
        <w:rPr>
          <w:rFonts w:hint="eastAsia"/>
          <w:color w:val="auto"/>
          <w:sz w:val="24"/>
          <w:szCs w:val="18"/>
          <w:highlight w:val="none"/>
        </w:rPr>
        <w:t>安徽省政府采购网</w:t>
      </w:r>
      <w:bookmarkEnd w:id="40"/>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26917918">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A040FBE">
      <w:pPr>
        <w:spacing w:line="360" w:lineRule="auto"/>
        <w:ind w:firstLine="435"/>
        <w:rPr>
          <w:rFonts w:hint="eastAsia" w:asciiTheme="minorEastAsia" w:hAnsiTheme="minorEastAsia" w:eastAsiaTheme="minorEastAsia"/>
          <w:iCs/>
          <w:color w:val="auto"/>
          <w:sz w:val="24"/>
          <w:highlight w:val="none"/>
          <w:lang w:eastAsia="zh-CN"/>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本谈判</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4C99F7E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谈判范围及响应文件中标准和计量单位的使用</w:t>
      </w:r>
    </w:p>
    <w:p w14:paraId="4A78C55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的谈判</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5C000B9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无论谈判文件中是否要求，供应商所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41F4AE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谈判有关的所有往来通知、函件和响应文件均用中文表述。供应商随响应文件提供的证明文件和资料可以为其他语言，但必须附中文译文。翻译的中文资料与外文资料如果出现差异时，以中文为准。</w:t>
      </w:r>
    </w:p>
    <w:p w14:paraId="1D27B9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除谈判文件中有特殊要求外，响应文件中所使用的计量单位，应采用中华人民共和国法定计量单位。</w:t>
      </w:r>
    </w:p>
    <w:p w14:paraId="7AFA754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2D9BF40F">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.1供应商应完整地按谈判文件提供的响应文件格式及要求编写响应文件，具体内容详见第六章响应文件格式的相关内容。</w:t>
      </w:r>
    </w:p>
    <w:p w14:paraId="619B9C3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.2</w:t>
      </w:r>
      <w:r>
        <w:rPr>
          <w:rFonts w:hint="eastAsia"/>
          <w:color w:val="auto"/>
          <w:sz w:val="24"/>
          <w:highlight w:val="none"/>
        </w:rPr>
        <w:t>供应商应提交谈判文件要求的证明文件，证明其响应内容符合谈判文件规定。该证明文件是响应文件的一部分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41" w:name="_Hlk11703583"/>
      <w:r>
        <w:rPr>
          <w:rFonts w:hint="eastAsia" w:asciiTheme="minorEastAsia" w:hAnsiTheme="minorEastAsia" w:eastAsiaTheme="minorEastAsia"/>
          <w:color w:val="auto"/>
          <w:sz w:val="24"/>
          <w:highlight w:val="none"/>
        </w:rPr>
        <w:t>。</w:t>
      </w:r>
    </w:p>
    <w:bookmarkEnd w:id="41"/>
    <w:p w14:paraId="61402C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公正，除非谈判文件另有规定或说明，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备选谈判</w:t>
      </w:r>
      <w:r>
        <w:rPr>
          <w:rFonts w:asciiTheme="minorEastAsia" w:hAnsiTheme="minorEastAsia" w:eastAsiaTheme="minorEastAsia"/>
          <w:color w:val="auto"/>
          <w:sz w:val="24"/>
          <w:highlight w:val="none"/>
        </w:rPr>
        <w:t>方案。</w:t>
      </w:r>
    </w:p>
    <w:p w14:paraId="31499FF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5BB1E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内容。所有报价均应以人民币报价，供应商的谈判报价应遵守《中华人民共和国价格法》。</w:t>
      </w:r>
    </w:p>
    <w:p w14:paraId="7B4CC5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最后报价均不得高于谈判文件（公告）列明的项目预算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4315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4F7D84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3B057C0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谈判保证金</w:t>
      </w:r>
    </w:p>
    <w:p w14:paraId="2A74DA7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0</w:t>
      </w:r>
      <w:r>
        <w:rPr>
          <w:rFonts w:hint="eastAsia" w:cs="@仿宋_GB2312" w:asciiTheme="minorEastAsia" w:hAnsiTheme="minorEastAsia" w:eastAsiaTheme="minorEastAsia"/>
          <w:color w:val="auto"/>
          <w:kern w:val="2"/>
          <w:sz w:val="24"/>
          <w:highlight w:val="none"/>
        </w:rPr>
        <w:t>.1本项目不收取谈判保证金。</w:t>
      </w:r>
    </w:p>
    <w:p w14:paraId="6D4678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谈判有效期</w:t>
      </w:r>
    </w:p>
    <w:p w14:paraId="39F8C10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.1谈判有效期为从响应文件提交截止之日算起的日历天数，谈判有效期详见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61F13B1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.2在谈判有效期内，供应商的谈判保持有效，供应商不得要求撤销或修改其响应文件。谈判有效期不满足要求的响应，其响应文件将被认定为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7BFDD4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6768CE0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1B3134B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竞争性谈判公告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510ABF8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0286E032">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254EE214">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但属于谈判小组在评审中发现的计算错误并进行核实的修改、按照谈判文件的变动情况和谈判小组的要求重新提交响应文件的，不在此列。</w:t>
      </w:r>
    </w:p>
    <w:p w14:paraId="2CD9B12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8.</w:t>
      </w:r>
      <w:r>
        <w:rPr>
          <w:rFonts w:hint="eastAsia" w:asciiTheme="minorEastAsia" w:hAnsiTheme="minorEastAsia" w:eastAsiaTheme="minorEastAsia"/>
          <w:b/>
          <w:color w:val="auto"/>
          <w:sz w:val="24"/>
          <w:highlight w:val="none"/>
        </w:rPr>
        <w:t>谈判小组</w:t>
      </w:r>
    </w:p>
    <w:p w14:paraId="0C0B5A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.1本项目将依法组建谈判小组，谈判小组成员由3人以上单数组成，谈判小组及其成员应当依照政府采购的有关规定履行相关职责和义务。</w:t>
      </w:r>
    </w:p>
    <w:p w14:paraId="5B17E4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.2谈判小组依法对响应文件进行评审，并根据谈判文件规定的程序、评定成交的标准等事项与实质性响应谈判文件要求的供应商进行谈判。</w:t>
      </w:r>
    </w:p>
    <w:p w14:paraId="0C8FD8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.3谈判小组应当从质量和服务均能满足谈判文件实质性响应要求的供应商中，按照评审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4E63474B">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.响应文件的评审与谈判</w:t>
      </w:r>
    </w:p>
    <w:p w14:paraId="5810FC7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4</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竞争性谈判公告</w:t>
      </w:r>
      <w:r>
        <w:rPr>
          <w:rFonts w:hint="eastAsia" w:cs="@仿宋_GB2312" w:asciiTheme="minorEastAsia" w:hAnsiTheme="minorEastAsia" w:eastAsiaTheme="minorEastAsia"/>
          <w:color w:val="auto"/>
          <w:kern w:val="2"/>
          <w:sz w:val="24"/>
          <w:highlight w:val="none"/>
        </w:rPr>
        <w:t>规定的时间和地点组织谈判。</w:t>
      </w:r>
    </w:p>
    <w:p w14:paraId="025074F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4</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rPr>
        <w:t>2竞争性谈判采用最低评标价法评审。</w:t>
      </w:r>
    </w:p>
    <w:p w14:paraId="3CC2907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最低评标价法，是指响应文件满足谈判文件全部实质性要求且最后报价最低的供应商为成交候选人的评审办法。</w:t>
      </w:r>
    </w:p>
    <w:p w14:paraId="2911639F">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.3谈判小组将按照谈判文件规定的评审办法和</w:t>
      </w:r>
      <w:r>
        <w:rPr>
          <w:rFonts w:cs="@仿宋_GB2312" w:asciiTheme="minorEastAsia" w:hAnsiTheme="minorEastAsia" w:eastAsiaTheme="minorEastAsia"/>
          <w:color w:val="auto"/>
          <w:kern w:val="2"/>
          <w:sz w:val="24"/>
          <w:highlight w:val="none"/>
        </w:rPr>
        <w:t>标准</w:t>
      </w:r>
      <w:r>
        <w:rPr>
          <w:rFonts w:hint="eastAsia" w:cs="@仿宋_GB2312" w:asciiTheme="minorEastAsia" w:hAnsiTheme="minorEastAsia" w:eastAsiaTheme="minorEastAsia"/>
          <w:color w:val="auto"/>
          <w:kern w:val="2"/>
          <w:sz w:val="24"/>
          <w:highlight w:val="none"/>
        </w:rPr>
        <w:t>对供应商独立进行评审。评审程序如下：</w:t>
      </w:r>
    </w:p>
    <w:p w14:paraId="2FF656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。谈判小组对供应商必须满足和实质性响应的内容进行评审，供应商未实质性响应谈判文件要求导致响应无效的，谈判小组将以书面询标的方式告知有关供应商。</w:t>
      </w:r>
    </w:p>
    <w:p w14:paraId="50D897F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0C54359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cs="宋体"/>
          <w:color w:val="auto"/>
          <w:sz w:val="24"/>
          <w:szCs w:val="24"/>
          <w:highlight w:val="none"/>
          <w:lang w:val="en-US" w:eastAsia="zh-CN"/>
        </w:rPr>
        <w:t>谈判</w:t>
      </w:r>
      <w:r>
        <w:rPr>
          <w:rFonts w:hint="eastAsia" w:ascii="宋体" w:hAnsi="宋体" w:eastAsia="宋体" w:cs="宋体"/>
          <w:color w:val="auto"/>
          <w:sz w:val="24"/>
          <w:szCs w:val="24"/>
          <w:highlight w:val="none"/>
        </w:rPr>
        <w:t>的，联合体成员存在以上不良信用记录的，联合体</w:t>
      </w:r>
      <w:r>
        <w:rPr>
          <w:rFonts w:hint="eastAsia" w:cs="宋体"/>
          <w:color w:val="auto"/>
          <w:sz w:val="24"/>
          <w:szCs w:val="24"/>
          <w:highlight w:val="none"/>
          <w:lang w:val="en-US" w:eastAsia="zh-CN"/>
        </w:rPr>
        <w:t>谈判</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77D2BC4">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6CE9D7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谈判</w:t>
      </w:r>
      <w:r>
        <w:rPr>
          <w:rFonts w:hint="eastAsia" w:asciiTheme="minorEastAsia" w:hAnsiTheme="minorEastAsia" w:eastAsiaTheme="minorEastAsia"/>
          <w:color w:val="auto"/>
          <w:sz w:val="24"/>
          <w:highlight w:val="none"/>
        </w:rPr>
        <w:t>。初审合格后，谈判小组将按网上加密电子响应文件提交顺序集中与单一供应商分别进行谈判，并给予所有参加谈判的供应商平等的谈判机会。</w:t>
      </w:r>
    </w:p>
    <w:p w14:paraId="3896278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谈判结束后，谈判小组应当要求所有</w:t>
      </w:r>
      <w:r>
        <w:rPr>
          <w:rFonts w:hint="eastAsia" w:asciiTheme="minorEastAsia" w:hAnsiTheme="minorEastAsia" w:eastAsiaTheme="minorEastAsia"/>
          <w:color w:val="auto"/>
          <w:sz w:val="24"/>
          <w:highlight w:val="none"/>
        </w:rPr>
        <w:t>继续参加谈判</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02FB9D84">
      <w:pPr>
        <w:spacing w:line="360" w:lineRule="auto"/>
        <w:ind w:firstLine="435"/>
        <w:rPr>
          <w:color w:val="auto"/>
          <w:highlight w:val="none"/>
        </w:rPr>
      </w:pPr>
      <w:r>
        <w:rPr>
          <w:rFonts w:hint="eastAsia" w:asciiTheme="minorEastAsia" w:hAnsiTheme="minorEastAsia" w:eastAsiaTheme="minorEastAsia"/>
          <w:color w:val="auto"/>
          <w:sz w:val="24"/>
          <w:highlight w:val="none"/>
          <w:lang w:val="en-US" w:eastAsia="zh-CN"/>
        </w:rPr>
        <w:t xml:space="preserve">14.3.4 </w:t>
      </w:r>
      <w:r>
        <w:rPr>
          <w:rFonts w:hint="eastAsia" w:asciiTheme="minorEastAsia" w:hAnsiTheme="minorEastAsia" w:eastAsiaTheme="minorEastAsia"/>
          <w:b/>
          <w:bCs/>
          <w:color w:val="auto"/>
          <w:sz w:val="24"/>
          <w:highlight w:val="none"/>
          <w:lang w:val="en-US" w:eastAsia="zh-CN"/>
        </w:rPr>
        <w:t>异常低价响应审查。</w:t>
      </w: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color w:val="auto"/>
          <w:sz w:val="24"/>
          <w:highlight w:val="none"/>
          <w:lang w:val="en-US" w:eastAsia="zh-CN"/>
        </w:rPr>
        <w:t>谈判</w:t>
      </w:r>
      <w:r>
        <w:rPr>
          <w:rFonts w:hint="eastAsia" w:ascii="宋体" w:hAnsi="宋体" w:eastAsia="宋体"/>
          <w:color w:val="auto"/>
          <w:sz w:val="24"/>
          <w:highlight w:val="none"/>
          <w:lang w:val="en-US" w:eastAsia="zh-CN"/>
        </w:rPr>
        <w:t>小组进行异常低价响应审查。</w:t>
      </w:r>
    </w:p>
    <w:p w14:paraId="2B2F95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132A65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.4.1为保证谈判活动顺利进行，供应商可派相关技术人员进行网上答疑；</w:t>
      </w:r>
    </w:p>
    <w:p w14:paraId="174414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.4.2谈判</w:t>
      </w:r>
      <w:r>
        <w:rPr>
          <w:rFonts w:asciiTheme="minorEastAsia" w:hAnsiTheme="minorEastAsia" w:eastAsiaTheme="minorEastAsia"/>
          <w:color w:val="auto"/>
          <w:sz w:val="24"/>
          <w:highlight w:val="none"/>
        </w:rPr>
        <w:t>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谈判情况可能实质性变动</w:t>
      </w:r>
      <w:r>
        <w:rPr>
          <w:rFonts w:hint="eastAsia" w:asciiTheme="minorEastAsia" w:hAnsiTheme="minorEastAsia" w:eastAsiaTheme="minorEastAsia"/>
          <w:color w:val="auto"/>
          <w:sz w:val="24"/>
          <w:highlight w:val="none"/>
        </w:rPr>
        <w:t>谈判文件</w:t>
      </w:r>
      <w:r>
        <w:rPr>
          <w:rFonts w:asciiTheme="minorEastAsia" w:hAnsiTheme="minorEastAsia" w:eastAsiaTheme="minorEastAsia"/>
          <w:color w:val="auto"/>
          <w:sz w:val="24"/>
          <w:highlight w:val="none"/>
        </w:rPr>
        <w:t>的内容，包括采购需求中的技术、服务要求以及合同草案条款。谈判文件有实质性变动的，</w:t>
      </w:r>
      <w:r>
        <w:rPr>
          <w:rFonts w:hint="eastAsia" w:asciiTheme="minorEastAsia" w:hAnsiTheme="minorEastAsia" w:eastAsiaTheme="minorEastAsia"/>
          <w:color w:val="auto"/>
          <w:sz w:val="24"/>
          <w:highlight w:val="none"/>
        </w:rPr>
        <w:t>经采购人代表确认作为谈判文件的有效组成部分，</w:t>
      </w:r>
      <w:r>
        <w:rPr>
          <w:rFonts w:asciiTheme="minorEastAsia" w:hAnsiTheme="minorEastAsia" w:eastAsiaTheme="minorEastAsia"/>
          <w:color w:val="auto"/>
          <w:sz w:val="24"/>
          <w:highlight w:val="none"/>
        </w:rPr>
        <w:t>谈判小组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以书面形式通知所有参加谈判的供应商。</w:t>
      </w:r>
    </w:p>
    <w:p w14:paraId="3D7200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小组可以视同其未提供。</w:t>
      </w:r>
    </w:p>
    <w:p w14:paraId="0F6494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6C7758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谈判过程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2F562C3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.终止竞争性谈判</w:t>
      </w:r>
    </w:p>
    <w:p w14:paraId="17778E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.1出现下列情况之一时，采购人和采购代理机构有权宣布终止竞争性谈判采购，并将理由通知所有供应商：</w:t>
      </w:r>
    </w:p>
    <w:p w14:paraId="1544EE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（1）有效供应商数量不足，导致本次谈判缺乏竞争的；</w:t>
      </w:r>
    </w:p>
    <w:p w14:paraId="2CDFBFE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6D6632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43F473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713A6FE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67ADFBD9">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2B8B6109">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.2谈判小组要求供应商澄清、说明或者更正响应文件应当以书面形式（询标）作出。供应商的澄清、说明或者更正应当由法定代表人或其授权代表签字或者加盖公章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79AFD74E">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而无法接受谈判小组询标的，供应商自行承担相关风险。</w:t>
      </w:r>
    </w:p>
    <w:p w14:paraId="58A6577F">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宋体" w:hAnsi="宋体" w:eastAsia="宋体"/>
          <w:b/>
          <w:color w:val="auto"/>
          <w:sz w:val="24"/>
          <w:highlight w:val="none"/>
        </w:rPr>
        <w:t>本项目采用远程开标，具体操作方法详见服务指南&gt;交易须知&gt;开标大厅远程解密、质疑(异议)及回复以及评标过程中询标流程操作手册。</w:t>
      </w:r>
    </w:p>
    <w:p w14:paraId="7D7FE4A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0938B2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谈判并不限定只进行二轮报价，如果谈判小组认为有必要，可以要求供应商进行多轮报价</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本项目约定为二轮报价</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w:t>
      </w:r>
    </w:p>
    <w:p w14:paraId="3AD2882D">
      <w:pPr>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eastAsia="zh-CN"/>
        </w:rPr>
        <w:t>本次</w:t>
      </w:r>
      <w:r>
        <w:rPr>
          <w:rFonts w:hint="eastAsia" w:asciiTheme="minorEastAsia" w:hAnsiTheme="minorEastAsia" w:eastAsiaTheme="minorEastAsia"/>
          <w:b/>
          <w:bCs/>
          <w:color w:val="auto"/>
          <w:sz w:val="24"/>
          <w:highlight w:val="none"/>
          <w:lang w:val="en-US" w:eastAsia="zh-CN"/>
        </w:rPr>
        <w:t>谈判</w:t>
      </w:r>
      <w:r>
        <w:rPr>
          <w:rFonts w:hint="eastAsia" w:asciiTheme="minorEastAsia" w:hAnsiTheme="minorEastAsia" w:eastAsiaTheme="minorEastAsia"/>
          <w:b/>
          <w:bCs/>
          <w:color w:val="auto"/>
          <w:sz w:val="24"/>
          <w:highlight w:val="none"/>
          <w:lang w:eastAsia="zh-CN"/>
        </w:rPr>
        <w:t>实行</w:t>
      </w:r>
      <w:r>
        <w:rPr>
          <w:rFonts w:hint="eastAsia" w:asciiTheme="minorEastAsia" w:hAnsiTheme="minorEastAsia" w:eastAsiaTheme="minorEastAsia"/>
          <w:b/>
          <w:bCs/>
          <w:color w:val="auto"/>
          <w:sz w:val="24"/>
          <w:highlight w:val="none"/>
          <w:lang w:val="en-US" w:eastAsia="zh-CN"/>
        </w:rPr>
        <w:t>二轮报价</w:t>
      </w:r>
      <w:r>
        <w:rPr>
          <w:rFonts w:hint="eastAsia" w:asciiTheme="minorEastAsia" w:hAnsiTheme="minorEastAsia" w:eastAsiaTheme="minorEastAsia"/>
          <w:b/>
          <w:bCs/>
          <w:color w:val="auto"/>
          <w:sz w:val="24"/>
          <w:highlight w:val="none"/>
          <w:lang w:eastAsia="zh-CN"/>
        </w:rPr>
        <w:t>。第一</w:t>
      </w:r>
      <w:r>
        <w:rPr>
          <w:rFonts w:hint="eastAsia" w:asciiTheme="minorEastAsia" w:hAnsiTheme="minorEastAsia" w:eastAsiaTheme="minorEastAsia"/>
          <w:b/>
          <w:bCs/>
          <w:color w:val="auto"/>
          <w:sz w:val="24"/>
          <w:highlight w:val="none"/>
          <w:lang w:val="en-US" w:eastAsia="zh-CN"/>
        </w:rPr>
        <w:t>轮</w:t>
      </w:r>
      <w:r>
        <w:rPr>
          <w:rFonts w:hint="eastAsia" w:asciiTheme="minorEastAsia" w:hAnsiTheme="minorEastAsia" w:eastAsiaTheme="minorEastAsia"/>
          <w:b/>
          <w:bCs/>
          <w:color w:val="auto"/>
          <w:sz w:val="24"/>
          <w:highlight w:val="none"/>
          <w:lang w:eastAsia="zh-CN"/>
        </w:rPr>
        <w:t>报价为供应商在响应文件中填报的报价，第</w:t>
      </w:r>
      <w:r>
        <w:rPr>
          <w:rFonts w:hint="eastAsia" w:asciiTheme="minorEastAsia" w:hAnsiTheme="minorEastAsia" w:eastAsiaTheme="minorEastAsia"/>
          <w:b/>
          <w:bCs/>
          <w:color w:val="auto"/>
          <w:sz w:val="24"/>
          <w:highlight w:val="none"/>
          <w:lang w:val="en-US" w:eastAsia="zh-CN"/>
        </w:rPr>
        <w:t>二轮</w:t>
      </w:r>
      <w:r>
        <w:rPr>
          <w:rFonts w:hint="eastAsia" w:asciiTheme="minorEastAsia" w:hAnsiTheme="minorEastAsia" w:eastAsiaTheme="minorEastAsia"/>
          <w:b/>
          <w:bCs/>
          <w:color w:val="auto"/>
          <w:sz w:val="24"/>
          <w:highlight w:val="none"/>
          <w:lang w:eastAsia="zh-CN"/>
        </w:rPr>
        <w:t>报价在响应文件通过评审后，由谈判小组通过评标系统以询标方式，向响应文件评审有效的各供应商进行询标，各供应商应在评标系统询标规定的时间内，通过“评标澄清回复”进行第</w:t>
      </w:r>
      <w:r>
        <w:rPr>
          <w:rFonts w:hint="eastAsia" w:asciiTheme="minorEastAsia" w:hAnsiTheme="minorEastAsia" w:eastAsiaTheme="minorEastAsia"/>
          <w:b/>
          <w:bCs/>
          <w:color w:val="auto"/>
          <w:sz w:val="24"/>
          <w:highlight w:val="none"/>
          <w:lang w:val="en-US" w:eastAsia="zh-CN"/>
        </w:rPr>
        <w:t>二轮</w:t>
      </w:r>
      <w:r>
        <w:rPr>
          <w:rFonts w:hint="eastAsia" w:asciiTheme="minorEastAsia" w:hAnsiTheme="minorEastAsia" w:eastAsiaTheme="minorEastAsia"/>
          <w:b/>
          <w:bCs/>
          <w:color w:val="auto"/>
          <w:sz w:val="24"/>
          <w:highlight w:val="none"/>
          <w:lang w:eastAsia="zh-CN"/>
        </w:rPr>
        <w:t>报价。各供应商应及时查看系统质询问题并及时进行第</w:t>
      </w:r>
      <w:r>
        <w:rPr>
          <w:rFonts w:hint="eastAsia" w:asciiTheme="minorEastAsia" w:hAnsiTheme="minorEastAsia" w:eastAsiaTheme="minorEastAsia"/>
          <w:b/>
          <w:bCs/>
          <w:color w:val="auto"/>
          <w:sz w:val="24"/>
          <w:highlight w:val="none"/>
          <w:lang w:val="en-US" w:eastAsia="zh-CN"/>
        </w:rPr>
        <w:t>二轮</w:t>
      </w:r>
      <w:r>
        <w:rPr>
          <w:rFonts w:hint="eastAsia" w:asciiTheme="minorEastAsia" w:hAnsiTheme="minorEastAsia" w:eastAsiaTheme="minorEastAsia"/>
          <w:b/>
          <w:bCs/>
          <w:color w:val="auto"/>
          <w:sz w:val="24"/>
          <w:highlight w:val="none"/>
          <w:lang w:eastAsia="zh-CN"/>
        </w:rPr>
        <w:t>报价，第</w:t>
      </w:r>
      <w:r>
        <w:rPr>
          <w:rFonts w:hint="eastAsia" w:asciiTheme="minorEastAsia" w:hAnsiTheme="minorEastAsia" w:eastAsiaTheme="minorEastAsia"/>
          <w:b/>
          <w:bCs/>
          <w:color w:val="auto"/>
          <w:sz w:val="24"/>
          <w:highlight w:val="none"/>
          <w:lang w:val="en-US" w:eastAsia="zh-CN"/>
        </w:rPr>
        <w:t>二轮</w:t>
      </w:r>
      <w:r>
        <w:rPr>
          <w:rFonts w:hint="eastAsia" w:asciiTheme="minorEastAsia" w:hAnsiTheme="minorEastAsia" w:eastAsiaTheme="minorEastAsia"/>
          <w:b/>
          <w:bCs/>
          <w:color w:val="auto"/>
          <w:sz w:val="24"/>
          <w:highlight w:val="none"/>
          <w:lang w:eastAsia="zh-CN"/>
        </w:rPr>
        <w:t>报价即为最后报价，若供应商未在系统询标规定的时间内进行第二轮报价（最后报价），视同退出谈判，</w:t>
      </w:r>
      <w:r>
        <w:rPr>
          <w:rFonts w:hint="eastAsia" w:asciiTheme="minorEastAsia" w:hAnsiTheme="minorEastAsia" w:eastAsiaTheme="minorEastAsia"/>
          <w:b/>
          <w:bCs/>
          <w:color w:val="auto"/>
          <w:sz w:val="24"/>
          <w:highlight w:val="none"/>
          <w:lang w:val="en-US" w:eastAsia="zh-CN"/>
        </w:rPr>
        <w:t>谈判</w:t>
      </w:r>
      <w:r>
        <w:rPr>
          <w:rFonts w:hint="eastAsia" w:asciiTheme="minorEastAsia" w:hAnsiTheme="minorEastAsia" w:eastAsiaTheme="minorEastAsia"/>
          <w:b/>
          <w:bCs/>
          <w:color w:val="auto"/>
          <w:sz w:val="24"/>
          <w:highlight w:val="none"/>
          <w:lang w:eastAsia="zh-CN"/>
        </w:rPr>
        <w:t>小组对其做无效响应处理，或第二轮报价被</w:t>
      </w:r>
      <w:r>
        <w:rPr>
          <w:rFonts w:hint="eastAsia" w:asciiTheme="minorEastAsia" w:hAnsiTheme="minorEastAsia" w:eastAsiaTheme="minorEastAsia"/>
          <w:b/>
          <w:bCs/>
          <w:color w:val="auto"/>
          <w:sz w:val="24"/>
          <w:highlight w:val="none"/>
          <w:lang w:val="en-US" w:eastAsia="zh-CN"/>
        </w:rPr>
        <w:t>谈判</w:t>
      </w:r>
      <w:r>
        <w:rPr>
          <w:rFonts w:hint="eastAsia" w:asciiTheme="minorEastAsia" w:hAnsiTheme="minorEastAsia" w:eastAsiaTheme="minorEastAsia"/>
          <w:b/>
          <w:bCs/>
          <w:color w:val="auto"/>
          <w:sz w:val="24"/>
          <w:highlight w:val="none"/>
          <w:lang w:eastAsia="zh-CN"/>
        </w:rPr>
        <w:t>小组认为不符合要求的，</w:t>
      </w:r>
      <w:r>
        <w:rPr>
          <w:rFonts w:hint="eastAsia" w:asciiTheme="minorEastAsia" w:hAnsiTheme="minorEastAsia" w:eastAsiaTheme="minorEastAsia"/>
          <w:b/>
          <w:bCs/>
          <w:color w:val="auto"/>
          <w:sz w:val="24"/>
          <w:highlight w:val="none"/>
          <w:lang w:val="en-US" w:eastAsia="zh-CN"/>
        </w:rPr>
        <w:t>谈判</w:t>
      </w:r>
      <w:r>
        <w:rPr>
          <w:rFonts w:hint="eastAsia" w:asciiTheme="minorEastAsia" w:hAnsiTheme="minorEastAsia" w:eastAsiaTheme="minorEastAsia"/>
          <w:b/>
          <w:bCs/>
          <w:color w:val="auto"/>
          <w:sz w:val="24"/>
          <w:highlight w:val="none"/>
          <w:lang w:eastAsia="zh-CN"/>
        </w:rPr>
        <w:t>小组对其做无效响应处理。</w:t>
      </w:r>
      <w:r>
        <w:rPr>
          <w:rFonts w:hint="eastAsia" w:asciiTheme="minorEastAsia" w:hAnsiTheme="minorEastAsia" w:eastAsiaTheme="minorEastAsia"/>
          <w:b/>
          <w:bCs/>
          <w:color w:val="auto"/>
          <w:sz w:val="24"/>
          <w:highlight w:val="none"/>
          <w:lang w:val="en-US" w:eastAsia="zh-CN"/>
        </w:rPr>
        <w:t>谈判</w:t>
      </w:r>
      <w:r>
        <w:rPr>
          <w:rFonts w:hint="eastAsia" w:asciiTheme="minorEastAsia" w:hAnsiTheme="minorEastAsia" w:eastAsiaTheme="minorEastAsia"/>
          <w:b/>
          <w:bCs/>
          <w:color w:val="auto"/>
          <w:sz w:val="24"/>
          <w:highlight w:val="none"/>
          <w:lang w:eastAsia="zh-CN"/>
        </w:rPr>
        <w:t>价格以供应商的最后报价为准。望各供应商务必全程在线，及时进行回复，否则，因此给其造成相关后果，自行承担。采用分项报价的项目，最后报价的各分项结合第</w:t>
      </w:r>
      <w:r>
        <w:rPr>
          <w:rFonts w:hint="eastAsia" w:asciiTheme="minorEastAsia" w:hAnsiTheme="minorEastAsia" w:eastAsiaTheme="minorEastAsia"/>
          <w:b/>
          <w:bCs/>
          <w:color w:val="auto"/>
          <w:sz w:val="24"/>
          <w:highlight w:val="none"/>
          <w:lang w:val="en-US" w:eastAsia="zh-CN"/>
        </w:rPr>
        <w:t>一轮</w:t>
      </w:r>
      <w:r>
        <w:rPr>
          <w:rFonts w:hint="eastAsia" w:asciiTheme="minorEastAsia" w:hAnsiTheme="minorEastAsia" w:eastAsiaTheme="minorEastAsia"/>
          <w:b/>
          <w:bCs/>
          <w:color w:val="auto"/>
          <w:sz w:val="24"/>
          <w:highlight w:val="none"/>
          <w:lang w:eastAsia="zh-CN"/>
        </w:rPr>
        <w:t>报价中的各项单价按总价同比例下浮，价款结算时按成交下浮比率进行调整。</w:t>
      </w:r>
    </w:p>
    <w:p w14:paraId="5206EA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在谈判内容不做实质性变更或重大调整的前提下，供应商下轮报价不得高于上一轮报价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493DED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7C95EBB0">
      <w:pPr>
        <w:spacing w:line="360" w:lineRule="auto"/>
        <w:ind w:firstLine="435"/>
        <w:rPr>
          <w:rFonts w:asciiTheme="majorEastAsia" w:hAnsiTheme="majorEastAsia" w:eastAsiaTheme="majorEastAsia"/>
          <w:color w:val="auto"/>
          <w:sz w:val="24"/>
          <w:highlight w:val="none"/>
        </w:rPr>
      </w:pPr>
      <w:bookmarkStart w:id="42"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 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14D5F451">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6762D60C">
      <w:pPr>
        <w:spacing w:line="360" w:lineRule="auto"/>
        <w:ind w:firstLine="435"/>
        <w:rPr>
          <w:rFonts w:cs="@仿宋_GB2312"/>
          <w:color w:val="auto"/>
          <w:kern w:val="2"/>
          <w:sz w:val="24"/>
          <w:szCs w:val="22"/>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42"/>
      <w:r>
        <w:rPr>
          <w:rFonts w:hint="eastAsia" w:cs="@仿宋_GB2312"/>
          <w:color w:val="auto"/>
          <w:kern w:val="2"/>
          <w:sz w:val="24"/>
          <w:szCs w:val="22"/>
          <w:highlight w:val="none"/>
        </w:rPr>
        <w:t xml:space="preserve"> </w:t>
      </w:r>
    </w:p>
    <w:p w14:paraId="3642DE69">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供应商应当按照企业定额或项目所在地最新建设工程计价依据以及材料市场价格信息等，结合自身实力、施工经验、现场环境以及谈判文件的要求自主报价。</w:t>
      </w:r>
    </w:p>
    <w:p w14:paraId="37136E46">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谈判文件予以澄清、修改，否则供应商应按采购人提供的工程量清单中列出的工程项目和工程量逐项填报综合单价和合价。供应商不得在工程量清单中任意增删、修改清单项目与工程量及项目排列顺序。</w:t>
      </w:r>
    </w:p>
    <w:p w14:paraId="7C02B71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谈判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11343D9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谈判报价的情况，任何因忽视或误解施工场地情况而导致的索赔或工期延长申请将不被批准。对于受施工现场场地限制，如需要另外寻找场地解决临时住宿、材料及设备堆放，由此所产生的费用应包含在谈判报价范围内，采购人不再承担该费用。</w:t>
      </w:r>
    </w:p>
    <w:p w14:paraId="5422345C">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5B34769D">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.1本工程确定成交供应商后，工程总造价在谈判范围内包定，除经批准的设计变更、经济签证外，其它工程造价增减均不予签证计价。</w:t>
      </w:r>
    </w:p>
    <w:p w14:paraId="172C139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谈判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03F7A89">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45E44370">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rPr>
        <w:t>4供应商在规定时间内未对工程量清单提出疑问的，成交后，采购人不再对工程量清单的项目和数量进行校对调整。供应商必须按其报价完成竞争性谈判文件规定范围内的设计图纸规定的所有工程项目。</w:t>
      </w:r>
    </w:p>
    <w:p w14:paraId="4629667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16546C3E">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21871D6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6B92A1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谈判小组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w:t>
      </w:r>
      <w:r>
        <w:rPr>
          <w:rFonts w:asciiTheme="minorEastAsia" w:hAnsiTheme="minorEastAsia" w:eastAsiaTheme="minorEastAsia"/>
          <w:color w:val="auto"/>
          <w:sz w:val="24"/>
          <w:highlight w:val="none"/>
        </w:rPr>
        <w:t>标准，</w:t>
      </w:r>
      <w:r>
        <w:rPr>
          <w:rFonts w:hint="eastAsia" w:asciiTheme="minorEastAsia" w:hAnsiTheme="minorEastAsia" w:eastAsiaTheme="minorEastAsia"/>
          <w:color w:val="auto"/>
          <w:sz w:val="24"/>
          <w:highlight w:val="none"/>
        </w:rPr>
        <w:t>按照最后报价由低到高的顺序依次推荐成交候选人。最后报价相同的，</w:t>
      </w:r>
      <w:r>
        <w:rPr>
          <w:rFonts w:asciiTheme="minorEastAsia" w:hAnsiTheme="minorEastAsia" w:eastAsiaTheme="minorEastAsia"/>
          <w:color w:val="auto"/>
          <w:sz w:val="24"/>
          <w:highlight w:val="none"/>
        </w:rPr>
        <w:t>则</w:t>
      </w:r>
      <w:r>
        <w:rPr>
          <w:rFonts w:hint="eastAsia" w:asciiTheme="minorEastAsia" w:hAnsiTheme="minorEastAsia" w:eastAsiaTheme="minorEastAsia"/>
          <w:color w:val="auto"/>
          <w:sz w:val="24"/>
          <w:highlight w:val="none"/>
        </w:rPr>
        <w:t>由谈判小组采取随机抽取方式确定。</w:t>
      </w:r>
    </w:p>
    <w:p w14:paraId="2603FF4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2CC313E7">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19</w:t>
      </w:r>
      <w:r>
        <w:rPr>
          <w:rFonts w:hint="eastAsia"/>
          <w:color w:val="auto"/>
          <w:sz w:val="24"/>
          <w:highlight w:val="none"/>
        </w:rPr>
        <w:t>.1谈判小组按照最后报价由低到高的顺序和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确定成交候选人，并标明排列顺序。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谈判小组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D197D2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6A0920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6C39381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FD22819">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43589B5D">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11A5DC2E">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7876E11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.1为体现“公开、公平、公正”的原则，谈判结束后，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03B500B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434D966C">
      <w:pPr>
        <w:spacing w:line="360" w:lineRule="auto"/>
        <w:ind w:firstLine="437"/>
        <w:outlineLvl w:val="2"/>
        <w:rPr>
          <w:b/>
          <w:color w:val="auto"/>
          <w:sz w:val="24"/>
          <w:highlight w:val="none"/>
        </w:rPr>
      </w:pPr>
      <w:r>
        <w:rPr>
          <w:b/>
          <w:color w:val="auto"/>
          <w:sz w:val="24"/>
          <w:highlight w:val="none"/>
        </w:rPr>
        <w:t>2</w:t>
      </w:r>
      <w:r>
        <w:rPr>
          <w:rFonts w:hint="eastAsia"/>
          <w:b/>
          <w:color w:val="auto"/>
          <w:sz w:val="24"/>
          <w:highlight w:val="none"/>
          <w:lang w:val="en-US" w:eastAsia="zh-CN"/>
        </w:rPr>
        <w:t>3</w:t>
      </w:r>
      <w:r>
        <w:rPr>
          <w:b/>
          <w:color w:val="auto"/>
          <w:sz w:val="24"/>
          <w:highlight w:val="none"/>
        </w:rPr>
        <w:t>.成交通知书</w:t>
      </w:r>
    </w:p>
    <w:p w14:paraId="17FB189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59F1377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1561E53">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2145BF26">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谈判</w:t>
      </w:r>
      <w:r>
        <w:rPr>
          <w:b/>
          <w:color w:val="auto"/>
          <w:sz w:val="24"/>
          <w:highlight w:val="none"/>
        </w:rPr>
        <w:t>结果</w:t>
      </w:r>
    </w:p>
    <w:p w14:paraId="30DE9CD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3D3F0B23">
      <w:pPr>
        <w:spacing w:line="360" w:lineRule="auto"/>
        <w:ind w:firstLine="480" w:firstLineChars="200"/>
        <w:rPr>
          <w:color w:val="auto"/>
          <w:sz w:val="24"/>
          <w:highlight w:val="none"/>
        </w:rPr>
      </w:pPr>
      <w:r>
        <w:rPr>
          <w:rFonts w:hint="eastAsia" w:ascii="宋体" w:hAnsi="宋体" w:eastAsia="宋体" w:cs="宋体"/>
          <w:color w:val="auto"/>
          <w:sz w:val="24"/>
          <w:szCs w:val="24"/>
          <w:highlight w:val="none"/>
        </w:rPr>
        <w:t>2</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采购代理机构对未成交的供应商不做未成交原因的解释</w:t>
      </w:r>
      <w:r>
        <w:rPr>
          <w:color w:val="auto"/>
          <w:sz w:val="24"/>
          <w:highlight w:val="none"/>
        </w:rPr>
        <w:t>。</w:t>
      </w:r>
    </w:p>
    <w:p w14:paraId="390F4F1E">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63E24A8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3BD16338">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57551AF6">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1CF8F279">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48725039">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395E0C46">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1733B3D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.2谈判文件、成交供应商的响应文件及其澄清文件等，均为签订合同的依据。</w:t>
      </w:r>
    </w:p>
    <w:p w14:paraId="57F6F5CE">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6C55A343">
      <w:pPr>
        <w:spacing w:line="360" w:lineRule="auto"/>
        <w:ind w:firstLine="470" w:firstLineChars="196"/>
        <w:rPr>
          <w:color w:val="auto"/>
          <w:sz w:val="24"/>
          <w:highlight w:val="none"/>
        </w:rPr>
      </w:pPr>
      <w:bookmarkStart w:id="43" w:name="_Hlk60264926"/>
      <w:r>
        <w:rPr>
          <w:rFonts w:hint="eastAsia"/>
          <w:color w:val="auto"/>
          <w:sz w:val="24"/>
          <w:highlight w:val="none"/>
          <w:lang w:val="en-US" w:eastAsia="zh-CN"/>
        </w:rPr>
        <w:t>27</w:t>
      </w:r>
      <w:r>
        <w:rPr>
          <w:rFonts w:hint="eastAsia"/>
          <w:color w:val="auto"/>
          <w:sz w:val="24"/>
          <w:highlight w:val="none"/>
        </w:rPr>
        <w:t>.</w:t>
      </w:r>
      <w:r>
        <w:rPr>
          <w:color w:val="auto"/>
          <w:sz w:val="24"/>
          <w:highlight w:val="none"/>
        </w:rPr>
        <w:t>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43"/>
    </w:p>
    <w:p w14:paraId="1F80FD09">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080852E7">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254E11A">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24230B93">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9BCE05C">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.1供应商认为谈判文件、采购过程和成交结果使自己的权益受到损害的，可以在知道或者应知其权益受到损害之日起七个工作日内，以书面形式向采购人或其委托的采购代理机构提出质疑。</w:t>
      </w:r>
    </w:p>
    <w:p w14:paraId="42F6E031">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谈判文件第八章）和《政府采购质疑和投诉办法》的要求，在法定质疑期内以书面形式提出质疑，超出法定质疑期提交的质疑将被拒绝。针对同一采购程序环节的质疑应一次性提出。</w:t>
      </w:r>
    </w:p>
    <w:p w14:paraId="4D1FC7EB">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25D99719">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1CEBC2C7">
      <w:pPr>
        <w:spacing w:line="360" w:lineRule="auto"/>
        <w:ind w:firstLine="437"/>
        <w:outlineLvl w:val="2"/>
        <w:rPr>
          <w:rFonts w:hint="eastAsia" w:ascii="宋体" w:hAnsi="宋体" w:eastAsia="宋体"/>
          <w:b/>
          <w:color w:val="auto"/>
          <w:sz w:val="24"/>
          <w:highlight w:val="none"/>
          <w:lang w:eastAsia="zh-CN"/>
        </w:rPr>
      </w:pPr>
      <w:r>
        <w:rPr>
          <w:rFonts w:hint="eastAsia" w:ascii="宋体" w:hAnsi="宋体" w:eastAsia="宋体"/>
          <w:b/>
          <w:color w:val="auto"/>
          <w:sz w:val="24"/>
          <w:highlight w:val="none"/>
        </w:rPr>
        <w:t>30</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投诉</w:t>
      </w:r>
    </w:p>
    <w:p w14:paraId="3E5E660C">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30.1质疑供应商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2AFFA93E">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30.2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5BC700FC">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30.3政府采购监督管理部门在处理投诉事项期间，可以视具体情况书面通知采购人暂停采购活动，但暂停时间最长不得超过30日。</w:t>
      </w:r>
    </w:p>
    <w:p w14:paraId="43B5374A">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1</w:t>
      </w:r>
      <w:r>
        <w:rPr>
          <w:b/>
          <w:color w:val="auto"/>
          <w:sz w:val="24"/>
          <w:highlight w:val="none"/>
        </w:rPr>
        <w:t>.需要补充的其他内容</w:t>
      </w:r>
    </w:p>
    <w:p w14:paraId="0688BE0A">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2CA58182">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5D1707A">
      <w:pPr>
        <w:spacing w:line="360" w:lineRule="auto"/>
        <w:jc w:val="center"/>
        <w:outlineLvl w:val="0"/>
        <w:rPr>
          <w:rFonts w:asciiTheme="minorEastAsia" w:hAnsiTheme="minorEastAsia" w:eastAsiaTheme="minorEastAsia"/>
          <w:b/>
          <w:color w:val="auto"/>
          <w:sz w:val="28"/>
          <w:highlight w:val="none"/>
        </w:rPr>
      </w:pPr>
      <w:bookmarkStart w:id="44" w:name="_Toc6146"/>
      <w:r>
        <w:rPr>
          <w:rFonts w:hint="eastAsia" w:asciiTheme="minorEastAsia" w:hAnsiTheme="minorEastAsia" w:eastAsiaTheme="minorEastAsia"/>
          <w:b/>
          <w:color w:val="auto"/>
          <w:sz w:val="28"/>
          <w:highlight w:val="none"/>
        </w:rPr>
        <w:t>第三章  采购需求</w:t>
      </w:r>
      <w:bookmarkEnd w:id="44"/>
    </w:p>
    <w:tbl>
      <w:tblPr>
        <w:tblStyle w:val="10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6658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503F3CA">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11E73D9D">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41B96D29">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5F69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F89C6BC">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2E63A09C">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688" w:type="pct"/>
            <w:vAlign w:val="center"/>
          </w:tcPr>
          <w:p w14:paraId="6748D6C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人员必须按照施工需要及采购人要求按时到岗</w:t>
            </w:r>
          </w:p>
        </w:tc>
      </w:tr>
      <w:tr w14:paraId="3C06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84715C2">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0C9A1BF4">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3688" w:type="pct"/>
            <w:vAlign w:val="center"/>
          </w:tcPr>
          <w:p w14:paraId="7AACC428">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所有进场材料必须符合国家质量标准、环保标准；所有货物（包括零部件）须为全新的、未使用过的原装正品，并完全符合国家质量标准，提供厂家出具的合格证书、有国家强制性认证要求的产品须提供相应证书。承包人采购的所有设备及主要材料进场报监理单位审核，经发包人认可后方可进场；</w:t>
            </w:r>
          </w:p>
        </w:tc>
      </w:tr>
      <w:tr w14:paraId="238D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2EDE65A">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30B4B100">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3688" w:type="pct"/>
            <w:vAlign w:val="center"/>
          </w:tcPr>
          <w:p w14:paraId="54DB141C">
            <w:pPr>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供应商结合图纸和现场情况自行考虑</w:t>
            </w:r>
          </w:p>
        </w:tc>
      </w:tr>
      <w:tr w14:paraId="3C96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97EC7F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0D45DB3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6D42C246">
            <w:pPr>
              <w:spacing w:line="360" w:lineRule="auto"/>
              <w:rPr>
                <w:color w:val="auto"/>
                <w:kern w:val="2"/>
                <w:sz w:val="21"/>
                <w:szCs w:val="22"/>
                <w:highlight w:val="none"/>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供应商最后报价均不得高于谈判文件（公告）列明的项目预算、最高投标限价，否则其响应文件将被认定为响应无效。</w:t>
            </w:r>
          </w:p>
        </w:tc>
      </w:tr>
      <w:tr w14:paraId="6207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7DC1D62">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6B9EB0C5">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4742E962">
            <w:pPr>
              <w:spacing w:line="360" w:lineRule="auto"/>
              <w:rPr>
                <w:rFonts w:hint="eastAsia" w:ascii="宋体" w:hAnsi="宋体" w:eastAsia="宋体"/>
                <w:color w:val="auto"/>
                <w:kern w:val="2"/>
                <w:sz w:val="24"/>
                <w:szCs w:val="18"/>
                <w:highlight w:val="none"/>
              </w:rPr>
            </w:pPr>
            <w:r>
              <w:rPr>
                <w:rFonts w:hint="eastAsia" w:cs="宋体"/>
                <w:color w:val="auto"/>
                <w:kern w:val="2"/>
                <w:sz w:val="24"/>
                <w:szCs w:val="24"/>
                <w:highlight w:val="none"/>
                <w:lang w:val="en-US" w:eastAsia="zh-CN"/>
              </w:rPr>
              <w:t>1、</w:t>
            </w:r>
            <w:r>
              <w:rPr>
                <w:rFonts w:ascii="宋体" w:hAnsi="宋体" w:eastAsia="宋体" w:cs="宋体"/>
                <w:color w:val="auto"/>
                <w:kern w:val="2"/>
                <w:sz w:val="24"/>
                <w:szCs w:val="24"/>
                <w:highlight w:val="none"/>
              </w:rPr>
              <w:t>政府采购政策（包括但不限于下列具体政策要求</w:t>
            </w:r>
            <w:r>
              <w:rPr>
                <w:rFonts w:hint="eastAsia" w:ascii="宋体" w:hAnsi="宋体" w:eastAsia="宋体" w:cs="宋体"/>
                <w:color w:val="auto"/>
                <w:kern w:val="2"/>
                <w:sz w:val="24"/>
                <w:szCs w:val="24"/>
                <w:highlight w:val="none"/>
                <w:lang w:eastAsia="zh-CN"/>
              </w:rPr>
              <w:t>）</w:t>
            </w:r>
            <w:r>
              <w:rPr>
                <w:rFonts w:hint="eastAsia" w:ascii="宋体" w:hAnsi="宋体" w:eastAsia="宋体"/>
                <w:color w:val="auto"/>
                <w:kern w:val="2"/>
                <w:sz w:val="24"/>
                <w:szCs w:val="18"/>
                <w:highlight w:val="none"/>
              </w:rPr>
              <w:t>：</w:t>
            </w:r>
          </w:p>
          <w:p w14:paraId="03466509">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1C82E3E7">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eastAsia="宋体" w:cs="宋体"/>
                <w:color w:val="auto"/>
                <w:kern w:val="2"/>
                <w:sz w:val="24"/>
                <w:szCs w:val="24"/>
                <w:highlight w:val="none"/>
              </w:rPr>
              <w:t>（2）如涉及商品包装和快递包装，</w:t>
            </w:r>
            <w:r>
              <w:rPr>
                <w:rFonts w:hint="eastAsia"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tc>
      </w:tr>
      <w:tr w14:paraId="7A30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6D4E2BD">
            <w:pPr>
              <w:spacing w:line="360" w:lineRule="auto"/>
              <w:jc w:val="center"/>
              <w:rPr>
                <w:rFonts w:cs="@仿宋_GB2312" w:asciiTheme="minorEastAsia" w:hAnsiTheme="minorEastAsia" w:eastAsiaTheme="minorEastAsia"/>
                <w:color w:val="auto"/>
                <w:kern w:val="2"/>
                <w:sz w:val="24"/>
                <w:szCs w:val="22"/>
                <w:highlight w:val="none"/>
              </w:rPr>
            </w:pPr>
            <w:r>
              <w:rPr>
                <w:rFonts w:cs="@仿宋_GB2312" w:asciiTheme="minorEastAsia" w:hAnsiTheme="minorEastAsia" w:eastAsiaTheme="minorEastAsia"/>
                <w:color w:val="auto"/>
                <w:kern w:val="2"/>
                <w:sz w:val="24"/>
                <w:szCs w:val="22"/>
                <w:highlight w:val="none"/>
              </w:rPr>
              <w:t>6</w:t>
            </w:r>
          </w:p>
        </w:tc>
        <w:tc>
          <w:tcPr>
            <w:tcW w:w="749" w:type="pct"/>
            <w:vAlign w:val="center"/>
          </w:tcPr>
          <w:p w14:paraId="15D1E940">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项目经理</w:t>
            </w:r>
          </w:p>
        </w:tc>
        <w:tc>
          <w:tcPr>
            <w:tcW w:w="3688" w:type="pct"/>
            <w:vAlign w:val="center"/>
          </w:tcPr>
          <w:p w14:paraId="7E8E931A">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eastAsia="宋体" w:cs="@仿宋_GB2312"/>
                <w:color w:val="auto"/>
                <w:kern w:val="2"/>
                <w:sz w:val="24"/>
                <w:szCs w:val="22"/>
                <w:highlight w:val="none"/>
                <w:lang w:val="en-US" w:eastAsia="zh-CN"/>
              </w:rPr>
              <w:t>见第一章《</w:t>
            </w:r>
            <w:r>
              <w:rPr>
                <w:rFonts w:hint="eastAsia" w:cs="@仿宋_GB2312"/>
                <w:color w:val="auto"/>
                <w:kern w:val="2"/>
                <w:sz w:val="24"/>
                <w:szCs w:val="22"/>
                <w:highlight w:val="none"/>
                <w:lang w:val="en-US" w:eastAsia="zh-CN"/>
              </w:rPr>
              <w:t>谈判</w:t>
            </w:r>
            <w:r>
              <w:rPr>
                <w:rFonts w:hint="eastAsia" w:ascii="宋体" w:hAnsi="宋体" w:eastAsia="宋体" w:cs="@仿宋_GB2312"/>
                <w:color w:val="auto"/>
                <w:kern w:val="2"/>
                <w:sz w:val="24"/>
                <w:szCs w:val="22"/>
                <w:highlight w:val="none"/>
                <w:lang w:val="en-US" w:eastAsia="zh-CN"/>
              </w:rPr>
              <w:t>邀请》</w:t>
            </w:r>
          </w:p>
        </w:tc>
      </w:tr>
      <w:tr w14:paraId="35C5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E57151B">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40B4608B">
            <w:pPr>
              <w:pStyle w:val="77"/>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25B70740">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kern w:val="2"/>
                <w:sz w:val="24"/>
                <w:szCs w:val="22"/>
                <w:highlight w:val="none"/>
              </w:rPr>
              <w:t>标的名称：</w:t>
            </w:r>
            <w:r>
              <w:rPr>
                <w:rFonts w:hint="eastAsia" w:asciiTheme="minorEastAsia" w:hAnsiTheme="minorEastAsia" w:eastAsiaTheme="minorEastAsia"/>
                <w:color w:val="auto"/>
                <w:kern w:val="2"/>
                <w:sz w:val="24"/>
                <w:szCs w:val="22"/>
                <w:highlight w:val="none"/>
                <w:lang w:eastAsia="zh-CN"/>
              </w:rPr>
              <w:t>2026年公园游园设施安全整治项目</w:t>
            </w:r>
            <w:r>
              <w:rPr>
                <w:rFonts w:hint="eastAsia" w:asciiTheme="minorEastAsia" w:hAnsiTheme="minorEastAsia" w:eastAsiaTheme="minorEastAsia"/>
                <w:color w:val="auto"/>
                <w:kern w:val="2"/>
                <w:sz w:val="24"/>
                <w:szCs w:val="22"/>
                <w:highlight w:val="none"/>
                <w:lang w:val="en-US" w:eastAsia="zh-CN"/>
              </w:rPr>
              <w:t xml:space="preserve"> </w:t>
            </w:r>
          </w:p>
          <w:p w14:paraId="37DB6969">
            <w:pPr>
              <w:spacing w:line="480" w:lineRule="auto"/>
              <w:rPr>
                <w:rFonts w:hint="eastAsia" w:asciiTheme="minorEastAsia" w:hAnsiTheme="minorEastAsia" w:eastAsiaTheme="minorEastAsia"/>
                <w:color w:val="auto"/>
                <w:kern w:val="2"/>
                <w:sz w:val="24"/>
                <w:szCs w:val="22"/>
                <w:highlight w:val="none"/>
                <w:lang w:eastAsia="zh-CN"/>
              </w:rPr>
            </w:pPr>
            <w:r>
              <w:rPr>
                <w:rFonts w:hint="eastAsia" w:asciiTheme="minorEastAsia" w:hAnsiTheme="minorEastAsia" w:eastAsiaTheme="minorEastAsia"/>
                <w:color w:val="auto"/>
                <w:kern w:val="2"/>
                <w:sz w:val="24"/>
                <w:szCs w:val="22"/>
                <w:highlight w:val="none"/>
              </w:rPr>
              <w:t>所属行业：</w:t>
            </w:r>
            <w:r>
              <w:rPr>
                <w:rFonts w:hint="eastAsia" w:asciiTheme="minorEastAsia" w:hAnsiTheme="minorEastAsia" w:eastAsiaTheme="minorEastAsia"/>
                <w:color w:val="auto"/>
                <w:kern w:val="2"/>
                <w:sz w:val="24"/>
                <w:szCs w:val="22"/>
                <w:highlight w:val="none"/>
                <w:lang w:eastAsia="zh-CN"/>
              </w:rPr>
              <w:t>建筑业</w:t>
            </w:r>
          </w:p>
          <w:p w14:paraId="092949AE">
            <w:pPr>
              <w:rPr>
                <w:rFonts w:asciiTheme="minorHAnsi" w:hAnsiTheme="minorHAnsi" w:eastAsiaTheme="minorEastAsia"/>
                <w:color w:val="auto"/>
                <w:kern w:val="2"/>
                <w:sz w:val="24"/>
                <w:szCs w:val="22"/>
                <w:highlight w:val="none"/>
              </w:rPr>
            </w:pPr>
          </w:p>
        </w:tc>
      </w:tr>
    </w:tbl>
    <w:p w14:paraId="0195BF30">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3DECDF0">
      <w:pPr>
        <w:spacing w:line="360" w:lineRule="auto"/>
        <w:jc w:val="center"/>
        <w:outlineLvl w:val="0"/>
        <w:rPr>
          <w:rFonts w:asciiTheme="minorEastAsia" w:hAnsiTheme="minorEastAsia" w:eastAsiaTheme="minorEastAsia"/>
          <w:b/>
          <w:color w:val="auto"/>
          <w:sz w:val="28"/>
          <w:highlight w:val="none"/>
        </w:rPr>
      </w:pPr>
      <w:bookmarkStart w:id="45" w:name="_Toc28266"/>
      <w:r>
        <w:rPr>
          <w:rFonts w:hint="eastAsia" w:asciiTheme="minorEastAsia" w:hAnsiTheme="minorEastAsia" w:eastAsiaTheme="minorEastAsia"/>
          <w:b/>
          <w:color w:val="auto"/>
          <w:sz w:val="28"/>
          <w:highlight w:val="none"/>
        </w:rPr>
        <w:t>第四章  评审方法和标准</w:t>
      </w:r>
      <w:bookmarkEnd w:id="45"/>
    </w:p>
    <w:p w14:paraId="505F2FB1">
      <w:pPr>
        <w:spacing w:line="360" w:lineRule="auto"/>
        <w:ind w:firstLine="437"/>
        <w:outlineLvl w:val="1"/>
        <w:rPr>
          <w:rFonts w:asciiTheme="minorEastAsia" w:hAnsiTheme="minorEastAsia" w:eastAsiaTheme="minorEastAsia"/>
          <w:b/>
          <w:color w:val="auto"/>
          <w:sz w:val="24"/>
          <w:highlight w:val="none"/>
        </w:rPr>
      </w:pPr>
      <w:bookmarkStart w:id="46" w:name="_Toc7278"/>
      <w:bookmarkStart w:id="47" w:name="_Toc7817"/>
      <w:r>
        <w:rPr>
          <w:rFonts w:hint="eastAsia" w:asciiTheme="minorEastAsia" w:hAnsiTheme="minorEastAsia" w:eastAsiaTheme="minorEastAsia"/>
          <w:b/>
          <w:color w:val="auto"/>
          <w:sz w:val="24"/>
          <w:highlight w:val="none"/>
        </w:rPr>
        <w:t>一、总则</w:t>
      </w:r>
      <w:bookmarkEnd w:id="46"/>
      <w:bookmarkEnd w:id="47"/>
    </w:p>
    <w:p w14:paraId="533674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本项目将按照谈判文件第二章供应商须知的相关要求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9C0FF9E">
      <w:pPr>
        <w:numPr>
          <w:ilvl w:val="0"/>
          <w:numId w:val="3"/>
        </w:numPr>
        <w:spacing w:line="360" w:lineRule="auto"/>
        <w:ind w:firstLine="437"/>
        <w:outlineLvl w:val="1"/>
        <w:rPr>
          <w:rFonts w:hint="eastAsia" w:asciiTheme="minorEastAsia" w:hAnsiTheme="minorEastAsia" w:eastAsiaTheme="minorEastAsia"/>
          <w:b/>
          <w:color w:val="auto"/>
          <w:sz w:val="24"/>
          <w:highlight w:val="none"/>
        </w:rPr>
      </w:pPr>
      <w:bookmarkStart w:id="48" w:name="_Toc31558"/>
      <w:bookmarkStart w:id="49" w:name="_Toc31007"/>
      <w:r>
        <w:rPr>
          <w:rFonts w:hint="eastAsia" w:asciiTheme="minorEastAsia" w:hAnsiTheme="minorEastAsia" w:eastAsiaTheme="minorEastAsia"/>
          <w:b/>
          <w:color w:val="auto"/>
          <w:sz w:val="24"/>
          <w:highlight w:val="none"/>
        </w:rPr>
        <w:t>评审方法</w:t>
      </w:r>
      <w:bookmarkEnd w:id="48"/>
      <w:bookmarkEnd w:id="49"/>
    </w:p>
    <w:p w14:paraId="6F0ECC2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1CC6254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谈判小组对供应商的响应文件进行初审，以确定其是否满足谈判文件的实质性要求。初审表如下：</w:t>
      </w:r>
    </w:p>
    <w:tbl>
      <w:tblPr>
        <w:tblStyle w:val="56"/>
        <w:tblW w:w="50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1553"/>
        <w:gridCol w:w="3777"/>
        <w:gridCol w:w="2438"/>
      </w:tblGrid>
      <w:tr w14:paraId="65F1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000" w:type="pct"/>
            <w:gridSpan w:val="4"/>
            <w:tcBorders>
              <w:bottom w:val="single" w:color="auto" w:sz="4" w:space="0"/>
            </w:tcBorders>
            <w:vAlign w:val="center"/>
          </w:tcPr>
          <w:p w14:paraId="18B3E0F7">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323A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92" w:type="pct"/>
            <w:tcBorders>
              <w:bottom w:val="single" w:color="auto" w:sz="4" w:space="0"/>
            </w:tcBorders>
            <w:vAlign w:val="center"/>
          </w:tcPr>
          <w:p w14:paraId="42B9ED50">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901" w:type="pct"/>
            <w:tcBorders>
              <w:bottom w:val="single" w:color="auto" w:sz="4" w:space="0"/>
            </w:tcBorders>
            <w:vAlign w:val="center"/>
          </w:tcPr>
          <w:p w14:paraId="5EEB0161">
            <w:pPr>
              <w:pStyle w:val="78"/>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191" w:type="pct"/>
            <w:tcBorders>
              <w:bottom w:val="single" w:color="auto" w:sz="4" w:space="0"/>
            </w:tcBorders>
            <w:vAlign w:val="center"/>
          </w:tcPr>
          <w:p w14:paraId="68ABB770">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414" w:type="pct"/>
            <w:tcBorders>
              <w:bottom w:val="single" w:color="auto" w:sz="4" w:space="0"/>
            </w:tcBorders>
            <w:vAlign w:val="center"/>
          </w:tcPr>
          <w:p w14:paraId="71EA4505">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57C5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tcBorders>
              <w:bottom w:val="single" w:color="auto" w:sz="4" w:space="0"/>
            </w:tcBorders>
            <w:vAlign w:val="center"/>
          </w:tcPr>
          <w:p w14:paraId="27A7CD81">
            <w:pPr>
              <w:adjustRightInd w:val="0"/>
              <w:snapToGrid w:val="0"/>
              <w:spacing w:line="360" w:lineRule="auto"/>
              <w:ind w:right="-10" w:rightChars="0"/>
              <w:jc w:val="center"/>
              <w:rPr>
                <w:rFonts w:cs="Times New Roman" w:asciiTheme="minorEastAsia" w:hAnsiTheme="minorEastAsia" w:eastAsiaTheme="minorEastAsia"/>
                <w:color w:val="auto"/>
                <w:kern w:val="2"/>
                <w:sz w:val="24"/>
                <w:szCs w:val="22"/>
                <w:highlight w:val="none"/>
              </w:rPr>
            </w:pPr>
            <w:r>
              <w:rPr>
                <w:rFonts w:hint="eastAsia" w:ascii="宋体" w:hAnsi="宋体" w:eastAsia="宋体"/>
                <w:color w:val="auto"/>
                <w:sz w:val="24"/>
                <w:highlight w:val="none"/>
              </w:rPr>
              <w:t>1</w:t>
            </w:r>
          </w:p>
        </w:tc>
        <w:tc>
          <w:tcPr>
            <w:tcW w:w="901" w:type="pct"/>
            <w:tcBorders>
              <w:bottom w:val="single" w:color="auto" w:sz="4" w:space="0"/>
            </w:tcBorders>
            <w:vAlign w:val="center"/>
          </w:tcPr>
          <w:p w14:paraId="614DAAC0">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191" w:type="pct"/>
            <w:tcBorders>
              <w:bottom w:val="single" w:color="auto" w:sz="4" w:space="0"/>
            </w:tcBorders>
            <w:vAlign w:val="center"/>
          </w:tcPr>
          <w:p w14:paraId="3584368E">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6FA5344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E909C5A">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3B16C0AC">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325DDE9D">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414" w:type="pct"/>
            <w:tcBorders>
              <w:bottom w:val="single" w:color="auto" w:sz="4" w:space="0"/>
            </w:tcBorders>
            <w:vAlign w:val="center"/>
          </w:tcPr>
          <w:p w14:paraId="0E7AE123">
            <w:pPr>
              <w:spacing w:line="360" w:lineRule="auto"/>
              <w:jc w:val="left"/>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062C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vAlign w:val="center"/>
          </w:tcPr>
          <w:p w14:paraId="27C6C4F8">
            <w:pPr>
              <w:adjustRightInd w:val="0"/>
              <w:snapToGrid w:val="0"/>
              <w:spacing w:line="360" w:lineRule="auto"/>
              <w:ind w:right="-10" w:rightChars="0"/>
              <w:jc w:val="center"/>
              <w:rPr>
                <w:rFonts w:cs="Times New Roman" w:asciiTheme="minorEastAsia" w:hAnsiTheme="minorEastAsia" w:eastAsiaTheme="minorEastAsia"/>
                <w:color w:val="auto"/>
                <w:kern w:val="2"/>
                <w:sz w:val="24"/>
                <w:szCs w:val="22"/>
                <w:highlight w:val="none"/>
              </w:rPr>
            </w:pPr>
            <w:r>
              <w:rPr>
                <w:rFonts w:hint="eastAsia" w:ascii="宋体" w:hAnsi="宋体" w:eastAsia="宋体"/>
                <w:color w:val="auto"/>
                <w:sz w:val="24"/>
                <w:highlight w:val="none"/>
                <w:lang w:val="en-US" w:eastAsia="zh-CN"/>
              </w:rPr>
              <w:t>2</w:t>
            </w:r>
          </w:p>
        </w:tc>
        <w:tc>
          <w:tcPr>
            <w:tcW w:w="901" w:type="pct"/>
            <w:vAlign w:val="center"/>
          </w:tcPr>
          <w:p w14:paraId="05622CC6">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191" w:type="pct"/>
            <w:vAlign w:val="center"/>
          </w:tcPr>
          <w:p w14:paraId="4AB3C6EF">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w:t>
            </w:r>
            <w:r>
              <w:rPr>
                <w:rFonts w:hint="eastAsia" w:cs="宋体"/>
                <w:color w:val="auto"/>
                <w:sz w:val="24"/>
                <w:szCs w:val="24"/>
                <w:highlight w:val="none"/>
                <w:lang w:val="en-US" w:eastAsia="zh-CN"/>
              </w:rPr>
              <w:t>谈判</w:t>
            </w:r>
            <w:r>
              <w:rPr>
                <w:rFonts w:ascii="宋体" w:hAnsi="宋体" w:eastAsia="宋体" w:cs="宋体"/>
                <w:color w:val="auto"/>
                <w:sz w:val="24"/>
                <w:szCs w:val="24"/>
                <w:highlight w:val="none"/>
              </w:rPr>
              <w:t>文件要求的《</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lang w:eastAsia="zh-CN"/>
              </w:rPr>
              <w:t>。</w:t>
            </w:r>
          </w:p>
        </w:tc>
        <w:tc>
          <w:tcPr>
            <w:tcW w:w="1414" w:type="pct"/>
            <w:vAlign w:val="center"/>
          </w:tcPr>
          <w:p w14:paraId="437D4B04">
            <w:pPr>
              <w:spacing w:line="360" w:lineRule="auto"/>
              <w:jc w:val="left"/>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115F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vAlign w:val="center"/>
          </w:tcPr>
          <w:p w14:paraId="247D40C1">
            <w:pPr>
              <w:adjustRightInd w:val="0"/>
              <w:snapToGrid w:val="0"/>
              <w:spacing w:line="360" w:lineRule="auto"/>
              <w:ind w:right="-10" w:rightChars="0"/>
              <w:jc w:val="center"/>
              <w:rPr>
                <w:rFonts w:cs="Times New Roman" w:asciiTheme="minorEastAsia" w:hAnsiTheme="minorEastAsia" w:eastAsiaTheme="minorEastAsia"/>
                <w:color w:val="auto"/>
                <w:kern w:val="2"/>
                <w:sz w:val="24"/>
                <w:szCs w:val="22"/>
                <w:highlight w:val="none"/>
              </w:rPr>
            </w:pPr>
            <w:r>
              <w:rPr>
                <w:rFonts w:hint="eastAsia" w:ascii="宋体" w:hAnsi="宋体" w:eastAsia="宋体"/>
                <w:color w:val="auto"/>
                <w:sz w:val="24"/>
                <w:highlight w:val="none"/>
              </w:rPr>
              <w:t>3</w:t>
            </w:r>
          </w:p>
        </w:tc>
        <w:tc>
          <w:tcPr>
            <w:tcW w:w="901" w:type="pct"/>
            <w:vAlign w:val="center"/>
          </w:tcPr>
          <w:p w14:paraId="1F856863">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w:t>
            </w:r>
          </w:p>
        </w:tc>
        <w:tc>
          <w:tcPr>
            <w:tcW w:w="2191" w:type="pct"/>
            <w:vAlign w:val="center"/>
          </w:tcPr>
          <w:p w14:paraId="04C7821B">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不得存在</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须知正文第</w:t>
            </w:r>
            <w:r>
              <w:rPr>
                <w:rFonts w:hint="eastAsia" w:ascii="宋体" w:hAnsi="宋体" w:eastAsia="宋体" w:cs="宋体"/>
                <w:color w:val="auto"/>
                <w:sz w:val="24"/>
                <w:szCs w:val="24"/>
                <w:highlight w:val="none"/>
                <w:lang w:val="en-US" w:eastAsia="zh-CN"/>
              </w:rPr>
              <w:t>14.3.1条中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414" w:type="pct"/>
            <w:vAlign w:val="center"/>
          </w:tcPr>
          <w:p w14:paraId="167A79D3">
            <w:pPr>
              <w:spacing w:line="360" w:lineRule="auto"/>
              <w:jc w:val="left"/>
              <w:rPr>
                <w:rFonts w:hint="eastAsia" w:cs="Times New Roman"/>
                <w:color w:val="auto"/>
                <w:kern w:val="2"/>
                <w:sz w:val="24"/>
                <w:szCs w:val="22"/>
                <w:highlight w:val="none"/>
              </w:rPr>
            </w:pPr>
            <w:r>
              <w:rPr>
                <w:rFonts w:hint="eastAsia" w:ascii="宋体" w:hAnsi="宋体" w:eastAsia="宋体" w:cs="宋体"/>
                <w:color w:val="auto"/>
                <w:sz w:val="24"/>
                <w:szCs w:val="24"/>
                <w:highlight w:val="none"/>
              </w:rPr>
              <w:t>无须</w:t>
            </w:r>
            <w:r>
              <w:rPr>
                <w:rFonts w:hint="eastAsia" w:ascii="宋体" w:hAnsi="宋体" w:eastAsia="宋体" w:cs="宋体"/>
                <w:color w:val="auto"/>
                <w:sz w:val="24"/>
                <w:szCs w:val="24"/>
                <w:highlight w:val="none"/>
                <w:lang w:val="en-US" w:eastAsia="zh-CN"/>
              </w:rPr>
              <w:t>供应商提</w:t>
            </w:r>
            <w:r>
              <w:rPr>
                <w:rFonts w:hint="eastAsia" w:ascii="宋体" w:hAnsi="宋体" w:eastAsia="宋体" w:cs="宋体"/>
                <w:color w:val="auto"/>
                <w:sz w:val="24"/>
                <w:szCs w:val="24"/>
                <w:highlight w:val="none"/>
              </w:rPr>
              <w:t>供，由采购人或采购代理机构查询。</w:t>
            </w:r>
          </w:p>
        </w:tc>
      </w:tr>
      <w:tr w14:paraId="1E47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vAlign w:val="center"/>
          </w:tcPr>
          <w:p w14:paraId="50414D2F">
            <w:pPr>
              <w:adjustRightInd w:val="0"/>
              <w:snapToGrid w:val="0"/>
              <w:spacing w:line="360" w:lineRule="auto"/>
              <w:ind w:right="-10" w:rightChars="0"/>
              <w:jc w:val="center"/>
              <w:rPr>
                <w:rFonts w:cs="Times New Roman" w:asciiTheme="minorEastAsia" w:hAnsiTheme="minorEastAsia" w:eastAsiaTheme="minorEastAsia"/>
                <w:color w:val="auto"/>
                <w:kern w:val="2"/>
                <w:sz w:val="24"/>
                <w:szCs w:val="22"/>
                <w:highlight w:val="none"/>
              </w:rPr>
            </w:pPr>
            <w:r>
              <w:rPr>
                <w:rFonts w:hint="eastAsia" w:ascii="宋体" w:hAnsi="宋体" w:eastAsia="宋体"/>
                <w:color w:val="auto"/>
                <w:sz w:val="24"/>
                <w:highlight w:val="none"/>
              </w:rPr>
              <w:t>4</w:t>
            </w:r>
          </w:p>
        </w:tc>
        <w:tc>
          <w:tcPr>
            <w:tcW w:w="901" w:type="pct"/>
            <w:vAlign w:val="center"/>
          </w:tcPr>
          <w:p w14:paraId="1B128A1B">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r>
              <w:rPr>
                <w:rFonts w:hint="eastAsia" w:ascii="宋体" w:hAnsi="宋体" w:eastAsia="宋体" w:cs="宋体"/>
                <w:i/>
                <w:iCs/>
                <w:color w:val="auto"/>
                <w:sz w:val="24"/>
                <w:szCs w:val="24"/>
                <w:highlight w:val="none"/>
                <w:lang w:val="en-US" w:eastAsia="zh-CN"/>
              </w:rPr>
              <w:t>适用于</w:t>
            </w:r>
            <w:r>
              <w:rPr>
                <w:rFonts w:hint="eastAsia" w:ascii="宋体" w:hAnsi="宋体" w:eastAsia="宋体" w:cs="宋体"/>
                <w:i/>
                <w:iCs/>
                <w:color w:val="auto"/>
                <w:sz w:val="24"/>
                <w:szCs w:val="24"/>
                <w:highlight w:val="none"/>
              </w:rPr>
              <w:t>专门面向中小企业采购项目</w:t>
            </w:r>
            <w:r>
              <w:rPr>
                <w:rFonts w:hint="eastAsia" w:ascii="宋体" w:hAnsi="宋体" w:eastAsia="宋体" w:cs="宋体"/>
                <w:i/>
                <w:iCs/>
                <w:color w:val="auto"/>
                <w:sz w:val="24"/>
                <w:szCs w:val="24"/>
                <w:highlight w:val="none"/>
                <w:lang w:val="en-US" w:eastAsia="zh-CN"/>
              </w:rPr>
              <w:t>或预留中小企业采购份额项目</w:t>
            </w:r>
            <w:r>
              <w:rPr>
                <w:rFonts w:hint="eastAsia" w:ascii="宋体" w:hAnsi="宋体" w:eastAsia="宋体" w:cs="宋体"/>
                <w:color w:val="auto"/>
                <w:sz w:val="24"/>
                <w:szCs w:val="24"/>
                <w:highlight w:val="none"/>
              </w:rPr>
              <w:t>）</w:t>
            </w:r>
          </w:p>
        </w:tc>
        <w:tc>
          <w:tcPr>
            <w:tcW w:w="2191" w:type="pct"/>
            <w:vAlign w:val="top"/>
          </w:tcPr>
          <w:p w14:paraId="4F999FF4">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1AF19DF8">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p w14:paraId="7BDE8C4B">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文件要求以联合体形式参加或者要求合同分包的，且</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文件关于预留份额的要求。</w:t>
            </w:r>
          </w:p>
        </w:tc>
        <w:tc>
          <w:tcPr>
            <w:tcW w:w="1414" w:type="pct"/>
            <w:vAlign w:val="center"/>
          </w:tcPr>
          <w:p w14:paraId="088E328E">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277D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vAlign w:val="center"/>
          </w:tcPr>
          <w:p w14:paraId="01AB4F71">
            <w:pPr>
              <w:adjustRightInd w:val="0"/>
              <w:snapToGrid w:val="0"/>
              <w:spacing w:line="360" w:lineRule="auto"/>
              <w:ind w:right="-10" w:rightChars="0"/>
              <w:jc w:val="center"/>
              <w:rPr>
                <w:rFonts w:hint="eastAsia" w:cs="Times New Roman" w:asciiTheme="minorEastAsia" w:hAnsiTheme="minorEastAsia" w:eastAsiaTheme="minorEastAsia"/>
                <w:color w:val="auto"/>
                <w:kern w:val="2"/>
                <w:sz w:val="24"/>
                <w:szCs w:val="22"/>
                <w:highlight w:val="none"/>
                <w:lang w:eastAsia="zh-CN"/>
              </w:rPr>
            </w:pPr>
            <w:r>
              <w:rPr>
                <w:rFonts w:hint="eastAsia"/>
                <w:color w:val="auto"/>
                <w:sz w:val="24"/>
                <w:highlight w:val="none"/>
                <w:lang w:val="en-US" w:eastAsia="zh-CN"/>
              </w:rPr>
              <w:t>5</w:t>
            </w:r>
          </w:p>
        </w:tc>
        <w:tc>
          <w:tcPr>
            <w:tcW w:w="901" w:type="pct"/>
            <w:vAlign w:val="center"/>
          </w:tcPr>
          <w:p w14:paraId="41F81BE3">
            <w:pPr>
              <w:spacing w:after="50" w:line="360" w:lineRule="auto"/>
              <w:ind w:right="-10" w:rightChars="0"/>
              <w:jc w:val="both"/>
              <w:rPr>
                <w:rFonts w:ascii="Calibri" w:hAnsi="Calibri" w:cs="Times New Roman"/>
                <w:color w:val="auto"/>
                <w:kern w:val="2"/>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191" w:type="pct"/>
            <w:vAlign w:val="center"/>
          </w:tcPr>
          <w:p w14:paraId="3A8D1D35">
            <w:pPr>
              <w:spacing w:after="50" w:line="360" w:lineRule="auto"/>
              <w:ind w:right="-10" w:rightChars="0"/>
              <w:jc w:val="both"/>
              <w:rPr>
                <w:rFonts w:ascii="Calibri" w:hAnsi="Calibri" w:cs="Times New Roman"/>
                <w:color w:val="auto"/>
                <w:kern w:val="2"/>
                <w:sz w:val="24"/>
                <w:szCs w:val="22"/>
                <w:highlight w:val="none"/>
              </w:rPr>
            </w:pPr>
            <w:r>
              <w:rPr>
                <w:rFonts w:ascii="宋体" w:hAnsi="宋体" w:eastAsia="宋体" w:cs="宋体"/>
                <w:color w:val="auto"/>
                <w:spacing w:val="-2"/>
                <w:sz w:val="24"/>
                <w:szCs w:val="24"/>
                <w:highlight w:val="none"/>
              </w:rPr>
              <w:t>如有，见第一章《</w:t>
            </w:r>
            <w:r>
              <w:rPr>
                <w:rFonts w:hint="eastAsia" w:ascii="宋体" w:hAnsi="宋体" w:eastAsia="宋体" w:cs="宋体"/>
                <w:color w:val="auto"/>
                <w:spacing w:val="-2"/>
                <w:sz w:val="24"/>
                <w:szCs w:val="24"/>
                <w:highlight w:val="none"/>
                <w:lang w:val="en-US" w:eastAsia="zh-CN"/>
              </w:rPr>
              <w:t>谈判</w:t>
            </w:r>
            <w:r>
              <w:rPr>
                <w:rFonts w:ascii="宋体" w:hAnsi="宋体" w:eastAsia="宋体" w:cs="宋体"/>
                <w:color w:val="auto"/>
                <w:spacing w:val="-2"/>
                <w:sz w:val="24"/>
                <w:szCs w:val="24"/>
                <w:highlight w:val="none"/>
              </w:rPr>
              <w:t>邀请》</w:t>
            </w:r>
          </w:p>
        </w:tc>
        <w:tc>
          <w:tcPr>
            <w:tcW w:w="1414" w:type="pct"/>
            <w:vAlign w:val="center"/>
          </w:tcPr>
          <w:p w14:paraId="411E3B59">
            <w:pPr>
              <w:spacing w:after="50" w:line="360" w:lineRule="auto"/>
              <w:ind w:right="-10" w:rightChars="0"/>
              <w:jc w:val="both"/>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5959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vAlign w:val="center"/>
          </w:tcPr>
          <w:p w14:paraId="7DAF626E">
            <w:pPr>
              <w:adjustRightInd w:val="0"/>
              <w:snapToGrid w:val="0"/>
              <w:spacing w:line="360" w:lineRule="auto"/>
              <w:ind w:right="-10" w:rightChars="0"/>
              <w:jc w:val="center"/>
              <w:rPr>
                <w:rFonts w:hint="eastAsia" w:cs="Times New Roman" w:asciiTheme="minorEastAsia" w:hAnsiTheme="minorEastAsia" w:eastAsiaTheme="minorEastAsia"/>
                <w:color w:val="auto"/>
                <w:kern w:val="2"/>
                <w:sz w:val="24"/>
                <w:szCs w:val="22"/>
                <w:highlight w:val="none"/>
                <w:lang w:eastAsia="zh-CN"/>
              </w:rPr>
            </w:pPr>
            <w:r>
              <w:rPr>
                <w:rFonts w:hint="eastAsia" w:asciiTheme="majorEastAsia" w:hAnsiTheme="majorEastAsia" w:eastAsiaTheme="majorEastAsia"/>
                <w:color w:val="auto"/>
                <w:sz w:val="24"/>
                <w:highlight w:val="none"/>
                <w:lang w:val="en-US" w:eastAsia="zh-CN"/>
              </w:rPr>
              <w:t>6</w:t>
            </w:r>
          </w:p>
        </w:tc>
        <w:tc>
          <w:tcPr>
            <w:tcW w:w="901" w:type="pct"/>
            <w:vAlign w:val="center"/>
          </w:tcPr>
          <w:p w14:paraId="5C5B72BC">
            <w:pPr>
              <w:spacing w:after="50" w:line="360" w:lineRule="auto"/>
              <w:ind w:right="-10" w:rightChars="0"/>
              <w:jc w:val="both"/>
              <w:rPr>
                <w:rFonts w:ascii="Calibri" w:hAnsi="Calibri" w:cs="Times New Roman"/>
                <w:color w:val="auto"/>
                <w:kern w:val="2"/>
                <w:sz w:val="24"/>
                <w:szCs w:val="24"/>
                <w:highlight w:val="none"/>
              </w:rPr>
            </w:pPr>
            <w:r>
              <w:rPr>
                <w:rFonts w:hint="eastAsia" w:ascii="宋体" w:hAnsi="宋体" w:eastAsia="宋体" w:cs="宋体"/>
                <w:color w:val="auto"/>
                <w:spacing w:val="10"/>
                <w:sz w:val="24"/>
                <w:szCs w:val="24"/>
                <w:highlight w:val="none"/>
                <w:lang w:eastAsia="zh-CN"/>
              </w:rPr>
              <w:t>本项目的</w:t>
            </w:r>
            <w:r>
              <w:rPr>
                <w:rFonts w:ascii="宋体" w:hAnsi="宋体" w:eastAsia="宋体" w:cs="宋体"/>
                <w:color w:val="auto"/>
                <w:spacing w:val="10"/>
                <w:sz w:val="24"/>
                <w:szCs w:val="24"/>
                <w:highlight w:val="none"/>
              </w:rPr>
              <w:t>特定资格要求</w:t>
            </w:r>
          </w:p>
        </w:tc>
        <w:tc>
          <w:tcPr>
            <w:tcW w:w="2191" w:type="pct"/>
            <w:vAlign w:val="center"/>
          </w:tcPr>
          <w:p w14:paraId="5749B2A9">
            <w:pPr>
              <w:spacing w:after="50" w:line="360" w:lineRule="auto"/>
              <w:ind w:right="-10" w:rightChars="0"/>
              <w:jc w:val="both"/>
              <w:rPr>
                <w:rFonts w:ascii="Calibri" w:hAnsi="Calibri" w:cs="Times New Roman"/>
                <w:color w:val="auto"/>
                <w:kern w:val="2"/>
                <w:sz w:val="24"/>
                <w:szCs w:val="22"/>
                <w:highlight w:val="none"/>
              </w:rPr>
            </w:pPr>
            <w:r>
              <w:rPr>
                <w:rFonts w:ascii="宋体" w:hAnsi="宋体" w:eastAsia="宋体" w:cs="宋体"/>
                <w:color w:val="auto"/>
                <w:spacing w:val="10"/>
                <w:sz w:val="24"/>
                <w:szCs w:val="24"/>
                <w:highlight w:val="none"/>
              </w:rPr>
              <w:t>如有，见第一章《</w:t>
            </w:r>
            <w:r>
              <w:rPr>
                <w:rFonts w:hint="eastAsia" w:ascii="宋体" w:hAnsi="宋体" w:eastAsia="宋体" w:cs="宋体"/>
                <w:color w:val="auto"/>
                <w:spacing w:val="10"/>
                <w:sz w:val="24"/>
                <w:szCs w:val="24"/>
                <w:highlight w:val="none"/>
                <w:lang w:val="en-US" w:eastAsia="zh-CN"/>
              </w:rPr>
              <w:t>谈判</w:t>
            </w:r>
            <w:r>
              <w:rPr>
                <w:rFonts w:ascii="宋体" w:hAnsi="宋体" w:eastAsia="宋体" w:cs="宋体"/>
                <w:color w:val="auto"/>
                <w:spacing w:val="10"/>
                <w:sz w:val="24"/>
                <w:szCs w:val="24"/>
                <w:highlight w:val="none"/>
              </w:rPr>
              <w:t>邀请》</w:t>
            </w:r>
          </w:p>
        </w:tc>
        <w:tc>
          <w:tcPr>
            <w:tcW w:w="1414" w:type="pct"/>
            <w:vAlign w:val="center"/>
          </w:tcPr>
          <w:p w14:paraId="4E1AB3F4">
            <w:pPr>
              <w:spacing w:after="50" w:line="360" w:lineRule="auto"/>
              <w:ind w:right="-10" w:rightChars="0"/>
              <w:jc w:val="both"/>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451D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vAlign w:val="center"/>
          </w:tcPr>
          <w:p w14:paraId="35299DD2">
            <w:pPr>
              <w:adjustRightInd w:val="0"/>
              <w:snapToGrid w:val="0"/>
              <w:spacing w:line="360" w:lineRule="auto"/>
              <w:ind w:right="-10"/>
              <w:jc w:val="center"/>
              <w:rPr>
                <w:rFonts w:hint="eastAsia" w:cs="Times New Roman" w:asciiTheme="minorEastAsia" w:hAnsiTheme="minorEastAsia"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7</w:t>
            </w:r>
          </w:p>
        </w:tc>
        <w:tc>
          <w:tcPr>
            <w:tcW w:w="901" w:type="pct"/>
            <w:vAlign w:val="center"/>
          </w:tcPr>
          <w:p w14:paraId="277A8B42">
            <w:pPr>
              <w:adjustRightInd w:val="0"/>
              <w:snapToGrid w:val="0"/>
              <w:spacing w:line="360" w:lineRule="auto"/>
              <w:ind w:right="-10"/>
              <w:jc w:val="center"/>
              <w:rPr>
                <w:rFonts w:ascii="Calibri" w:hAnsi="Calibri" w:cs="Times New Roman"/>
                <w:color w:val="auto"/>
                <w:kern w:val="2"/>
                <w:sz w:val="24"/>
                <w:szCs w:val="24"/>
                <w:highlight w:val="none"/>
              </w:rPr>
            </w:pPr>
            <w:r>
              <w:rPr>
                <w:rFonts w:hint="eastAsia" w:cs="Times New Roman"/>
                <w:color w:val="auto"/>
                <w:kern w:val="2"/>
                <w:sz w:val="24"/>
                <w:highlight w:val="none"/>
              </w:rPr>
              <w:t>授权书</w:t>
            </w:r>
          </w:p>
        </w:tc>
        <w:tc>
          <w:tcPr>
            <w:tcW w:w="2191" w:type="pct"/>
            <w:vAlign w:val="center"/>
          </w:tcPr>
          <w:p w14:paraId="7D9C972D">
            <w:pPr>
              <w:adjustRightInd w:val="0"/>
              <w:snapToGrid w:val="0"/>
              <w:spacing w:line="360" w:lineRule="auto"/>
              <w:ind w:right="-10"/>
              <w:jc w:val="left"/>
              <w:rPr>
                <w:rFonts w:ascii="Calibri" w:hAnsi="Calibri" w:cs="Times New Roman"/>
                <w:color w:val="auto"/>
                <w:kern w:val="2"/>
                <w:sz w:val="24"/>
                <w:szCs w:val="22"/>
                <w:highlight w:val="none"/>
              </w:rPr>
            </w:pPr>
            <w:r>
              <w:rPr>
                <w:rFonts w:hint="eastAsia" w:cs="Times New Roman"/>
                <w:color w:val="auto"/>
                <w:kern w:val="2"/>
                <w:sz w:val="24"/>
                <w:szCs w:val="22"/>
                <w:highlight w:val="none"/>
              </w:rPr>
              <w:t>符合谈判文件要求。</w:t>
            </w:r>
          </w:p>
        </w:tc>
        <w:tc>
          <w:tcPr>
            <w:tcW w:w="1414" w:type="pct"/>
            <w:vAlign w:val="center"/>
          </w:tcPr>
          <w:p w14:paraId="1D07597F">
            <w:pPr>
              <w:spacing w:after="50" w:line="360" w:lineRule="auto"/>
              <w:ind w:right="-10" w:rightChars="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详见第六章响应文件 </w:t>
            </w:r>
          </w:p>
          <w:p w14:paraId="62302154">
            <w:pPr>
              <w:spacing w:after="50" w:line="360" w:lineRule="auto"/>
              <w:ind w:right="-10" w:rightChars="0"/>
              <w:jc w:val="both"/>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lang w:val="en-US" w:eastAsia="zh-CN"/>
              </w:rPr>
              <w:t>格式</w:t>
            </w:r>
          </w:p>
        </w:tc>
      </w:tr>
      <w:tr w14:paraId="44CE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vAlign w:val="center"/>
          </w:tcPr>
          <w:p w14:paraId="4A45A5EB">
            <w:pPr>
              <w:adjustRightInd w:val="0"/>
              <w:snapToGrid w:val="0"/>
              <w:spacing w:line="360" w:lineRule="auto"/>
              <w:ind w:right="-10"/>
              <w:jc w:val="center"/>
              <w:rPr>
                <w:rFonts w:hint="eastAsia" w:cs="Times New Roman" w:asciiTheme="minorEastAsia" w:hAnsiTheme="minorEastAsia"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8</w:t>
            </w:r>
          </w:p>
        </w:tc>
        <w:tc>
          <w:tcPr>
            <w:tcW w:w="901" w:type="pct"/>
            <w:vAlign w:val="center"/>
          </w:tcPr>
          <w:p w14:paraId="73D8CB05">
            <w:pPr>
              <w:adjustRightInd w:val="0"/>
              <w:snapToGrid w:val="0"/>
              <w:spacing w:line="360" w:lineRule="auto"/>
              <w:ind w:right="-10"/>
              <w:jc w:val="center"/>
              <w:rPr>
                <w:rFonts w:ascii="Calibri" w:hAnsi="Calibri" w:cs="Times New Roman"/>
                <w:color w:val="auto"/>
                <w:kern w:val="2"/>
                <w:sz w:val="24"/>
                <w:szCs w:val="24"/>
                <w:highlight w:val="none"/>
              </w:rPr>
            </w:pPr>
            <w:r>
              <w:rPr>
                <w:rFonts w:hint="eastAsia" w:cs="Times New Roman"/>
                <w:color w:val="auto"/>
                <w:kern w:val="2"/>
                <w:sz w:val="24"/>
                <w:highlight w:val="none"/>
              </w:rPr>
              <w:t>谈判响应函</w:t>
            </w:r>
          </w:p>
        </w:tc>
        <w:tc>
          <w:tcPr>
            <w:tcW w:w="2191" w:type="pct"/>
            <w:vAlign w:val="center"/>
          </w:tcPr>
          <w:p w14:paraId="486C717D">
            <w:pPr>
              <w:adjustRightInd w:val="0"/>
              <w:snapToGrid w:val="0"/>
              <w:spacing w:line="360" w:lineRule="auto"/>
              <w:ind w:right="-10"/>
              <w:jc w:val="left"/>
              <w:rPr>
                <w:rFonts w:ascii="Calibri" w:hAnsi="Calibri" w:cs="Times New Roman"/>
                <w:color w:val="auto"/>
                <w:kern w:val="2"/>
                <w:sz w:val="24"/>
                <w:szCs w:val="22"/>
                <w:highlight w:val="none"/>
              </w:rPr>
            </w:pPr>
            <w:r>
              <w:rPr>
                <w:rFonts w:hint="eastAsia" w:cs="Times New Roman"/>
                <w:color w:val="auto"/>
                <w:kern w:val="2"/>
                <w:sz w:val="24"/>
                <w:szCs w:val="22"/>
                <w:highlight w:val="none"/>
              </w:rPr>
              <w:t>符合谈判文件要求。</w:t>
            </w:r>
          </w:p>
        </w:tc>
        <w:tc>
          <w:tcPr>
            <w:tcW w:w="1414" w:type="pct"/>
            <w:vAlign w:val="center"/>
          </w:tcPr>
          <w:p w14:paraId="2252802A">
            <w:pPr>
              <w:spacing w:after="50" w:line="360" w:lineRule="auto"/>
              <w:ind w:right="-10" w:rightChars="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详见第六章响应文件 </w:t>
            </w:r>
          </w:p>
          <w:p w14:paraId="5A7D1305">
            <w:pPr>
              <w:adjustRightInd w:val="0"/>
              <w:snapToGrid w:val="0"/>
              <w:spacing w:line="360" w:lineRule="auto"/>
              <w:ind w:right="-10" w:rightChars="0"/>
              <w:jc w:val="left"/>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lang w:val="en-US" w:eastAsia="zh-CN"/>
              </w:rPr>
              <w:t>格式</w:t>
            </w:r>
          </w:p>
        </w:tc>
      </w:tr>
      <w:tr w14:paraId="4675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vAlign w:val="center"/>
          </w:tcPr>
          <w:p w14:paraId="317A2EE0">
            <w:pPr>
              <w:adjustRightInd w:val="0"/>
              <w:snapToGrid w:val="0"/>
              <w:spacing w:line="360" w:lineRule="auto"/>
              <w:ind w:right="-10" w:rightChars="0"/>
              <w:jc w:val="center"/>
              <w:rPr>
                <w:rFonts w:hint="eastAsia" w:eastAsia="宋体" w:cs="Times New Roman" w:asciiTheme="minorEastAsia" w:hAnsiTheme="minorEastAsia"/>
                <w:color w:val="auto"/>
                <w:kern w:val="2"/>
                <w:sz w:val="24"/>
                <w:szCs w:val="22"/>
                <w:highlight w:val="none"/>
                <w:lang w:eastAsia="zh-CN"/>
              </w:rPr>
            </w:pPr>
            <w:r>
              <w:rPr>
                <w:rFonts w:hint="eastAsia"/>
                <w:color w:val="auto"/>
                <w:sz w:val="24"/>
                <w:highlight w:val="none"/>
                <w:lang w:val="en-US" w:eastAsia="zh-CN"/>
              </w:rPr>
              <w:t>9</w:t>
            </w:r>
          </w:p>
        </w:tc>
        <w:tc>
          <w:tcPr>
            <w:tcW w:w="901" w:type="pct"/>
            <w:vAlign w:val="center"/>
          </w:tcPr>
          <w:p w14:paraId="3FF25C10">
            <w:pPr>
              <w:spacing w:after="50" w:line="360" w:lineRule="auto"/>
              <w:ind w:right="-10" w:rightChars="0"/>
              <w:jc w:val="center"/>
              <w:rPr>
                <w:rFonts w:ascii="Calibri" w:hAnsi="Calibri" w:cs="Times New Roman"/>
                <w:color w:val="auto"/>
                <w:kern w:val="2"/>
                <w:sz w:val="24"/>
                <w:szCs w:val="24"/>
                <w:highlight w:val="none"/>
              </w:rPr>
            </w:pPr>
            <w:r>
              <w:rPr>
                <w:rFonts w:hint="eastAsia" w:asciiTheme="minorEastAsia" w:hAnsiTheme="minorEastAsia" w:eastAsiaTheme="minorEastAsia"/>
                <w:color w:val="auto"/>
                <w:sz w:val="24"/>
                <w:szCs w:val="28"/>
                <w:highlight w:val="none"/>
                <w:lang w:val="en-US" w:eastAsia="zh-CN"/>
              </w:rPr>
              <w:t>谈判</w:t>
            </w:r>
            <w:r>
              <w:rPr>
                <w:rFonts w:hint="eastAsia" w:asciiTheme="minorEastAsia" w:hAnsiTheme="minorEastAsia" w:eastAsiaTheme="minorEastAsia"/>
                <w:color w:val="auto"/>
                <w:sz w:val="24"/>
                <w:szCs w:val="28"/>
                <w:highlight w:val="none"/>
              </w:rPr>
              <w:t>报价</w:t>
            </w:r>
          </w:p>
        </w:tc>
        <w:tc>
          <w:tcPr>
            <w:tcW w:w="2191" w:type="pct"/>
            <w:vAlign w:val="center"/>
          </w:tcPr>
          <w:p w14:paraId="2A2117F6">
            <w:pPr>
              <w:spacing w:after="50" w:line="360" w:lineRule="auto"/>
              <w:ind w:right="-10" w:rightChars="0"/>
              <w:jc w:val="both"/>
              <w:rPr>
                <w:rFonts w:hint="eastAsia" w:ascii="Calibri" w:hAnsi="Calibri" w:cs="Times New Roman" w:eastAsiaTheme="minorEastAsia"/>
                <w:color w:val="auto"/>
                <w:kern w:val="2"/>
                <w:sz w:val="24"/>
                <w:szCs w:val="22"/>
                <w:highlight w:val="none"/>
                <w:lang w:val="en-US" w:eastAsia="zh-CN"/>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要求</w:t>
            </w:r>
          </w:p>
        </w:tc>
        <w:tc>
          <w:tcPr>
            <w:tcW w:w="1414" w:type="pct"/>
            <w:vAlign w:val="center"/>
          </w:tcPr>
          <w:p w14:paraId="309E490C">
            <w:pPr>
              <w:spacing w:after="50" w:line="360" w:lineRule="auto"/>
              <w:ind w:right="-10" w:rightChars="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详见第六章响应文件 </w:t>
            </w:r>
          </w:p>
          <w:p w14:paraId="5591EA75">
            <w:pPr>
              <w:adjustRightInd w:val="0"/>
              <w:snapToGrid w:val="0"/>
              <w:spacing w:line="360" w:lineRule="auto"/>
              <w:ind w:right="-10" w:rightChars="0"/>
              <w:jc w:val="center"/>
              <w:rPr>
                <w:rFonts w:hint="eastAsia" w:asciiTheme="majorEastAsia" w:hAnsiTheme="majorEastAsia" w:eastAsiaTheme="majorEastAsia"/>
                <w:color w:val="auto"/>
                <w:sz w:val="24"/>
                <w:highlight w:val="none"/>
              </w:rPr>
            </w:pPr>
            <w:r>
              <w:rPr>
                <w:rFonts w:hint="eastAsia" w:ascii="宋体" w:hAnsi="宋体" w:eastAsia="宋体" w:cs="宋体"/>
                <w:b w:val="0"/>
                <w:bCs w:val="0"/>
                <w:color w:val="auto"/>
                <w:sz w:val="24"/>
                <w:szCs w:val="24"/>
                <w:highlight w:val="none"/>
                <w:lang w:val="en-US" w:eastAsia="zh-CN"/>
              </w:rPr>
              <w:t>格式</w:t>
            </w:r>
          </w:p>
        </w:tc>
      </w:tr>
      <w:tr w14:paraId="7543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85" w:type="pct"/>
            <w:gridSpan w:val="3"/>
            <w:tcBorders>
              <w:bottom w:val="single" w:color="auto" w:sz="4" w:space="0"/>
            </w:tcBorders>
            <w:vAlign w:val="center"/>
          </w:tcPr>
          <w:p w14:paraId="20484E47">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414" w:type="pct"/>
            <w:tcBorders>
              <w:bottom w:val="single" w:color="auto" w:sz="4" w:space="0"/>
            </w:tcBorders>
            <w:vAlign w:val="center"/>
          </w:tcPr>
          <w:p w14:paraId="35C2FB42">
            <w:pPr>
              <w:adjustRightInd w:val="0"/>
              <w:snapToGrid w:val="0"/>
              <w:ind w:right="-10"/>
              <w:jc w:val="left"/>
              <w:rPr>
                <w:rFonts w:hint="eastAsia" w:ascii="Calibri" w:hAnsi="Calibri" w:cs="Times New Roman"/>
                <w:color w:val="auto"/>
                <w:kern w:val="2"/>
                <w:sz w:val="24"/>
                <w:szCs w:val="22"/>
                <w:highlight w:val="none"/>
              </w:rPr>
            </w:pPr>
          </w:p>
        </w:tc>
      </w:tr>
    </w:tbl>
    <w:p w14:paraId="4B97AD8A">
      <w:pPr>
        <w:spacing w:line="360" w:lineRule="auto"/>
        <w:ind w:firstLine="435"/>
        <w:outlineLvl w:val="2"/>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 xml:space="preserve"> 注：供应商拟委任项目经理为注册建造师（含一级、二级）的，须提供有效的纸质版电子证书。一级建造师打印电子证书后，应在个人签名处手写本人签名，未手写签名或与签名图像笔迹不一致的，该电子证书无效。</w:t>
      </w:r>
    </w:p>
    <w:p w14:paraId="769F862A">
      <w:pPr>
        <w:spacing w:line="360" w:lineRule="auto"/>
        <w:ind w:firstLine="435"/>
        <w:outlineLvl w:val="2"/>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供应商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其他省份按各省相关规定执行。</w:t>
      </w:r>
    </w:p>
    <w:p w14:paraId="32A459D7">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审查</w:t>
      </w:r>
    </w:p>
    <w:tbl>
      <w:tblPr>
        <w:tblStyle w:val="56"/>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异常低价响应审查</w:t>
            </w:r>
          </w:p>
        </w:tc>
        <w:tc>
          <w:tcPr>
            <w:tcW w:w="4439" w:type="dxa"/>
            <w:tcBorders>
              <w:bottom w:val="single" w:color="auto" w:sz="4" w:space="0"/>
            </w:tcBorders>
            <w:vAlign w:val="center"/>
          </w:tcPr>
          <w:p w14:paraId="14855D1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2D6E1A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595C90C5">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6545F9B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（4）谈判小组基于专业判断，认为供应商报价过低，有可能影响产品质量或者不能诚信履约的其他情形。</w:t>
            </w:r>
          </w:p>
          <w:p w14:paraId="14FCFEF9">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提醒：</w:t>
            </w:r>
          </w:p>
          <w:p w14:paraId="0BE4D07D">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14:paraId="4095AB60">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（2）上述第（1）项至第（2）项中的供应商响应报价为最后承诺报价。</w:t>
            </w:r>
          </w:p>
        </w:tc>
        <w:tc>
          <w:tcPr>
            <w:tcW w:w="2260" w:type="dxa"/>
            <w:vAlign w:val="center"/>
          </w:tcPr>
          <w:p w14:paraId="4F4E35CC">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57170614">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根据《关于推进解决政府采购异常低价问题的通知》（财库〔2026〕2号），</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153DDD6B">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谈判</w:t>
      </w:r>
      <w:r>
        <w:rPr>
          <w:rFonts w:hint="eastAsia" w:ascii="宋体" w:hAnsi="宋体" w:eastAsia="宋体"/>
          <w:color w:val="auto"/>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项情形，供应商已随响应文件一并提交相关书面说明及必要的证明材料的，在评审现场可不再重复提交。</w:t>
      </w:r>
    </w:p>
    <w:p w14:paraId="0B411230">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lang w:val="en-US" w:eastAsia="zh-CN"/>
        </w:rPr>
        <w:t>谈判</w:t>
      </w:r>
      <w:r>
        <w:rPr>
          <w:rFonts w:hint="eastAsia" w:ascii="宋体" w:hAnsi="宋体" w:eastAsia="宋体"/>
          <w:color w:val="auto"/>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color w:val="auto"/>
          <w:sz w:val="24"/>
          <w:highlight w:val="none"/>
          <w:lang w:val="en-US" w:eastAsia="zh-CN"/>
        </w:rPr>
        <w:t>谈判</w:t>
      </w:r>
      <w:r>
        <w:rPr>
          <w:rFonts w:hint="eastAsia" w:ascii="宋体" w:hAnsi="宋体" w:eastAsia="宋体"/>
          <w:color w:val="auto"/>
          <w:sz w:val="24"/>
          <w:highlight w:val="none"/>
        </w:rPr>
        <w:t xml:space="preserve">小组应当将其作为无效响应处理。 </w:t>
      </w:r>
    </w:p>
    <w:p w14:paraId="03E83FE5">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eastAsiaTheme="minorEastAsia"/>
          <w:color w:val="auto"/>
          <w:sz w:val="24"/>
          <w:highlight w:val="none"/>
        </w:rPr>
      </w:pPr>
      <w:r>
        <w:rPr>
          <w:rFonts w:hint="eastAsia" w:ascii="宋体" w:hAnsi="宋体" w:eastAsia="宋体" w:cs="Arial"/>
          <w:color w:val="auto"/>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p>
    <w:p w14:paraId="59EF441E">
      <w:pPr>
        <w:spacing w:line="360" w:lineRule="auto"/>
        <w:ind w:firstLine="437"/>
        <w:outlineLvl w:val="1"/>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无效响应条款</w:t>
      </w:r>
    </w:p>
    <w:p w14:paraId="274E54B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.1响应文件有下列情形之一的,其响应文件拒收:</w:t>
      </w:r>
    </w:p>
    <w:p w14:paraId="4D76C8B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(1)未在响应文件递交截止时间前通过网上招标投标系统递交有效电子响应文件的，系统不予接收，其将被拒绝。</w:t>
      </w:r>
    </w:p>
    <w:p w14:paraId="363A617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接到远程解密指令后，须在规定时间内解密。因供应商自身原因导致响应文件在规定时间内未能解密、解密失败或解密超时，响应文件无效；解密时间：从本项目解密程序开始时计时，至完成响应文件解密时间，不得超过60分钟，否则响应文件将被拒绝。</w:t>
      </w:r>
    </w:p>
    <w:p w14:paraId="1BE9746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.2供应商有下列情形之一的,资格审查后其作无效响应处理：</w:t>
      </w:r>
    </w:p>
    <w:p w14:paraId="0376093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（1）供应商为本项目提供采购代理服务的；</w:t>
      </w:r>
    </w:p>
    <w:p w14:paraId="17C6001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（2）供应商与在本项目代理机构存在相互任职或工作的；</w:t>
      </w:r>
    </w:p>
    <w:p w14:paraId="1EAC989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（3）与采购人存在利害关系可能影响采购公正性的法人、其他组织或者个人；</w:t>
      </w:r>
    </w:p>
    <w:p w14:paraId="03F6CCB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eastAsia="zh-CN"/>
        </w:rPr>
        <w:t>竞争性谈判公告</w:t>
      </w:r>
      <w:r>
        <w:rPr>
          <w:rFonts w:hint="eastAsia" w:asciiTheme="minorEastAsia" w:hAnsiTheme="minorEastAsia" w:eastAsiaTheme="minorEastAsia"/>
          <w:color w:val="auto"/>
          <w:sz w:val="24"/>
          <w:highlight w:val="none"/>
        </w:rPr>
        <w:t>写明专门面向中小企业采购，供应商提供的货物非中小企业制造的；</w:t>
      </w:r>
    </w:p>
    <w:p w14:paraId="6A2454D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（5）要求供应商以联合体形式参加采购活动，供应商非联合体或者联合协议中中小企业合同金额未达到应当达到的比例；</w:t>
      </w:r>
    </w:p>
    <w:p w14:paraId="1C4F16F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（6）要求获得采购合同的供应商向中小企业分包，供应商未提供分包意向协议或者分包意向协议中中小企业合同金额未达到应当达到的比例；</w:t>
      </w:r>
    </w:p>
    <w:p w14:paraId="30A9ED7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（7）无法查看并检验电子响应文件中相关资料的；</w:t>
      </w:r>
    </w:p>
    <w:p w14:paraId="294378B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（8）联合体参与未提交联合体协议的；</w:t>
      </w:r>
    </w:p>
    <w:p w14:paraId="26700099">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）责令停产停业</w:t>
      </w:r>
      <w:r>
        <w:rPr>
          <w:rFonts w:hint="eastAsia" w:asciiTheme="minorEastAsia" w:hAnsiTheme="minorEastAsia" w:eastAsiaTheme="minorEastAsia"/>
          <w:color w:val="auto"/>
          <w:sz w:val="24"/>
          <w:highlight w:val="none"/>
          <w:lang w:val="en-US" w:eastAsia="zh-CN"/>
        </w:rPr>
        <w:t>的；</w:t>
      </w:r>
    </w:p>
    <w:p w14:paraId="6BE31C2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暂停或者取消参与政府采购项目资格的；</w:t>
      </w:r>
    </w:p>
    <w:p w14:paraId="65BBE8F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11</w:t>
      </w:r>
      <w:r>
        <w:rPr>
          <w:rFonts w:hint="eastAsia" w:asciiTheme="minorEastAsia" w:hAnsiTheme="minorEastAsia" w:eastAsiaTheme="minorEastAsia"/>
          <w:color w:val="auto"/>
          <w:sz w:val="24"/>
          <w:highlight w:val="none"/>
        </w:rPr>
        <w:t>）单位负责人为同一人或者存在</w:t>
      </w:r>
      <w:r>
        <w:rPr>
          <w:rFonts w:hint="eastAsia" w:asciiTheme="minorEastAsia" w:hAnsiTheme="minorEastAsia" w:eastAsiaTheme="minorEastAsia"/>
          <w:color w:val="auto"/>
          <w:sz w:val="24"/>
          <w:highlight w:val="none"/>
          <w:lang w:val="en-US" w:eastAsia="zh-CN"/>
        </w:rPr>
        <w:t>直接</w:t>
      </w:r>
      <w:r>
        <w:rPr>
          <w:rFonts w:hint="eastAsia" w:asciiTheme="minorEastAsia" w:hAnsiTheme="minorEastAsia" w:eastAsiaTheme="minorEastAsia"/>
          <w:color w:val="auto"/>
          <w:sz w:val="24"/>
          <w:highlight w:val="none"/>
        </w:rPr>
        <w:t>控股、管理关系的不同</w:t>
      </w:r>
      <w:r>
        <w:rPr>
          <w:rFonts w:hint="eastAsia" w:asciiTheme="minorEastAsia" w:hAnsiTheme="minorEastAsia" w:eastAsiaTheme="minorEastAsia"/>
          <w:color w:val="auto"/>
          <w:sz w:val="24"/>
          <w:highlight w:val="none"/>
          <w:lang w:val="en-US" w:eastAsia="zh-CN"/>
        </w:rPr>
        <w:t>单位</w:t>
      </w:r>
      <w:r>
        <w:rPr>
          <w:rFonts w:hint="eastAsia" w:asciiTheme="minorEastAsia" w:hAnsiTheme="minorEastAsia" w:eastAsiaTheme="minorEastAsia"/>
          <w:color w:val="auto"/>
          <w:sz w:val="24"/>
          <w:highlight w:val="none"/>
        </w:rPr>
        <w:t>的；</w:t>
      </w:r>
    </w:p>
    <w:p w14:paraId="401B782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）供应商基本资格条件和特定资格条件中有一项及以上不符合要求的；</w:t>
      </w:r>
    </w:p>
    <w:p w14:paraId="554C0EC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评审时查询响应文件制作机器码、文件创建标识码及造价软件加密锁号。若存在响应文件制作机器码或创建标识码或造价软件加密锁号信息与其他供应商雷同的，响应无效、进行信用信息披露，行政监管部门将依据线索依法查处；</w:t>
      </w:r>
    </w:p>
    <w:p w14:paraId="1CAC2CF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）其它情形按无效响应处理，并经公共资源交易监督部门核准的；</w:t>
      </w:r>
    </w:p>
    <w:p w14:paraId="14D2989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）供应商响应MAC地址或供应商联系人或联系电话相同的，由</w:t>
      </w:r>
      <w:r>
        <w:rPr>
          <w:rFonts w:hint="eastAsia" w:asciiTheme="minorEastAsia" w:hAnsiTheme="minorEastAsia" w:eastAsiaTheme="minorEastAsia"/>
          <w:color w:val="auto"/>
          <w:sz w:val="24"/>
          <w:highlight w:val="none"/>
          <w:lang w:eastAsia="zh-CN"/>
        </w:rPr>
        <w:t>谈判小组</w:t>
      </w:r>
      <w:r>
        <w:rPr>
          <w:rFonts w:hint="eastAsia" w:asciiTheme="minorEastAsia" w:hAnsiTheme="minorEastAsia" w:eastAsiaTheme="minorEastAsia"/>
          <w:color w:val="auto"/>
          <w:sz w:val="24"/>
          <w:highlight w:val="none"/>
        </w:rPr>
        <w:t>否决其响应，并报告监管部门作不良行为处理和进一步调查；</w:t>
      </w:r>
    </w:p>
    <w:p w14:paraId="1D59AAB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）供应商单方面出现其他供应商材料的</w:t>
      </w:r>
      <w:r>
        <w:rPr>
          <w:rFonts w:hint="eastAsia" w:cs="@仿宋_GB2312" w:asciiTheme="minorEastAsia" w:hAnsiTheme="minorEastAsia" w:eastAsiaTheme="minorEastAsia"/>
          <w:b w:val="0"/>
          <w:bCs/>
          <w:color w:val="auto"/>
          <w:kern w:val="2"/>
          <w:sz w:val="24"/>
          <w:szCs w:val="24"/>
          <w:highlight w:val="none"/>
          <w:u w:val="none"/>
          <w:lang w:val="en-US" w:eastAsia="zh-CN" w:bidi="ar-SA"/>
        </w:rPr>
        <w:t>（组成联合体响应的除外）</w:t>
      </w:r>
      <w:r>
        <w:rPr>
          <w:rFonts w:hint="eastAsia" w:asciiTheme="minorEastAsia" w:hAnsiTheme="minorEastAsia" w:eastAsiaTheme="minorEastAsia"/>
          <w:color w:val="auto"/>
          <w:sz w:val="24"/>
          <w:highlight w:val="none"/>
        </w:rPr>
        <w:t>；</w:t>
      </w:r>
    </w:p>
    <w:p w14:paraId="2DF91E7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竞争性谈判公告</w:t>
      </w:r>
      <w:r>
        <w:rPr>
          <w:rFonts w:hint="eastAsia" w:asciiTheme="minorEastAsia" w:hAnsiTheme="minorEastAsia" w:eastAsiaTheme="minorEastAsia"/>
          <w:color w:val="auto"/>
          <w:sz w:val="24"/>
          <w:highlight w:val="none"/>
        </w:rPr>
        <w:t>未写明允许采购进口产品，供应商所投产品为进口产品的；</w:t>
      </w:r>
    </w:p>
    <w:p w14:paraId="2BBD003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谈判文件</w:t>
      </w:r>
      <w:r>
        <w:rPr>
          <w:rFonts w:hint="eastAsia" w:asciiTheme="minorEastAsia" w:hAnsiTheme="minorEastAsia" w:eastAsiaTheme="minorEastAsia"/>
          <w:color w:val="auto"/>
          <w:sz w:val="24"/>
          <w:highlight w:val="none"/>
        </w:rPr>
        <w:t>规定的其它无效情形。</w:t>
      </w:r>
    </w:p>
    <w:p w14:paraId="0D972B6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 供应商有下列情形之一的,符合性审查后其按无效响应处理：</w:t>
      </w:r>
    </w:p>
    <w:p w14:paraId="746876B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（1）响应文件签章不全，经</w:t>
      </w:r>
      <w:r>
        <w:rPr>
          <w:rFonts w:hint="eastAsia" w:asciiTheme="minorEastAsia" w:hAnsiTheme="minorEastAsia" w:eastAsiaTheme="minorEastAsia"/>
          <w:color w:val="auto"/>
          <w:sz w:val="24"/>
          <w:highlight w:val="none"/>
          <w:lang w:eastAsia="zh-CN"/>
        </w:rPr>
        <w:t>谈判小组</w:t>
      </w:r>
      <w:r>
        <w:rPr>
          <w:rFonts w:hint="eastAsia" w:asciiTheme="minorEastAsia" w:hAnsiTheme="minorEastAsia" w:eastAsiaTheme="minorEastAsia"/>
          <w:color w:val="auto"/>
          <w:sz w:val="24"/>
          <w:highlight w:val="none"/>
        </w:rPr>
        <w:t>一致认定对响应内容有实质性影响并经公共资源交易监督部门核准的；</w:t>
      </w:r>
    </w:p>
    <w:p w14:paraId="5FE77FF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（2）未按规定的格式填写导致实质性内容不全以及实质上不响应，或者关键字迹模糊、无法辨认；经公共资源交易监督部门核准的；</w:t>
      </w:r>
    </w:p>
    <w:p w14:paraId="483A4E5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（3）同一供应商提交两个或以上不同的响应文件或者报价，但</w:t>
      </w:r>
      <w:r>
        <w:rPr>
          <w:rFonts w:hint="eastAsia" w:asciiTheme="minorEastAsia" w:hAnsiTheme="minorEastAsia" w:eastAsiaTheme="minorEastAsia"/>
          <w:color w:val="auto"/>
          <w:sz w:val="24"/>
          <w:highlight w:val="none"/>
          <w:lang w:eastAsia="zh-CN"/>
        </w:rPr>
        <w:t>谈判文件</w:t>
      </w:r>
      <w:r>
        <w:rPr>
          <w:rFonts w:hint="eastAsia" w:asciiTheme="minorEastAsia" w:hAnsiTheme="minorEastAsia" w:eastAsiaTheme="minorEastAsia"/>
          <w:color w:val="auto"/>
          <w:sz w:val="24"/>
          <w:highlight w:val="none"/>
        </w:rPr>
        <w:t>规定提交备选方案的除外；</w:t>
      </w:r>
    </w:p>
    <w:p w14:paraId="15387DF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（4）响应文件没有对</w:t>
      </w:r>
      <w:r>
        <w:rPr>
          <w:rFonts w:hint="eastAsia" w:asciiTheme="minorEastAsia" w:hAnsiTheme="minorEastAsia" w:eastAsiaTheme="minorEastAsia"/>
          <w:color w:val="auto"/>
          <w:sz w:val="24"/>
          <w:highlight w:val="none"/>
          <w:lang w:eastAsia="zh-CN"/>
        </w:rPr>
        <w:t>谈判文件</w:t>
      </w:r>
      <w:r>
        <w:rPr>
          <w:rFonts w:hint="eastAsia" w:asciiTheme="minorEastAsia" w:hAnsiTheme="minorEastAsia" w:eastAsiaTheme="minorEastAsia"/>
          <w:color w:val="auto"/>
          <w:sz w:val="24"/>
          <w:highlight w:val="none"/>
        </w:rPr>
        <w:t>的实质性要求和条件作出响应；</w:t>
      </w:r>
    </w:p>
    <w:p w14:paraId="7886A92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（5）报价超出规定的最高限价或公布的采购预算的或供应商的报价各项单价高于</w:t>
      </w:r>
      <w:r>
        <w:rPr>
          <w:rFonts w:hint="eastAsia" w:asciiTheme="minorEastAsia" w:hAnsiTheme="minorEastAsia" w:eastAsiaTheme="minorEastAsia"/>
          <w:color w:val="auto"/>
          <w:sz w:val="24"/>
          <w:highlight w:val="none"/>
          <w:lang w:eastAsia="zh-CN"/>
        </w:rPr>
        <w:t>谈判文件</w:t>
      </w:r>
      <w:r>
        <w:rPr>
          <w:rFonts w:hint="eastAsia" w:asciiTheme="minorEastAsia" w:hAnsiTheme="minorEastAsia" w:eastAsiaTheme="minorEastAsia"/>
          <w:color w:val="auto"/>
          <w:sz w:val="24"/>
          <w:highlight w:val="none"/>
        </w:rPr>
        <w:t>给定的单价最高限价；</w:t>
      </w:r>
    </w:p>
    <w:p w14:paraId="28AEFDE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（6）不按</w:t>
      </w:r>
      <w:r>
        <w:rPr>
          <w:rFonts w:hint="eastAsia" w:asciiTheme="minorEastAsia" w:hAnsiTheme="minorEastAsia" w:eastAsiaTheme="minorEastAsia"/>
          <w:color w:val="auto"/>
          <w:sz w:val="24"/>
          <w:highlight w:val="none"/>
          <w:lang w:eastAsia="zh-CN"/>
        </w:rPr>
        <w:t>谈判小组</w:t>
      </w:r>
      <w:r>
        <w:rPr>
          <w:rFonts w:hint="eastAsia" w:asciiTheme="minorEastAsia" w:hAnsiTheme="minorEastAsia" w:eastAsiaTheme="minorEastAsia"/>
          <w:color w:val="auto"/>
          <w:sz w:val="24"/>
          <w:highlight w:val="none"/>
        </w:rPr>
        <w:t>要求澄清、说明或补正的，或者</w:t>
      </w:r>
      <w:r>
        <w:rPr>
          <w:rFonts w:hint="eastAsia" w:asciiTheme="minorEastAsia" w:hAnsiTheme="minorEastAsia" w:eastAsiaTheme="minorEastAsia"/>
          <w:color w:val="auto"/>
          <w:sz w:val="24"/>
          <w:highlight w:val="none"/>
          <w:lang w:eastAsia="zh-CN"/>
        </w:rPr>
        <w:t>谈判小组</w:t>
      </w:r>
      <w:r>
        <w:rPr>
          <w:rFonts w:hint="eastAsia" w:asciiTheme="minorEastAsia" w:hAnsiTheme="minorEastAsia" w:eastAsiaTheme="minorEastAsia"/>
          <w:color w:val="auto"/>
          <w:sz w:val="24"/>
          <w:highlight w:val="none"/>
        </w:rPr>
        <w:t>根据</w:t>
      </w:r>
      <w:r>
        <w:rPr>
          <w:rFonts w:hint="eastAsia" w:asciiTheme="minorEastAsia" w:hAnsiTheme="minorEastAsia" w:eastAsiaTheme="minorEastAsia"/>
          <w:color w:val="auto"/>
          <w:sz w:val="24"/>
          <w:highlight w:val="none"/>
          <w:lang w:eastAsia="zh-CN"/>
        </w:rPr>
        <w:t>谈判文件</w:t>
      </w:r>
      <w:r>
        <w:rPr>
          <w:rFonts w:hint="eastAsia" w:asciiTheme="minorEastAsia" w:hAnsiTheme="minorEastAsia" w:eastAsiaTheme="minorEastAsia"/>
          <w:color w:val="auto"/>
          <w:sz w:val="24"/>
          <w:highlight w:val="none"/>
        </w:rPr>
        <w:t>的规定对</w:t>
      </w:r>
      <w:r>
        <w:rPr>
          <w:rFonts w:hint="eastAsia" w:asciiTheme="minorEastAsia" w:hAnsiTheme="minorEastAsia" w:eastAsiaTheme="minorEastAsia"/>
          <w:color w:val="auto"/>
          <w:sz w:val="24"/>
          <w:highlight w:val="none"/>
          <w:lang w:eastAsia="zh-CN"/>
        </w:rPr>
        <w:t>谈判文件</w:t>
      </w:r>
      <w:r>
        <w:rPr>
          <w:rFonts w:hint="eastAsia" w:asciiTheme="minorEastAsia" w:hAnsiTheme="minorEastAsia" w:eastAsiaTheme="minorEastAsia"/>
          <w:color w:val="auto"/>
          <w:sz w:val="24"/>
          <w:highlight w:val="none"/>
        </w:rPr>
        <w:t>的计算错误进行修正后，供应商不接受修正的报价的。</w:t>
      </w:r>
    </w:p>
    <w:p w14:paraId="1187415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（7）其它情形，经</w:t>
      </w:r>
      <w:r>
        <w:rPr>
          <w:rFonts w:hint="eastAsia" w:asciiTheme="minorEastAsia" w:hAnsiTheme="minorEastAsia" w:eastAsiaTheme="minorEastAsia"/>
          <w:color w:val="auto"/>
          <w:sz w:val="24"/>
          <w:highlight w:val="none"/>
          <w:lang w:eastAsia="zh-CN"/>
        </w:rPr>
        <w:t>谈判小组</w:t>
      </w:r>
      <w:r>
        <w:rPr>
          <w:rFonts w:hint="eastAsia" w:asciiTheme="minorEastAsia" w:hAnsiTheme="minorEastAsia" w:eastAsiaTheme="minorEastAsia"/>
          <w:color w:val="auto"/>
          <w:sz w:val="24"/>
          <w:highlight w:val="none"/>
        </w:rPr>
        <w:t>提出按无效响应处理，并经公共资源交易监督部门核准的；</w:t>
      </w:r>
    </w:p>
    <w:p w14:paraId="5B62CC4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（8）响应文件含有采购人不能接受的附加条件的；</w:t>
      </w:r>
    </w:p>
    <w:p w14:paraId="5E0EC35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hint="eastAsia" w:asciiTheme="minorEastAsia" w:hAnsiTheme="minorEastAsia" w:eastAsiaTheme="minorEastAsia"/>
          <w:color w:val="auto"/>
          <w:sz w:val="24"/>
          <w:highlight w:val="none"/>
          <w:lang w:eastAsia="zh-CN"/>
        </w:rPr>
        <w:t>谈判文件</w:t>
      </w:r>
      <w:r>
        <w:rPr>
          <w:rFonts w:hint="eastAsia" w:asciiTheme="minorEastAsia" w:hAnsiTheme="minorEastAsia" w:eastAsiaTheme="minorEastAsia"/>
          <w:color w:val="auto"/>
          <w:sz w:val="24"/>
          <w:highlight w:val="none"/>
        </w:rPr>
        <w:t>规定的其它无效响应情形。</w:t>
      </w:r>
    </w:p>
    <w:p w14:paraId="6EAEE82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.4 供应商有下列情形之一的, 详细评审后其按无效响应处理：</w:t>
      </w:r>
    </w:p>
    <w:p w14:paraId="220B990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（1）产品不符合必须强制执行的国家标准的；</w:t>
      </w:r>
    </w:p>
    <w:p w14:paraId="629CEDC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（2）供应商有串通、弄虚作假、行贿等违法行为；</w:t>
      </w:r>
    </w:p>
    <w:p w14:paraId="05648EC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（3）响应文件含有违反国家法律、法规的内容，或附有采购人不能接受的条件的；</w:t>
      </w:r>
    </w:p>
    <w:p w14:paraId="010DB1A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（4）报价明显低于其他供应商，且不能证明报价合理性的响应无效；</w:t>
      </w:r>
    </w:p>
    <w:p w14:paraId="566EE34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（5）拒不确认</w:t>
      </w:r>
      <w:r>
        <w:rPr>
          <w:rFonts w:hint="eastAsia" w:asciiTheme="minorEastAsia" w:hAnsiTheme="minorEastAsia" w:eastAsiaTheme="minorEastAsia"/>
          <w:color w:val="auto"/>
          <w:sz w:val="24"/>
          <w:highlight w:val="none"/>
          <w:lang w:eastAsia="zh-CN"/>
        </w:rPr>
        <w:t>谈判小组</w:t>
      </w:r>
      <w:r>
        <w:rPr>
          <w:rFonts w:hint="eastAsia" w:asciiTheme="minorEastAsia" w:hAnsiTheme="minorEastAsia" w:eastAsiaTheme="minorEastAsia"/>
          <w:color w:val="auto"/>
          <w:sz w:val="24"/>
          <w:highlight w:val="none"/>
        </w:rPr>
        <w:t>评审修正的响应无效；</w:t>
      </w:r>
    </w:p>
    <w:p w14:paraId="5FAA99A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（6）其它情形，经</w:t>
      </w:r>
      <w:r>
        <w:rPr>
          <w:rFonts w:hint="eastAsia" w:asciiTheme="minorEastAsia" w:hAnsiTheme="minorEastAsia" w:eastAsiaTheme="minorEastAsia"/>
          <w:color w:val="auto"/>
          <w:sz w:val="24"/>
          <w:highlight w:val="none"/>
          <w:lang w:eastAsia="zh-CN"/>
        </w:rPr>
        <w:t>谈判小组</w:t>
      </w:r>
      <w:r>
        <w:rPr>
          <w:rFonts w:hint="eastAsia" w:asciiTheme="minorEastAsia" w:hAnsiTheme="minorEastAsia" w:eastAsiaTheme="minorEastAsia"/>
          <w:color w:val="auto"/>
          <w:sz w:val="24"/>
          <w:highlight w:val="none"/>
        </w:rPr>
        <w:t>提出按无效响应处理，并经公共资源交易监督部门核准的；</w:t>
      </w:r>
    </w:p>
    <w:p w14:paraId="2B9DF6F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hint="eastAsia" w:asciiTheme="minorEastAsia" w:hAnsiTheme="minorEastAsia" w:eastAsiaTheme="minorEastAsia"/>
          <w:color w:val="auto"/>
          <w:sz w:val="24"/>
          <w:highlight w:val="none"/>
          <w:lang w:eastAsia="zh-CN"/>
        </w:rPr>
        <w:t>谈判文件</w:t>
      </w:r>
      <w:r>
        <w:rPr>
          <w:rFonts w:hint="eastAsia" w:asciiTheme="minorEastAsia" w:hAnsiTheme="minorEastAsia" w:eastAsiaTheme="minorEastAsia"/>
          <w:color w:val="auto"/>
          <w:sz w:val="24"/>
          <w:highlight w:val="none"/>
        </w:rPr>
        <w:t>规定的其它无效响应情形。</w:t>
      </w:r>
    </w:p>
    <w:p w14:paraId="5E887C38">
      <w:pPr>
        <w:widowControl/>
        <w:jc w:val="left"/>
        <w:rPr>
          <w:rFonts w:asciiTheme="minorEastAsia" w:hAnsiTheme="minorEastAsia" w:eastAsiaTheme="minorEastAsia"/>
          <w:color w:val="auto"/>
          <w:sz w:val="24"/>
          <w:highlight w:val="none"/>
        </w:rPr>
      </w:pPr>
    </w:p>
    <w:p w14:paraId="7D2009A0">
      <w:pPr>
        <w:jc w:val="center"/>
        <w:rPr>
          <w:rFonts w:asciiTheme="minorEastAsia" w:hAnsiTheme="minorEastAsia" w:eastAsiaTheme="minorEastAsia"/>
          <w:b/>
          <w:color w:val="auto"/>
          <w:sz w:val="28"/>
          <w:highlight w:val="none"/>
        </w:rPr>
      </w:pPr>
      <w:bookmarkStart w:id="50" w:name="_Toc32646"/>
      <w:r>
        <w:rPr>
          <w:rFonts w:hint="eastAsia" w:asciiTheme="minorEastAsia" w:hAnsiTheme="minorEastAsia" w:eastAsiaTheme="minorEastAsia"/>
          <w:b/>
          <w:color w:val="auto"/>
          <w:sz w:val="28"/>
          <w:highlight w:val="none"/>
        </w:rPr>
        <w:br w:type="page"/>
      </w:r>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50"/>
    </w:p>
    <w:p w14:paraId="2153758B">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51" w:name="_Toc130919120"/>
      <w:bookmarkStart w:id="52" w:name="_Toc28799376"/>
      <w:bookmarkStart w:id="53" w:name="_Toc25807"/>
      <w:r>
        <w:rPr>
          <w:rFonts w:hint="eastAsia" w:cs="宋体"/>
          <w:b/>
          <w:bCs/>
          <w:color w:val="auto"/>
          <w:sz w:val="21"/>
          <w:szCs w:val="21"/>
          <w:highlight w:val="none"/>
        </w:rPr>
        <w:t>第一节  合同协议书</w:t>
      </w:r>
      <w:bookmarkEnd w:id="51"/>
      <w:bookmarkEnd w:id="52"/>
      <w:bookmarkEnd w:id="53"/>
    </w:p>
    <w:p w14:paraId="2E62D42D">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w:t>
      </w:r>
      <w:r>
        <w:rPr>
          <w:rFonts w:hint="eastAsia" w:cs="宋体"/>
          <w:b/>
          <w:color w:val="auto"/>
          <w:sz w:val="24"/>
          <w:szCs w:val="24"/>
          <w:highlight w:val="none"/>
          <w:u w:val="single"/>
          <w:lang w:eastAsia="zh-CN"/>
        </w:rPr>
        <w:t>滁州市园林景观管理中心</w:t>
      </w:r>
      <w:r>
        <w:rPr>
          <w:rFonts w:hint="eastAsia" w:cs="宋体"/>
          <w:b/>
          <w:color w:val="auto"/>
          <w:sz w:val="24"/>
          <w:szCs w:val="24"/>
          <w:highlight w:val="none"/>
          <w:u w:val="single"/>
        </w:rPr>
        <w:t xml:space="preserve">    </w:t>
      </w:r>
    </w:p>
    <w:p w14:paraId="12AA1AD1">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r>
        <w:rPr>
          <w:rFonts w:hint="eastAsia" w:cs="宋体"/>
          <w:b/>
          <w:color w:val="auto"/>
          <w:sz w:val="24"/>
          <w:szCs w:val="24"/>
          <w:highlight w:val="none"/>
          <w:u w:val="single"/>
          <w:lang w:val="en-US" w:eastAsia="zh-CN"/>
        </w:rPr>
        <w:t xml:space="preserve">    </w:t>
      </w:r>
      <w:r>
        <w:rPr>
          <w:rFonts w:hint="eastAsia" w:cs="宋体"/>
          <w:b/>
          <w:color w:val="auto"/>
          <w:sz w:val="24"/>
          <w:szCs w:val="24"/>
          <w:highlight w:val="none"/>
          <w:u w:val="single"/>
        </w:rPr>
        <w:t xml:space="preserve">   </w:t>
      </w:r>
      <w:r>
        <w:rPr>
          <w:rFonts w:hint="eastAsia" w:cs="宋体"/>
          <w:b/>
          <w:color w:val="auto"/>
          <w:sz w:val="24"/>
          <w:szCs w:val="24"/>
          <w:highlight w:val="none"/>
          <w:u w:val="single"/>
          <w:lang w:val="en-US" w:eastAsia="zh-CN"/>
        </w:rPr>
        <w:t xml:space="preserve">        </w:t>
      </w:r>
      <w:r>
        <w:rPr>
          <w:rFonts w:hint="eastAsia" w:cs="宋体"/>
          <w:b/>
          <w:color w:val="auto"/>
          <w:sz w:val="24"/>
          <w:szCs w:val="24"/>
          <w:highlight w:val="none"/>
          <w:u w:val="single"/>
        </w:rPr>
        <w:t xml:space="preserve">    </w:t>
      </w:r>
    </w:p>
    <w:p w14:paraId="17A71DE6">
      <w:pPr>
        <w:spacing w:line="360" w:lineRule="auto"/>
        <w:rPr>
          <w:rFonts w:ascii="Times New Roman" w:hAnsi="Times New Roman" w:eastAsia="仿宋_GB2312" w:cs="Times New Roman"/>
          <w:b/>
          <w:color w:val="auto"/>
          <w:kern w:val="2"/>
          <w:sz w:val="30"/>
          <w:szCs w:val="30"/>
          <w:highlight w:val="none"/>
          <w:u w:val="single"/>
        </w:rPr>
      </w:pPr>
    </w:p>
    <w:p w14:paraId="0062534E">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2026年公园游园设施安全整治项目</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690E1722">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64F9B68C">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lang w:eastAsia="zh-CN"/>
        </w:rPr>
        <w:t>2026年公园游园设施安全整治项目</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9B0DAC">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滁州市内</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8E227A3">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7061DF46">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财政资金</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28B1FD28">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53DA7284">
      <w:pPr>
        <w:snapToGrid w:val="0"/>
        <w:spacing w:line="360" w:lineRule="auto"/>
        <w:ind w:firstLine="411" w:firstLineChars="196"/>
        <w:rPr>
          <w:rFonts w:cs="宋体"/>
          <w:bCs/>
          <w:color w:val="auto"/>
          <w:sz w:val="21"/>
          <w:szCs w:val="21"/>
          <w:highlight w:val="none"/>
        </w:rPr>
      </w:pPr>
      <w:r>
        <w:rPr>
          <w:rFonts w:hint="eastAsia" w:cs="宋体"/>
          <w:color w:val="auto"/>
          <w:sz w:val="21"/>
          <w:szCs w:val="21"/>
          <w:highlight w:val="none"/>
        </w:rPr>
        <w:t>群体工程应附《承包人承揽工程项目一览表》（附件1）。</w:t>
      </w:r>
    </w:p>
    <w:p w14:paraId="4D9342A6">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2C754815">
      <w:pPr>
        <w:snapToGrid w:val="0"/>
        <w:spacing w:line="360" w:lineRule="auto"/>
        <w:ind w:firstLine="402" w:firstLineChars="200"/>
        <w:rPr>
          <w:rFonts w:cs="宋体"/>
          <w:color w:val="auto"/>
          <w:sz w:val="21"/>
          <w:szCs w:val="21"/>
          <w:highlight w:val="none"/>
        </w:rPr>
      </w:pPr>
      <w:r>
        <w:rPr>
          <w:rFonts w:hint="eastAsia" w:ascii="宋体" w:hAnsi="宋体" w:cs="宋体"/>
          <w:b/>
          <w:bCs/>
          <w:color w:val="auto"/>
          <w:szCs w:val="21"/>
          <w:highlight w:val="none"/>
          <w:u w:val="single"/>
        </w:rPr>
        <w:t>施工图纸和工程量清单载明的施工内容及施工过程中的变更内容（如施工图纸和工程量清单不一致，由发包人负责解释）</w:t>
      </w:r>
      <w:r>
        <w:rPr>
          <w:rFonts w:hint="eastAsia" w:cs="宋体"/>
          <w:color w:val="auto"/>
          <w:sz w:val="21"/>
          <w:szCs w:val="21"/>
          <w:highlight w:val="none"/>
          <w:u w:val="single"/>
        </w:rPr>
        <w:t></w:t>
      </w:r>
      <w:r>
        <w:rPr>
          <w:rFonts w:hint="eastAsia" w:cs="宋体"/>
          <w:color w:val="auto"/>
          <w:sz w:val="21"/>
          <w:szCs w:val="21"/>
          <w:highlight w:val="none"/>
        </w:rPr>
        <w:t>。</w:t>
      </w:r>
    </w:p>
    <w:p w14:paraId="64F72586">
      <w:pPr>
        <w:snapToGrid w:val="0"/>
        <w:spacing w:line="360" w:lineRule="auto"/>
        <w:ind w:firstLine="422" w:firstLineChars="200"/>
        <w:rPr>
          <w:rFonts w:cs="宋体"/>
          <w:b/>
          <w:color w:val="auto"/>
          <w:sz w:val="21"/>
          <w:szCs w:val="21"/>
          <w:highlight w:val="none"/>
        </w:rPr>
      </w:pPr>
      <w:bookmarkStart w:id="54" w:name="_Toc351203482"/>
      <w:r>
        <w:rPr>
          <w:rFonts w:hint="eastAsia" w:cs="宋体"/>
          <w:b/>
          <w:color w:val="auto"/>
          <w:sz w:val="21"/>
          <w:szCs w:val="21"/>
          <w:highlight w:val="none"/>
        </w:rPr>
        <w:t>二、合同工期</w:t>
      </w:r>
      <w:bookmarkEnd w:id="54"/>
    </w:p>
    <w:p w14:paraId="1AF614FD">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1730A1C2">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计划竣工日期：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33CD143C">
      <w:pPr>
        <w:snapToGrid w:val="0"/>
        <w:spacing w:line="360" w:lineRule="auto"/>
        <w:ind w:firstLine="459"/>
        <w:rPr>
          <w:rFonts w:hint="eastAsia" w:eastAsia="宋体" w:cs="宋体"/>
          <w:color w:val="auto"/>
          <w:sz w:val="21"/>
          <w:szCs w:val="21"/>
          <w:highlight w:val="none"/>
          <w:lang w:eastAsia="zh-CN"/>
        </w:rPr>
      </w:pPr>
      <w:r>
        <w:rPr>
          <w:rFonts w:hint="eastAsia" w:cs="宋体"/>
          <w:color w:val="auto"/>
          <w:sz w:val="21"/>
          <w:szCs w:val="21"/>
          <w:highlight w:val="none"/>
        </w:rPr>
        <w:t>工期总日历天数：总工期</w:t>
      </w:r>
      <w:r>
        <w:rPr>
          <w:rFonts w:hint="eastAsia" w:cs="宋体"/>
          <w:color w:val="auto"/>
          <w:sz w:val="21"/>
          <w:szCs w:val="21"/>
          <w:highlight w:val="none"/>
          <w:lang w:eastAsia="zh-CN"/>
        </w:rPr>
        <w:t>不高于</w:t>
      </w:r>
      <w:r>
        <w:rPr>
          <w:rFonts w:hint="eastAsia" w:cs="宋体"/>
          <w:color w:val="auto"/>
          <w:sz w:val="21"/>
          <w:szCs w:val="21"/>
          <w:highlight w:val="none"/>
          <w:lang w:val="en-US" w:eastAsia="zh-CN"/>
        </w:rPr>
        <w:t xml:space="preserve">   </w:t>
      </w:r>
      <w:r>
        <w:rPr>
          <w:rFonts w:hint="eastAsia" w:cs="宋体"/>
          <w:color w:val="auto"/>
          <w:sz w:val="21"/>
          <w:szCs w:val="21"/>
          <w:highlight w:val="none"/>
          <w:lang w:eastAsia="zh-CN"/>
        </w:rPr>
        <w:t>个日历天。供应商自报的承诺工期为考核标准。因供应商原因造成的工期延误，每推迟一天，按500元/天处以违约金。</w:t>
      </w:r>
    </w:p>
    <w:p w14:paraId="139456A2">
      <w:pPr>
        <w:snapToGrid w:val="0"/>
        <w:spacing w:line="360" w:lineRule="auto"/>
        <w:ind w:firstLine="422" w:firstLineChars="200"/>
        <w:rPr>
          <w:rFonts w:cs="宋体"/>
          <w:b/>
          <w:color w:val="auto"/>
          <w:sz w:val="21"/>
          <w:szCs w:val="21"/>
          <w:highlight w:val="none"/>
        </w:rPr>
      </w:pPr>
      <w:bookmarkStart w:id="55" w:name="_Toc351203483"/>
      <w:r>
        <w:rPr>
          <w:rFonts w:hint="eastAsia" w:cs="宋体"/>
          <w:b/>
          <w:color w:val="auto"/>
          <w:sz w:val="21"/>
          <w:szCs w:val="21"/>
          <w:highlight w:val="none"/>
        </w:rPr>
        <w:t>三、质量标准</w:t>
      </w:r>
      <w:bookmarkEnd w:id="55"/>
    </w:p>
    <w:p w14:paraId="531F9E9E">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09F3A624">
      <w:pPr>
        <w:snapToGrid w:val="0"/>
        <w:spacing w:line="360" w:lineRule="auto"/>
        <w:ind w:firstLine="422" w:firstLineChars="200"/>
        <w:rPr>
          <w:rFonts w:cs="宋体"/>
          <w:b/>
          <w:color w:val="auto"/>
          <w:sz w:val="21"/>
          <w:szCs w:val="21"/>
          <w:highlight w:val="none"/>
        </w:rPr>
      </w:pPr>
      <w:bookmarkStart w:id="56" w:name="_Toc351203484"/>
      <w:r>
        <w:rPr>
          <w:rFonts w:hint="eastAsia" w:cs="宋体"/>
          <w:b/>
          <w:color w:val="auto"/>
          <w:sz w:val="21"/>
          <w:szCs w:val="21"/>
          <w:highlight w:val="none"/>
        </w:rPr>
        <w:t>四、签约合同价与合同价格形式</w:t>
      </w:r>
      <w:bookmarkEnd w:id="56"/>
    </w:p>
    <w:p w14:paraId="32D5B3A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1B28F93E">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25161E10">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其中：</w:t>
      </w:r>
    </w:p>
    <w:p w14:paraId="43E15AEB">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（1）安全文明施工费：</w:t>
      </w:r>
    </w:p>
    <w:p w14:paraId="01BB16AF">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62FF5CEE">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（2）材料和工程设备暂估价金额：</w:t>
      </w:r>
    </w:p>
    <w:p w14:paraId="660373E0">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25B1260C">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（3）专业工程暂估价金额：</w:t>
      </w:r>
    </w:p>
    <w:p w14:paraId="7D845889">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697830E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（4）暂列金额：</w:t>
      </w:r>
    </w:p>
    <w:p w14:paraId="438BD5EE">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2FF687B">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250FD9">
      <w:pPr>
        <w:snapToGrid w:val="0"/>
        <w:spacing w:line="360" w:lineRule="auto"/>
        <w:ind w:firstLine="422" w:firstLineChars="200"/>
        <w:rPr>
          <w:rFonts w:cs="宋体"/>
          <w:b/>
          <w:color w:val="auto"/>
          <w:sz w:val="21"/>
          <w:szCs w:val="21"/>
          <w:highlight w:val="none"/>
        </w:rPr>
      </w:pPr>
      <w:bookmarkStart w:id="57" w:name="_Toc351203485"/>
      <w:r>
        <w:rPr>
          <w:rFonts w:hint="eastAsia" w:cs="宋体"/>
          <w:b/>
          <w:color w:val="auto"/>
          <w:sz w:val="21"/>
          <w:szCs w:val="21"/>
          <w:highlight w:val="none"/>
        </w:rPr>
        <w:t>五、</w:t>
      </w:r>
      <w:bookmarkEnd w:id="57"/>
      <w:r>
        <w:rPr>
          <w:rFonts w:hint="eastAsia" w:cs="宋体"/>
          <w:b/>
          <w:color w:val="auto"/>
          <w:sz w:val="21"/>
          <w:szCs w:val="21"/>
          <w:highlight w:val="none"/>
        </w:rPr>
        <w:t>项目经理</w:t>
      </w:r>
    </w:p>
    <w:p w14:paraId="40E2FA24">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0D43E7AC">
      <w:pPr>
        <w:snapToGrid w:val="0"/>
        <w:spacing w:line="360" w:lineRule="auto"/>
        <w:ind w:firstLine="422" w:firstLineChars="200"/>
        <w:rPr>
          <w:rFonts w:cs="宋体"/>
          <w:b/>
          <w:color w:val="auto"/>
          <w:sz w:val="21"/>
          <w:szCs w:val="21"/>
          <w:highlight w:val="none"/>
        </w:rPr>
      </w:pPr>
      <w:bookmarkStart w:id="58" w:name="_Toc351203486"/>
      <w:r>
        <w:rPr>
          <w:rFonts w:hint="eastAsia" w:cs="宋体"/>
          <w:b/>
          <w:color w:val="auto"/>
          <w:sz w:val="21"/>
          <w:szCs w:val="21"/>
          <w:highlight w:val="none"/>
        </w:rPr>
        <w:t>六、合同文件构成</w:t>
      </w:r>
      <w:bookmarkEnd w:id="58"/>
    </w:p>
    <w:p w14:paraId="5B32A19F">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6406B52B">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（1）中标通知书（如果有）；</w:t>
      </w:r>
    </w:p>
    <w:p w14:paraId="70FAE2CB">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（2）投标函及其附录（如果有）； </w:t>
      </w:r>
    </w:p>
    <w:p w14:paraId="05E6D11D">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568344E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35017E19">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p>
    <w:p w14:paraId="523D05D4">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p>
    <w:p w14:paraId="44DB262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57E9F75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3B54C865">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1EEFB2F0">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26646063">
      <w:pPr>
        <w:snapToGrid w:val="0"/>
        <w:spacing w:line="360" w:lineRule="auto"/>
        <w:ind w:firstLine="422" w:firstLineChars="200"/>
        <w:rPr>
          <w:rFonts w:cs="宋体"/>
          <w:b/>
          <w:color w:val="auto"/>
          <w:sz w:val="21"/>
          <w:szCs w:val="21"/>
          <w:highlight w:val="none"/>
        </w:rPr>
      </w:pPr>
      <w:bookmarkStart w:id="59" w:name="_Toc351203487"/>
      <w:r>
        <w:rPr>
          <w:rFonts w:hint="eastAsia" w:cs="宋体"/>
          <w:b/>
          <w:color w:val="auto"/>
          <w:sz w:val="21"/>
          <w:szCs w:val="21"/>
          <w:highlight w:val="none"/>
        </w:rPr>
        <w:t>七、承诺</w:t>
      </w:r>
      <w:bookmarkEnd w:id="59"/>
    </w:p>
    <w:p w14:paraId="5752C35A">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763E86E1">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5E6783D8">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7FA3F9CB">
      <w:pPr>
        <w:snapToGrid w:val="0"/>
        <w:spacing w:line="360" w:lineRule="auto"/>
        <w:ind w:firstLine="422" w:firstLineChars="200"/>
        <w:rPr>
          <w:rFonts w:cs="宋体"/>
          <w:b/>
          <w:color w:val="auto"/>
          <w:sz w:val="21"/>
          <w:szCs w:val="21"/>
          <w:highlight w:val="none"/>
        </w:rPr>
      </w:pPr>
      <w:bookmarkStart w:id="60" w:name="_Toc351203488"/>
      <w:r>
        <w:rPr>
          <w:rFonts w:hint="eastAsia" w:cs="宋体"/>
          <w:b/>
          <w:color w:val="auto"/>
          <w:sz w:val="21"/>
          <w:szCs w:val="21"/>
          <w:highlight w:val="none"/>
        </w:rPr>
        <w:t>八、词语含义</w:t>
      </w:r>
      <w:bookmarkEnd w:id="60"/>
    </w:p>
    <w:p w14:paraId="4EAD8F0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3FBFB457">
      <w:pPr>
        <w:snapToGrid w:val="0"/>
        <w:spacing w:line="360" w:lineRule="auto"/>
        <w:ind w:firstLine="422" w:firstLineChars="200"/>
        <w:rPr>
          <w:rFonts w:cs="宋体"/>
          <w:b/>
          <w:color w:val="auto"/>
          <w:sz w:val="21"/>
          <w:szCs w:val="21"/>
          <w:highlight w:val="none"/>
        </w:rPr>
      </w:pPr>
      <w:bookmarkStart w:id="61" w:name="_Toc351203489"/>
      <w:r>
        <w:rPr>
          <w:rFonts w:hint="eastAsia" w:cs="宋体"/>
          <w:b/>
          <w:color w:val="auto"/>
          <w:sz w:val="21"/>
          <w:szCs w:val="21"/>
          <w:highlight w:val="none"/>
        </w:rPr>
        <w:t>九、签订时间</w:t>
      </w:r>
      <w:bookmarkEnd w:id="61"/>
    </w:p>
    <w:p w14:paraId="0409865D">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31BC7069">
      <w:pPr>
        <w:snapToGrid w:val="0"/>
        <w:spacing w:line="360" w:lineRule="auto"/>
        <w:ind w:firstLine="422" w:firstLineChars="200"/>
        <w:rPr>
          <w:rFonts w:cs="宋体"/>
          <w:b/>
          <w:color w:val="auto"/>
          <w:sz w:val="21"/>
          <w:szCs w:val="21"/>
          <w:highlight w:val="none"/>
        </w:rPr>
      </w:pPr>
      <w:bookmarkStart w:id="62" w:name="_Toc351203490"/>
      <w:r>
        <w:rPr>
          <w:rFonts w:hint="eastAsia" w:cs="宋体"/>
          <w:b/>
          <w:color w:val="auto"/>
          <w:sz w:val="21"/>
          <w:szCs w:val="21"/>
          <w:highlight w:val="none"/>
        </w:rPr>
        <w:t>十、签订地点</w:t>
      </w:r>
      <w:bookmarkEnd w:id="62"/>
    </w:p>
    <w:p w14:paraId="68E2C131">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7EFECA65">
      <w:pPr>
        <w:snapToGrid w:val="0"/>
        <w:spacing w:line="360" w:lineRule="auto"/>
        <w:ind w:firstLine="422" w:firstLineChars="200"/>
        <w:rPr>
          <w:rFonts w:cs="宋体"/>
          <w:b/>
          <w:color w:val="auto"/>
          <w:sz w:val="21"/>
          <w:szCs w:val="21"/>
          <w:highlight w:val="none"/>
        </w:rPr>
      </w:pPr>
      <w:bookmarkStart w:id="63" w:name="_Toc351203491"/>
      <w:r>
        <w:rPr>
          <w:rFonts w:hint="eastAsia" w:cs="宋体"/>
          <w:b/>
          <w:color w:val="auto"/>
          <w:sz w:val="21"/>
          <w:szCs w:val="21"/>
          <w:highlight w:val="none"/>
        </w:rPr>
        <w:t>十一、补充协议</w:t>
      </w:r>
      <w:bookmarkEnd w:id="63"/>
    </w:p>
    <w:p w14:paraId="739297DD">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048017A0">
      <w:pPr>
        <w:snapToGrid w:val="0"/>
        <w:spacing w:line="360" w:lineRule="auto"/>
        <w:ind w:firstLine="422" w:firstLineChars="200"/>
        <w:rPr>
          <w:rFonts w:cs="宋体"/>
          <w:b/>
          <w:color w:val="auto"/>
          <w:sz w:val="21"/>
          <w:szCs w:val="21"/>
          <w:highlight w:val="none"/>
        </w:rPr>
      </w:pPr>
      <w:bookmarkStart w:id="64" w:name="_Toc351203492"/>
      <w:r>
        <w:rPr>
          <w:rFonts w:hint="eastAsia" w:cs="宋体"/>
          <w:b/>
          <w:color w:val="auto"/>
          <w:sz w:val="21"/>
          <w:szCs w:val="21"/>
          <w:highlight w:val="none"/>
        </w:rPr>
        <w:t>十二、合同生效</w:t>
      </w:r>
      <w:bookmarkEnd w:id="64"/>
    </w:p>
    <w:p w14:paraId="7D8D6525">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1485BD55">
      <w:pPr>
        <w:snapToGrid w:val="0"/>
        <w:spacing w:line="360" w:lineRule="auto"/>
        <w:ind w:firstLine="422" w:firstLineChars="200"/>
        <w:rPr>
          <w:rFonts w:cs="宋体"/>
          <w:b/>
          <w:color w:val="auto"/>
          <w:sz w:val="21"/>
          <w:szCs w:val="21"/>
          <w:highlight w:val="none"/>
        </w:rPr>
      </w:pPr>
      <w:bookmarkStart w:id="65" w:name="_Toc351203493"/>
      <w:r>
        <w:rPr>
          <w:rFonts w:hint="eastAsia" w:cs="宋体"/>
          <w:b/>
          <w:color w:val="auto"/>
          <w:sz w:val="21"/>
          <w:szCs w:val="21"/>
          <w:highlight w:val="none"/>
        </w:rPr>
        <w:t>十三、合同份数</w:t>
      </w:r>
      <w:bookmarkEnd w:id="65"/>
    </w:p>
    <w:p w14:paraId="57397C16">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41EA5934">
      <w:pPr>
        <w:snapToGrid w:val="0"/>
        <w:spacing w:line="360" w:lineRule="auto"/>
        <w:rPr>
          <w:rFonts w:cs="宋体"/>
          <w:bCs/>
          <w:color w:val="auto"/>
          <w:sz w:val="21"/>
          <w:szCs w:val="21"/>
          <w:highlight w:val="none"/>
        </w:rPr>
      </w:pPr>
    </w:p>
    <w:p w14:paraId="5D66FCAA">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1A02BEF8">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60CED700">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75C21B75">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11B46F08">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CE02781">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75B7D717">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769798F5">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1710E481">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52027C44">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18051003">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3958DD4D">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2C2D7461">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763C53F5">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66" w:name="_Toc130919121"/>
      <w:bookmarkStart w:id="67" w:name="_Toc28799377"/>
      <w:bookmarkStart w:id="68" w:name="_Toc23745"/>
      <w:bookmarkStart w:id="69" w:name="_Toc8613"/>
      <w:r>
        <w:rPr>
          <w:rFonts w:hint="eastAsia" w:ascii="等线" w:hAnsi="等线" w:eastAsia="等线" w:cs="@仿宋_GB2312"/>
          <w:b/>
          <w:color w:val="auto"/>
          <w:kern w:val="2"/>
          <w:sz w:val="24"/>
          <w:highlight w:val="none"/>
        </w:rPr>
        <w:t>第二节  通用合同条款</w:t>
      </w:r>
      <w:bookmarkEnd w:id="66"/>
      <w:bookmarkEnd w:id="67"/>
      <w:bookmarkEnd w:id="68"/>
      <w:bookmarkEnd w:id="69"/>
    </w:p>
    <w:p w14:paraId="58802566">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45FA7310">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70" w:name="_Toc25217"/>
      <w:bookmarkStart w:id="71" w:name="_Toc130919122"/>
      <w:bookmarkStart w:id="72" w:name="_Toc22205"/>
      <w:bookmarkStart w:id="73" w:name="_Toc28799378"/>
      <w:r>
        <w:rPr>
          <w:rFonts w:hint="eastAsia" w:ascii="等线" w:hAnsi="等线" w:eastAsia="等线" w:cs="@仿宋_GB2312"/>
          <w:b/>
          <w:color w:val="auto"/>
          <w:kern w:val="2"/>
          <w:sz w:val="24"/>
          <w:highlight w:val="none"/>
        </w:rPr>
        <w:t>第三节  专用合同条款</w:t>
      </w:r>
      <w:bookmarkEnd w:id="70"/>
      <w:bookmarkEnd w:id="71"/>
      <w:bookmarkEnd w:id="72"/>
      <w:bookmarkEnd w:id="73"/>
    </w:p>
    <w:p w14:paraId="125799C4">
      <w:pPr>
        <w:snapToGrid w:val="0"/>
        <w:spacing w:before="312" w:beforeLines="100" w:after="312" w:afterLines="100" w:line="360" w:lineRule="auto"/>
        <w:jc w:val="center"/>
        <w:outlineLvl w:val="2"/>
        <w:rPr>
          <w:rFonts w:cs="宋体"/>
          <w:color w:val="auto"/>
          <w:sz w:val="21"/>
          <w:szCs w:val="21"/>
          <w:highlight w:val="none"/>
        </w:rPr>
      </w:pPr>
      <w:bookmarkStart w:id="74" w:name="_Toc351203633"/>
      <w:r>
        <w:rPr>
          <w:rFonts w:hint="eastAsia" w:cs="宋体"/>
          <w:color w:val="auto"/>
          <w:sz w:val="21"/>
          <w:szCs w:val="21"/>
          <w:highlight w:val="none"/>
        </w:rPr>
        <w:t>专用合同条款数据表</w:t>
      </w:r>
    </w:p>
    <w:p w14:paraId="78575824">
      <w:pPr>
        <w:pStyle w:val="21"/>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6"/>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57E0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4674097D">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2F891269">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3EBC4AAF">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28A7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9D652F5">
            <w:pPr>
              <w:numPr>
                <w:ilvl w:val="0"/>
                <w:numId w:val="4"/>
              </w:numPr>
              <w:snapToGrid w:val="0"/>
              <w:spacing w:line="360" w:lineRule="auto"/>
              <w:jc w:val="center"/>
              <w:rPr>
                <w:rFonts w:cs="宋体"/>
                <w:bCs/>
                <w:color w:val="auto"/>
                <w:kern w:val="2"/>
                <w:sz w:val="21"/>
                <w:szCs w:val="21"/>
                <w:highlight w:val="none"/>
              </w:rPr>
            </w:pPr>
          </w:p>
        </w:tc>
        <w:tc>
          <w:tcPr>
            <w:tcW w:w="1111" w:type="dxa"/>
            <w:vAlign w:val="center"/>
          </w:tcPr>
          <w:p w14:paraId="61F896CD">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0DE227B1">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 xml:space="preserve">发包人提供资金来源证明的期限要求： </w:t>
            </w:r>
            <w:r>
              <w:rPr>
                <w:rFonts w:hint="eastAsia" w:cs="宋体"/>
                <w:bCs/>
                <w:color w:val="auto"/>
                <w:sz w:val="21"/>
                <w:szCs w:val="21"/>
                <w:highlight w:val="none"/>
                <w:u w:val="single"/>
              </w:rPr>
              <w:t xml:space="preserve">财政资金，不需提供   </w:t>
            </w:r>
          </w:p>
          <w:p w14:paraId="336ABC7D">
            <w:pPr>
              <w:snapToGrid w:val="0"/>
              <w:spacing w:line="360" w:lineRule="auto"/>
              <w:rPr>
                <w:rFonts w:cs="宋体"/>
                <w:bCs/>
                <w:color w:val="auto"/>
                <w:sz w:val="21"/>
                <w:szCs w:val="21"/>
                <w:highlight w:val="none"/>
              </w:rPr>
            </w:pPr>
            <w:r>
              <w:rPr>
                <w:rFonts w:hint="eastAsia" w:cs="宋体"/>
                <w:bCs/>
                <w:color w:val="auto"/>
                <w:sz w:val="21"/>
                <w:szCs w:val="21"/>
                <w:highlight w:val="none"/>
              </w:rPr>
              <w:t xml:space="preserve">发包人是否提供支付担保：  </w:t>
            </w:r>
            <w:r>
              <w:rPr>
                <w:rFonts w:hint="eastAsia" w:cs="宋体"/>
                <w:bCs/>
                <w:color w:val="auto"/>
                <w:sz w:val="21"/>
                <w:szCs w:val="21"/>
                <w:highlight w:val="none"/>
                <w:u w:val="single"/>
              </w:rPr>
              <w:t xml:space="preserve"> 财政资金，不需提供   </w:t>
            </w:r>
          </w:p>
          <w:p w14:paraId="481DD838">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发包人提供支付担保的形式：</w:t>
            </w:r>
            <w:r>
              <w:rPr>
                <w:rFonts w:hint="eastAsia" w:cs="宋体"/>
                <w:bCs/>
                <w:color w:val="auto"/>
                <w:sz w:val="21"/>
                <w:szCs w:val="21"/>
                <w:highlight w:val="none"/>
                <w:u w:val="single"/>
              </w:rPr>
              <w:t xml:space="preserve"> 财政资金，不需提供  </w:t>
            </w:r>
          </w:p>
        </w:tc>
      </w:tr>
      <w:tr w14:paraId="4649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7B13746">
            <w:pPr>
              <w:numPr>
                <w:ilvl w:val="0"/>
                <w:numId w:val="4"/>
              </w:numPr>
              <w:snapToGrid w:val="0"/>
              <w:spacing w:line="360" w:lineRule="auto"/>
              <w:jc w:val="center"/>
              <w:rPr>
                <w:rFonts w:cs="宋体"/>
                <w:bCs/>
                <w:color w:val="auto"/>
                <w:kern w:val="2"/>
                <w:sz w:val="21"/>
                <w:szCs w:val="21"/>
                <w:highlight w:val="none"/>
              </w:rPr>
            </w:pPr>
          </w:p>
        </w:tc>
        <w:tc>
          <w:tcPr>
            <w:tcW w:w="1111" w:type="dxa"/>
            <w:vAlign w:val="center"/>
          </w:tcPr>
          <w:p w14:paraId="596AC9AE">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4042BC26">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0085A880">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4A116ADB">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164EDEB1">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75877517">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2070E0AD">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612CE2DC">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22</w:t>
            </w:r>
            <w:r>
              <w:rPr>
                <w:rFonts w:hint="eastAsia" w:cs="宋体"/>
                <w:bCs/>
                <w:color w:val="auto"/>
                <w:sz w:val="21"/>
                <w:szCs w:val="21"/>
                <w:highlight w:val="none"/>
                <w:u w:val="single"/>
              </w:rPr>
              <w:t xml:space="preserve"> </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8</w:t>
            </w:r>
            <w:r>
              <w:rPr>
                <w:rFonts w:hint="eastAsia" w:cs="宋体"/>
                <w:bCs/>
                <w:color w:val="auto"/>
                <w:sz w:val="21"/>
                <w:szCs w:val="21"/>
                <w:highlight w:val="none"/>
                <w:u w:val="single"/>
              </w:rPr>
              <w:t xml:space="preserve"> </w:t>
            </w:r>
            <w:r>
              <w:rPr>
                <w:rFonts w:hint="eastAsia" w:cs="宋体"/>
                <w:bCs/>
                <w:color w:val="auto"/>
                <w:sz w:val="21"/>
                <w:szCs w:val="21"/>
                <w:highlight w:val="none"/>
              </w:rPr>
              <w:t>小时。</w:t>
            </w:r>
          </w:p>
        </w:tc>
      </w:tr>
      <w:tr w14:paraId="5C62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F3C92AF">
            <w:pPr>
              <w:numPr>
                <w:ilvl w:val="0"/>
                <w:numId w:val="4"/>
              </w:numPr>
              <w:snapToGrid w:val="0"/>
              <w:spacing w:line="360" w:lineRule="auto"/>
              <w:jc w:val="center"/>
              <w:rPr>
                <w:rFonts w:cs="宋体"/>
                <w:bCs/>
                <w:color w:val="auto"/>
                <w:kern w:val="2"/>
                <w:sz w:val="21"/>
                <w:szCs w:val="21"/>
                <w:highlight w:val="none"/>
              </w:rPr>
            </w:pPr>
          </w:p>
        </w:tc>
        <w:tc>
          <w:tcPr>
            <w:tcW w:w="1111" w:type="dxa"/>
            <w:vAlign w:val="center"/>
          </w:tcPr>
          <w:p w14:paraId="637DB8FF">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59E075CA">
            <w:pPr>
              <w:snapToGrid w:val="0"/>
              <w:spacing w:line="360" w:lineRule="auto"/>
              <w:rPr>
                <w:rFonts w:cs="宋体"/>
                <w:bCs/>
                <w:color w:val="auto"/>
                <w:sz w:val="21"/>
                <w:szCs w:val="21"/>
                <w:highlight w:val="none"/>
              </w:rPr>
            </w:pPr>
            <w:r>
              <w:rPr>
                <w:rFonts w:hint="eastAsia" w:cs="宋体"/>
                <w:bCs/>
                <w:color w:val="auto"/>
                <w:sz w:val="21"/>
                <w:szCs w:val="21"/>
                <w:highlight w:val="none"/>
              </w:rPr>
              <w:t>承包人是否提供履约保证金：</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是</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88B1142">
            <w:pPr>
              <w:snapToGrid w:val="0"/>
              <w:spacing w:line="360" w:lineRule="auto"/>
              <w:rPr>
                <w:rFonts w:cs="宋体"/>
                <w:bCs/>
                <w:color w:val="auto"/>
                <w:sz w:val="21"/>
                <w:szCs w:val="21"/>
                <w:highlight w:val="none"/>
              </w:rPr>
            </w:pPr>
            <w:r>
              <w:rPr>
                <w:rFonts w:hint="eastAsia" w:cs="宋体"/>
                <w:bCs/>
                <w:color w:val="auto"/>
                <w:sz w:val="21"/>
                <w:szCs w:val="21"/>
                <w:highlight w:val="none"/>
              </w:rPr>
              <w:t>承包人提供履约保证金的形式：</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转账/电汇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支票</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rPr>
              <w:t xml:space="preserve">汇票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本票</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rPr>
              <w:t xml:space="preserve">保险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保函    </w:t>
            </w:r>
            <w:r>
              <w:rPr>
                <w:rFonts w:hint="eastAsia" w:cs="宋体"/>
                <w:bCs/>
                <w:color w:val="auto"/>
                <w:sz w:val="21"/>
                <w:szCs w:val="21"/>
                <w:highlight w:val="none"/>
              </w:rPr>
              <w:t>。</w:t>
            </w:r>
          </w:p>
          <w:p w14:paraId="7C930061">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履约保证金的金额：中标合同金额的</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2</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51F10C0A">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履约保证金提交期限的要求：签订合同前。</w:t>
            </w:r>
          </w:p>
          <w:p w14:paraId="34D7880C">
            <w:pPr>
              <w:snapToGrid w:val="0"/>
              <w:spacing w:line="360" w:lineRule="auto"/>
              <w:rPr>
                <w:rFonts w:cs="宋体"/>
                <w:bCs/>
                <w:color w:val="auto"/>
                <w:kern w:val="2"/>
                <w:sz w:val="21"/>
                <w:szCs w:val="21"/>
                <w:highlight w:val="none"/>
              </w:rPr>
            </w:pPr>
            <w:r>
              <w:rPr>
                <w:rFonts w:hint="eastAsia" w:cs="宋体"/>
                <w:bCs/>
                <w:color w:val="auto"/>
                <w:sz w:val="21"/>
                <w:szCs w:val="21"/>
                <w:highlight w:val="none"/>
              </w:rPr>
              <w:t>履约保证金退还时限：</w:t>
            </w:r>
            <w:r>
              <w:rPr>
                <w:rFonts w:hint="eastAsia" w:cs="宋体"/>
                <w:bCs/>
                <w:color w:val="auto"/>
                <w:sz w:val="21"/>
                <w:szCs w:val="21"/>
                <w:highlight w:val="none"/>
                <w:u w:val="single"/>
              </w:rPr>
              <w:t xml:space="preserve">履约保证金有效期满7日内 </w:t>
            </w:r>
            <w:r>
              <w:rPr>
                <w:rFonts w:hint="eastAsia" w:cs="宋体"/>
                <w:bCs/>
                <w:color w:val="auto"/>
                <w:sz w:val="21"/>
                <w:szCs w:val="21"/>
                <w:highlight w:val="none"/>
              </w:rPr>
              <w:t>。</w:t>
            </w:r>
          </w:p>
        </w:tc>
      </w:tr>
      <w:tr w14:paraId="20BE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A91924B">
            <w:pPr>
              <w:numPr>
                <w:ilvl w:val="0"/>
                <w:numId w:val="4"/>
              </w:numPr>
              <w:snapToGrid w:val="0"/>
              <w:spacing w:line="360" w:lineRule="auto"/>
              <w:jc w:val="center"/>
              <w:rPr>
                <w:rFonts w:cs="宋体"/>
                <w:bCs/>
                <w:color w:val="auto"/>
                <w:sz w:val="21"/>
                <w:szCs w:val="21"/>
                <w:highlight w:val="none"/>
              </w:rPr>
            </w:pPr>
          </w:p>
        </w:tc>
        <w:tc>
          <w:tcPr>
            <w:tcW w:w="1111" w:type="dxa"/>
            <w:vAlign w:val="center"/>
          </w:tcPr>
          <w:p w14:paraId="0891FF4C">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54DAA009">
            <w:pPr>
              <w:snapToGrid w:val="0"/>
              <w:spacing w:line="360" w:lineRule="auto"/>
              <w:rPr>
                <w:rFonts w:cs="宋体"/>
                <w:bCs/>
                <w:color w:val="auto"/>
                <w:sz w:val="21"/>
                <w:szCs w:val="21"/>
                <w:highlight w:val="none"/>
              </w:rPr>
            </w:pPr>
            <w:r>
              <w:rPr>
                <w:rFonts w:hint="eastAsia" w:cs="宋体"/>
                <w:bCs/>
                <w:color w:val="auto"/>
                <w:sz w:val="21"/>
                <w:szCs w:val="21"/>
                <w:highlight w:val="none"/>
              </w:rPr>
              <w:t>5.1.1 特殊质量标准和要求：</w:t>
            </w:r>
            <w:r>
              <w:rPr>
                <w:rFonts w:hint="eastAsia" w:cs="宋体"/>
                <w:bCs/>
                <w:color w:val="auto"/>
                <w:sz w:val="21"/>
                <w:szCs w:val="21"/>
                <w:highlight w:val="none"/>
                <w:u w:val="single"/>
              </w:rPr>
              <w:t xml:space="preserve"> 工程质量必须达到国家工程施工质量验收合格标准</w:t>
            </w:r>
            <w:r>
              <w:rPr>
                <w:rFonts w:hint="eastAsia" w:cs="宋体"/>
                <w:bCs/>
                <w:color w:val="auto"/>
                <w:sz w:val="21"/>
                <w:szCs w:val="21"/>
                <w:highlight w:val="none"/>
              </w:rPr>
              <w:t>。</w:t>
            </w:r>
          </w:p>
          <w:p w14:paraId="28CFE46E">
            <w:pPr>
              <w:snapToGrid w:val="0"/>
              <w:spacing w:line="360" w:lineRule="auto"/>
              <w:rPr>
                <w:rFonts w:cs="宋体"/>
                <w:bCs/>
                <w:color w:val="auto"/>
                <w:sz w:val="21"/>
                <w:szCs w:val="21"/>
                <w:highlight w:val="none"/>
              </w:rPr>
            </w:pPr>
            <w:r>
              <w:rPr>
                <w:rFonts w:hint="eastAsia" w:cs="宋体"/>
                <w:bCs/>
                <w:color w:val="auto"/>
                <w:sz w:val="21"/>
                <w:szCs w:val="21"/>
                <w:highlight w:val="none"/>
              </w:rPr>
              <w:t>关于工程奖项的约定：</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6E39E388">
            <w:pPr>
              <w:snapToGrid w:val="0"/>
              <w:spacing w:line="360" w:lineRule="auto"/>
              <w:rPr>
                <w:rFonts w:cs="宋体"/>
                <w:bCs/>
                <w:color w:val="auto"/>
                <w:sz w:val="21"/>
                <w:szCs w:val="21"/>
                <w:highlight w:val="none"/>
              </w:rPr>
            </w:pPr>
            <w:r>
              <w:rPr>
                <w:rFonts w:hint="eastAsia" w:cs="宋体"/>
                <w:bCs/>
                <w:color w:val="auto"/>
                <w:sz w:val="21"/>
                <w:szCs w:val="21"/>
                <w:highlight w:val="none"/>
              </w:rPr>
              <w:t>关于建造要求：</w:t>
            </w:r>
          </w:p>
          <w:p w14:paraId="6A6BA833">
            <w:pPr>
              <w:snapToGrid w:val="0"/>
              <w:spacing w:line="360" w:lineRule="auto"/>
              <w:rPr>
                <w:rFonts w:cs="宋体"/>
                <w:bCs/>
                <w:color w:val="auto"/>
                <w:sz w:val="21"/>
                <w:szCs w:val="21"/>
                <w:highlight w:val="none"/>
              </w:rPr>
            </w:pPr>
            <w:r>
              <w:rPr>
                <w:rFonts w:hint="eastAsia" w:cs="宋体"/>
                <w:bCs/>
                <w:color w:val="auto"/>
                <w:sz w:val="21"/>
                <w:szCs w:val="21"/>
                <w:highlight w:val="none"/>
              </w:rPr>
              <w:t>（1）绿色建筑等级要求：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FA868F8">
            <w:pPr>
              <w:snapToGrid w:val="0"/>
              <w:spacing w:line="360" w:lineRule="auto"/>
              <w:rPr>
                <w:rFonts w:cs="宋体"/>
                <w:bCs/>
                <w:color w:val="auto"/>
                <w:sz w:val="21"/>
                <w:szCs w:val="21"/>
                <w:highlight w:val="none"/>
              </w:rPr>
            </w:pPr>
            <w:r>
              <w:rPr>
                <w:rFonts w:hint="eastAsia" w:cs="宋体"/>
                <w:bCs/>
                <w:color w:val="auto"/>
                <w:sz w:val="21"/>
                <w:szCs w:val="21"/>
                <w:highlight w:val="none"/>
              </w:rPr>
              <w:t>（2）智慧工地管理要求：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9568AD9">
            <w:pPr>
              <w:snapToGrid w:val="0"/>
              <w:spacing w:line="360" w:lineRule="auto"/>
              <w:rPr>
                <w:rFonts w:cs="宋体"/>
                <w:bCs/>
                <w:color w:val="auto"/>
                <w:sz w:val="21"/>
                <w:szCs w:val="21"/>
                <w:highlight w:val="none"/>
              </w:rPr>
            </w:pPr>
            <w:r>
              <w:rPr>
                <w:rFonts w:hint="eastAsia" w:cs="宋体"/>
                <w:bCs/>
                <w:color w:val="auto"/>
                <w:sz w:val="21"/>
                <w:szCs w:val="21"/>
                <w:highlight w:val="none"/>
              </w:rPr>
              <w:t>（3）建筑垃圾减量化目标：</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242AD54E">
            <w:pPr>
              <w:snapToGrid w:val="0"/>
              <w:spacing w:line="360" w:lineRule="auto"/>
              <w:rPr>
                <w:rFonts w:cs="宋体"/>
                <w:bCs/>
                <w:color w:val="auto"/>
                <w:sz w:val="21"/>
                <w:szCs w:val="21"/>
                <w:highlight w:val="none"/>
              </w:rPr>
            </w:pPr>
            <w:r>
              <w:rPr>
                <w:rFonts w:hint="eastAsia" w:cs="宋体"/>
                <w:bCs/>
                <w:color w:val="auto"/>
                <w:sz w:val="21"/>
                <w:szCs w:val="21"/>
                <w:highlight w:val="none"/>
              </w:rPr>
              <w:t>（4）装配式建筑装配率要求：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5BEC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09FBEF2">
            <w:pPr>
              <w:numPr>
                <w:ilvl w:val="0"/>
                <w:numId w:val="4"/>
              </w:numPr>
              <w:snapToGrid w:val="0"/>
              <w:spacing w:line="360" w:lineRule="auto"/>
              <w:jc w:val="center"/>
              <w:rPr>
                <w:rFonts w:cs="宋体"/>
                <w:bCs/>
                <w:color w:val="auto"/>
                <w:kern w:val="2"/>
                <w:sz w:val="21"/>
                <w:szCs w:val="21"/>
                <w:highlight w:val="none"/>
              </w:rPr>
            </w:pPr>
          </w:p>
        </w:tc>
        <w:tc>
          <w:tcPr>
            <w:tcW w:w="1111" w:type="dxa"/>
            <w:vAlign w:val="center"/>
          </w:tcPr>
          <w:p w14:paraId="3D4EFCC7">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7A0BDDB2">
            <w:pPr>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因承包人原因造成工期延误，逾期竣工违约金的计算方法为：</w:t>
            </w:r>
            <w:r>
              <w:rPr>
                <w:rFonts w:hint="eastAsia" w:cs="宋体"/>
                <w:bCs/>
                <w:color w:val="auto"/>
                <w:kern w:val="2"/>
                <w:sz w:val="21"/>
                <w:szCs w:val="21"/>
                <w:highlight w:val="none"/>
                <w:u w:val="single"/>
              </w:rPr>
              <w:t>每推迟一天，</w:t>
            </w:r>
            <w:r>
              <w:rPr>
                <w:rFonts w:hint="eastAsia" w:cs="宋体"/>
                <w:bCs/>
                <w:color w:val="auto"/>
                <w:kern w:val="2"/>
                <w:sz w:val="21"/>
                <w:szCs w:val="21"/>
                <w:highlight w:val="none"/>
                <w:u w:val="single"/>
                <w:lang w:eastAsia="zh-CN"/>
              </w:rPr>
              <w:t>按500元/天处以违约金</w:t>
            </w:r>
            <w:r>
              <w:rPr>
                <w:rFonts w:hint="eastAsia" w:cs="宋体"/>
                <w:bCs/>
                <w:color w:val="auto"/>
                <w:kern w:val="2"/>
                <w:sz w:val="21"/>
                <w:szCs w:val="21"/>
                <w:highlight w:val="none"/>
                <w:u w:val="single"/>
              </w:rPr>
              <w:t xml:space="preserve">。 </w:t>
            </w:r>
          </w:p>
          <w:p w14:paraId="40DB83F0">
            <w:pPr>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因承包人原因造成工期延误，逾期竣工违约金的上限：</w:t>
            </w:r>
            <w:r>
              <w:rPr>
                <w:rFonts w:hint="eastAsia" w:cs="宋体"/>
                <w:bCs/>
                <w:color w:val="auto"/>
                <w:kern w:val="2"/>
                <w:sz w:val="21"/>
                <w:szCs w:val="21"/>
                <w:highlight w:val="none"/>
                <w:u w:val="single"/>
              </w:rPr>
              <w:t xml:space="preserve"> 成交价的2% </w:t>
            </w:r>
            <w:r>
              <w:rPr>
                <w:rFonts w:hint="eastAsia" w:cs="宋体"/>
                <w:bCs/>
                <w:color w:val="auto"/>
                <w:kern w:val="2"/>
                <w:sz w:val="21"/>
                <w:szCs w:val="21"/>
                <w:highlight w:val="none"/>
              </w:rPr>
              <w:t>。</w:t>
            </w:r>
          </w:p>
        </w:tc>
      </w:tr>
      <w:tr w14:paraId="7C91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2B653F7">
            <w:pPr>
              <w:numPr>
                <w:ilvl w:val="0"/>
                <w:numId w:val="4"/>
              </w:numPr>
              <w:snapToGrid w:val="0"/>
              <w:spacing w:line="360" w:lineRule="auto"/>
              <w:jc w:val="center"/>
              <w:rPr>
                <w:rFonts w:cs="宋体"/>
                <w:bCs/>
                <w:color w:val="auto"/>
                <w:kern w:val="2"/>
                <w:sz w:val="21"/>
                <w:szCs w:val="21"/>
                <w:highlight w:val="none"/>
              </w:rPr>
            </w:pPr>
          </w:p>
        </w:tc>
        <w:tc>
          <w:tcPr>
            <w:tcW w:w="1111" w:type="dxa"/>
            <w:vAlign w:val="center"/>
          </w:tcPr>
          <w:p w14:paraId="78B5BC59">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59FCD046">
            <w:pPr>
              <w:snapToGrid w:val="0"/>
              <w:spacing w:line="360" w:lineRule="auto"/>
              <w:rPr>
                <w:rFonts w:cs="宋体"/>
                <w:bCs/>
                <w:color w:val="auto"/>
                <w:kern w:val="2"/>
                <w:sz w:val="21"/>
                <w:szCs w:val="21"/>
                <w:highlight w:val="none"/>
              </w:rPr>
            </w:pPr>
            <w:r>
              <w:rPr>
                <w:rFonts w:hint="eastAsia" w:cs="宋体"/>
                <w:color w:val="auto"/>
                <w:sz w:val="21"/>
                <w:szCs w:val="21"/>
                <w:highlight w:val="none"/>
              </w:rPr>
              <w:t>提前竣工的奖励：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tc>
      </w:tr>
      <w:tr w14:paraId="3FB9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874C0D4">
            <w:pPr>
              <w:numPr>
                <w:ilvl w:val="0"/>
                <w:numId w:val="4"/>
              </w:numPr>
              <w:snapToGrid w:val="0"/>
              <w:spacing w:line="360" w:lineRule="auto"/>
              <w:jc w:val="center"/>
              <w:rPr>
                <w:rFonts w:cs="宋体"/>
                <w:bCs/>
                <w:color w:val="auto"/>
                <w:kern w:val="2"/>
                <w:sz w:val="21"/>
                <w:szCs w:val="21"/>
                <w:highlight w:val="none"/>
              </w:rPr>
            </w:pPr>
          </w:p>
        </w:tc>
        <w:tc>
          <w:tcPr>
            <w:tcW w:w="1111" w:type="dxa"/>
            <w:vAlign w:val="center"/>
          </w:tcPr>
          <w:p w14:paraId="5773D12B">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14E6E0BB">
            <w:pPr>
              <w:pStyle w:val="35"/>
              <w:tabs>
                <w:tab w:val="clear" w:pos="4153"/>
                <w:tab w:val="clear" w:pos="8306"/>
              </w:tabs>
              <w:spacing w:line="360" w:lineRule="auto"/>
              <w:rPr>
                <w:rFonts w:cs="宋体"/>
                <w:bCs/>
                <w:color w:val="auto"/>
                <w:kern w:val="2"/>
                <w:sz w:val="21"/>
                <w:szCs w:val="21"/>
                <w:highlight w:val="none"/>
              </w:rPr>
            </w:pPr>
            <w:r>
              <w:rPr>
                <w:rFonts w:hint="eastAsia" w:cs="宋体"/>
                <w:bCs/>
                <w:color w:val="auto"/>
                <w:kern w:val="2"/>
                <w:sz w:val="21"/>
                <w:szCs w:val="21"/>
                <w:highlight w:val="none"/>
              </w:rPr>
              <w:t>市场价格波动是否调整合同价格的约定：</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u w:val="single"/>
                <w:lang w:val="en-US" w:eastAsia="zh-CN"/>
              </w:rPr>
              <w:t>不调整</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rPr>
              <w:t>。</w:t>
            </w:r>
          </w:p>
        </w:tc>
      </w:tr>
      <w:tr w14:paraId="2C74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F66F65D">
            <w:pPr>
              <w:numPr>
                <w:ilvl w:val="0"/>
                <w:numId w:val="4"/>
              </w:numPr>
              <w:snapToGrid w:val="0"/>
              <w:spacing w:line="360" w:lineRule="auto"/>
              <w:jc w:val="center"/>
              <w:rPr>
                <w:rFonts w:cs="宋体"/>
                <w:bCs/>
                <w:color w:val="auto"/>
                <w:sz w:val="21"/>
                <w:szCs w:val="21"/>
                <w:highlight w:val="none"/>
              </w:rPr>
            </w:pPr>
          </w:p>
        </w:tc>
        <w:tc>
          <w:tcPr>
            <w:tcW w:w="1111" w:type="dxa"/>
            <w:vAlign w:val="center"/>
          </w:tcPr>
          <w:p w14:paraId="6F98AC8C">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2DF43903">
            <w:pPr>
              <w:pStyle w:val="35"/>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合同价格形式</w:t>
            </w:r>
          </w:p>
          <w:p w14:paraId="07EB9BE8">
            <w:pPr>
              <w:pStyle w:val="35"/>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(1)单价合同。</w:t>
            </w:r>
          </w:p>
          <w:p w14:paraId="3498D697">
            <w:pPr>
              <w:pStyle w:val="35"/>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综合单价包含的风险范围：</w:t>
            </w:r>
            <w:r>
              <w:rPr>
                <w:rFonts w:hint="eastAsia" w:cs="宋体"/>
                <w:bCs/>
                <w:color w:val="auto"/>
                <w:sz w:val="21"/>
                <w:szCs w:val="21"/>
                <w:highlight w:val="none"/>
                <w:u w:val="single"/>
              </w:rPr>
              <w:t xml:space="preserve">  </w:t>
            </w:r>
            <w:r>
              <w:rPr>
                <w:color w:val="auto"/>
                <w:spacing w:val="-8"/>
                <w:sz w:val="21"/>
                <w:szCs w:val="21"/>
                <w:highlight w:val="none"/>
                <w:u w:val="single" w:color="auto"/>
              </w:rPr>
              <w:t>隐含于已标价工程量清单综合单价中，用于化解发承包双方在</w:t>
            </w:r>
            <w:r>
              <w:rPr>
                <w:color w:val="auto"/>
                <w:spacing w:val="-9"/>
                <w:sz w:val="21"/>
                <w:szCs w:val="21"/>
                <w:highlight w:val="none"/>
                <w:u w:val="single" w:color="auto"/>
              </w:rPr>
              <w:t>工程</w:t>
            </w:r>
            <w:r>
              <w:rPr>
                <w:color w:val="auto"/>
                <w:spacing w:val="-2"/>
                <w:sz w:val="21"/>
                <w:szCs w:val="21"/>
                <w:highlight w:val="none"/>
                <w:u w:val="single" w:color="auto"/>
              </w:rPr>
              <w:t>合同中约定内容和范围内的市场价格波动风险的费用。综合单价包括为完成本项目所需要的一切费</w:t>
            </w:r>
            <w:r>
              <w:rPr>
                <w:color w:val="auto"/>
                <w:sz w:val="21"/>
                <w:szCs w:val="21"/>
                <w:highlight w:val="none"/>
                <w:u w:val="single" w:color="auto"/>
              </w:rPr>
              <w:t>用,包括但不限于人工费、施工机械费、管理费、利润、风险费用、相关交易费及完成本</w:t>
            </w:r>
            <w:r>
              <w:rPr>
                <w:color w:val="auto"/>
                <w:spacing w:val="-4"/>
                <w:sz w:val="21"/>
                <w:szCs w:val="21"/>
                <w:highlight w:val="none"/>
                <w:u w:val="single" w:color="auto"/>
              </w:rPr>
              <w:t>工程招标文件及合同条款内容等所有费用，综合单价今后将不作任何调整</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20885206">
            <w:pPr>
              <w:pStyle w:val="35"/>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bidi="ar-SA"/>
              </w:rPr>
              <w:t xml:space="preserve">   承包人自行考虑，包含在报价中  </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54C080AF">
            <w:pPr>
              <w:pStyle w:val="35"/>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结算价=合同价±工程变更造价±分部分项工程量清单工程量误差造价±政策性调整造价±人工价格调整造价±措施项目调整造价－暂列金额×1.09± 合理工程索赔         </w:t>
            </w:r>
            <w:r>
              <w:rPr>
                <w:rFonts w:hint="eastAsia" w:cs="宋体"/>
                <w:bCs/>
                <w:color w:val="auto"/>
                <w:sz w:val="21"/>
                <w:szCs w:val="21"/>
                <w:highlight w:val="none"/>
              </w:rPr>
              <w:t>。</w:t>
            </w:r>
          </w:p>
          <w:p w14:paraId="7F6FCBC2">
            <w:pPr>
              <w:pStyle w:val="35"/>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(2)总价合同。</w:t>
            </w:r>
          </w:p>
          <w:p w14:paraId="2BC549A5">
            <w:pPr>
              <w:pStyle w:val="35"/>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总价包含的风险范围：</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p>
          <w:p w14:paraId="66096531">
            <w:pPr>
              <w:pStyle w:val="35"/>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DF46A1D">
            <w:pPr>
              <w:pStyle w:val="35"/>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823FDA3">
            <w:pPr>
              <w:pStyle w:val="35"/>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（3）其他价格方式：</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2A3F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29D891">
            <w:pPr>
              <w:numPr>
                <w:ilvl w:val="0"/>
                <w:numId w:val="4"/>
              </w:numPr>
              <w:snapToGrid w:val="0"/>
              <w:spacing w:line="360" w:lineRule="auto"/>
              <w:jc w:val="center"/>
              <w:rPr>
                <w:rFonts w:cs="宋体"/>
                <w:bCs/>
                <w:color w:val="auto"/>
                <w:kern w:val="2"/>
                <w:sz w:val="21"/>
                <w:szCs w:val="21"/>
                <w:highlight w:val="none"/>
              </w:rPr>
            </w:pPr>
          </w:p>
        </w:tc>
        <w:tc>
          <w:tcPr>
            <w:tcW w:w="1111" w:type="dxa"/>
            <w:vAlign w:val="center"/>
          </w:tcPr>
          <w:p w14:paraId="310B5952">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 xml:space="preserve">12.2.1 </w:t>
            </w:r>
          </w:p>
        </w:tc>
        <w:tc>
          <w:tcPr>
            <w:tcW w:w="7304" w:type="dxa"/>
            <w:tcBorders>
              <w:bottom w:val="single" w:color="auto" w:sz="4" w:space="0"/>
            </w:tcBorders>
            <w:vAlign w:val="center"/>
          </w:tcPr>
          <w:p w14:paraId="66098BB8">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预付款的支付</w:t>
            </w:r>
          </w:p>
          <w:p w14:paraId="00B7C299">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预付款支付比例或金额：</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合同价的40%</w:t>
            </w:r>
            <w:r>
              <w:rPr>
                <w:rFonts w:hint="eastAsia" w:cs="宋体"/>
                <w:bCs/>
                <w:color w:val="auto"/>
                <w:sz w:val="21"/>
                <w:szCs w:val="21"/>
                <w:highlight w:val="none"/>
                <w:u w:val="single"/>
              </w:rPr>
              <w:t xml:space="preserve">   </w:t>
            </w:r>
          </w:p>
          <w:p w14:paraId="18C7C757">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预付款支付期限：</w:t>
            </w:r>
            <w:r>
              <w:rPr>
                <w:rFonts w:hint="eastAsia" w:cs="宋体"/>
                <w:bCs/>
                <w:color w:val="auto"/>
                <w:sz w:val="21"/>
                <w:szCs w:val="21"/>
                <w:highlight w:val="none"/>
                <w:u w:val="single"/>
              </w:rPr>
              <w:t>合同签订具备实施条件后支付合同</w:t>
            </w:r>
            <w:r>
              <w:rPr>
                <w:rFonts w:hint="eastAsia" w:cs="宋体"/>
                <w:bCs/>
                <w:color w:val="auto"/>
                <w:sz w:val="21"/>
                <w:szCs w:val="21"/>
                <w:highlight w:val="none"/>
                <w:u w:val="single"/>
                <w:lang w:val="en-US" w:eastAsia="zh-CN"/>
              </w:rPr>
              <w:t>价</w:t>
            </w:r>
            <w:r>
              <w:rPr>
                <w:rFonts w:hint="eastAsia" w:cs="宋体"/>
                <w:bCs/>
                <w:color w:val="auto"/>
                <w:sz w:val="21"/>
                <w:szCs w:val="21"/>
                <w:highlight w:val="none"/>
                <w:u w:val="single"/>
              </w:rPr>
              <w:t xml:space="preserve">的40%预付款     </w:t>
            </w:r>
          </w:p>
          <w:p w14:paraId="0E970BBD">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预付款扣回的方式：</w:t>
            </w:r>
            <w:r>
              <w:rPr>
                <w:rFonts w:hint="eastAsia" w:cs="宋体"/>
                <w:bCs/>
                <w:color w:val="auto"/>
                <w:sz w:val="21"/>
                <w:szCs w:val="21"/>
                <w:highlight w:val="none"/>
                <w:u w:val="single"/>
              </w:rPr>
              <w:t xml:space="preserve">  支付</w:t>
            </w:r>
            <w:r>
              <w:rPr>
                <w:rFonts w:hint="eastAsia" w:cs="宋体"/>
                <w:bCs/>
                <w:color w:val="auto"/>
                <w:sz w:val="21"/>
                <w:szCs w:val="21"/>
                <w:highlight w:val="none"/>
                <w:u w:val="single"/>
                <w:lang w:val="en-US" w:eastAsia="zh-CN"/>
              </w:rPr>
              <w:t>进度款</w:t>
            </w:r>
            <w:r>
              <w:rPr>
                <w:rFonts w:hint="eastAsia" w:cs="宋体"/>
                <w:bCs/>
                <w:color w:val="auto"/>
                <w:sz w:val="21"/>
                <w:szCs w:val="21"/>
                <w:highlight w:val="none"/>
                <w:u w:val="single"/>
              </w:rPr>
              <w:t xml:space="preserve">前一次性扣回  </w:t>
            </w:r>
          </w:p>
        </w:tc>
      </w:tr>
      <w:tr w14:paraId="34BA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66414F2B">
            <w:pPr>
              <w:numPr>
                <w:ilvl w:val="0"/>
                <w:numId w:val="4"/>
              </w:numPr>
              <w:snapToGrid w:val="0"/>
              <w:spacing w:line="360" w:lineRule="auto"/>
              <w:jc w:val="center"/>
              <w:rPr>
                <w:rFonts w:cs="宋体"/>
                <w:bCs/>
                <w:color w:val="auto"/>
                <w:kern w:val="2"/>
                <w:sz w:val="21"/>
                <w:szCs w:val="21"/>
                <w:highlight w:val="none"/>
              </w:rPr>
            </w:pPr>
          </w:p>
        </w:tc>
        <w:tc>
          <w:tcPr>
            <w:tcW w:w="1111" w:type="dxa"/>
            <w:vAlign w:val="center"/>
          </w:tcPr>
          <w:p w14:paraId="43A1A7AD">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0B0FC561">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预付款担保</w:t>
            </w:r>
          </w:p>
          <w:p w14:paraId="06C238DB">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承包人提交预付款担保的期限：</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预付款支付前</w:t>
            </w:r>
            <w:r>
              <w:rPr>
                <w:rFonts w:hint="eastAsia" w:cs="宋体"/>
                <w:bCs/>
                <w:color w:val="auto"/>
                <w:sz w:val="21"/>
                <w:szCs w:val="21"/>
                <w:highlight w:val="none"/>
                <w:u w:val="single"/>
              </w:rPr>
              <w:t xml:space="preserve">   </w:t>
            </w:r>
          </w:p>
          <w:p w14:paraId="67701589">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预付款担保的形式为：</w:t>
            </w:r>
            <w:r>
              <w:rPr>
                <w:rFonts w:hint="eastAsia" w:cs="宋体"/>
                <w:bCs/>
                <w:color w:val="auto"/>
                <w:sz w:val="21"/>
                <w:szCs w:val="21"/>
                <w:highlight w:val="none"/>
                <w:u w:val="single"/>
              </w:rPr>
              <w:t xml:space="preserve">  保函（见索即付）   </w:t>
            </w:r>
          </w:p>
        </w:tc>
      </w:tr>
      <w:tr w14:paraId="29F7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EC89F46">
            <w:pPr>
              <w:numPr>
                <w:ilvl w:val="0"/>
                <w:numId w:val="4"/>
              </w:numPr>
              <w:snapToGrid w:val="0"/>
              <w:spacing w:line="360" w:lineRule="auto"/>
              <w:jc w:val="center"/>
              <w:rPr>
                <w:rFonts w:cs="宋体"/>
                <w:bCs/>
                <w:color w:val="auto"/>
                <w:kern w:val="2"/>
                <w:sz w:val="21"/>
                <w:szCs w:val="21"/>
                <w:highlight w:val="none"/>
              </w:rPr>
            </w:pPr>
          </w:p>
        </w:tc>
        <w:tc>
          <w:tcPr>
            <w:tcW w:w="1111" w:type="dxa"/>
            <w:vAlign w:val="center"/>
          </w:tcPr>
          <w:p w14:paraId="44B9740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vAlign w:val="center"/>
          </w:tcPr>
          <w:p w14:paraId="2A70F89A">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付款周期</w:t>
            </w:r>
          </w:p>
          <w:p w14:paraId="0E7C0B67">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关于付款周期的约定：</w:t>
            </w:r>
            <w:r>
              <w:rPr>
                <w:rFonts w:hint="eastAsia" w:cs="宋体"/>
                <w:bCs/>
                <w:color w:val="auto"/>
                <w:sz w:val="21"/>
                <w:szCs w:val="21"/>
                <w:highlight w:val="none"/>
                <w:u w:val="single"/>
              </w:rPr>
              <w:t xml:space="preserve"> 合同签订具备实施条件后支付合同价的40%预付款（预付款支付前，中标人须提供同等金额预付款等额保函（见索即付））；按已完成进度计划合格工程量的85%支付进度款；工程完工后付至合格工程量价款的90%；竣工验收合格取得验收报告后，付至合格工程量价款的95%；完成竣工结算审计后付至结算总造价的98%，剩余2%作为工程质量保证金。质量保证金支持保函（银行保函、担保机构担保、保证保险）使用，保函有效期须与工程缺陷责任期截止时间保持一致。   </w:t>
            </w:r>
          </w:p>
        </w:tc>
      </w:tr>
      <w:tr w14:paraId="456A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A544849">
            <w:pPr>
              <w:numPr>
                <w:ilvl w:val="0"/>
                <w:numId w:val="4"/>
              </w:numPr>
              <w:snapToGrid w:val="0"/>
              <w:spacing w:line="360" w:lineRule="auto"/>
              <w:jc w:val="center"/>
              <w:rPr>
                <w:rFonts w:cs="宋体"/>
                <w:bCs/>
                <w:color w:val="auto"/>
                <w:kern w:val="2"/>
                <w:sz w:val="21"/>
                <w:szCs w:val="21"/>
                <w:highlight w:val="none"/>
              </w:rPr>
            </w:pPr>
          </w:p>
        </w:tc>
        <w:tc>
          <w:tcPr>
            <w:tcW w:w="1111" w:type="dxa"/>
            <w:vAlign w:val="center"/>
          </w:tcPr>
          <w:p w14:paraId="4160D5C8">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54EA40F4">
            <w:pPr>
              <w:snapToGrid w:val="0"/>
              <w:spacing w:line="360" w:lineRule="auto"/>
              <w:rPr>
                <w:rFonts w:cs="宋体"/>
                <w:bCs/>
                <w:color w:val="auto"/>
                <w:kern w:val="2"/>
                <w:sz w:val="21"/>
                <w:szCs w:val="21"/>
                <w:highlight w:val="none"/>
              </w:rPr>
            </w:pPr>
            <w:r>
              <w:rPr>
                <w:rFonts w:hint="eastAsia" w:cs="宋体"/>
                <w:color w:val="auto"/>
                <w:sz w:val="21"/>
                <w:szCs w:val="21"/>
                <w:highlight w:val="none"/>
              </w:rPr>
              <w:t>缺陷责任期的具体期限：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24个月</w:t>
            </w:r>
            <w:r>
              <w:rPr>
                <w:rFonts w:hint="eastAsia" w:cs="宋体"/>
                <w:color w:val="auto"/>
                <w:sz w:val="21"/>
                <w:szCs w:val="21"/>
                <w:highlight w:val="none"/>
                <w:u w:val="single"/>
                <w:lang w:eastAsia="zh-CN"/>
              </w:rPr>
              <w:t>，详见质量保修书</w:t>
            </w:r>
            <w:r>
              <w:rPr>
                <w:rFonts w:hint="eastAsia" w:cs="宋体"/>
                <w:color w:val="auto"/>
                <w:sz w:val="21"/>
                <w:szCs w:val="21"/>
                <w:highlight w:val="none"/>
              </w:rPr>
              <w:t>。</w:t>
            </w:r>
          </w:p>
        </w:tc>
      </w:tr>
      <w:tr w14:paraId="5E9A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86882A6">
            <w:pPr>
              <w:numPr>
                <w:ilvl w:val="0"/>
                <w:numId w:val="4"/>
              </w:numPr>
              <w:snapToGrid w:val="0"/>
              <w:spacing w:line="360" w:lineRule="auto"/>
              <w:jc w:val="center"/>
              <w:rPr>
                <w:rFonts w:cs="宋体"/>
                <w:bCs/>
                <w:color w:val="auto"/>
                <w:kern w:val="2"/>
                <w:sz w:val="21"/>
                <w:szCs w:val="21"/>
                <w:highlight w:val="none"/>
              </w:rPr>
            </w:pPr>
          </w:p>
        </w:tc>
        <w:tc>
          <w:tcPr>
            <w:tcW w:w="1111" w:type="dxa"/>
            <w:vAlign w:val="center"/>
          </w:tcPr>
          <w:p w14:paraId="56D307D8">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50B8865D">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质量保证金可采用以下任意一种方式：</w:t>
            </w:r>
          </w:p>
          <w:p w14:paraId="3A44A470">
            <w:pPr>
              <w:adjustRightInd w:val="0"/>
              <w:snapToGrid w:val="0"/>
              <w:spacing w:line="360" w:lineRule="auto"/>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工程结算总造价的2%      </w:t>
            </w:r>
            <w:r>
              <w:rPr>
                <w:rFonts w:hint="eastAsia" w:cs="宋体"/>
                <w:color w:val="auto"/>
                <w:sz w:val="21"/>
                <w:szCs w:val="21"/>
                <w:highlight w:val="none"/>
                <w:u w:val="single"/>
              </w:rPr>
              <w:t>；</w:t>
            </w:r>
          </w:p>
          <w:p w14:paraId="08183FA5">
            <w:pPr>
              <w:adjustRightInd w:val="0"/>
              <w:snapToGrid w:val="0"/>
              <w:spacing w:line="360" w:lineRule="auto"/>
              <w:rPr>
                <w:rFonts w:cs="宋体"/>
                <w:color w:val="auto"/>
                <w:sz w:val="21"/>
                <w:szCs w:val="21"/>
                <w:highlight w:val="none"/>
              </w:rPr>
            </w:pPr>
            <w:r>
              <w:rPr>
                <w:rFonts w:hint="eastAsia" w:cs="宋体"/>
                <w:color w:val="auto"/>
                <w:sz w:val="21"/>
                <w:szCs w:val="21"/>
                <w:highlight w:val="none"/>
              </w:rPr>
              <w:t xml:space="preserve">（2） </w:t>
            </w:r>
            <w:r>
              <w:rPr>
                <w:rFonts w:hint="eastAsia" w:cs="宋体"/>
                <w:color w:val="auto"/>
                <w:sz w:val="21"/>
                <w:szCs w:val="21"/>
                <w:highlight w:val="none"/>
                <w:u w:val="single"/>
              </w:rPr>
              <w:t xml:space="preserve">  工程结算总造价的2% 的工程款   ；</w:t>
            </w:r>
          </w:p>
          <w:p w14:paraId="0E9DE880">
            <w:pPr>
              <w:adjustRightInd w:val="0"/>
              <w:snapToGrid w:val="0"/>
              <w:spacing w:line="360" w:lineRule="auto"/>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 xml:space="preserve">             。</w:t>
            </w:r>
          </w:p>
          <w:p w14:paraId="19D3618C">
            <w:pPr>
              <w:pStyle w:val="5"/>
              <w:snapToGrid w:val="0"/>
              <w:spacing w:line="360" w:lineRule="auto"/>
              <w:rPr>
                <w:rFonts w:cs="宋体"/>
                <w:bCs w:val="0"/>
                <w:color w:val="auto"/>
                <w:kern w:val="2"/>
                <w:sz w:val="21"/>
                <w:szCs w:val="21"/>
                <w:highlight w:val="none"/>
              </w:rPr>
            </w:pPr>
            <w:r>
              <w:rPr>
                <w:rFonts w:hint="eastAsia" w:cs="宋体"/>
                <w:bCs w:val="0"/>
                <w:color w:val="auto"/>
                <w:sz w:val="21"/>
                <w:szCs w:val="21"/>
                <w:highlight w:val="none"/>
              </w:rPr>
              <w:t>注：以现金形式提交质量保证金的（含从工程款中以扣留方式提交的），同时退还银行同期活期存款利息。</w:t>
            </w:r>
          </w:p>
        </w:tc>
      </w:tr>
    </w:tbl>
    <w:p w14:paraId="0FFC59E4">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75" w:name="_Toc297048342"/>
      <w:bookmarkStart w:id="76" w:name="_Toc296891196"/>
      <w:bookmarkStart w:id="77" w:name="_Toc296346657"/>
      <w:bookmarkStart w:id="78" w:name="_Toc292559361"/>
      <w:bookmarkStart w:id="79" w:name="_Toc296347155"/>
      <w:bookmarkStart w:id="80" w:name="_Toc296503156"/>
      <w:bookmarkStart w:id="81" w:name="_Toc297120456"/>
      <w:bookmarkStart w:id="82" w:name="_Toc296944495"/>
      <w:bookmarkStart w:id="83" w:name="_Toc296890984"/>
      <w:bookmarkStart w:id="84" w:name="_Toc292559866"/>
      <w:r>
        <w:rPr>
          <w:rFonts w:hint="eastAsia" w:cs="宋体"/>
          <w:color w:val="auto"/>
          <w:sz w:val="21"/>
          <w:szCs w:val="21"/>
          <w:highlight w:val="none"/>
        </w:rPr>
        <w:t>. 一般约定</w:t>
      </w:r>
    </w:p>
    <w:bookmarkEnd w:id="75"/>
    <w:bookmarkEnd w:id="76"/>
    <w:bookmarkEnd w:id="77"/>
    <w:bookmarkEnd w:id="78"/>
    <w:bookmarkEnd w:id="79"/>
    <w:bookmarkEnd w:id="80"/>
    <w:bookmarkEnd w:id="81"/>
    <w:bookmarkEnd w:id="82"/>
    <w:bookmarkEnd w:id="83"/>
    <w:bookmarkEnd w:id="84"/>
    <w:p w14:paraId="0C2CBDA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1C337A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690EC61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本项目</w:t>
      </w:r>
      <w:r>
        <w:rPr>
          <w:rFonts w:hint="eastAsia" w:cs="宋体"/>
          <w:color w:val="auto"/>
          <w:sz w:val="21"/>
          <w:szCs w:val="21"/>
          <w:highlight w:val="none"/>
          <w:u w:val="single"/>
          <w:lang w:val="en-US" w:eastAsia="zh-CN"/>
        </w:rPr>
        <w:t>谈判</w:t>
      </w:r>
      <w:r>
        <w:rPr>
          <w:rFonts w:hint="eastAsia" w:cs="宋体"/>
          <w:color w:val="auto"/>
          <w:sz w:val="21"/>
          <w:szCs w:val="21"/>
          <w:highlight w:val="none"/>
          <w:u w:val="single"/>
        </w:rPr>
        <w:t>文件、在合同订立及履行过程中形成的与合同有关的文件均构成合同文件组成部分</w:t>
      </w:r>
    </w:p>
    <w:p w14:paraId="695E78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2CC645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4D75F8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详见监理合同    </w:t>
      </w:r>
      <w:r>
        <w:rPr>
          <w:rFonts w:hint="eastAsia" w:cs="宋体"/>
          <w:color w:val="auto"/>
          <w:sz w:val="21"/>
          <w:szCs w:val="21"/>
          <w:highlight w:val="none"/>
        </w:rPr>
        <w:t>；</w:t>
      </w:r>
    </w:p>
    <w:p w14:paraId="3641C2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详见监理合同      </w:t>
      </w:r>
      <w:r>
        <w:rPr>
          <w:rFonts w:hint="eastAsia" w:cs="宋体"/>
          <w:color w:val="auto"/>
          <w:sz w:val="21"/>
          <w:szCs w:val="21"/>
          <w:highlight w:val="none"/>
        </w:rPr>
        <w:t>；</w:t>
      </w:r>
    </w:p>
    <w:p w14:paraId="538A31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详见监理合同     </w:t>
      </w:r>
      <w:r>
        <w:rPr>
          <w:rFonts w:hint="eastAsia" w:cs="宋体"/>
          <w:color w:val="auto"/>
          <w:sz w:val="21"/>
          <w:szCs w:val="21"/>
          <w:highlight w:val="none"/>
        </w:rPr>
        <w:t>；</w:t>
      </w:r>
    </w:p>
    <w:p w14:paraId="67EA8B0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详见监理合同    </w:t>
      </w:r>
      <w:r>
        <w:rPr>
          <w:rFonts w:hint="eastAsia" w:cs="宋体"/>
          <w:color w:val="auto"/>
          <w:sz w:val="21"/>
          <w:szCs w:val="21"/>
          <w:highlight w:val="none"/>
        </w:rPr>
        <w:t>；</w:t>
      </w:r>
    </w:p>
    <w:p w14:paraId="6C77159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详见监理合同   </w:t>
      </w:r>
      <w:r>
        <w:rPr>
          <w:rFonts w:hint="eastAsia" w:cs="宋体"/>
          <w:color w:val="auto"/>
          <w:sz w:val="21"/>
          <w:szCs w:val="21"/>
          <w:highlight w:val="none"/>
        </w:rPr>
        <w:t>。</w:t>
      </w:r>
    </w:p>
    <w:p w14:paraId="4334487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55CAFE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详见</w:t>
      </w:r>
      <w:r>
        <w:rPr>
          <w:rFonts w:hint="eastAsia" w:cs="宋体"/>
          <w:color w:val="auto"/>
          <w:sz w:val="21"/>
          <w:szCs w:val="21"/>
          <w:highlight w:val="none"/>
          <w:u w:val="single"/>
          <w:lang w:val="en-US" w:eastAsia="zh-CN"/>
        </w:rPr>
        <w:t>设计</w:t>
      </w:r>
      <w:r>
        <w:rPr>
          <w:rFonts w:hint="eastAsia" w:cs="宋体"/>
          <w:color w:val="auto"/>
          <w:sz w:val="21"/>
          <w:szCs w:val="21"/>
          <w:highlight w:val="none"/>
          <w:u w:val="single"/>
        </w:rPr>
        <w:t>合同     </w:t>
      </w:r>
      <w:r>
        <w:rPr>
          <w:rFonts w:hint="eastAsia" w:cs="宋体"/>
          <w:color w:val="auto"/>
          <w:sz w:val="21"/>
          <w:szCs w:val="21"/>
          <w:highlight w:val="none"/>
        </w:rPr>
        <w:t>；</w:t>
      </w:r>
    </w:p>
    <w:p w14:paraId="52F002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详见</w:t>
      </w:r>
      <w:r>
        <w:rPr>
          <w:rFonts w:hint="eastAsia" w:cs="宋体"/>
          <w:color w:val="auto"/>
          <w:sz w:val="21"/>
          <w:szCs w:val="21"/>
          <w:highlight w:val="none"/>
          <w:u w:val="single"/>
          <w:lang w:val="en-US" w:eastAsia="zh-CN"/>
        </w:rPr>
        <w:t>设计</w:t>
      </w:r>
      <w:r>
        <w:rPr>
          <w:rFonts w:hint="eastAsia" w:cs="宋体"/>
          <w:color w:val="auto"/>
          <w:sz w:val="21"/>
          <w:szCs w:val="21"/>
          <w:highlight w:val="none"/>
          <w:u w:val="single"/>
        </w:rPr>
        <w:t>合同    </w:t>
      </w:r>
      <w:r>
        <w:rPr>
          <w:rFonts w:hint="eastAsia" w:cs="宋体"/>
          <w:color w:val="auto"/>
          <w:sz w:val="21"/>
          <w:szCs w:val="21"/>
          <w:highlight w:val="none"/>
        </w:rPr>
        <w:t>；</w:t>
      </w:r>
    </w:p>
    <w:p w14:paraId="072F7B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详见</w:t>
      </w:r>
      <w:r>
        <w:rPr>
          <w:rFonts w:hint="eastAsia" w:cs="宋体"/>
          <w:color w:val="auto"/>
          <w:sz w:val="21"/>
          <w:szCs w:val="21"/>
          <w:highlight w:val="none"/>
          <w:u w:val="single"/>
          <w:lang w:val="en-US" w:eastAsia="zh-CN"/>
        </w:rPr>
        <w:t>设计</w:t>
      </w:r>
      <w:r>
        <w:rPr>
          <w:rFonts w:hint="eastAsia" w:cs="宋体"/>
          <w:color w:val="auto"/>
          <w:sz w:val="21"/>
          <w:szCs w:val="21"/>
          <w:highlight w:val="none"/>
          <w:u w:val="single"/>
        </w:rPr>
        <w:t>合同    </w:t>
      </w:r>
      <w:r>
        <w:rPr>
          <w:rFonts w:hint="eastAsia" w:cs="宋体"/>
          <w:color w:val="auto"/>
          <w:sz w:val="21"/>
          <w:szCs w:val="21"/>
          <w:highlight w:val="none"/>
        </w:rPr>
        <w:t>；</w:t>
      </w:r>
    </w:p>
    <w:p w14:paraId="49F511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详见</w:t>
      </w:r>
      <w:r>
        <w:rPr>
          <w:rFonts w:hint="eastAsia" w:cs="宋体"/>
          <w:color w:val="auto"/>
          <w:sz w:val="21"/>
          <w:szCs w:val="21"/>
          <w:highlight w:val="none"/>
          <w:u w:val="single"/>
          <w:lang w:val="en-US" w:eastAsia="zh-CN"/>
        </w:rPr>
        <w:t>设计</w:t>
      </w:r>
      <w:r>
        <w:rPr>
          <w:rFonts w:hint="eastAsia" w:cs="宋体"/>
          <w:color w:val="auto"/>
          <w:sz w:val="21"/>
          <w:szCs w:val="21"/>
          <w:highlight w:val="none"/>
          <w:u w:val="single"/>
        </w:rPr>
        <w:t>合同  </w:t>
      </w:r>
      <w:r>
        <w:rPr>
          <w:rFonts w:hint="eastAsia" w:cs="宋体"/>
          <w:color w:val="auto"/>
          <w:sz w:val="21"/>
          <w:szCs w:val="21"/>
          <w:highlight w:val="none"/>
        </w:rPr>
        <w:t>；</w:t>
      </w:r>
    </w:p>
    <w:p w14:paraId="7D9BC8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详见</w:t>
      </w:r>
      <w:r>
        <w:rPr>
          <w:rFonts w:hint="eastAsia" w:cs="宋体"/>
          <w:color w:val="auto"/>
          <w:sz w:val="21"/>
          <w:szCs w:val="21"/>
          <w:highlight w:val="none"/>
          <w:u w:val="single"/>
          <w:lang w:val="en-US" w:eastAsia="zh-CN"/>
        </w:rPr>
        <w:t>设计</w:t>
      </w:r>
      <w:r>
        <w:rPr>
          <w:rFonts w:hint="eastAsia" w:cs="宋体"/>
          <w:color w:val="auto"/>
          <w:sz w:val="21"/>
          <w:szCs w:val="21"/>
          <w:highlight w:val="none"/>
          <w:u w:val="single"/>
        </w:rPr>
        <w:t>合同  </w:t>
      </w:r>
      <w:r>
        <w:rPr>
          <w:rFonts w:hint="eastAsia" w:cs="宋体"/>
          <w:color w:val="auto"/>
          <w:sz w:val="21"/>
          <w:szCs w:val="21"/>
          <w:highlight w:val="none"/>
        </w:rPr>
        <w:t>。</w:t>
      </w:r>
    </w:p>
    <w:p w14:paraId="576793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 工程和设备</w:t>
      </w:r>
    </w:p>
    <w:p w14:paraId="69A0D5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1.1.3.7 作为施工现场组成部分的其他场所包括：</w:t>
      </w:r>
      <w:r>
        <w:rPr>
          <w:rFonts w:hint="eastAsia" w:cs="宋体"/>
          <w:color w:val="auto"/>
          <w:sz w:val="21"/>
          <w:szCs w:val="21"/>
          <w:highlight w:val="none"/>
          <w:u w:val="single"/>
        </w:rPr>
        <w:t xml:space="preserve"> 见施工图纸并现场确定</w:t>
      </w:r>
      <w:r>
        <w:rPr>
          <w:rFonts w:hint="eastAsia" w:cs="宋体"/>
          <w:color w:val="auto"/>
          <w:sz w:val="21"/>
          <w:szCs w:val="21"/>
          <w:highlight w:val="none"/>
        </w:rPr>
        <w:t>。</w:t>
      </w:r>
    </w:p>
    <w:p w14:paraId="0D4C07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1.1.3.9 永久占地包括：</w:t>
      </w:r>
      <w:r>
        <w:rPr>
          <w:rFonts w:hint="eastAsia" w:cs="宋体"/>
          <w:color w:val="auto"/>
          <w:sz w:val="21"/>
          <w:szCs w:val="21"/>
          <w:highlight w:val="none"/>
          <w:u w:val="single"/>
        </w:rPr>
        <w:t xml:space="preserve">   见施工图纸</w:t>
      </w:r>
      <w:r>
        <w:rPr>
          <w:rFonts w:hint="eastAsia" w:cs="宋体"/>
          <w:color w:val="auto"/>
          <w:sz w:val="21"/>
          <w:szCs w:val="21"/>
          <w:highlight w:val="none"/>
        </w:rPr>
        <w:t>。</w:t>
      </w:r>
    </w:p>
    <w:p w14:paraId="16B5E7A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1.1.3.10 临时占地包括：</w:t>
      </w:r>
      <w:r>
        <w:rPr>
          <w:rFonts w:hint="eastAsia" w:cs="宋体"/>
          <w:color w:val="auto"/>
          <w:sz w:val="21"/>
          <w:szCs w:val="21"/>
          <w:highlight w:val="none"/>
          <w:u w:val="single"/>
        </w:rPr>
        <w:t xml:space="preserve"> 现场确定 </w:t>
      </w:r>
      <w:r>
        <w:rPr>
          <w:rFonts w:hint="eastAsia" w:cs="宋体"/>
          <w:color w:val="auto"/>
          <w:sz w:val="21"/>
          <w:szCs w:val="21"/>
          <w:highlight w:val="none"/>
        </w:rPr>
        <w:t>。</w:t>
      </w:r>
    </w:p>
    <w:p w14:paraId="4C6B1DC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7AECAD5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0E541B8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35C62C9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1.4.1 适用于工程的标准规范包括：</w:t>
      </w:r>
      <w:r>
        <w:rPr>
          <w:rFonts w:hint="eastAsia" w:cs="宋体"/>
          <w:color w:val="auto"/>
          <w:sz w:val="21"/>
          <w:szCs w:val="21"/>
          <w:highlight w:val="none"/>
          <w:u w:val="single"/>
        </w:rPr>
        <w:t xml:space="preserve">  指国家及省部、滁州市颁布的有关规范、标准和规程、构成合同文件组成部分的技术标准和要求的文件，包括合同双方当事人约定对其所作的修改或补充    </w:t>
      </w:r>
      <w:r>
        <w:rPr>
          <w:rFonts w:hint="eastAsia" w:cs="宋体"/>
          <w:color w:val="auto"/>
          <w:sz w:val="21"/>
          <w:szCs w:val="21"/>
          <w:highlight w:val="none"/>
        </w:rPr>
        <w:t>。</w:t>
      </w:r>
    </w:p>
    <w:p w14:paraId="213ABAC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1.4.2 发包人提供国外标准、规范的名称：</w:t>
      </w:r>
      <w:r>
        <w:rPr>
          <w:rFonts w:hint="eastAsia" w:cs="宋体"/>
          <w:color w:val="auto"/>
          <w:sz w:val="21"/>
          <w:szCs w:val="21"/>
          <w:highlight w:val="none"/>
          <w:u w:val="single"/>
        </w:rPr>
        <w:t xml:space="preserve">  承包人自备国内现行适用的标准、规范   </w:t>
      </w:r>
      <w:r>
        <w:rPr>
          <w:rFonts w:hint="eastAsia" w:cs="宋体"/>
          <w:color w:val="auto"/>
          <w:sz w:val="21"/>
          <w:szCs w:val="21"/>
          <w:highlight w:val="none"/>
        </w:rPr>
        <w:t>；</w:t>
      </w:r>
    </w:p>
    <w:p w14:paraId="6BC822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发包人提供国外标准、规范的份数：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4894B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发包人提供国外标准、规范的时间：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67050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1.4.3 发包人对工程的技术标准和功能要求的特殊要求：</w:t>
      </w:r>
      <w:r>
        <w:rPr>
          <w:rFonts w:hint="eastAsia" w:cs="宋体"/>
          <w:color w:val="auto"/>
          <w:sz w:val="21"/>
          <w:szCs w:val="21"/>
          <w:highlight w:val="none"/>
          <w:u w:val="single"/>
        </w:rPr>
        <w:t xml:space="preserve">  按现行规范执行   </w:t>
      </w:r>
      <w:r>
        <w:rPr>
          <w:rFonts w:hint="eastAsia" w:cs="宋体"/>
          <w:color w:val="auto"/>
          <w:sz w:val="21"/>
          <w:szCs w:val="21"/>
          <w:highlight w:val="none"/>
        </w:rPr>
        <w:t>。</w:t>
      </w:r>
    </w:p>
    <w:p w14:paraId="06E9214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2B8C88DB">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合同文件组成及优先顺序为：</w:t>
      </w:r>
      <w:r>
        <w:rPr>
          <w:rFonts w:hint="eastAsia" w:cs="宋体"/>
          <w:color w:val="auto"/>
          <w:sz w:val="21"/>
          <w:szCs w:val="21"/>
          <w:highlight w:val="none"/>
          <w:u w:val="single"/>
        </w:rPr>
        <w:t xml:space="preserve"> （1）合同协议书；</w:t>
      </w:r>
      <w:r>
        <w:rPr>
          <w:rFonts w:hint="eastAsia"/>
          <w:color w:val="auto"/>
          <w:szCs w:val="21"/>
          <w:highlight w:val="none"/>
          <w:u w:val="single"/>
        </w:rPr>
        <w:t>（</w:t>
      </w:r>
      <w:r>
        <w:rPr>
          <w:color w:val="auto"/>
          <w:szCs w:val="21"/>
          <w:highlight w:val="none"/>
          <w:u w:val="single"/>
        </w:rPr>
        <w:t>2）合同履行中签订的补充文件、补充协议</w:t>
      </w:r>
      <w:r>
        <w:rPr>
          <w:rFonts w:hint="eastAsia"/>
          <w:color w:val="auto"/>
          <w:szCs w:val="21"/>
          <w:highlight w:val="none"/>
          <w:u w:val="single"/>
          <w:lang w:eastAsia="zh-CN"/>
        </w:rPr>
        <w:t>；</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3</w:t>
      </w:r>
      <w:r>
        <w:rPr>
          <w:rFonts w:hint="eastAsia" w:cs="宋体"/>
          <w:color w:val="auto"/>
          <w:sz w:val="21"/>
          <w:szCs w:val="21"/>
          <w:highlight w:val="none"/>
          <w:u w:val="single"/>
        </w:rPr>
        <w:t>）专用合同条款</w:t>
      </w:r>
      <w:r>
        <w:rPr>
          <w:rFonts w:hint="eastAsia" w:cs="宋体"/>
          <w:color w:val="auto"/>
          <w:sz w:val="21"/>
          <w:szCs w:val="21"/>
          <w:highlight w:val="none"/>
          <w:u w:val="single"/>
          <w:lang w:eastAsia="zh-CN"/>
        </w:rPr>
        <w:t>；</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4</w:t>
      </w:r>
      <w:r>
        <w:rPr>
          <w:rFonts w:hint="eastAsia" w:cs="宋体"/>
          <w:color w:val="auto"/>
          <w:sz w:val="21"/>
          <w:szCs w:val="21"/>
          <w:highlight w:val="none"/>
          <w:u w:val="single"/>
        </w:rPr>
        <w:t>）成交通知书；（</w:t>
      </w:r>
      <w:r>
        <w:rPr>
          <w:rFonts w:hint="eastAsia" w:cs="宋体"/>
          <w:color w:val="auto"/>
          <w:sz w:val="21"/>
          <w:szCs w:val="21"/>
          <w:highlight w:val="none"/>
          <w:u w:val="single"/>
          <w:lang w:val="en-US" w:eastAsia="zh-CN"/>
        </w:rPr>
        <w:t>5</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谈判</w:t>
      </w:r>
      <w:r>
        <w:rPr>
          <w:rFonts w:hint="eastAsia" w:cs="宋体"/>
          <w:color w:val="auto"/>
          <w:sz w:val="21"/>
          <w:szCs w:val="21"/>
          <w:highlight w:val="none"/>
          <w:u w:val="single"/>
        </w:rPr>
        <w:t>文件；（</w:t>
      </w:r>
      <w:r>
        <w:rPr>
          <w:rFonts w:hint="eastAsia" w:cs="宋体"/>
          <w:color w:val="auto"/>
          <w:sz w:val="21"/>
          <w:szCs w:val="21"/>
          <w:highlight w:val="none"/>
          <w:u w:val="single"/>
          <w:lang w:val="en-US" w:eastAsia="zh-CN"/>
        </w:rPr>
        <w:t>6</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响应文件</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7</w:t>
      </w:r>
      <w:r>
        <w:rPr>
          <w:rFonts w:hint="eastAsia" w:cs="宋体"/>
          <w:color w:val="auto"/>
          <w:sz w:val="21"/>
          <w:szCs w:val="21"/>
          <w:highlight w:val="none"/>
          <w:u w:val="single"/>
        </w:rPr>
        <w:t>）通用合同条款；（</w:t>
      </w:r>
      <w:r>
        <w:rPr>
          <w:rFonts w:hint="eastAsia" w:cs="宋体"/>
          <w:color w:val="auto"/>
          <w:sz w:val="21"/>
          <w:szCs w:val="21"/>
          <w:highlight w:val="none"/>
          <w:u w:val="single"/>
          <w:lang w:val="en-US" w:eastAsia="zh-CN"/>
        </w:rPr>
        <w:t>8</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合同附件</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9</w:t>
      </w:r>
      <w:r>
        <w:rPr>
          <w:rFonts w:hint="eastAsia" w:cs="宋体"/>
          <w:color w:val="auto"/>
          <w:sz w:val="21"/>
          <w:szCs w:val="21"/>
          <w:highlight w:val="none"/>
          <w:u w:val="single"/>
        </w:rPr>
        <w:t>）</w:t>
      </w:r>
      <w:r>
        <w:rPr>
          <w:color w:val="auto"/>
          <w:szCs w:val="21"/>
          <w:highlight w:val="none"/>
          <w:u w:val="single"/>
        </w:rPr>
        <w:t>标准、规范及有关技术文件</w:t>
      </w:r>
      <w:r>
        <w:rPr>
          <w:rFonts w:hint="eastAsia"/>
          <w:color w:val="auto"/>
          <w:szCs w:val="21"/>
          <w:highlight w:val="none"/>
          <w:u w:val="single"/>
          <w:lang w:eastAsia="zh-CN"/>
        </w:rPr>
        <w:t>；（</w:t>
      </w:r>
      <w:r>
        <w:rPr>
          <w:rFonts w:hint="eastAsia"/>
          <w:color w:val="auto"/>
          <w:szCs w:val="21"/>
          <w:highlight w:val="none"/>
          <w:u w:val="single"/>
          <w:lang w:val="en-US" w:eastAsia="zh-CN"/>
        </w:rPr>
        <w:t>10</w:t>
      </w:r>
      <w:r>
        <w:rPr>
          <w:rFonts w:hint="eastAsia"/>
          <w:color w:val="auto"/>
          <w:szCs w:val="21"/>
          <w:highlight w:val="none"/>
          <w:u w:val="single"/>
          <w:lang w:eastAsia="zh-CN"/>
        </w:rPr>
        <w:t>）</w:t>
      </w:r>
      <w:r>
        <w:rPr>
          <w:color w:val="auto"/>
          <w:szCs w:val="21"/>
          <w:highlight w:val="none"/>
          <w:u w:val="single"/>
        </w:rPr>
        <w:t>设计文件、资料和图纸</w:t>
      </w:r>
      <w:r>
        <w:rPr>
          <w:rFonts w:hint="eastAsia" w:cs="宋体"/>
          <w:color w:val="auto"/>
          <w:sz w:val="21"/>
          <w:szCs w:val="21"/>
          <w:highlight w:val="none"/>
          <w:u w:val="single"/>
        </w:rPr>
        <w:t>；（1</w:t>
      </w:r>
      <w:r>
        <w:rPr>
          <w:rFonts w:hint="eastAsia" w:cs="宋体"/>
          <w:color w:val="auto"/>
          <w:sz w:val="21"/>
          <w:szCs w:val="21"/>
          <w:highlight w:val="none"/>
          <w:u w:val="single"/>
          <w:lang w:val="en-US" w:eastAsia="zh-CN"/>
        </w:rPr>
        <w:t>1</w:t>
      </w:r>
      <w:r>
        <w:rPr>
          <w:rFonts w:hint="eastAsia" w:cs="宋体"/>
          <w:color w:val="auto"/>
          <w:sz w:val="21"/>
          <w:szCs w:val="21"/>
          <w:highlight w:val="none"/>
          <w:u w:val="single"/>
        </w:rPr>
        <w:t>）</w:t>
      </w:r>
      <w:r>
        <w:rPr>
          <w:color w:val="auto"/>
          <w:szCs w:val="21"/>
          <w:highlight w:val="none"/>
          <w:u w:val="single"/>
        </w:rPr>
        <w:t>双方约定构成合同组成部分的其它文件</w:t>
      </w:r>
      <w:r>
        <w:rPr>
          <w:rFonts w:hint="eastAsia" w:cs="宋体"/>
          <w:color w:val="auto"/>
          <w:sz w:val="21"/>
          <w:szCs w:val="21"/>
          <w:highlight w:val="none"/>
          <w:u w:val="single"/>
        </w:rPr>
        <w:t xml:space="preserve">   </w:t>
      </w:r>
    </w:p>
    <w:p w14:paraId="432046A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r>
        <w:rPr>
          <w:rFonts w:hint="eastAsia" w:cs="宋体"/>
          <w:bCs/>
          <w:color w:val="auto"/>
          <w:sz w:val="21"/>
          <w:szCs w:val="21"/>
          <w:highlight w:val="none"/>
        </w:rPr>
        <w:tab/>
      </w:r>
    </w:p>
    <w:p w14:paraId="6D8CA5A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06CC280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开工前 14 天    </w:t>
      </w:r>
      <w:r>
        <w:rPr>
          <w:rFonts w:hint="eastAsia" w:cs="宋体"/>
          <w:color w:val="auto"/>
          <w:sz w:val="21"/>
          <w:szCs w:val="21"/>
          <w:highlight w:val="none"/>
        </w:rPr>
        <w:t>；</w:t>
      </w:r>
    </w:p>
    <w:p w14:paraId="00BEC06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w:t>
      </w:r>
      <w:r>
        <w:rPr>
          <w:rFonts w:hint="eastAsia" w:cs="宋体"/>
          <w:color w:val="auto"/>
          <w:sz w:val="21"/>
          <w:szCs w:val="21"/>
          <w:highlight w:val="none"/>
          <w:u w:val="single"/>
          <w:lang w:val="en-US" w:eastAsia="zh-CN"/>
        </w:rPr>
        <w:t>2</w:t>
      </w:r>
      <w:r>
        <w:rPr>
          <w:rFonts w:hint="eastAsia" w:cs="宋体"/>
          <w:color w:val="auto"/>
          <w:sz w:val="21"/>
          <w:szCs w:val="21"/>
          <w:highlight w:val="none"/>
          <w:u w:val="single"/>
        </w:rPr>
        <w:t>套，不足的由承包人自行复制，费用自理</w:t>
      </w:r>
      <w:r>
        <w:rPr>
          <w:rFonts w:hint="eastAsia" w:cs="宋体"/>
          <w:color w:val="auto"/>
          <w:sz w:val="21"/>
          <w:szCs w:val="21"/>
          <w:highlight w:val="none"/>
          <w:u w:val="single"/>
          <w:lang w:eastAsia="zh-CN"/>
        </w:rPr>
        <w:t>，所有设计图纸和设计变更文件须经设计单位和发包人盖章确认方有效</w:t>
      </w:r>
      <w:r>
        <w:rPr>
          <w:rFonts w:hint="eastAsia" w:cs="宋体"/>
          <w:color w:val="auto"/>
          <w:sz w:val="21"/>
          <w:szCs w:val="21"/>
          <w:highlight w:val="none"/>
          <w:u w:val="single"/>
        </w:rPr>
        <w:t>；</w:t>
      </w:r>
    </w:p>
    <w:p w14:paraId="234395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全套施工图 。</w:t>
      </w:r>
    </w:p>
    <w:p w14:paraId="27A51D4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6574696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按监理要求执行，包括但不限于施工组织设计、总进度计划、阶段性进度计划、 月度进度计划、工程计量报告、竣工资料、归档资料电子档、影像资料及工程结算送审资料及发包人、监理人要求提供的等其他文件   </w:t>
      </w:r>
      <w:r>
        <w:rPr>
          <w:rFonts w:hint="eastAsia" w:cs="宋体"/>
          <w:color w:val="auto"/>
          <w:sz w:val="21"/>
          <w:szCs w:val="21"/>
          <w:highlight w:val="none"/>
        </w:rPr>
        <w:t>；</w:t>
      </w:r>
    </w:p>
    <w:p w14:paraId="3EEF42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color w:val="auto"/>
          <w:spacing w:val="-4"/>
          <w:sz w:val="21"/>
          <w:szCs w:val="21"/>
          <w:highlight w:val="none"/>
          <w:u w:val="single" w:color="auto"/>
        </w:rPr>
        <w:t>按照合同相关约定或发包</w:t>
      </w:r>
      <w:r>
        <w:rPr>
          <w:color w:val="auto"/>
          <w:spacing w:val="-5"/>
          <w:sz w:val="21"/>
          <w:szCs w:val="21"/>
          <w:highlight w:val="none"/>
          <w:u w:val="single" w:color="auto"/>
        </w:rPr>
        <w:t>人、监理人书面要求执行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F2F43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color w:val="auto"/>
          <w:spacing w:val="-4"/>
          <w:sz w:val="21"/>
          <w:szCs w:val="21"/>
          <w:highlight w:val="none"/>
          <w:u w:val="single" w:color="auto"/>
        </w:rPr>
        <w:t>按照合同相关约定或发包</w:t>
      </w:r>
      <w:r>
        <w:rPr>
          <w:color w:val="auto"/>
          <w:spacing w:val="-5"/>
          <w:sz w:val="21"/>
          <w:szCs w:val="21"/>
          <w:highlight w:val="none"/>
          <w:u w:val="single" w:color="auto"/>
        </w:rPr>
        <w:t>人、监理人书面要求执行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1850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color w:val="auto"/>
          <w:spacing w:val="-4"/>
          <w:sz w:val="21"/>
          <w:szCs w:val="21"/>
          <w:highlight w:val="none"/>
          <w:u w:val="single" w:color="auto"/>
        </w:rPr>
        <w:t>按照合同相关约定或发包</w:t>
      </w:r>
      <w:r>
        <w:rPr>
          <w:color w:val="auto"/>
          <w:spacing w:val="-5"/>
          <w:sz w:val="21"/>
          <w:szCs w:val="21"/>
          <w:highlight w:val="none"/>
          <w:u w:val="single" w:color="auto"/>
        </w:rPr>
        <w:t>人、监理人书面要求执行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5A9F6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7天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6019D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127AA1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cs="宋体"/>
          <w:color w:val="auto"/>
          <w:sz w:val="21"/>
          <w:szCs w:val="21"/>
          <w:highlight w:val="none"/>
          <w:u w:val="single"/>
        </w:rPr>
        <w:t>除专用合同条款另有约定外，承包人应在施工现场另外保存一套完整的图纸和承包人文件，供发包人、监理人及有关人员进行工程检查时使用。</w:t>
      </w:r>
    </w:p>
    <w:p w14:paraId="5B77BD5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0D7E0B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236309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滁州市园林景观管理中心或项目部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7162C3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发包人代表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481C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滁州市园林景观管理中心或项目部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00A21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项目经理</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C150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滁州市园林景观管理中心或项目部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F05246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总监理工程师或总监代表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35AC7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3A2933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85" w:name="_Toc304295521"/>
      <w:bookmarkStart w:id="86" w:name="_Toc303539100"/>
      <w:bookmarkStart w:id="87" w:name="_Toc300934943"/>
      <w:bookmarkStart w:id="88" w:name="_Toc312677986"/>
      <w:bookmarkStart w:id="89" w:name="_Toc318581155"/>
      <w:r>
        <w:rPr>
          <w:rFonts w:hint="eastAsia" w:cs="宋体"/>
          <w:color w:val="auto"/>
          <w:sz w:val="21"/>
          <w:szCs w:val="21"/>
          <w:highlight w:val="none"/>
        </w:rPr>
        <w:t>.10.1 出入现场的权利</w:t>
      </w:r>
    </w:p>
    <w:p w14:paraId="7DD04AF8">
      <w:pPr>
        <w:snapToGrid w:val="0"/>
        <w:spacing w:line="440" w:lineRule="exact"/>
        <w:ind w:firstLine="420" w:firstLineChars="200"/>
        <w:rPr>
          <w:rFonts w:hint="eastAsia" w:ascii="宋体" w:cs="宋体"/>
          <w:color w:val="auto"/>
          <w:sz w:val="21"/>
          <w:szCs w:val="21"/>
          <w:highlight w:val="none"/>
          <w:u w:val="single"/>
          <w:shd w:val="clear" w:color="auto" w:fill="auto"/>
        </w:rPr>
      </w:pPr>
      <w:r>
        <w:rPr>
          <w:rFonts w:hint="eastAsia" w:cs="宋体"/>
          <w:color w:val="auto"/>
          <w:sz w:val="21"/>
          <w:szCs w:val="21"/>
          <w:highlight w:val="none"/>
        </w:rPr>
        <w:t>关于出入现场的权利的约定：</w:t>
      </w:r>
      <w:r>
        <w:rPr>
          <w:rFonts w:hint="eastAsia" w:ascii="宋体" w:cs="宋体"/>
          <w:color w:val="auto"/>
          <w:szCs w:val="21"/>
          <w:highlight w:val="none"/>
          <w:u w:val="single"/>
        </w:rPr>
        <w:t>按有关规定办理有关施工场地交通、环卫和施工噪音管理等手续，费用由承包人负责。施工中建筑垃圾需运出施工现场外时，承包人需到城管部门办理相关手续并按城管部门指定地点放置。承包人违反城管、环卫等有关管理的规定，被处以罚款的，由承包人承担</w:t>
      </w:r>
      <w:r>
        <w:rPr>
          <w:rFonts w:hint="eastAsia" w:ascii="宋体" w:cs="宋体"/>
          <w:color w:val="auto"/>
          <w:sz w:val="21"/>
          <w:szCs w:val="21"/>
          <w:highlight w:val="none"/>
          <w:u w:val="single"/>
          <w:shd w:val="clear" w:color="auto" w:fill="auto"/>
        </w:rPr>
        <w:t>。</w:t>
      </w:r>
    </w:p>
    <w:p w14:paraId="1AD47A48">
      <w:pPr>
        <w:snapToGrid w:val="0"/>
        <w:spacing w:line="440" w:lineRule="exact"/>
        <w:ind w:firstLine="400" w:firstLineChars="200"/>
        <w:rPr>
          <w:rFonts w:ascii="宋体" w:cs="宋体"/>
          <w:color w:val="auto"/>
          <w:szCs w:val="21"/>
          <w:highlight w:val="none"/>
          <w:u w:val="single"/>
        </w:rPr>
      </w:pPr>
      <w:r>
        <w:rPr>
          <w:rFonts w:hint="eastAsia" w:ascii="宋体" w:cs="宋体"/>
          <w:color w:val="auto"/>
          <w:szCs w:val="21"/>
          <w:highlight w:val="none"/>
          <w:u w:val="single"/>
        </w:rPr>
        <w:t>施工前承包人应报临时设施专项施工方案，经监理审核后报发包人同意。临时设施专项施工方案实施过程中应采取有效硬化措施。不得损坏道路路面路侧石、人行道板、雨水井、雨水篦、绿化带、通信光缆、燃气管道、供电等公共设施，如因工程需要，确需损坏少量公共设施的，承包人应按规定办理相关手续，在完工后必须恢复原状，若施工方有损毁不及时修复，发包人有权委托其他施工方进行维修，发生的费用从承包人工程款中直接翻倍扣除。施工过程中，应办理渣土运输等相关证件，保持道路清洁，如有抛撒滴漏，应及时清扫，符合建设工程施工现场扬尘管理相关规定。否则发包人对承包人进行处罚10000元/次。</w:t>
      </w:r>
    </w:p>
    <w:p w14:paraId="4A4BE11D">
      <w:pPr>
        <w:snapToGrid w:val="0"/>
        <w:spacing w:line="440" w:lineRule="exact"/>
        <w:ind w:firstLine="400" w:firstLineChars="200"/>
        <w:rPr>
          <w:rFonts w:ascii="宋体" w:cs="宋体"/>
          <w:color w:val="auto"/>
          <w:szCs w:val="21"/>
          <w:highlight w:val="none"/>
          <w:u w:val="single"/>
        </w:rPr>
      </w:pPr>
      <w:r>
        <w:rPr>
          <w:rFonts w:hint="eastAsia" w:ascii="宋体" w:cs="宋体"/>
          <w:color w:val="auto"/>
          <w:szCs w:val="21"/>
          <w:highlight w:val="none"/>
          <w:u w:val="single"/>
        </w:rPr>
        <w:t>在本工程施工期间，施工单位使用的运输车辆须满足公安、市容城管、交通管理部门等的规定并按要求依法遵照有关规定办理运输许可证，严禁使用无牌无证车辆进行施工，若因以上原因造成的各种行政罚款等费用，由施工单位自行承担，发包人不具有协调等责任义务。如由此对发包人造成影响的，发包人将向承包人收取违约金10000元/次。</w:t>
      </w:r>
    </w:p>
    <w:p w14:paraId="6CD2D367">
      <w:pPr>
        <w:snapToGrid w:val="0"/>
        <w:spacing w:line="440" w:lineRule="exact"/>
        <w:ind w:firstLine="400" w:firstLineChars="200"/>
        <w:rPr>
          <w:rFonts w:hint="eastAsia" w:ascii="宋体" w:cs="宋体"/>
          <w:color w:val="auto"/>
          <w:sz w:val="21"/>
          <w:szCs w:val="21"/>
          <w:highlight w:val="none"/>
          <w:u w:val="single"/>
          <w:shd w:val="clear" w:color="auto" w:fill="auto"/>
        </w:rPr>
      </w:pPr>
      <w:r>
        <w:rPr>
          <w:rFonts w:hint="eastAsia" w:ascii="宋体" w:cs="宋体"/>
          <w:color w:val="auto"/>
          <w:szCs w:val="21"/>
          <w:highlight w:val="none"/>
          <w:u w:val="single"/>
        </w:rPr>
        <w:t>承包人应在订立合同前查勘施工现场，并根据工程规模及技术参数合理预见工程施工所需的进出施工现场的方式、手段、路径等。因承包人未合理预见所增加的费用和（或）延误的工期由承包人承担。</w:t>
      </w:r>
    </w:p>
    <w:bookmarkEnd w:id="85"/>
    <w:bookmarkEnd w:id="86"/>
    <w:bookmarkEnd w:id="87"/>
    <w:bookmarkEnd w:id="88"/>
    <w:bookmarkEnd w:id="89"/>
    <w:p w14:paraId="3CB694B3">
      <w:pPr>
        <w:adjustRightInd w:val="0"/>
        <w:snapToGrid w:val="0"/>
        <w:spacing w:line="360" w:lineRule="auto"/>
        <w:ind w:firstLine="420" w:firstLineChars="200"/>
        <w:rPr>
          <w:rFonts w:hint="eastAsia" w:cs="宋体"/>
          <w:color w:val="auto"/>
          <w:sz w:val="21"/>
          <w:szCs w:val="21"/>
          <w:highlight w:val="none"/>
        </w:rPr>
      </w:pPr>
    </w:p>
    <w:p w14:paraId="555AB63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90" w:name="_Toc303539101"/>
      <w:bookmarkStart w:id="91" w:name="_Toc300934944"/>
      <w:bookmarkStart w:id="92" w:name="_Toc318581156"/>
      <w:bookmarkStart w:id="93" w:name="_Toc304295522"/>
      <w:bookmarkStart w:id="94" w:name="_Toc312677987"/>
      <w:r>
        <w:rPr>
          <w:rFonts w:hint="eastAsia" w:cs="宋体"/>
          <w:color w:val="auto"/>
          <w:sz w:val="21"/>
          <w:szCs w:val="21"/>
          <w:highlight w:val="none"/>
        </w:rPr>
        <w:t>.10.3 场内交通</w:t>
      </w:r>
    </w:p>
    <w:p w14:paraId="15C2E20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场内交通设施和道路由承包人负责建设，发包人不另支付费用，场内交通边界现场确定  </w:t>
      </w:r>
      <w:r>
        <w:rPr>
          <w:rFonts w:hint="eastAsia" w:cs="宋体"/>
          <w:color w:val="auto"/>
          <w:sz w:val="21"/>
          <w:szCs w:val="21"/>
          <w:highlight w:val="none"/>
        </w:rPr>
        <w:t>。</w:t>
      </w:r>
    </w:p>
    <w:p w14:paraId="5F5C89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cs="宋体"/>
          <w:color w:val="auto"/>
          <w:sz w:val="21"/>
          <w:szCs w:val="21"/>
          <w:highlight w:val="none"/>
          <w:u w:val="single"/>
        </w:rPr>
        <w:t xml:space="preserve"> 自行踏勘，自行解决  </w:t>
      </w:r>
      <w:r>
        <w:rPr>
          <w:rFonts w:hint="eastAsia" w:cs="宋体"/>
          <w:color w:val="auto"/>
          <w:sz w:val="21"/>
          <w:szCs w:val="21"/>
          <w:highlight w:val="none"/>
        </w:rPr>
        <w:t>。</w:t>
      </w:r>
      <w:bookmarkEnd w:id="90"/>
      <w:bookmarkEnd w:id="91"/>
      <w:bookmarkEnd w:id="92"/>
      <w:bookmarkEnd w:id="93"/>
      <w:bookmarkEnd w:id="94"/>
      <w:bookmarkStart w:id="95" w:name="_Toc318581157"/>
    </w:p>
    <w:p w14:paraId="2705C9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3E0680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lang w:val="en-US" w:eastAsia="zh-CN"/>
        </w:rPr>
        <w:t>承包方</w:t>
      </w:r>
      <w:r>
        <w:rPr>
          <w:rFonts w:hint="eastAsia" w:cs="宋体"/>
          <w:color w:val="auto"/>
          <w:sz w:val="21"/>
          <w:szCs w:val="21"/>
          <w:highlight w:val="none"/>
        </w:rPr>
        <w:t>承担。</w:t>
      </w:r>
    </w:p>
    <w:bookmarkEnd w:id="95"/>
    <w:p w14:paraId="1230949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0145B9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D30AE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未经发包人同意不得复制， 不得向承包人以外的人员泄漏有关图纸内容，工程竣工后，原图全部收回</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924C0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C76BA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color w:val="auto"/>
          <w:spacing w:val="-5"/>
          <w:sz w:val="21"/>
          <w:szCs w:val="21"/>
          <w:highlight w:val="none"/>
          <w:u w:val="single" w:color="auto"/>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6ED0F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cs="宋体"/>
          <w:color w:val="auto"/>
          <w:sz w:val="21"/>
          <w:szCs w:val="21"/>
          <w:highlight w:val="none"/>
          <w:u w:val="single"/>
        </w:rPr>
        <w:t xml:space="preserve"> </w:t>
      </w:r>
      <w:r>
        <w:rPr>
          <w:color w:val="auto"/>
          <w:spacing w:val="-5"/>
          <w:sz w:val="21"/>
          <w:szCs w:val="21"/>
          <w:highlight w:val="none"/>
          <w:u w:val="single" w:color="auto"/>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17458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7E516757">
      <w:pPr>
        <w:adjustRightInd w:val="0"/>
        <w:snapToGrid w:val="0"/>
        <w:spacing w:line="360" w:lineRule="auto"/>
        <w:ind w:firstLine="420" w:firstLineChars="200"/>
        <w:rPr>
          <w:rFonts w:hint="eastAsia"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ascii="宋体" w:cs="宋体"/>
          <w:color w:val="auto"/>
          <w:szCs w:val="21"/>
          <w:highlight w:val="none"/>
          <w:u w:val="single"/>
        </w:rPr>
        <w:t>按国家、省、市相关文件规定</w:t>
      </w:r>
      <w:r>
        <w:rPr>
          <w:rFonts w:hint="eastAsia" w:cs="宋体"/>
          <w:b/>
          <w:bCs/>
          <w:i/>
          <w:iCs/>
          <w:color w:val="auto"/>
          <w:kern w:val="2"/>
          <w:sz w:val="21"/>
          <w:szCs w:val="21"/>
          <w:highlight w:val="none"/>
        </w:rPr>
        <w:t xml:space="preserve">  </w:t>
      </w:r>
    </w:p>
    <w:p w14:paraId="0A2F8DD0">
      <w:pPr>
        <w:adjustRightInd w:val="0"/>
        <w:snapToGrid w:val="0"/>
        <w:spacing w:line="440" w:lineRule="exact"/>
        <w:ind w:firstLine="420" w:firstLineChars="200"/>
        <w:rPr>
          <w:rFonts w:hint="eastAsia" w:ascii="宋体" w:hAnsi="宋体" w:eastAsia="宋体" w:cs="宋体"/>
          <w:color w:val="auto"/>
          <w:highlight w:val="none"/>
          <w:u w:val="single"/>
        </w:rPr>
      </w:pPr>
      <w:r>
        <w:rPr>
          <w:rFonts w:hint="eastAsia" w:cs="宋体"/>
          <w:color w:val="auto"/>
          <w:sz w:val="21"/>
          <w:szCs w:val="21"/>
          <w:highlight w:val="none"/>
        </w:rPr>
        <w:t>允许调整合同价格的工程量偏差范围：</w:t>
      </w:r>
      <w:r>
        <w:rPr>
          <w:rFonts w:hint="eastAsia" w:ascii="宋体" w:hAnsi="宋体" w:eastAsia="宋体" w:cs="宋体"/>
          <w:color w:val="auto"/>
          <w:highlight w:val="none"/>
          <w:u w:val="single"/>
        </w:rPr>
        <w:t>工程量按实计量，</w:t>
      </w:r>
      <w:r>
        <w:rPr>
          <w:rFonts w:hint="eastAsia" w:ascii="宋体" w:hAnsi="宋体" w:cs="宋体"/>
          <w:color w:val="auto"/>
          <w:szCs w:val="21"/>
          <w:highlight w:val="none"/>
          <w:u w:val="single"/>
        </w:rPr>
        <w:t>结算工程量减少0-100%或增加15%以内部分，执行中标单价；超出15％以外部分的，若中标综合单价高于（最高投标限价中综合单价×投标让利幅度）时，按（最高投标限价中综合单价×投标让利幅度）计算；若中标综合单价低于（最高投标限价中综合单价×投标让利幅度）时，执行中标单价</w:t>
      </w:r>
      <w:r>
        <w:rPr>
          <w:rFonts w:hint="eastAsia" w:ascii="宋体" w:hAnsi="宋体" w:eastAsia="宋体" w:cs="宋体"/>
          <w:color w:val="auto"/>
          <w:highlight w:val="none"/>
          <w:u w:val="single"/>
        </w:rPr>
        <w:t>(组价明显错误的予以纠正) 。新增项目单价按照最高投标限价的编制原则重新组价乘以中标价/最高投标限价，重新组价价格最终以审计部门审核结算价为准。</w:t>
      </w:r>
    </w:p>
    <w:p w14:paraId="00A4276E">
      <w:pPr>
        <w:adjustRightInd w:val="0"/>
        <w:snapToGrid w:val="0"/>
        <w:spacing w:line="440" w:lineRule="exact"/>
        <w:ind w:firstLine="40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u w:val="single"/>
        </w:rPr>
        <w:t>注：投标让利幅度为中标价/最高投标限价，其中中标价和最高投标限价均扣除暂定金额、暂估价</w:t>
      </w:r>
      <w:r>
        <w:rPr>
          <w:rFonts w:hint="eastAsia" w:ascii="宋体" w:hAnsi="宋体" w:eastAsia="宋体" w:cs="宋体"/>
          <w:color w:val="auto"/>
          <w:highlight w:val="none"/>
          <w:u w:val="single"/>
          <w:lang w:eastAsia="zh-CN"/>
        </w:rPr>
        <w:t>。</w:t>
      </w:r>
    </w:p>
    <w:p w14:paraId="78D82AEC">
      <w:pPr>
        <w:adjustRightInd w:val="0"/>
        <w:snapToGrid w:val="0"/>
        <w:spacing w:line="44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技术措施费调整：</w:t>
      </w:r>
      <w:r>
        <w:rPr>
          <w:rFonts w:hint="eastAsia" w:ascii="宋体" w:hAnsi="宋体" w:eastAsia="宋体" w:cs="宋体"/>
          <w:color w:val="auto"/>
          <w:highlight w:val="none"/>
          <w:u w:val="single"/>
        </w:rPr>
        <w:t>由于承包人改变施工技术措施，造成的价格变动，措施费不予调整。因发包人要求或工程量的增减必须改变原来施工技术措施，造成价格变动的，应扣减相应的原施工技术措施费后，按新增项目组价方式，进行措施费调整。由于分部分项清单工程量增减导致措施费用变化的，按实调整。</w:t>
      </w:r>
    </w:p>
    <w:p w14:paraId="654BFA08">
      <w:pPr>
        <w:snapToGrid w:val="0"/>
        <w:spacing w:line="440" w:lineRule="exact"/>
        <w:ind w:firstLine="400" w:firstLineChars="200"/>
        <w:rPr>
          <w:rFonts w:ascii="宋体" w:hAnsi="宋体" w:cs="宋体"/>
          <w:b w:val="0"/>
          <w:bCs w:val="0"/>
          <w:color w:val="auto"/>
          <w:szCs w:val="21"/>
          <w:highlight w:val="none"/>
          <w:u w:val="single"/>
        </w:rPr>
      </w:pPr>
      <w:r>
        <w:rPr>
          <w:rFonts w:hint="eastAsia" w:ascii="宋体" w:hAnsi="宋体" w:eastAsia="宋体" w:cs="宋体"/>
          <w:color w:val="auto"/>
          <w:highlight w:val="none"/>
        </w:rPr>
        <w:t>组织措施费调整：</w:t>
      </w:r>
      <w:r>
        <w:rPr>
          <w:rFonts w:hint="eastAsia" w:ascii="宋体" w:hAnsi="宋体" w:eastAsia="宋体" w:cs="宋体"/>
          <w:color w:val="auto"/>
          <w:highlight w:val="none"/>
          <w:u w:val="single"/>
        </w:rPr>
        <w:t>由于分部分项清单工程量增减导致措施费用变化的，按实调整</w:t>
      </w:r>
      <w:r>
        <w:rPr>
          <w:rFonts w:hint="eastAsia" w:ascii="宋体" w:hAnsi="宋体" w:cs="宋体"/>
          <w:b w:val="0"/>
          <w:bCs w:val="0"/>
          <w:color w:val="auto"/>
          <w:szCs w:val="21"/>
          <w:highlight w:val="none"/>
          <w:u w:val="single"/>
        </w:rPr>
        <w:t>。</w:t>
      </w:r>
    </w:p>
    <w:p w14:paraId="78251453">
      <w:pPr>
        <w:adjustRightInd w:val="0"/>
        <w:snapToGrid w:val="0"/>
        <w:spacing w:line="360" w:lineRule="auto"/>
        <w:ind w:firstLine="422" w:firstLineChars="200"/>
        <w:rPr>
          <w:rFonts w:cs="宋体"/>
          <w:b/>
          <w:bCs/>
          <w:i/>
          <w:iCs/>
          <w:color w:val="auto"/>
          <w:kern w:val="2"/>
          <w:sz w:val="21"/>
          <w:szCs w:val="21"/>
          <w:highlight w:val="none"/>
          <w:shd w:val="clear" w:color="FFFFFF" w:fill="D9D9D9"/>
        </w:rPr>
      </w:pPr>
    </w:p>
    <w:p w14:paraId="366D7C08">
      <w:pPr>
        <w:snapToGrid w:val="0"/>
        <w:spacing w:before="312" w:beforeLines="100" w:after="312" w:afterLines="100" w:line="360" w:lineRule="auto"/>
        <w:outlineLvl w:val="2"/>
        <w:rPr>
          <w:rFonts w:cs="宋体"/>
          <w:color w:val="auto"/>
          <w:sz w:val="21"/>
          <w:szCs w:val="21"/>
          <w:highlight w:val="none"/>
        </w:rPr>
      </w:pPr>
      <w:bookmarkStart w:id="96" w:name="_Toc351203634"/>
      <w:r>
        <w:rPr>
          <w:rFonts w:hint="eastAsia" w:cs="宋体"/>
          <w:color w:val="auto"/>
          <w:sz w:val="21"/>
          <w:szCs w:val="21"/>
          <w:highlight w:val="none"/>
        </w:rPr>
        <w:t>2</w:t>
      </w:r>
      <w:bookmarkStart w:id="97" w:name="_Toc296346658"/>
      <w:bookmarkStart w:id="98" w:name="_Toc292559867"/>
      <w:bookmarkStart w:id="99" w:name="_Toc296944496"/>
      <w:bookmarkStart w:id="100" w:name="_Toc297048343"/>
      <w:bookmarkStart w:id="101" w:name="_Toc292559362"/>
      <w:bookmarkStart w:id="102" w:name="_Toc296347156"/>
      <w:bookmarkStart w:id="103" w:name="_Toc296503157"/>
      <w:bookmarkStart w:id="104" w:name="_Toc296890985"/>
      <w:bookmarkStart w:id="105" w:name="_Toc296891197"/>
      <w:bookmarkStart w:id="106" w:name="_Toc297120457"/>
      <w:r>
        <w:rPr>
          <w:rFonts w:hint="eastAsia" w:cs="宋体"/>
          <w:color w:val="auto"/>
          <w:sz w:val="21"/>
          <w:szCs w:val="21"/>
          <w:highlight w:val="none"/>
        </w:rPr>
        <w:t>. 发包人</w:t>
      </w:r>
      <w:bookmarkEnd w:id="96"/>
    </w:p>
    <w:bookmarkEnd w:id="97"/>
    <w:bookmarkEnd w:id="98"/>
    <w:bookmarkEnd w:id="99"/>
    <w:bookmarkEnd w:id="100"/>
    <w:bookmarkEnd w:id="101"/>
    <w:bookmarkEnd w:id="102"/>
    <w:bookmarkEnd w:id="103"/>
    <w:bookmarkEnd w:id="104"/>
    <w:bookmarkEnd w:id="105"/>
    <w:bookmarkEnd w:id="106"/>
    <w:p w14:paraId="76E3CEA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19C3BD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50CE545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0CDE0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6347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A754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AD23B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768E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7447B2">
      <w:pPr>
        <w:snapToGrid w:val="0"/>
        <w:spacing w:line="440" w:lineRule="exact"/>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ascii="宋体" w:cs="宋体"/>
          <w:color w:val="auto"/>
          <w:szCs w:val="21"/>
          <w:highlight w:val="none"/>
          <w:u w:val="single"/>
        </w:rPr>
        <w:t>施工组织设计和总进度计划的审批权和调整权；人员在岗、工程进度、质量、安全、环保的监督检查权和建议处罚权；工程款的初步审查权；第三方检测的委托权；主要材料的质量否决权；工程量的确认权；工程变更签证的审核权；可调价格材料的价格确认权；工程结算的审核权；合同的解释；等等</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FA682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63EE55C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7D90323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cs="宋体"/>
          <w:color w:val="auto"/>
          <w:sz w:val="21"/>
          <w:szCs w:val="21"/>
          <w:highlight w:val="none"/>
          <w:u w:val="single"/>
        </w:rPr>
        <w:t xml:space="preserve"> 发包人应最迟于开工日期 7 天前向承包人移交施工现场   </w:t>
      </w:r>
      <w:r>
        <w:rPr>
          <w:rFonts w:hint="eastAsia" w:cs="宋体"/>
          <w:color w:val="auto"/>
          <w:sz w:val="21"/>
          <w:szCs w:val="21"/>
          <w:highlight w:val="none"/>
        </w:rPr>
        <w:t>。</w:t>
      </w:r>
    </w:p>
    <w:p w14:paraId="45E3BA4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5D7E835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cs="宋体"/>
          <w:color w:val="auto"/>
          <w:sz w:val="21"/>
          <w:szCs w:val="21"/>
          <w:highlight w:val="none"/>
          <w:u w:val="single"/>
        </w:rPr>
        <w:t xml:space="preserve">  （1）将施工用水、电力、通讯线路等施工所必需的条件接至施工现场内；（2）保证向承包人提供正常施安徽省政府采购项目竞争性</w:t>
      </w:r>
      <w:r>
        <w:rPr>
          <w:rFonts w:hint="eastAsia" w:cs="宋体"/>
          <w:color w:val="auto"/>
          <w:sz w:val="21"/>
          <w:szCs w:val="21"/>
          <w:highlight w:val="none"/>
          <w:u w:val="single"/>
          <w:lang w:val="en-US" w:eastAsia="zh-CN"/>
        </w:rPr>
        <w:t>谈判</w:t>
      </w:r>
      <w:r>
        <w:rPr>
          <w:rFonts w:hint="eastAsia" w:cs="宋体"/>
          <w:color w:val="auto"/>
          <w:sz w:val="21"/>
          <w:szCs w:val="21"/>
          <w:highlight w:val="none"/>
          <w:u w:val="single"/>
        </w:rPr>
        <w:t xml:space="preserve">文件示范文本（工程类）工所需要的进入施工现场的交通条件；（3）协调处理施工现场周围地下管线和邻近建筑物、构筑物、古树名木的保护工作，并承担相关费用。若上述费用已包含在本项目发包范围，则由承包人自行解决并承担费用   </w:t>
      </w:r>
      <w:r>
        <w:rPr>
          <w:rFonts w:hint="eastAsia" w:cs="宋体"/>
          <w:color w:val="auto"/>
          <w:sz w:val="21"/>
          <w:szCs w:val="21"/>
          <w:highlight w:val="none"/>
        </w:rPr>
        <w:t>。</w:t>
      </w:r>
    </w:p>
    <w:p w14:paraId="03D8D87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023F46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01EC2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57B753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DE5399E">
      <w:pPr>
        <w:snapToGrid w:val="0"/>
        <w:spacing w:before="312" w:beforeLines="100" w:after="312" w:afterLines="100" w:line="360" w:lineRule="auto"/>
        <w:outlineLvl w:val="2"/>
        <w:rPr>
          <w:rFonts w:cs="宋体"/>
          <w:color w:val="auto"/>
          <w:sz w:val="21"/>
          <w:szCs w:val="21"/>
          <w:highlight w:val="none"/>
        </w:rPr>
      </w:pPr>
      <w:bookmarkStart w:id="107" w:name="_Toc351203635"/>
      <w:r>
        <w:rPr>
          <w:rFonts w:hint="eastAsia" w:cs="宋体"/>
          <w:color w:val="auto"/>
          <w:sz w:val="21"/>
          <w:szCs w:val="21"/>
          <w:highlight w:val="none"/>
        </w:rPr>
        <w:t>3</w:t>
      </w:r>
      <w:bookmarkStart w:id="108" w:name="_Toc292559868"/>
      <w:bookmarkStart w:id="109" w:name="_Toc296503158"/>
      <w:bookmarkStart w:id="110" w:name="_Toc292559363"/>
      <w:bookmarkStart w:id="111" w:name="_Toc296347157"/>
      <w:bookmarkStart w:id="112" w:name="_Toc296891198"/>
      <w:bookmarkStart w:id="113" w:name="_Toc297048344"/>
      <w:bookmarkStart w:id="114" w:name="_Toc297120458"/>
      <w:bookmarkStart w:id="115" w:name="_Toc296944497"/>
      <w:bookmarkStart w:id="116" w:name="_Toc296346659"/>
      <w:bookmarkStart w:id="117" w:name="_Toc296890986"/>
      <w:r>
        <w:rPr>
          <w:rFonts w:hint="eastAsia" w:cs="宋体"/>
          <w:color w:val="auto"/>
          <w:sz w:val="21"/>
          <w:szCs w:val="21"/>
          <w:highlight w:val="none"/>
        </w:rPr>
        <w:t>. 承包人</w:t>
      </w:r>
      <w:bookmarkEnd w:id="107"/>
    </w:p>
    <w:bookmarkEnd w:id="108"/>
    <w:bookmarkEnd w:id="109"/>
    <w:bookmarkEnd w:id="110"/>
    <w:bookmarkEnd w:id="111"/>
    <w:bookmarkEnd w:id="112"/>
    <w:bookmarkEnd w:id="113"/>
    <w:bookmarkEnd w:id="114"/>
    <w:bookmarkEnd w:id="115"/>
    <w:bookmarkEnd w:id="116"/>
    <w:bookmarkEnd w:id="117"/>
    <w:p w14:paraId="42B079E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1CD303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lang w:eastAsia="zh-CN"/>
        </w:rPr>
        <w:t>按相关要求执行，包括但不限于</w:t>
      </w:r>
      <w:r>
        <w:rPr>
          <w:rFonts w:hint="eastAsia" w:cs="宋体"/>
          <w:color w:val="auto"/>
          <w:sz w:val="21"/>
          <w:szCs w:val="21"/>
          <w:highlight w:val="none"/>
          <w:u w:val="single"/>
        </w:rPr>
        <w:t>全套</w:t>
      </w:r>
      <w:r>
        <w:rPr>
          <w:rFonts w:hint="eastAsia" w:cs="宋体"/>
          <w:color w:val="auto"/>
          <w:sz w:val="21"/>
          <w:szCs w:val="21"/>
          <w:highlight w:val="none"/>
          <w:u w:val="single"/>
          <w:lang w:eastAsia="zh-CN"/>
        </w:rPr>
        <w:t>竣工图（所有竣工图应为新图纸）、竣工报告、项目质检资料、结算资料等。</w:t>
      </w:r>
    </w:p>
    <w:p w14:paraId="642179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按相关要求执行，且不少于 3 套    </w:t>
      </w:r>
      <w:r>
        <w:rPr>
          <w:rFonts w:hint="eastAsia" w:cs="宋体"/>
          <w:color w:val="auto"/>
          <w:sz w:val="21"/>
          <w:szCs w:val="21"/>
          <w:highlight w:val="none"/>
        </w:rPr>
        <w:t>。</w:t>
      </w:r>
    </w:p>
    <w:p w14:paraId="3AB5F6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3FA113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竣工验收合格后 15 日内 </w:t>
      </w:r>
      <w:r>
        <w:rPr>
          <w:rFonts w:hint="eastAsia" w:cs="宋体"/>
          <w:color w:val="auto"/>
          <w:sz w:val="21"/>
          <w:szCs w:val="21"/>
          <w:highlight w:val="none"/>
        </w:rPr>
        <w:t>。</w:t>
      </w:r>
    </w:p>
    <w:p w14:paraId="2B16B8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纸质及电子形式  </w:t>
      </w:r>
      <w:r>
        <w:rPr>
          <w:rFonts w:hint="eastAsia" w:cs="宋体"/>
          <w:color w:val="auto"/>
          <w:sz w:val="21"/>
          <w:szCs w:val="21"/>
          <w:highlight w:val="none"/>
        </w:rPr>
        <w:t>。</w:t>
      </w:r>
    </w:p>
    <w:p w14:paraId="468278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ascii="宋体" w:cs="宋体"/>
          <w:color w:val="auto"/>
          <w:szCs w:val="21"/>
          <w:highlight w:val="none"/>
          <w:u w:val="single"/>
        </w:rPr>
        <w:t>①工程竣工半年(含)内完成竣工结算的；②无合同纠纷等原因拖欠农民工工资、材料款，出现群访及时处理；③质量无缺陷，及时整改到位，处理及时；④施工现场服从调度或工程进度不超过合同工期或按合同期限按时移交的；⑤遵守滁重[2020]53号《关于限制不良建筑市场主体投标的规定》的；⑥月工程量进度及时完成；⑦按规定提供工程资料并及时归档的；⑧须执行我市市住建、公管、人社等相关单位关于项目管理、扬尘治理、大气、农民工工资支付、工程款支付等方面的通知、规定和相关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AF1E8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6B71581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6C7D450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见《专用合同条款数据表》</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55C409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F2A1B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10B57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0443A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F90A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AC80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E693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D4CDF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3FD1F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C9E5088">
      <w:pPr>
        <w:adjustRightInd w:val="0"/>
        <w:snapToGrid w:val="0"/>
        <w:spacing w:line="360" w:lineRule="auto"/>
        <w:ind w:firstLine="420" w:firstLineChars="200"/>
        <w:rPr>
          <w:rFonts w:hint="eastAsia" w:eastAsia="宋体" w:cs="宋体"/>
          <w:color w:val="auto"/>
          <w:sz w:val="21"/>
          <w:szCs w:val="21"/>
          <w:highlight w:val="none"/>
          <w:lang w:eastAsia="zh-CN"/>
        </w:rPr>
      </w:pPr>
      <w:r>
        <w:rPr>
          <w:rFonts w:hint="eastAsia" w:cs="宋体"/>
          <w:color w:val="auto"/>
          <w:sz w:val="21"/>
          <w:szCs w:val="21"/>
          <w:highlight w:val="none"/>
        </w:rPr>
        <w:t>关于项目经理每月在施工现场的时间要求：</w:t>
      </w:r>
      <w:r>
        <w:rPr>
          <w:rFonts w:hint="eastAsia" w:ascii="宋体" w:hAnsi="宋体" w:cs="宋体"/>
          <w:color w:val="auto"/>
          <w:kern w:val="0"/>
          <w:highlight w:val="none"/>
          <w:u w:val="single"/>
        </w:rPr>
        <w:t>项目经理（建造师）、技术负责人每月在岗时间不得少于22个工作日，每天不少于</w:t>
      </w:r>
      <w:r>
        <w:rPr>
          <w:rFonts w:hint="eastAsia" w:ascii="宋体" w:hAnsi="宋体" w:cs="宋体"/>
          <w:color w:val="auto"/>
          <w:kern w:val="0"/>
          <w:highlight w:val="none"/>
          <w:u w:val="single"/>
          <w:lang w:val="en-US" w:eastAsia="zh-CN"/>
        </w:rPr>
        <w:t>8</w:t>
      </w:r>
      <w:r>
        <w:rPr>
          <w:rFonts w:hint="eastAsia" w:ascii="宋体" w:hAnsi="宋体" w:cs="宋体"/>
          <w:color w:val="auto"/>
          <w:kern w:val="0"/>
          <w:highlight w:val="none"/>
          <w:u w:val="single"/>
        </w:rPr>
        <w:t>小时，特殊情况下需离开时必须事先征得甲方和监理同意后方可离开。未按规定在岗履责的，对项目经理和技术负责人处罚2000元/人·天的违约金</w:t>
      </w:r>
      <w:r>
        <w:rPr>
          <w:rFonts w:hint="eastAsia"/>
          <w:color w:val="auto"/>
          <w:spacing w:val="-6"/>
          <w:sz w:val="21"/>
          <w:szCs w:val="21"/>
          <w:highlight w:val="none"/>
          <w:u w:val="single" w:color="auto"/>
          <w:lang w:eastAsia="zh-CN"/>
        </w:rPr>
        <w:t>。</w:t>
      </w:r>
    </w:p>
    <w:p w14:paraId="0F7CA19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签订本合同前提供，资格审查时已提供的，不再重复提供  </w:t>
      </w:r>
      <w:r>
        <w:rPr>
          <w:rFonts w:hint="eastAsia" w:cs="宋体"/>
          <w:color w:val="auto"/>
          <w:sz w:val="21"/>
          <w:szCs w:val="21"/>
          <w:highlight w:val="none"/>
        </w:rPr>
        <w:t>。</w:t>
      </w:r>
    </w:p>
    <w:p w14:paraId="36E4F286">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未按规定在岗履责的，对项目经理和技术负责人处罚2000元/人·天的违约金。项目部关键岗位人员离岗必须向发包人履行请假手续，若被发包人和相关部门日常检查和随机抽查中发现不在岗的，又未履行请假手续的，处罚5000元/人·次的违约金。</w:t>
      </w:r>
    </w:p>
    <w:p w14:paraId="3704702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3089E0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172AD2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1EC9FC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color w:val="auto"/>
          <w:spacing w:val="-3"/>
          <w:sz w:val="21"/>
          <w:szCs w:val="21"/>
          <w:highlight w:val="none"/>
          <w:u w:val="single"/>
        </w:rPr>
        <w:t>在合同履行期间，发包人将组织对承包人上述人员进行业务能力考核，对考核不合格的发包人有权承包人要求更换人员，承包人7日内必须整改调整到位。承包人无正当理由拒绝更换项目经理（建造师）、项目技术负责人的，发包人将对承包人处以 10 万元违约金，并再次要求更换项目经理，如承包人仍拒不更换项目经理</w:t>
      </w:r>
      <w:r>
        <w:rPr>
          <w:rFonts w:hint="eastAsia"/>
          <w:color w:val="auto"/>
          <w:spacing w:val="-3"/>
          <w:sz w:val="21"/>
          <w:szCs w:val="21"/>
          <w:highlight w:val="none"/>
          <w:u w:val="single"/>
          <w:lang w:eastAsia="zh-CN"/>
        </w:rPr>
        <w:t>，</w:t>
      </w:r>
      <w:r>
        <w:rPr>
          <w:rFonts w:hint="eastAsia"/>
          <w:color w:val="auto"/>
          <w:spacing w:val="-3"/>
          <w:sz w:val="21"/>
          <w:szCs w:val="21"/>
          <w:highlight w:val="none"/>
          <w:u w:val="single"/>
        </w:rPr>
        <w:t>发包人有权要求承包人退场并解除合同。更换后的项目</w:t>
      </w:r>
      <w:r>
        <w:rPr>
          <w:rFonts w:hint="eastAsia"/>
          <w:color w:val="auto"/>
          <w:spacing w:val="-3"/>
          <w:sz w:val="21"/>
          <w:szCs w:val="21"/>
          <w:highlight w:val="none"/>
          <w:u w:val="single"/>
          <w:lang w:val="en-US" w:eastAsia="zh-CN"/>
        </w:rPr>
        <w:t>经理</w:t>
      </w:r>
      <w:r>
        <w:rPr>
          <w:rFonts w:hint="eastAsia"/>
          <w:color w:val="auto"/>
          <w:spacing w:val="-3"/>
          <w:sz w:val="21"/>
          <w:szCs w:val="21"/>
          <w:highlight w:val="none"/>
          <w:u w:val="single"/>
        </w:rPr>
        <w:t>资质、业绩经验不得低于变更前项目</w:t>
      </w:r>
      <w:r>
        <w:rPr>
          <w:rFonts w:hint="eastAsia"/>
          <w:color w:val="auto"/>
          <w:spacing w:val="-3"/>
          <w:sz w:val="21"/>
          <w:szCs w:val="21"/>
          <w:highlight w:val="none"/>
          <w:u w:val="single"/>
          <w:lang w:val="en-US" w:eastAsia="zh-CN"/>
        </w:rPr>
        <w:t>经理</w:t>
      </w:r>
      <w:r>
        <w:rPr>
          <w:rFonts w:hint="eastAsia"/>
          <w:color w:val="auto"/>
          <w:spacing w:val="-3"/>
          <w:sz w:val="21"/>
          <w:szCs w:val="21"/>
          <w:highlight w:val="none"/>
          <w:u w:val="single"/>
        </w:rPr>
        <w:t>资质、业绩经验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A6596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1B36E7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承包人应在</w:t>
      </w:r>
      <w:r>
        <w:rPr>
          <w:rFonts w:hint="eastAsia"/>
          <w:color w:val="auto"/>
          <w:sz w:val="21"/>
          <w:szCs w:val="21"/>
          <w:highlight w:val="none"/>
          <w:u w:val="single"/>
          <w:shd w:val="clear" w:color="auto" w:fill="auto"/>
        </w:rPr>
        <w:t>合同签订</w:t>
      </w:r>
      <w:r>
        <w:rPr>
          <w:rFonts w:hint="eastAsia" w:ascii="宋体" w:cs="宋体"/>
          <w:color w:val="auto"/>
          <w:sz w:val="21"/>
          <w:szCs w:val="21"/>
          <w:highlight w:val="none"/>
          <w:u w:val="single"/>
          <w:shd w:val="clear" w:color="auto" w:fill="auto"/>
          <w:lang w:val="en-US" w:eastAsia="zh-CN"/>
        </w:rPr>
        <w:t>时</w:t>
      </w:r>
      <w:r>
        <w:rPr>
          <w:rFonts w:hint="eastAsia" w:ascii="宋体" w:cs="宋体"/>
          <w:color w:val="auto"/>
          <w:sz w:val="21"/>
          <w:szCs w:val="21"/>
          <w:highlight w:val="none"/>
          <w:u w:val="single"/>
          <w:shd w:val="clear" w:color="auto" w:fill="auto"/>
        </w:rPr>
        <w:t>，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572CD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w:t>
      </w:r>
      <w:r>
        <w:rPr>
          <w:color w:val="auto"/>
          <w:spacing w:val="-4"/>
          <w:sz w:val="21"/>
          <w:szCs w:val="21"/>
          <w:highlight w:val="none"/>
          <w:u w:val="single" w:color="auto"/>
        </w:rPr>
        <w:t>乙方在开</w:t>
      </w:r>
      <w:r>
        <w:rPr>
          <w:color w:val="auto"/>
          <w:spacing w:val="-5"/>
          <w:sz w:val="21"/>
          <w:szCs w:val="21"/>
          <w:highlight w:val="none"/>
          <w:u w:val="single" w:color="auto"/>
        </w:rPr>
        <w:t>工时或施工过程中擅自变更主</w:t>
      </w:r>
      <w:r>
        <w:rPr>
          <w:color w:val="auto"/>
          <w:spacing w:val="-6"/>
          <w:sz w:val="21"/>
          <w:szCs w:val="21"/>
          <w:highlight w:val="none"/>
          <w:u w:val="single" w:color="auto"/>
        </w:rPr>
        <w:t>要施工管理人员的，甲方有权对乙方处以每人次</w:t>
      </w:r>
      <w:r>
        <w:rPr>
          <w:color w:val="auto"/>
          <w:spacing w:val="-35"/>
          <w:sz w:val="21"/>
          <w:szCs w:val="21"/>
          <w:highlight w:val="none"/>
          <w:u w:val="single" w:color="auto"/>
        </w:rPr>
        <w:t xml:space="preserve"> </w:t>
      </w:r>
      <w:r>
        <w:rPr>
          <w:color w:val="auto"/>
          <w:spacing w:val="-6"/>
          <w:sz w:val="21"/>
          <w:szCs w:val="21"/>
          <w:highlight w:val="none"/>
          <w:u w:val="single" w:color="auto"/>
        </w:rPr>
        <w:t>20</w:t>
      </w:r>
      <w:r>
        <w:rPr>
          <w:color w:val="auto"/>
          <w:spacing w:val="-32"/>
          <w:sz w:val="21"/>
          <w:szCs w:val="21"/>
          <w:highlight w:val="none"/>
          <w:u w:val="single" w:color="auto"/>
        </w:rPr>
        <w:t xml:space="preserve"> </w:t>
      </w:r>
      <w:r>
        <w:rPr>
          <w:color w:val="auto"/>
          <w:spacing w:val="-6"/>
          <w:sz w:val="21"/>
          <w:szCs w:val="21"/>
          <w:highlight w:val="none"/>
          <w:u w:val="single" w:color="auto"/>
        </w:rPr>
        <w:t>万元人</w:t>
      </w:r>
      <w:r>
        <w:rPr>
          <w:color w:val="auto"/>
          <w:spacing w:val="-7"/>
          <w:sz w:val="21"/>
          <w:szCs w:val="21"/>
          <w:highlight w:val="none"/>
          <w:u w:val="single" w:color="auto"/>
        </w:rPr>
        <w:t>民币的违约金，发生</w:t>
      </w:r>
      <w:r>
        <w:rPr>
          <w:color w:val="auto"/>
          <w:spacing w:val="-34"/>
          <w:sz w:val="21"/>
          <w:szCs w:val="21"/>
          <w:highlight w:val="none"/>
          <w:u w:val="single" w:color="auto"/>
        </w:rPr>
        <w:t xml:space="preserve"> </w:t>
      </w:r>
      <w:r>
        <w:rPr>
          <w:color w:val="auto"/>
          <w:spacing w:val="-7"/>
          <w:sz w:val="21"/>
          <w:szCs w:val="21"/>
          <w:highlight w:val="none"/>
          <w:u w:val="single" w:color="auto"/>
        </w:rPr>
        <w:t>2</w:t>
      </w:r>
      <w:r>
        <w:rPr>
          <w:color w:val="auto"/>
          <w:spacing w:val="-30"/>
          <w:sz w:val="21"/>
          <w:szCs w:val="21"/>
          <w:highlight w:val="none"/>
          <w:u w:val="single" w:color="auto"/>
        </w:rPr>
        <w:t xml:space="preserve"> </w:t>
      </w:r>
      <w:r>
        <w:rPr>
          <w:color w:val="auto"/>
          <w:spacing w:val="-7"/>
          <w:sz w:val="21"/>
          <w:szCs w:val="21"/>
          <w:highlight w:val="none"/>
          <w:u w:val="single" w:color="auto"/>
        </w:rPr>
        <w:t>次以上（含本数）</w:t>
      </w:r>
      <w:r>
        <w:rPr>
          <w:color w:val="auto"/>
          <w:spacing w:val="1"/>
          <w:sz w:val="21"/>
          <w:szCs w:val="21"/>
          <w:highlight w:val="none"/>
          <w:u w:val="single" w:color="auto"/>
        </w:rPr>
        <w:t>前述情形，发包人可以解除合同，并追究由此带来的甲</w:t>
      </w:r>
      <w:r>
        <w:rPr>
          <w:color w:val="auto"/>
          <w:sz w:val="21"/>
          <w:szCs w:val="21"/>
          <w:highlight w:val="none"/>
          <w:u w:val="single" w:color="auto"/>
        </w:rPr>
        <w:t>方的一切损失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0AB0C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3926BC">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5D04A5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w:t>
      </w:r>
      <w:r>
        <w:rPr>
          <w:color w:val="auto"/>
          <w:spacing w:val="-4"/>
          <w:sz w:val="21"/>
          <w:szCs w:val="21"/>
          <w:highlight w:val="none"/>
          <w:u w:val="single" w:color="auto"/>
        </w:rPr>
        <w:t>主要施工管理人员每月在岗时间不</w:t>
      </w:r>
      <w:r>
        <w:rPr>
          <w:color w:val="auto"/>
          <w:sz w:val="21"/>
          <w:szCs w:val="21"/>
          <w:highlight w:val="none"/>
        </w:rPr>
        <w:t xml:space="preserve"> </w:t>
      </w:r>
      <w:r>
        <w:rPr>
          <w:color w:val="auto"/>
          <w:spacing w:val="1"/>
          <w:sz w:val="21"/>
          <w:szCs w:val="21"/>
          <w:highlight w:val="none"/>
          <w:u w:val="single" w:color="auto"/>
        </w:rPr>
        <w:t>得少于 26 天，每天不少于 8 小时。承包人主要施工管理人员擅自离开施</w:t>
      </w:r>
      <w:r>
        <w:rPr>
          <w:color w:val="auto"/>
          <w:sz w:val="21"/>
          <w:szCs w:val="21"/>
          <w:highlight w:val="none"/>
          <w:u w:val="single" w:color="auto"/>
        </w:rPr>
        <w:t>工现场的，承包人向发</w:t>
      </w:r>
      <w:r>
        <w:rPr>
          <w:color w:val="auto"/>
          <w:spacing w:val="-1"/>
          <w:sz w:val="21"/>
          <w:szCs w:val="21"/>
          <w:highlight w:val="none"/>
          <w:u w:val="single" w:color="auto"/>
        </w:rPr>
        <w:t xml:space="preserve">包人支付违约金 2000 元/人·天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29779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18" w:name="_Toc296890987"/>
      <w:bookmarkStart w:id="119" w:name="_Toc312677988"/>
      <w:bookmarkStart w:id="120" w:name="_Toc304295523"/>
      <w:bookmarkStart w:id="121" w:name="_Toc297048345"/>
      <w:bookmarkStart w:id="122" w:name="_Toc297216151"/>
      <w:bookmarkStart w:id="123" w:name="_Toc296944498"/>
      <w:bookmarkStart w:id="124" w:name="_Toc300934945"/>
      <w:bookmarkStart w:id="125" w:name="_Toc296347158"/>
      <w:bookmarkStart w:id="126" w:name="_Toc303539102"/>
      <w:bookmarkStart w:id="127" w:name="_Toc292559364"/>
      <w:bookmarkStart w:id="128" w:name="_Toc296503159"/>
      <w:bookmarkStart w:id="129" w:name="_Toc297123492"/>
      <w:bookmarkStart w:id="130" w:name="_Toc296346660"/>
      <w:bookmarkStart w:id="131" w:name="_Toc292559869"/>
      <w:bookmarkStart w:id="132" w:name="_Toc297120459"/>
      <w:bookmarkStart w:id="133" w:name="_Toc296891199"/>
      <w:r>
        <w:rPr>
          <w:rFonts w:hint="eastAsia" w:cs="宋体"/>
          <w:bCs/>
          <w:color w:val="auto"/>
          <w:sz w:val="21"/>
          <w:szCs w:val="21"/>
          <w:highlight w:val="none"/>
        </w:rPr>
        <w:t>.5 分包</w:t>
      </w:r>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14:paraId="3A9D7C0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34" w:name="_Toc297048346"/>
      <w:bookmarkStart w:id="135" w:name="_Toc296890988"/>
      <w:bookmarkStart w:id="136" w:name="_Toc292559365"/>
      <w:bookmarkStart w:id="137" w:name="_Toc304295524"/>
      <w:bookmarkStart w:id="138" w:name="_Toc292559870"/>
      <w:bookmarkStart w:id="139" w:name="_Toc296503160"/>
      <w:bookmarkStart w:id="140" w:name="_Toc300934946"/>
      <w:bookmarkStart w:id="141" w:name="_Toc303539103"/>
      <w:bookmarkStart w:id="142" w:name="_Toc296944499"/>
      <w:bookmarkStart w:id="143" w:name="_Toc297216152"/>
      <w:bookmarkStart w:id="144" w:name="_Toc296346661"/>
      <w:bookmarkStart w:id="145" w:name="_Toc297120460"/>
      <w:bookmarkStart w:id="146" w:name="_Toc297123493"/>
      <w:bookmarkStart w:id="147" w:name="_Toc296891200"/>
      <w:bookmarkStart w:id="148" w:name="_Toc296347159"/>
      <w:bookmarkStart w:id="149" w:name="_Toc312677989"/>
      <w:bookmarkStart w:id="150" w:name="_Toc318581158"/>
      <w:r>
        <w:rPr>
          <w:rFonts w:hint="eastAsia" w:cs="宋体"/>
          <w:color w:val="auto"/>
          <w:sz w:val="21"/>
          <w:szCs w:val="21"/>
          <w:highlight w:val="none"/>
        </w:rPr>
        <w:t>.5.1 分包的一般约定</w:t>
      </w:r>
    </w:p>
    <w:p w14:paraId="142D65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color w:val="auto"/>
          <w:spacing w:val="-7"/>
          <w:sz w:val="21"/>
          <w:szCs w:val="21"/>
          <w:highlight w:val="none"/>
          <w:u w:val="single" w:color="auto"/>
        </w:rPr>
        <w:t>按照发包人及相关国家规范要求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9F6752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Start w:id="151" w:name="_Toc304295525"/>
      <w:bookmarkStart w:id="152" w:name="_Toc297048347"/>
      <w:bookmarkStart w:id="153" w:name="_Toc296944500"/>
      <w:bookmarkStart w:id="154" w:name="_Toc297216153"/>
      <w:bookmarkStart w:id="155" w:name="_Toc296891201"/>
      <w:bookmarkStart w:id="156" w:name="_Toc300934947"/>
      <w:bookmarkStart w:id="157" w:name="_Toc296347160"/>
      <w:bookmarkStart w:id="158" w:name="_Toc303539104"/>
      <w:bookmarkStart w:id="159" w:name="_Toc297123494"/>
      <w:bookmarkStart w:id="160" w:name="_Toc296346662"/>
      <w:bookmarkStart w:id="161" w:name="_Toc297120461"/>
      <w:bookmarkStart w:id="162" w:name="_Toc296890989"/>
      <w:bookmarkStart w:id="163" w:name="_Toc296503161"/>
      <w:r>
        <w:rPr>
          <w:rFonts w:hint="eastAsia" w:cs="宋体"/>
          <w:color w:val="auto"/>
          <w:sz w:val="21"/>
          <w:szCs w:val="21"/>
          <w:highlight w:val="none"/>
          <w:u w:val="single"/>
        </w:rPr>
        <w:t xml:space="preserve">  </w:t>
      </w:r>
      <w:r>
        <w:rPr>
          <w:color w:val="auto"/>
          <w:spacing w:val="-7"/>
          <w:sz w:val="21"/>
          <w:szCs w:val="21"/>
          <w:highlight w:val="none"/>
          <w:u w:val="single" w:color="auto"/>
        </w:rPr>
        <w:t>按照发包人及相关国家规范要求</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14:paraId="1408E5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64" w:name="_Toc312677990"/>
      <w:bookmarkStart w:id="165" w:name="_Toc318581159"/>
      <w:r>
        <w:rPr>
          <w:rFonts w:hint="eastAsia" w:cs="宋体"/>
          <w:color w:val="auto"/>
          <w:sz w:val="21"/>
          <w:szCs w:val="21"/>
          <w:highlight w:val="none"/>
        </w:rPr>
        <w:t>.5.2 分包的确定</w:t>
      </w:r>
    </w:p>
    <w:p w14:paraId="30C7312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ascii="宋体" w:cs="宋体"/>
          <w:color w:val="auto"/>
          <w:sz w:val="21"/>
          <w:szCs w:val="21"/>
          <w:highlight w:val="none"/>
          <w:u w:val="single"/>
          <w:shd w:val="clear" w:color="auto" w:fill="auto"/>
        </w:rPr>
        <w:t>主专业工程暂估价中涉及的专业工程、住房和城乡建设部发布的建市[2014]159 号文件《建筑业企业资质标准》中的专业承包序列中涉及的专业工程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7AD53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 xml:space="preserve">劳务分包人或专业分包人完成的工作经发包人或监理人检查屡次（3次及以上）发生同类缺陷或错误， 发包人有权指令承包人更换此专业承包人，承包人必须在接到指令后立即执行，不能以发包人同意该分包行为为由推阻， 相关一切工期延误和费用损失等均由承包人承担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35DB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2B6C7D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64"/>
    <w:bookmarkEnd w:id="165"/>
    <w:p w14:paraId="456DD5E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78EF8B1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301031E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545D42A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43677B0">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F001D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1CC8A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01098738">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130F90B9">
      <w:pPr>
        <w:snapToGrid w:val="0"/>
        <w:spacing w:before="312" w:beforeLines="100" w:after="312" w:afterLines="100" w:line="360" w:lineRule="auto"/>
        <w:outlineLvl w:val="2"/>
        <w:rPr>
          <w:rFonts w:cs="宋体"/>
          <w:color w:val="auto"/>
          <w:sz w:val="21"/>
          <w:szCs w:val="21"/>
          <w:highlight w:val="none"/>
        </w:rPr>
      </w:pPr>
      <w:bookmarkStart w:id="166" w:name="_Toc351203636"/>
      <w:r>
        <w:rPr>
          <w:rFonts w:hint="eastAsia" w:cs="宋体"/>
          <w:color w:val="auto"/>
          <w:sz w:val="21"/>
          <w:szCs w:val="21"/>
          <w:highlight w:val="none"/>
        </w:rPr>
        <w:t>4</w:t>
      </w:r>
      <w:bookmarkStart w:id="167" w:name="_Toc296503162"/>
      <w:bookmarkStart w:id="168" w:name="_Toc292559366"/>
      <w:bookmarkStart w:id="169" w:name="_Toc296891202"/>
      <w:bookmarkStart w:id="170" w:name="_Toc297048348"/>
      <w:bookmarkStart w:id="171" w:name="_Toc296944501"/>
      <w:bookmarkStart w:id="172" w:name="_Toc296346663"/>
      <w:bookmarkStart w:id="173" w:name="_Toc297120462"/>
      <w:bookmarkStart w:id="174" w:name="_Toc267251413"/>
      <w:bookmarkStart w:id="175" w:name="_Toc296347161"/>
      <w:bookmarkStart w:id="176" w:name="_Toc296890990"/>
      <w:bookmarkStart w:id="177" w:name="_Toc292559871"/>
      <w:r>
        <w:rPr>
          <w:rFonts w:hint="eastAsia" w:cs="宋体"/>
          <w:color w:val="auto"/>
          <w:sz w:val="21"/>
          <w:szCs w:val="21"/>
          <w:highlight w:val="none"/>
        </w:rPr>
        <w:t>. 监</w:t>
      </w:r>
      <w:bookmarkEnd w:id="167"/>
      <w:bookmarkEnd w:id="168"/>
      <w:bookmarkEnd w:id="169"/>
      <w:bookmarkEnd w:id="170"/>
      <w:bookmarkEnd w:id="171"/>
      <w:bookmarkEnd w:id="172"/>
      <w:bookmarkEnd w:id="173"/>
      <w:bookmarkEnd w:id="174"/>
      <w:bookmarkEnd w:id="175"/>
      <w:bookmarkEnd w:id="176"/>
      <w:bookmarkEnd w:id="177"/>
      <w:r>
        <w:rPr>
          <w:rFonts w:hint="eastAsia" w:cs="宋体"/>
          <w:color w:val="auto"/>
          <w:sz w:val="21"/>
          <w:szCs w:val="21"/>
          <w:highlight w:val="none"/>
        </w:rPr>
        <w:t>理人</w:t>
      </w:r>
      <w:bookmarkEnd w:id="166"/>
    </w:p>
    <w:p w14:paraId="3DE11BA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6D8A4178">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详见监理合同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689581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发布开工令、停工令、复工令权；工程质量的监督权；工程上使用的材料和施工质量检验权、确认权；工程施工进度、安全的检查、监督权、发包人授权的处罚权；工程款支付的审核权；向承包人提出施工组织设计和技术方案的建议权；发包人和承包人间的组织协调的主持权；撤换不合格的工程建设分包单位和项目负责人及有关人员的建议权；分包单位资质及能力的审查权；等等      </w:t>
      </w:r>
      <w:r>
        <w:rPr>
          <w:rFonts w:hint="eastAsia" w:cs="宋体"/>
          <w:color w:val="auto"/>
          <w:sz w:val="21"/>
          <w:szCs w:val="21"/>
          <w:highlight w:val="none"/>
        </w:rPr>
        <w:t>。</w:t>
      </w:r>
    </w:p>
    <w:p w14:paraId="083331E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cs="宋体"/>
          <w:color w:val="auto"/>
          <w:sz w:val="21"/>
          <w:szCs w:val="21"/>
          <w:highlight w:val="none"/>
          <w:u w:val="single"/>
        </w:rPr>
        <w:t xml:space="preserve">办公场所由承包人提供和承担，生活场所由监理人自行解决和承担。  </w:t>
      </w:r>
    </w:p>
    <w:p w14:paraId="52A8A4E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6BC9AB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总监理工程师：</w:t>
      </w:r>
    </w:p>
    <w:p w14:paraId="7F8A692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color w:val="auto"/>
          <w:spacing w:val="2"/>
          <w:sz w:val="21"/>
          <w:szCs w:val="21"/>
          <w:highlight w:val="none"/>
          <w:u w:val="single" w:color="auto"/>
        </w:rPr>
        <w:t xml:space="preserve"> </w:t>
      </w:r>
      <w:r>
        <w:rPr>
          <w:color w:val="auto"/>
          <w:spacing w:val="-10"/>
          <w:sz w:val="21"/>
          <w:szCs w:val="21"/>
          <w:highlight w:val="none"/>
          <w:u w:val="single" w:color="auto"/>
        </w:rPr>
        <w:t>详见监理合同</w:t>
      </w:r>
      <w:r>
        <w:rPr>
          <w:color w:val="auto"/>
          <w:sz w:val="21"/>
          <w:szCs w:val="21"/>
          <w:highlight w:val="none"/>
          <w:u w:val="single" w:color="auto"/>
        </w:rPr>
        <w:t xml:space="preserve">  </w:t>
      </w:r>
      <w:r>
        <w:rPr>
          <w:rFonts w:hint="eastAsia" w:ascii="宋体" w:cs="宋体"/>
          <w:color w:val="auto"/>
          <w:sz w:val="21"/>
          <w:szCs w:val="21"/>
          <w:highlight w:val="none"/>
          <w:u w:val="single"/>
          <w:shd w:val="clear" w:color="auto" w:fill="auto"/>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FAC6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E5901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E219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0944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9C8BF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7BF61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5DEC0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7EC8DAA3">
      <w:pPr>
        <w:adjustRightInd w:val="0"/>
        <w:snapToGrid w:val="0"/>
        <w:spacing w:line="360" w:lineRule="auto"/>
        <w:ind w:firstLine="420" w:firstLineChars="200"/>
        <w:rPr>
          <w:rFonts w:cs="宋体"/>
          <w:color w:val="auto"/>
          <w:sz w:val="21"/>
          <w:szCs w:val="21"/>
          <w:highlight w:val="none"/>
        </w:rPr>
      </w:pPr>
      <w:bookmarkStart w:id="178" w:name="_Toc267251418"/>
      <w:r>
        <w:rPr>
          <w:rFonts w:hint="eastAsia" w:cs="宋体"/>
          <w:color w:val="auto"/>
          <w:sz w:val="21"/>
          <w:szCs w:val="21"/>
          <w:highlight w:val="none"/>
        </w:rPr>
        <w:t>在发包人和承包人不能通过协商达成一致意见时，发包人授权监理人对以下事项进行确定：</w:t>
      </w:r>
    </w:p>
    <w:p w14:paraId="10AF00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施工方案                   </w:t>
      </w:r>
      <w:r>
        <w:rPr>
          <w:rFonts w:hint="eastAsia" w:cs="宋体"/>
          <w:color w:val="auto"/>
          <w:sz w:val="21"/>
          <w:szCs w:val="21"/>
          <w:highlight w:val="none"/>
        </w:rPr>
        <w:t>；</w:t>
      </w:r>
    </w:p>
    <w:p w14:paraId="105E0E1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索赔事项等               </w:t>
      </w:r>
      <w:r>
        <w:rPr>
          <w:rFonts w:hint="eastAsia" w:cs="宋体"/>
          <w:color w:val="auto"/>
          <w:sz w:val="21"/>
          <w:szCs w:val="21"/>
          <w:highlight w:val="none"/>
        </w:rPr>
        <w:t>；</w:t>
      </w:r>
    </w:p>
    <w:p w14:paraId="33EDF1F7">
      <w:pPr>
        <w:snapToGrid w:val="0"/>
        <w:spacing w:before="312" w:beforeLines="100" w:after="312" w:afterLines="100" w:line="360" w:lineRule="auto"/>
        <w:outlineLvl w:val="2"/>
        <w:rPr>
          <w:rFonts w:cs="宋体"/>
          <w:color w:val="auto"/>
          <w:sz w:val="21"/>
          <w:szCs w:val="21"/>
          <w:highlight w:val="none"/>
        </w:rPr>
      </w:pPr>
      <w:bookmarkStart w:id="179" w:name="_Toc351203637"/>
      <w:r>
        <w:rPr>
          <w:rFonts w:hint="eastAsia" w:cs="宋体"/>
          <w:color w:val="auto"/>
          <w:sz w:val="21"/>
          <w:szCs w:val="21"/>
          <w:highlight w:val="none"/>
        </w:rPr>
        <w:t>5</w:t>
      </w:r>
      <w:bookmarkEnd w:id="178"/>
      <w:bookmarkStart w:id="180" w:name="_Toc296891203"/>
      <w:bookmarkStart w:id="181" w:name="_Toc296346664"/>
      <w:bookmarkStart w:id="182" w:name="_Toc296890991"/>
      <w:bookmarkStart w:id="183" w:name="_Toc296503163"/>
      <w:bookmarkStart w:id="184" w:name="_Toc296944502"/>
      <w:bookmarkStart w:id="185" w:name="_Toc292559367"/>
      <w:bookmarkStart w:id="186" w:name="_Toc297120463"/>
      <w:bookmarkStart w:id="187" w:name="_Toc297048349"/>
      <w:bookmarkStart w:id="188" w:name="_Toc296347162"/>
      <w:bookmarkStart w:id="189" w:name="_Toc292559872"/>
      <w:r>
        <w:rPr>
          <w:rFonts w:hint="eastAsia" w:cs="宋体"/>
          <w:color w:val="auto"/>
          <w:sz w:val="21"/>
          <w:szCs w:val="21"/>
          <w:highlight w:val="none"/>
        </w:rPr>
        <w:t>. 工程质量</w:t>
      </w:r>
      <w:bookmarkEnd w:id="179"/>
    </w:p>
    <w:p w14:paraId="7CC2C8E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13B6579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90" w:name="_Toc297123496"/>
      <w:bookmarkStart w:id="191" w:name="_Toc312677997"/>
      <w:bookmarkStart w:id="192" w:name="_Toc303539106"/>
      <w:bookmarkStart w:id="193" w:name="_Toc297216155"/>
      <w:bookmarkStart w:id="194" w:name="_Toc304295527"/>
      <w:bookmarkStart w:id="195" w:name="_Toc318581164"/>
      <w:bookmarkStart w:id="196" w:name="_Toc300934949"/>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958D0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8A289EA">
      <w:pPr>
        <w:snapToGrid w:val="0"/>
        <w:spacing w:line="360" w:lineRule="auto"/>
        <w:ind w:firstLine="420" w:firstLineChars="200"/>
        <w:jc w:val="left"/>
        <w:rPr>
          <w:rFonts w:cs="宋体"/>
          <w:color w:val="auto"/>
          <w:sz w:val="21"/>
          <w:szCs w:val="21"/>
          <w:highlight w:val="none"/>
        </w:rPr>
      </w:pPr>
      <w:bookmarkStart w:id="197" w:name="_Toc351203638"/>
      <w:r>
        <w:rPr>
          <w:rFonts w:hint="eastAsia" w:cs="宋体"/>
          <w:color w:val="auto"/>
          <w:sz w:val="21"/>
          <w:szCs w:val="21"/>
          <w:highlight w:val="none"/>
        </w:rPr>
        <w:t>关于建造要求：</w:t>
      </w:r>
    </w:p>
    <w:p w14:paraId="30FBBCAC">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1EDED31A">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7A0B865">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4F075EC7">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080CABF">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DA5301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39B87CF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工</w:t>
      </w:r>
      <w:r>
        <w:rPr>
          <w:rFonts w:hint="eastAsia" w:ascii="宋体" w:hAnsi="Times New Roman" w:eastAsia="宋体" w:cs="宋体"/>
          <w:color w:val="auto"/>
          <w:kern w:val="2"/>
          <w:sz w:val="21"/>
          <w:szCs w:val="21"/>
          <w:highlight w:val="none"/>
          <w:u w:val="single"/>
          <w:shd w:val="clear" w:color="auto" w:fill="auto"/>
          <w:lang w:val="en-US" w:eastAsia="zh-CN" w:bidi="ar-SA"/>
        </w:rPr>
        <w:t>程具备隐蔽条件或达到中间验收部位时，承包人自检合格后，在隐蔽和中间验收 48 小时前书面通知甲方代表和监理工程师参加。通知应包含承包人自检记录、隐蔽和中间验收的内容、时间和地点。承包人准备验收记录， 验收合格，甲方代表及监理工程师在验收记录上签字后， 方可进行隐蔽和继续施工。验收不合格， 承包人 在限定时间内重新验收。承包人不服从质量管理的， 发包人有权清退其出场， 并赔偿因此而造成的</w:t>
      </w:r>
      <w:r>
        <w:rPr>
          <w:color w:val="auto"/>
          <w:spacing w:val="0"/>
          <w:sz w:val="21"/>
          <w:szCs w:val="21"/>
          <w:highlight w:val="none"/>
          <w:u w:val="single" w:color="auto"/>
        </w:rPr>
        <w:t>一切损失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9543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24 </w:t>
      </w:r>
      <w:r>
        <w:rPr>
          <w:rFonts w:hint="eastAsia" w:cs="宋体"/>
          <w:color w:val="auto"/>
          <w:sz w:val="21"/>
          <w:szCs w:val="21"/>
          <w:highlight w:val="none"/>
        </w:rPr>
        <w:t>小时提交书面延期要求。</w:t>
      </w:r>
    </w:p>
    <w:p w14:paraId="694AE18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lang w:val="en-US" w:eastAsia="zh-CN"/>
        </w:rPr>
        <w:t>48</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61DB0AD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98" w:name="_Toc337558762"/>
      <w:r>
        <w:rPr>
          <w:rFonts w:hint="eastAsia" w:cs="宋体"/>
          <w:bCs/>
          <w:color w:val="auto"/>
          <w:sz w:val="21"/>
          <w:szCs w:val="21"/>
          <w:highlight w:val="none"/>
        </w:rPr>
        <w:t>.4 不合格工程的处理</w:t>
      </w:r>
    </w:p>
    <w:bookmarkEnd w:id="198"/>
    <w:p w14:paraId="6C3EF29E">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3566AAAD">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3A6FDE6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1624E76C">
      <w:pPr>
        <w:keepNext/>
        <w:keepLines/>
        <w:snapToGrid w:val="0"/>
        <w:spacing w:before="120" w:after="120" w:line="360" w:lineRule="auto"/>
        <w:ind w:firstLine="420" w:firstLineChars="200"/>
        <w:outlineLvl w:val="3"/>
        <w:rPr>
          <w:rFonts w:cs="宋体"/>
          <w:bCs/>
          <w:color w:val="auto"/>
          <w:sz w:val="21"/>
          <w:szCs w:val="21"/>
          <w:highlight w:val="none"/>
        </w:rPr>
      </w:pPr>
      <w:bookmarkStart w:id="199" w:name="_Toc532377348"/>
      <w:r>
        <w:rPr>
          <w:rFonts w:hint="eastAsia" w:cs="宋体"/>
          <w:bCs/>
          <w:color w:val="auto"/>
          <w:sz w:val="21"/>
          <w:szCs w:val="21"/>
          <w:highlight w:val="none"/>
        </w:rPr>
        <w:t>5.6 质量事故的处理</w:t>
      </w:r>
      <w:bookmarkEnd w:id="199"/>
    </w:p>
    <w:p w14:paraId="1463A3E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091FAC5A">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0300F908">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97"/>
    </w:p>
    <w:p w14:paraId="332C989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641301B7">
      <w:pPr>
        <w:snapToGrid w:val="0"/>
        <w:spacing w:line="440" w:lineRule="exact"/>
        <w:ind w:firstLine="420" w:firstLineChars="200"/>
        <w:jc w:val="left"/>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 xml:space="preserve"> 承包人应严格遵守安全文明施工有关规 定， 注意高压电线、电缆、管线、设备、灯具等可能带来施工安全隐患的问题，并承担由此可能产 生的费用。有关现场安全文明的要求详见《安全施工与文明现场协议书》及“技术标准和要求”，缺项部分参照通用条款。安全防护文明施工措施费已包含在合同价款中， 承包人应自行承担该费用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2E7D47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w:t>
      </w:r>
      <w:r>
        <w:rPr>
          <w:color w:val="auto"/>
          <w:spacing w:val="-8"/>
          <w:sz w:val="21"/>
          <w:szCs w:val="21"/>
          <w:highlight w:val="none"/>
          <w:u w:val="single" w:color="auto"/>
        </w:rPr>
        <w:t>由承包人负责</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55B85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color w:val="auto"/>
          <w:spacing w:val="-8"/>
          <w:sz w:val="21"/>
          <w:szCs w:val="21"/>
          <w:highlight w:val="none"/>
          <w:u w:val="single" w:color="auto"/>
        </w:rPr>
        <w:t>由承包人负责</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DBBEB71">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6.1.5 文明施工</w:t>
      </w:r>
    </w:p>
    <w:p w14:paraId="0EE4878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执行采购文件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2E26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关于安全文明施工费支付比例和支付期限的约定：</w:t>
      </w:r>
      <w:r>
        <w:rPr>
          <w:rFonts w:hint="eastAsia" w:cs="宋体"/>
          <w:color w:val="auto"/>
          <w:sz w:val="21"/>
          <w:szCs w:val="21"/>
          <w:highlight w:val="none"/>
          <w:u w:val="single"/>
        </w:rPr>
        <w:t xml:space="preserve"> 按照《关于落实&lt;市规建委关于规范建设工程安全防护和文明施工措施费使用管理的通知&gt;的意见》，该费用付至施工企业在银行开立的专户。施工企业应当确保安全防护、文明施工措施费专款专用，在财务管理中单独列出安全防护、文明施工措施项目费用清单备查    </w:t>
      </w:r>
      <w:r>
        <w:rPr>
          <w:rFonts w:hint="eastAsia" w:cs="宋体"/>
          <w:color w:val="auto"/>
          <w:sz w:val="21"/>
          <w:szCs w:val="21"/>
          <w:highlight w:val="none"/>
        </w:rPr>
        <w:t>。</w:t>
      </w:r>
    </w:p>
    <w:bookmarkEnd w:id="190"/>
    <w:bookmarkEnd w:id="191"/>
    <w:bookmarkEnd w:id="192"/>
    <w:bookmarkEnd w:id="193"/>
    <w:bookmarkEnd w:id="194"/>
    <w:bookmarkEnd w:id="195"/>
    <w:bookmarkEnd w:id="196"/>
    <w:p w14:paraId="24FD35F9">
      <w:pPr>
        <w:snapToGrid w:val="0"/>
        <w:spacing w:before="312" w:beforeLines="100" w:after="312" w:afterLines="100" w:line="360" w:lineRule="auto"/>
        <w:outlineLvl w:val="2"/>
        <w:rPr>
          <w:rFonts w:cs="宋体"/>
          <w:color w:val="auto"/>
          <w:sz w:val="21"/>
          <w:szCs w:val="21"/>
          <w:highlight w:val="none"/>
        </w:rPr>
      </w:pPr>
      <w:bookmarkStart w:id="200" w:name="_Toc351203639"/>
      <w:r>
        <w:rPr>
          <w:rFonts w:hint="eastAsia" w:cs="宋体"/>
          <w:color w:val="auto"/>
          <w:sz w:val="21"/>
          <w:szCs w:val="21"/>
          <w:highlight w:val="none"/>
        </w:rPr>
        <w:t>7. 工期和进度</w:t>
      </w:r>
      <w:bookmarkEnd w:id="200"/>
    </w:p>
    <w:p w14:paraId="331A8F4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39E001D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786A5C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7D5B286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cs="宋体"/>
          <w:color w:val="auto"/>
          <w:sz w:val="21"/>
          <w:szCs w:val="21"/>
          <w:highlight w:val="none"/>
          <w:u w:val="single"/>
        </w:rPr>
        <w:t xml:space="preserve">   </w:t>
      </w:r>
      <w:r>
        <w:rPr>
          <w:rFonts w:hint="eastAsia" w:ascii="宋体" w:cs="宋体"/>
          <w:color w:val="auto"/>
          <w:szCs w:val="21"/>
          <w:highlight w:val="none"/>
          <w:u w:val="single"/>
        </w:rPr>
        <w:t>图纸会审及设计交底后一周内提供标后实施性施工组织设计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183B3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cs="宋体"/>
          <w:color w:val="auto"/>
          <w:sz w:val="21"/>
          <w:szCs w:val="21"/>
          <w:highlight w:val="none"/>
          <w:u w:val="single"/>
        </w:rPr>
        <w:t xml:space="preserve"> 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  </w:t>
      </w:r>
      <w:r>
        <w:rPr>
          <w:rFonts w:hint="eastAsia" w:cs="宋体"/>
          <w:color w:val="auto"/>
          <w:sz w:val="21"/>
          <w:szCs w:val="21"/>
          <w:highlight w:val="none"/>
        </w:rPr>
        <w:t>。</w:t>
      </w:r>
    </w:p>
    <w:p w14:paraId="5C29BD2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01" w:name="_Toc304295541"/>
      <w:bookmarkStart w:id="202" w:name="_Toc312678005"/>
      <w:bookmarkStart w:id="203" w:name="_Toc300934966"/>
      <w:bookmarkStart w:id="204" w:name="_Toc303539123"/>
      <w:bookmarkStart w:id="205" w:name="_Toc297216173"/>
      <w:bookmarkStart w:id="206" w:name="_Toc312677479"/>
      <w:bookmarkStart w:id="207" w:name="_Toc297123514"/>
      <w:r>
        <w:rPr>
          <w:rFonts w:hint="eastAsia" w:cs="宋体"/>
          <w:bCs/>
          <w:color w:val="auto"/>
          <w:sz w:val="21"/>
          <w:szCs w:val="21"/>
          <w:highlight w:val="none"/>
        </w:rPr>
        <w:t>.2 施工进度计划</w:t>
      </w:r>
    </w:p>
    <w:p w14:paraId="72FE743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7B1FEB2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cs="宋体"/>
          <w:color w:val="auto"/>
          <w:sz w:val="21"/>
          <w:szCs w:val="21"/>
          <w:highlight w:val="none"/>
          <w:u w:val="single"/>
        </w:rPr>
        <w:t xml:space="preserve"> 发包人和监理人应在收到修订的施工进度计划后7天内完成审核和批准或提出修改意见。发包人和监理人对承包人提交的施工进度计划的确认，不能减轻或免除承包人根据法律规定和合同约定应承担的任何责任或义务。承包人必须按照批准的进度计划组织施工，接受发包人对进度的检查、监督，工程实际进展与进度计划不符时，应提供修改，调整后的进度计划及相应的措施报发包人批准后执行 </w:t>
      </w:r>
      <w:r>
        <w:rPr>
          <w:rFonts w:hint="eastAsia" w:cs="宋体"/>
          <w:color w:val="auto"/>
          <w:sz w:val="21"/>
          <w:szCs w:val="21"/>
          <w:highlight w:val="none"/>
        </w:rPr>
        <w:t>。</w:t>
      </w:r>
    </w:p>
    <w:p w14:paraId="69E7B30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6BFD6B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6460A29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cs="宋体"/>
          <w:color w:val="auto"/>
          <w:sz w:val="21"/>
          <w:szCs w:val="21"/>
          <w:highlight w:val="none"/>
          <w:u w:val="single"/>
        </w:rPr>
        <w:t xml:space="preserve">    </w:t>
      </w:r>
      <w:r>
        <w:rPr>
          <w:rFonts w:hint="eastAsia" w:ascii="宋体" w:cs="宋体"/>
          <w:color w:val="auto"/>
          <w:szCs w:val="21"/>
          <w:highlight w:val="none"/>
          <w:u w:val="single"/>
        </w:rPr>
        <w:t>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r>
        <w:rPr>
          <w:color w:val="auto"/>
          <w:spacing w:val="-5"/>
          <w:sz w:val="21"/>
          <w:szCs w:val="21"/>
          <w:highlight w:val="none"/>
          <w:u w:val="single" w:color="auto"/>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7393E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cs="宋体"/>
          <w:color w:val="auto"/>
          <w:sz w:val="21"/>
          <w:szCs w:val="21"/>
          <w:highlight w:val="none"/>
          <w:u w:val="single"/>
        </w:rPr>
        <w:t xml:space="preserve">   </w:t>
      </w:r>
      <w:r>
        <w:rPr>
          <w:color w:val="auto"/>
          <w:spacing w:val="-5"/>
          <w:sz w:val="21"/>
          <w:szCs w:val="21"/>
          <w:highlight w:val="none"/>
          <w:u w:val="single" w:color="auto"/>
        </w:rPr>
        <w:t xml:space="preserve">执行通用条款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16ADBD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cs="宋体"/>
          <w:color w:val="auto"/>
          <w:sz w:val="21"/>
          <w:szCs w:val="21"/>
          <w:highlight w:val="none"/>
          <w:u w:val="single"/>
        </w:rPr>
        <w:t xml:space="preserve">    </w:t>
      </w:r>
      <w:r>
        <w:rPr>
          <w:rFonts w:hint="eastAsia" w:ascii="宋体" w:cs="宋体"/>
          <w:color w:val="auto"/>
          <w:szCs w:val="21"/>
          <w:highlight w:val="none"/>
          <w:u w:val="single"/>
        </w:rPr>
        <w:t>合同当事人应按约定完成开工准备工</w:t>
      </w:r>
      <w:r>
        <w:rPr>
          <w:color w:val="auto"/>
          <w:spacing w:val="-5"/>
          <w:sz w:val="21"/>
          <w:szCs w:val="21"/>
          <w:highlight w:val="none"/>
          <w:u w:val="single" w:color="auto"/>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D97EB8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38E5D7B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90 </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201"/>
    <w:bookmarkEnd w:id="202"/>
    <w:bookmarkEnd w:id="203"/>
    <w:bookmarkEnd w:id="204"/>
    <w:bookmarkEnd w:id="205"/>
    <w:bookmarkEnd w:id="206"/>
    <w:bookmarkEnd w:id="207"/>
    <w:p w14:paraId="0FF3C32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6B57F0F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cs="宋体"/>
          <w:color w:val="auto"/>
          <w:sz w:val="21"/>
          <w:szCs w:val="21"/>
          <w:highlight w:val="none"/>
          <w:u w:val="single"/>
        </w:rPr>
        <w:t xml:space="preserve"> </w:t>
      </w:r>
      <w:r>
        <w:rPr>
          <w:rFonts w:hint="eastAsia" w:ascii="宋体" w:hAnsi="宋体" w:cs="宋体"/>
          <w:color w:val="auto"/>
          <w:szCs w:val="21"/>
          <w:highlight w:val="none"/>
          <w:u w:val="single"/>
        </w:rPr>
        <w:t>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257DA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08" w:name="_Toc312677484"/>
      <w:bookmarkStart w:id="209" w:name="_Toc297123516"/>
      <w:bookmarkStart w:id="210" w:name="_Toc297216175"/>
      <w:bookmarkStart w:id="211" w:name="_Toc300934968"/>
      <w:bookmarkStart w:id="212" w:name="_Toc303539125"/>
      <w:bookmarkStart w:id="213" w:name="_Toc312678010"/>
      <w:bookmarkStart w:id="214" w:name="_Toc304295546"/>
      <w:r>
        <w:rPr>
          <w:rFonts w:hint="eastAsia" w:cs="宋体"/>
          <w:bCs/>
          <w:color w:val="auto"/>
          <w:sz w:val="21"/>
          <w:szCs w:val="21"/>
          <w:highlight w:val="none"/>
        </w:rPr>
        <w:t>.5 工期延误</w:t>
      </w:r>
    </w:p>
    <w:bookmarkEnd w:id="208"/>
    <w:bookmarkEnd w:id="209"/>
    <w:bookmarkEnd w:id="210"/>
    <w:bookmarkEnd w:id="211"/>
    <w:bookmarkEnd w:id="212"/>
    <w:bookmarkEnd w:id="213"/>
    <w:bookmarkEnd w:id="214"/>
    <w:p w14:paraId="3726E2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1FD85F78">
      <w:pPr>
        <w:adjustRightInd w:val="0"/>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（7）因发包人原因导致工期延误的其他情形：由于发包人的原因和非承包人的责任停工的，工期顺延       。</w:t>
      </w:r>
    </w:p>
    <w:p w14:paraId="4C2003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15" w:name="_Toc312678012"/>
      <w:bookmarkStart w:id="216" w:name="_Toc312677486"/>
      <w:bookmarkStart w:id="217" w:name="_Toc318581169"/>
      <w:bookmarkStart w:id="218" w:name="_Toc300934970"/>
      <w:bookmarkStart w:id="219" w:name="_Toc303539127"/>
      <w:bookmarkStart w:id="220" w:name="_Toc297216177"/>
      <w:bookmarkStart w:id="221" w:name="_Toc304295548"/>
      <w:bookmarkStart w:id="222" w:name="_Toc297123518"/>
      <w:r>
        <w:rPr>
          <w:rFonts w:hint="eastAsia" w:cs="宋体"/>
          <w:color w:val="auto"/>
          <w:sz w:val="21"/>
          <w:szCs w:val="21"/>
          <w:highlight w:val="none"/>
        </w:rPr>
        <w:t>.5.2 因承包人原因导致工期延误</w:t>
      </w:r>
    </w:p>
    <w:bookmarkEnd w:id="215"/>
    <w:bookmarkEnd w:id="216"/>
    <w:bookmarkEnd w:id="217"/>
    <w:p w14:paraId="6D8906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23" w:name="_Toc312678013"/>
      <w:bookmarkStart w:id="224" w:name="_Toc312677487"/>
      <w:bookmarkStart w:id="225"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18"/>
      <w:bookmarkEnd w:id="219"/>
      <w:bookmarkEnd w:id="220"/>
      <w:bookmarkEnd w:id="221"/>
      <w:bookmarkEnd w:id="222"/>
      <w:bookmarkEnd w:id="223"/>
      <w:bookmarkEnd w:id="224"/>
    </w:p>
    <w:bookmarkEnd w:id="225"/>
    <w:p w14:paraId="5765941F">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26" w:name="_Toc312678014"/>
      <w:bookmarkStart w:id="227" w:name="_Toc318581171"/>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26"/>
    <w:bookmarkEnd w:id="227"/>
    <w:p w14:paraId="4424E0C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8" w:name="_Toc312678015"/>
      <w:bookmarkStart w:id="229" w:name="_Toc300934971"/>
      <w:bookmarkStart w:id="230" w:name="_Toc297216178"/>
      <w:bookmarkStart w:id="231" w:name="_Toc304295549"/>
      <w:bookmarkStart w:id="232" w:name="_Toc303539128"/>
      <w:bookmarkStart w:id="233" w:name="_Toc297123519"/>
      <w:r>
        <w:rPr>
          <w:rFonts w:hint="eastAsia" w:cs="宋体"/>
          <w:bCs/>
          <w:color w:val="auto"/>
          <w:sz w:val="21"/>
          <w:szCs w:val="21"/>
          <w:highlight w:val="none"/>
        </w:rPr>
        <w:t>.6 不</w:t>
      </w:r>
      <w:bookmarkEnd w:id="228"/>
      <w:bookmarkEnd w:id="229"/>
      <w:bookmarkEnd w:id="230"/>
      <w:bookmarkEnd w:id="231"/>
      <w:bookmarkEnd w:id="232"/>
      <w:bookmarkEnd w:id="233"/>
      <w:r>
        <w:rPr>
          <w:rFonts w:hint="eastAsia" w:cs="宋体"/>
          <w:bCs/>
          <w:color w:val="auto"/>
          <w:sz w:val="21"/>
          <w:szCs w:val="21"/>
          <w:highlight w:val="none"/>
        </w:rPr>
        <w:t>利物质条件</w:t>
      </w:r>
    </w:p>
    <w:p w14:paraId="63EB1019">
      <w:pPr>
        <w:adjustRightInd w:val="0"/>
        <w:snapToGrid w:val="0"/>
        <w:spacing w:line="360" w:lineRule="auto"/>
        <w:ind w:firstLine="420" w:firstLineChars="200"/>
        <w:rPr>
          <w:rFonts w:hint="eastAsia" w:ascii="宋体" w:hAnsi="宋体" w:eastAsia="宋体" w:cs="宋体"/>
          <w:color w:val="auto"/>
          <w:sz w:val="21"/>
          <w:szCs w:val="21"/>
          <w:highlight w:val="none"/>
          <w:u w:val="single"/>
        </w:rPr>
      </w:pPr>
      <w:bookmarkStart w:id="234" w:name="_Toc297123520"/>
      <w:bookmarkStart w:id="235" w:name="_Toc300934972"/>
      <w:bookmarkStart w:id="236" w:name="_Toc303539129"/>
      <w:bookmarkStart w:id="237" w:name="_Toc297216179"/>
      <w:bookmarkStart w:id="238" w:name="_Toc304295550"/>
      <w:bookmarkStart w:id="239" w:name="_Toc312678016"/>
      <w:bookmarkStart w:id="240" w:name="_Toc318581172"/>
      <w:r>
        <w:rPr>
          <w:rFonts w:hint="eastAsia" w:ascii="宋体" w:hAnsi="宋体" w:eastAsia="宋体" w:cs="宋体"/>
          <w:color w:val="auto"/>
          <w:sz w:val="21"/>
          <w:szCs w:val="21"/>
          <w:highlight w:val="none"/>
          <w:u w:val="single"/>
        </w:rPr>
        <w:t>不利物质条件的其他情形和有关约定：承包人应了解当地地质、水文等情况并对照地勘报告了解地下情况，现场进行踏勘，中标后不得以不利物质条件为由提出索赔  。</w:t>
      </w:r>
    </w:p>
    <w:bookmarkEnd w:id="234"/>
    <w:bookmarkEnd w:id="235"/>
    <w:bookmarkEnd w:id="236"/>
    <w:bookmarkEnd w:id="237"/>
    <w:bookmarkEnd w:id="238"/>
    <w:bookmarkEnd w:id="239"/>
    <w:bookmarkEnd w:id="240"/>
    <w:p w14:paraId="181DD07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41" w:name="_Toc300934973"/>
      <w:bookmarkStart w:id="242" w:name="_Toc297123521"/>
      <w:bookmarkStart w:id="243" w:name="_Toc312678017"/>
      <w:bookmarkStart w:id="244" w:name="_Toc297216180"/>
      <w:bookmarkStart w:id="245" w:name="_Toc304295551"/>
      <w:bookmarkStart w:id="246" w:name="_Toc303539130"/>
      <w:r>
        <w:rPr>
          <w:rFonts w:hint="eastAsia" w:cs="宋体"/>
          <w:bCs/>
          <w:color w:val="auto"/>
          <w:sz w:val="21"/>
          <w:szCs w:val="21"/>
          <w:highlight w:val="none"/>
        </w:rPr>
        <w:t>.7 异常恶劣的气候条件</w:t>
      </w:r>
    </w:p>
    <w:bookmarkEnd w:id="241"/>
    <w:bookmarkEnd w:id="242"/>
    <w:bookmarkEnd w:id="243"/>
    <w:bookmarkEnd w:id="244"/>
    <w:bookmarkEnd w:id="245"/>
    <w:bookmarkEnd w:id="246"/>
    <w:p w14:paraId="6AD4F3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75D8E54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D49A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5558C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96617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784A13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00C3B97">
      <w:pPr>
        <w:snapToGrid w:val="0"/>
        <w:spacing w:before="312" w:beforeLines="100" w:after="312" w:afterLines="100" w:line="360" w:lineRule="auto"/>
        <w:outlineLvl w:val="2"/>
        <w:rPr>
          <w:rFonts w:cs="宋体"/>
          <w:color w:val="auto"/>
          <w:sz w:val="21"/>
          <w:szCs w:val="21"/>
          <w:highlight w:val="none"/>
        </w:rPr>
      </w:pPr>
      <w:bookmarkStart w:id="247" w:name="_Toc351203640"/>
      <w:r>
        <w:rPr>
          <w:rFonts w:hint="eastAsia" w:cs="宋体"/>
          <w:color w:val="auto"/>
          <w:sz w:val="21"/>
          <w:szCs w:val="21"/>
          <w:highlight w:val="none"/>
        </w:rPr>
        <w:t>8. 材料与设备</w:t>
      </w:r>
      <w:bookmarkEnd w:id="247"/>
    </w:p>
    <w:bookmarkEnd w:id="180"/>
    <w:bookmarkEnd w:id="181"/>
    <w:bookmarkEnd w:id="182"/>
    <w:bookmarkEnd w:id="183"/>
    <w:bookmarkEnd w:id="184"/>
    <w:bookmarkEnd w:id="185"/>
    <w:bookmarkEnd w:id="186"/>
    <w:bookmarkEnd w:id="187"/>
    <w:bookmarkEnd w:id="188"/>
    <w:bookmarkEnd w:id="189"/>
    <w:p w14:paraId="3EDE31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48" w:name="_Toc312678019"/>
      <w:bookmarkStart w:id="249" w:name="_Toc296890995"/>
      <w:bookmarkStart w:id="250" w:name="_Toc280868654"/>
      <w:bookmarkStart w:id="251" w:name="_Toc300934979"/>
      <w:bookmarkStart w:id="252" w:name="_Toc296944506"/>
      <w:bookmarkStart w:id="253" w:name="_Toc312677493"/>
      <w:bookmarkStart w:id="254" w:name="_Toc303539136"/>
      <w:bookmarkStart w:id="255" w:name="_Toc292559372"/>
      <w:bookmarkStart w:id="256" w:name="_Toc292559877"/>
      <w:bookmarkStart w:id="257" w:name="_Toc297048353"/>
      <w:bookmarkStart w:id="258" w:name="_Toc296891207"/>
      <w:bookmarkStart w:id="259" w:name="_Toc296346668"/>
      <w:bookmarkStart w:id="260" w:name="_Toc297123527"/>
      <w:bookmarkStart w:id="261" w:name="_Toc296503167"/>
      <w:bookmarkStart w:id="262" w:name="_Toc296347166"/>
      <w:bookmarkStart w:id="263" w:name="_Toc297216186"/>
      <w:bookmarkStart w:id="264" w:name="_Toc304295556"/>
      <w:bookmarkStart w:id="265" w:name="_Toc297120467"/>
      <w:bookmarkStart w:id="266" w:name="_Toc280868656"/>
      <w:bookmarkStart w:id="267" w:name="_Toc280868655"/>
      <w:bookmarkStart w:id="268" w:name="_Toc267251424"/>
      <w:r>
        <w:rPr>
          <w:rFonts w:hint="eastAsia" w:cs="宋体"/>
          <w:color w:val="auto"/>
          <w:sz w:val="21"/>
          <w:szCs w:val="21"/>
          <w:highlight w:val="none"/>
        </w:rPr>
        <w:t>.4 材料与工程设备的保管与使用</w:t>
      </w:r>
    </w:p>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14:paraId="674C6E5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69" w:name="_Toc292559878"/>
      <w:bookmarkStart w:id="270" w:name="_Toc292559373"/>
      <w:bookmarkStart w:id="271" w:name="_Toc296944507"/>
      <w:bookmarkStart w:id="272" w:name="_Toc297123528"/>
      <w:bookmarkStart w:id="273" w:name="_Toc297120468"/>
      <w:bookmarkStart w:id="274" w:name="_Toc312677494"/>
      <w:bookmarkStart w:id="275" w:name="_Toc296347167"/>
      <w:bookmarkStart w:id="276" w:name="_Toc304295557"/>
      <w:bookmarkStart w:id="277" w:name="_Toc296890996"/>
      <w:bookmarkStart w:id="278" w:name="_Toc296891208"/>
      <w:bookmarkStart w:id="279" w:name="_Toc318581173"/>
      <w:bookmarkStart w:id="280" w:name="_Toc303539137"/>
      <w:bookmarkStart w:id="281" w:name="_Toc297048354"/>
      <w:bookmarkStart w:id="282" w:name="_Toc300934980"/>
      <w:bookmarkStart w:id="283" w:name="_Toc296503168"/>
      <w:bookmarkStart w:id="284" w:name="_Toc297216187"/>
      <w:bookmarkStart w:id="285" w:name="_Toc312678020"/>
      <w:bookmarkStart w:id="286" w:name="_Toc296346669"/>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lang w:val="en-US" w:eastAsia="zh-CN"/>
        </w:rPr>
        <w:t xml:space="preserve"> </w:t>
      </w:r>
      <w:r>
        <w:rPr>
          <w:color w:val="auto"/>
          <w:spacing w:val="-6"/>
          <w:sz w:val="21"/>
          <w:szCs w:val="21"/>
          <w:highlight w:val="none"/>
          <w:u w:val="single" w:color="auto"/>
        </w:rPr>
        <w:t>承包人承担</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269"/>
      <w:bookmarkEnd w:id="270"/>
    </w:p>
    <w:p w14:paraId="69570DD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501D7B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4D0B228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按监理或发包人要求确定   </w:t>
      </w:r>
      <w:r>
        <w:rPr>
          <w:rFonts w:hint="eastAsia" w:cs="宋体"/>
          <w:color w:val="auto"/>
          <w:sz w:val="21"/>
          <w:szCs w:val="21"/>
          <w:highlight w:val="none"/>
        </w:rPr>
        <w:t>。</w:t>
      </w:r>
    </w:p>
    <w:p w14:paraId="0431B73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59D2F91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38E503E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由承包人自行承担费用</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14:paraId="6970FA82">
      <w:pPr>
        <w:snapToGrid w:val="0"/>
        <w:spacing w:before="312" w:beforeLines="100" w:after="312" w:afterLines="100" w:line="360" w:lineRule="auto"/>
        <w:outlineLvl w:val="2"/>
        <w:rPr>
          <w:rFonts w:cs="宋体"/>
          <w:color w:val="auto"/>
          <w:sz w:val="21"/>
          <w:szCs w:val="21"/>
          <w:highlight w:val="none"/>
        </w:rPr>
      </w:pPr>
      <w:bookmarkStart w:id="287" w:name="_Toc351203641"/>
      <w:r>
        <w:rPr>
          <w:rFonts w:hint="eastAsia" w:cs="宋体"/>
          <w:color w:val="auto"/>
          <w:sz w:val="21"/>
          <w:szCs w:val="21"/>
          <w:highlight w:val="none"/>
        </w:rPr>
        <w:t>9</w:t>
      </w:r>
      <w:bookmarkEnd w:id="266"/>
      <w:bookmarkEnd w:id="267"/>
      <w:bookmarkEnd w:id="268"/>
      <w:bookmarkStart w:id="288" w:name="_Toc297216192"/>
      <w:bookmarkStart w:id="289" w:name="_Toc300934982"/>
      <w:bookmarkStart w:id="290" w:name="_Toc303539139"/>
      <w:bookmarkStart w:id="291" w:name="_Toc297123533"/>
      <w:bookmarkStart w:id="292" w:name="_Toc312677495"/>
      <w:bookmarkStart w:id="293" w:name="_Toc312678021"/>
      <w:bookmarkStart w:id="294" w:name="_Toc304295559"/>
      <w:bookmarkStart w:id="295" w:name="_Toc296944512"/>
      <w:bookmarkStart w:id="296" w:name="_Toc296347172"/>
      <w:bookmarkStart w:id="297" w:name="_Toc296346674"/>
      <w:bookmarkStart w:id="298" w:name="_Toc267251428"/>
      <w:bookmarkStart w:id="299" w:name="_Toc296503173"/>
      <w:bookmarkStart w:id="300" w:name="_Toc267251427"/>
      <w:bookmarkStart w:id="301" w:name="_Toc296891213"/>
      <w:bookmarkStart w:id="302" w:name="_Toc296891001"/>
      <w:bookmarkStart w:id="303" w:name="_Toc297120473"/>
      <w:bookmarkStart w:id="304" w:name="_Toc292559378"/>
      <w:bookmarkStart w:id="305" w:name="_Toc297048359"/>
      <w:bookmarkStart w:id="306" w:name="_Toc292559883"/>
      <w:r>
        <w:rPr>
          <w:rFonts w:hint="eastAsia" w:cs="宋体"/>
          <w:color w:val="auto"/>
          <w:sz w:val="21"/>
          <w:szCs w:val="21"/>
          <w:highlight w:val="none"/>
        </w:rPr>
        <w:t>. 试验与检验</w:t>
      </w:r>
      <w:bookmarkEnd w:id="287"/>
    </w:p>
    <w:bookmarkEnd w:id="288"/>
    <w:bookmarkEnd w:id="289"/>
    <w:bookmarkEnd w:id="290"/>
    <w:bookmarkEnd w:id="291"/>
    <w:bookmarkEnd w:id="292"/>
    <w:bookmarkEnd w:id="293"/>
    <w:bookmarkEnd w:id="294"/>
    <w:p w14:paraId="4938ABF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307" w:name="_Toc312677496"/>
      <w:bookmarkStart w:id="308" w:name="_Toc303539140"/>
      <w:bookmarkStart w:id="309" w:name="_Toc297123534"/>
      <w:bookmarkStart w:id="310" w:name="_Toc304295560"/>
      <w:bookmarkStart w:id="311" w:name="_Toc297216193"/>
      <w:bookmarkStart w:id="312" w:name="_Toc300934983"/>
      <w:bookmarkStart w:id="313" w:name="_Toc312678022"/>
      <w:r>
        <w:rPr>
          <w:rFonts w:hint="eastAsia" w:cs="宋体"/>
          <w:bCs/>
          <w:color w:val="auto"/>
          <w:sz w:val="21"/>
          <w:szCs w:val="21"/>
          <w:highlight w:val="none"/>
        </w:rPr>
        <w:t>.1 试验设备与试验人员</w:t>
      </w:r>
    </w:p>
    <w:bookmarkEnd w:id="307"/>
    <w:bookmarkEnd w:id="308"/>
    <w:bookmarkEnd w:id="309"/>
    <w:bookmarkEnd w:id="310"/>
    <w:bookmarkEnd w:id="311"/>
    <w:bookmarkEnd w:id="312"/>
    <w:bookmarkEnd w:id="313"/>
    <w:p w14:paraId="2E57CD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14" w:name="_Toc312677497"/>
      <w:bookmarkStart w:id="315" w:name="_Toc297216194"/>
      <w:bookmarkStart w:id="316" w:name="_Toc303539141"/>
      <w:bookmarkStart w:id="317" w:name="_Toc304295561"/>
      <w:bookmarkStart w:id="318" w:name="_Toc312678023"/>
      <w:bookmarkStart w:id="319" w:name="_Toc300934984"/>
      <w:bookmarkStart w:id="320" w:name="_Toc297123535"/>
      <w:bookmarkStart w:id="321" w:name="_Toc318581174"/>
      <w:r>
        <w:rPr>
          <w:rFonts w:hint="eastAsia" w:cs="宋体"/>
          <w:color w:val="auto"/>
          <w:sz w:val="21"/>
          <w:szCs w:val="21"/>
          <w:highlight w:val="none"/>
        </w:rPr>
        <w:t>.1.2 试验设备</w:t>
      </w:r>
    </w:p>
    <w:p w14:paraId="0FBC1CF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14"/>
      <w:bookmarkEnd w:id="315"/>
      <w:bookmarkEnd w:id="316"/>
      <w:bookmarkEnd w:id="317"/>
      <w:bookmarkEnd w:id="318"/>
      <w:bookmarkEnd w:id="319"/>
      <w:bookmarkEnd w:id="320"/>
      <w:bookmarkStart w:id="322" w:name="_Toc312678024"/>
      <w:bookmarkStart w:id="323" w:name="_Toc312677498"/>
      <w:bookmarkStart w:id="324" w:name="_Toc297216195"/>
      <w:bookmarkStart w:id="325" w:name="_Toc300934985"/>
      <w:bookmarkStart w:id="326" w:name="_Toc304295562"/>
      <w:bookmarkStart w:id="327" w:name="_Toc297123536"/>
      <w:bookmarkStart w:id="328" w:name="_Toc303539142"/>
      <w:r>
        <w:rPr>
          <w:rFonts w:hint="eastAsia" w:cs="宋体"/>
          <w:color w:val="auto"/>
          <w:sz w:val="21"/>
          <w:szCs w:val="21"/>
          <w:highlight w:val="none"/>
        </w:rPr>
        <w:t xml:space="preserve">： </w:t>
      </w:r>
      <w:r>
        <w:rPr>
          <w:color w:val="auto"/>
          <w:spacing w:val="-5"/>
          <w:sz w:val="21"/>
          <w:szCs w:val="21"/>
          <w:highlight w:val="none"/>
          <w:u w:val="single" w:color="auto"/>
        </w:rPr>
        <w:t>按有关规定执行，承包人自行承担费用</w:t>
      </w:r>
      <w:r>
        <w:rPr>
          <w:rFonts w:hint="eastAsia" w:ascii="宋体" w:cs="宋体"/>
          <w:color w:val="auto"/>
          <w:sz w:val="21"/>
          <w:szCs w:val="21"/>
          <w:highlight w:val="none"/>
          <w:u w:val="single"/>
          <w:shd w:val="clear" w:color="auto" w:fill="auto"/>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67498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 xml:space="preserve"> </w:t>
      </w:r>
      <w:r>
        <w:rPr>
          <w:color w:val="auto"/>
          <w:spacing w:val="-5"/>
          <w:sz w:val="21"/>
          <w:szCs w:val="21"/>
          <w:highlight w:val="none"/>
          <w:u w:val="single" w:color="auto"/>
        </w:rPr>
        <w:t>按有关规定执行，承包人自行承担费用</w:t>
      </w:r>
      <w:r>
        <w:rPr>
          <w:rFonts w:hint="eastAsia" w:ascii="宋体" w:cs="宋体"/>
          <w:color w:val="auto"/>
          <w:sz w:val="21"/>
          <w:szCs w:val="21"/>
          <w:highlight w:val="none"/>
          <w:u w:val="single"/>
          <w:shd w:val="clear" w:color="auto" w:fill="auto"/>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22BEE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 xml:space="preserve"> </w:t>
      </w:r>
      <w:r>
        <w:rPr>
          <w:color w:val="auto"/>
          <w:spacing w:val="-5"/>
          <w:sz w:val="21"/>
          <w:szCs w:val="21"/>
          <w:highlight w:val="none"/>
          <w:u w:val="single" w:color="auto"/>
        </w:rPr>
        <w:t>按有关规定执行，承包人自行承担费用</w:t>
      </w:r>
      <w:r>
        <w:rPr>
          <w:rFonts w:hint="eastAsia" w:ascii="宋体" w:cs="宋体"/>
          <w:color w:val="auto"/>
          <w:sz w:val="21"/>
          <w:szCs w:val="21"/>
          <w:highlight w:val="none"/>
          <w:u w:val="single"/>
          <w:shd w:val="clear" w:color="auto" w:fill="auto"/>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31B6D0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7283097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 xml:space="preserve"> </w:t>
      </w:r>
      <w:r>
        <w:rPr>
          <w:color w:val="auto"/>
          <w:spacing w:val="-5"/>
          <w:sz w:val="21"/>
          <w:szCs w:val="21"/>
          <w:highlight w:val="none"/>
          <w:u w:val="single" w:color="auto"/>
        </w:rPr>
        <w:t>按有关规定执行，承包人自行承担费用</w:t>
      </w:r>
      <w:r>
        <w:rPr>
          <w:rFonts w:hint="eastAsia" w:ascii="宋体" w:cs="宋体"/>
          <w:color w:val="auto"/>
          <w:sz w:val="21"/>
          <w:szCs w:val="21"/>
          <w:highlight w:val="none"/>
          <w:u w:val="single"/>
          <w:shd w:val="clear" w:color="auto" w:fill="auto"/>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21"/>
    <w:bookmarkEnd w:id="322"/>
    <w:bookmarkEnd w:id="323"/>
    <w:bookmarkEnd w:id="324"/>
    <w:bookmarkEnd w:id="325"/>
    <w:bookmarkEnd w:id="326"/>
    <w:bookmarkEnd w:id="327"/>
    <w:bookmarkEnd w:id="328"/>
    <w:p w14:paraId="5A0EE03C">
      <w:pPr>
        <w:snapToGrid w:val="0"/>
        <w:spacing w:before="312" w:beforeLines="100" w:after="312" w:afterLines="100" w:line="360" w:lineRule="auto"/>
        <w:outlineLvl w:val="2"/>
        <w:rPr>
          <w:rFonts w:cs="宋体"/>
          <w:color w:val="auto"/>
          <w:sz w:val="21"/>
          <w:szCs w:val="21"/>
          <w:highlight w:val="none"/>
        </w:rPr>
      </w:pPr>
      <w:bookmarkStart w:id="329" w:name="_Toc351203642"/>
      <w:r>
        <w:rPr>
          <w:rFonts w:hint="eastAsia" w:cs="宋体"/>
          <w:color w:val="auto"/>
          <w:sz w:val="21"/>
          <w:szCs w:val="21"/>
          <w:highlight w:val="none"/>
        </w:rPr>
        <w:t>1</w:t>
      </w:r>
      <w:bookmarkEnd w:id="295"/>
      <w:bookmarkEnd w:id="296"/>
      <w:bookmarkEnd w:id="297"/>
      <w:bookmarkEnd w:id="298"/>
      <w:bookmarkEnd w:id="299"/>
      <w:bookmarkEnd w:id="300"/>
      <w:bookmarkEnd w:id="301"/>
      <w:bookmarkEnd w:id="302"/>
      <w:bookmarkEnd w:id="303"/>
      <w:bookmarkEnd w:id="304"/>
      <w:bookmarkEnd w:id="305"/>
      <w:bookmarkEnd w:id="306"/>
      <w:bookmarkStart w:id="330" w:name="_Toc297123540"/>
      <w:bookmarkStart w:id="331" w:name="_Toc296347192"/>
      <w:bookmarkStart w:id="332" w:name="_Toc297216199"/>
      <w:bookmarkStart w:id="333" w:name="_Toc292559903"/>
      <w:bookmarkStart w:id="334" w:name="_Toc303539146"/>
      <w:bookmarkStart w:id="335" w:name="_Toc296891233"/>
      <w:bookmarkStart w:id="336" w:name="_Toc297048379"/>
      <w:bookmarkStart w:id="337" w:name="_Toc296503193"/>
      <w:bookmarkStart w:id="338" w:name="_Toc304295566"/>
      <w:bookmarkStart w:id="339" w:name="_Toc296891021"/>
      <w:bookmarkStart w:id="340" w:name="_Toc296346694"/>
      <w:bookmarkStart w:id="341" w:name="_Toc296944532"/>
      <w:bookmarkStart w:id="342" w:name="_Toc300934989"/>
      <w:bookmarkStart w:id="343" w:name="_Toc297120493"/>
      <w:bookmarkStart w:id="344" w:name="_Toc292559398"/>
      <w:bookmarkStart w:id="345" w:name="_Toc312677499"/>
      <w:bookmarkStart w:id="346" w:name="_Toc312678025"/>
      <w:bookmarkStart w:id="347" w:name="_Toc267251441"/>
      <w:bookmarkStart w:id="348" w:name="_Toc267251437"/>
      <w:bookmarkStart w:id="349" w:name="_Toc267251435"/>
      <w:bookmarkStart w:id="350" w:name="_Toc267251439"/>
      <w:bookmarkStart w:id="351" w:name="_Toc267251440"/>
      <w:bookmarkStart w:id="352" w:name="_Toc267251433"/>
      <w:bookmarkStart w:id="353" w:name="_Toc267251442"/>
      <w:r>
        <w:rPr>
          <w:rFonts w:hint="eastAsia" w:cs="宋体"/>
          <w:color w:val="auto"/>
          <w:sz w:val="21"/>
          <w:szCs w:val="21"/>
          <w:highlight w:val="none"/>
        </w:rPr>
        <w:t>0. 变更</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bookmarkEnd w:id="345"/>
    <w:bookmarkEnd w:id="346"/>
    <w:p w14:paraId="294D550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54" w:name="_Toc312677500"/>
      <w:bookmarkStart w:id="355" w:name="_Toc303539147"/>
      <w:bookmarkStart w:id="356" w:name="_Toc297216200"/>
      <w:bookmarkStart w:id="357" w:name="_Toc297123541"/>
      <w:bookmarkStart w:id="358" w:name="_Toc296347193"/>
      <w:bookmarkStart w:id="359" w:name="_Toc296944533"/>
      <w:bookmarkStart w:id="360" w:name="_Toc296891022"/>
      <w:bookmarkStart w:id="361" w:name="_Toc292559399"/>
      <w:bookmarkStart w:id="362" w:name="_Toc304295567"/>
      <w:bookmarkStart w:id="363" w:name="_Toc297048380"/>
      <w:bookmarkStart w:id="364" w:name="_Toc296891234"/>
      <w:bookmarkStart w:id="365" w:name="_Toc312678026"/>
      <w:bookmarkStart w:id="366" w:name="_Toc292559904"/>
      <w:bookmarkStart w:id="367" w:name="_Toc296346695"/>
      <w:bookmarkStart w:id="368" w:name="_Toc296503194"/>
      <w:bookmarkStart w:id="369" w:name="_Toc297120494"/>
      <w:bookmarkStart w:id="370" w:name="_Toc300934990"/>
      <w:r>
        <w:rPr>
          <w:rFonts w:hint="eastAsia" w:cs="宋体"/>
          <w:bCs/>
          <w:color w:val="auto"/>
          <w:sz w:val="21"/>
          <w:szCs w:val="21"/>
          <w:highlight w:val="none"/>
        </w:rPr>
        <w:t>0.1 变更的范围</w:t>
      </w:r>
    </w:p>
    <w:p w14:paraId="0450A1F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498D7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268697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4482B38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36B9BE45">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61617E85">
      <w:pPr>
        <w:adjustRightInd w:val="0"/>
        <w:snapToGrid w:val="0"/>
        <w:spacing w:line="360" w:lineRule="auto"/>
        <w:ind w:firstLine="422" w:firstLineChars="200"/>
        <w:rPr>
          <w:rFonts w:hint="eastAsia" w:cs="宋体"/>
          <w:b/>
          <w:color w:val="auto"/>
          <w:sz w:val="21"/>
          <w:szCs w:val="21"/>
          <w:highlight w:val="none"/>
          <w:u w:val="single"/>
        </w:rPr>
      </w:pPr>
      <w:r>
        <w:rPr>
          <w:rFonts w:hint="eastAsia" w:cs="宋体"/>
          <w:b/>
          <w:color w:val="auto"/>
          <w:sz w:val="21"/>
          <w:szCs w:val="21"/>
          <w:highlight w:val="none"/>
          <w:u w:val="single"/>
        </w:rPr>
        <w:t>（1）合同中有类似工程项目的，变更导致结算工程量减少0-100%或增加15%以内部分，执行中标单价；若清单子目实际工程量增加超出清单工程量的15％的，超出15％以外部分，若中标综合单价高于（最高投标限价中综合单价×投标让利幅度）时，按（最高投标限价中综合单价×投标让利幅度）计算；若中标综合单价低于（最高投标限价中综合单价×投标让利幅度）时，执行中标单价(组价明显错误的予以纠正) 。</w:t>
      </w:r>
    </w:p>
    <w:p w14:paraId="0051895C">
      <w:pPr>
        <w:adjustRightInd w:val="0"/>
        <w:snapToGrid w:val="0"/>
        <w:spacing w:line="360" w:lineRule="auto"/>
        <w:ind w:firstLine="422" w:firstLineChars="200"/>
        <w:rPr>
          <w:rFonts w:hint="eastAsia" w:cs="宋体"/>
          <w:b/>
          <w:color w:val="auto"/>
          <w:sz w:val="21"/>
          <w:szCs w:val="21"/>
          <w:highlight w:val="none"/>
          <w:u w:val="single"/>
        </w:rPr>
      </w:pPr>
      <w:r>
        <w:rPr>
          <w:rFonts w:hint="eastAsia" w:cs="宋体"/>
          <w:b/>
          <w:color w:val="auto"/>
          <w:sz w:val="21"/>
          <w:szCs w:val="21"/>
          <w:highlight w:val="none"/>
          <w:u w:val="single"/>
        </w:rPr>
        <w:t>注：投标让利幅度为中标价/最高投标限价，其中中标价和最高投标限价均扣除暂定金额、暂估价。</w:t>
      </w:r>
    </w:p>
    <w:p w14:paraId="63FFD9E7">
      <w:pPr>
        <w:adjustRightInd w:val="0"/>
        <w:snapToGrid w:val="0"/>
        <w:spacing w:line="360" w:lineRule="auto"/>
        <w:ind w:firstLine="422" w:firstLineChars="200"/>
        <w:rPr>
          <w:rFonts w:hint="eastAsia" w:cs="宋体"/>
          <w:b/>
          <w:color w:val="auto"/>
          <w:sz w:val="21"/>
          <w:szCs w:val="21"/>
          <w:highlight w:val="none"/>
          <w:u w:val="single"/>
        </w:rPr>
      </w:pPr>
      <w:r>
        <w:rPr>
          <w:rFonts w:hint="eastAsia" w:cs="宋体"/>
          <w:b/>
          <w:color w:val="auto"/>
          <w:sz w:val="21"/>
          <w:szCs w:val="21"/>
          <w:highlight w:val="none"/>
          <w:u w:val="single"/>
        </w:rPr>
        <w:t xml:space="preserve">（2）合同中没有类似工程项目的，由承包人参考“清单计价依据”提出适当的综合单价，报工程造价咨询机构审定后乘以中标价/最高投标限价作为结算依据。（中标价和最高投标限价均应扣除暂列金额和暂估价部分） </w:t>
      </w:r>
    </w:p>
    <w:p w14:paraId="6EF5B8E0">
      <w:pPr>
        <w:adjustRightInd w:val="0"/>
        <w:snapToGrid w:val="0"/>
        <w:spacing w:line="360" w:lineRule="auto"/>
        <w:ind w:firstLine="422" w:firstLineChars="200"/>
        <w:rPr>
          <w:rFonts w:hint="eastAsia" w:cs="宋体"/>
          <w:b/>
          <w:color w:val="auto"/>
          <w:sz w:val="21"/>
          <w:szCs w:val="21"/>
          <w:highlight w:val="none"/>
          <w:u w:val="single"/>
        </w:rPr>
      </w:pPr>
      <w:r>
        <w:rPr>
          <w:rFonts w:hint="eastAsia" w:cs="宋体"/>
          <w:b/>
          <w:color w:val="auto"/>
          <w:sz w:val="21"/>
          <w:szCs w:val="21"/>
          <w:highlight w:val="none"/>
          <w:u w:val="single"/>
        </w:rPr>
        <w:t xml:space="preserve">技术措施费调整：因承包人改变施工技术措施，造成的价格变动，措施费不予调整。因工程变更必须改变原来施工技术措施，造成价格变动的，按实调整，变更组价原则同上。 </w:t>
      </w:r>
    </w:p>
    <w:p w14:paraId="7F3741A0">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组织措施费调整：按实调整。 </w:t>
      </w:r>
    </w:p>
    <w:p w14:paraId="610D45AB">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45633F4D">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139552B6">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1D8FE11B">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294971A2">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0223AA5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Start w:id="371" w:name="_Toc296347196"/>
      <w:bookmarkStart w:id="372" w:name="_Toc296503197"/>
      <w:bookmarkStart w:id="373" w:name="_Toc303539150"/>
      <w:bookmarkStart w:id="374" w:name="_Toc296346698"/>
      <w:bookmarkStart w:id="375" w:name="_Toc297048383"/>
      <w:bookmarkStart w:id="376" w:name="_Toc297216203"/>
      <w:bookmarkStart w:id="377" w:name="_Toc296891025"/>
      <w:bookmarkStart w:id="378" w:name="_Toc296944536"/>
      <w:bookmarkStart w:id="379" w:name="_Toc292559402"/>
      <w:bookmarkStart w:id="380" w:name="_Toc300934993"/>
      <w:bookmarkStart w:id="381" w:name="_Toc297120497"/>
      <w:bookmarkStart w:id="382" w:name="_Toc297123544"/>
      <w:bookmarkStart w:id="383" w:name="_Toc292559907"/>
      <w:bookmarkStart w:id="384" w:name="_Toc296891237"/>
      <w:bookmarkStart w:id="385" w:name="_Toc312678029"/>
      <w:bookmarkStart w:id="386" w:name="_Toc312677503"/>
      <w:bookmarkStart w:id="387" w:name="_Toc304295570"/>
      <w:r>
        <w:rPr>
          <w:rFonts w:hint="eastAsia" w:cs="宋体"/>
          <w:bCs/>
          <w:color w:val="auto"/>
          <w:sz w:val="21"/>
          <w:szCs w:val="21"/>
          <w:highlight w:val="none"/>
        </w:rPr>
        <w:t>0.5 承</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Start w:id="388" w:name="_Toc297216204"/>
      <w:bookmarkStart w:id="389" w:name="_Toc296503203"/>
      <w:bookmarkStart w:id="390" w:name="_Toc296346704"/>
      <w:bookmarkStart w:id="391" w:name="_Toc297123545"/>
      <w:bookmarkStart w:id="392" w:name="_Toc296891243"/>
      <w:bookmarkStart w:id="393" w:name="_Toc292559913"/>
      <w:bookmarkStart w:id="394" w:name="_Toc303539151"/>
      <w:bookmarkStart w:id="395" w:name="_Toc297120503"/>
      <w:bookmarkStart w:id="396" w:name="_Toc296347202"/>
      <w:bookmarkStart w:id="397" w:name="_Toc300934994"/>
      <w:bookmarkStart w:id="398" w:name="_Toc297048389"/>
      <w:bookmarkStart w:id="399" w:name="_Toc292559408"/>
      <w:bookmarkStart w:id="400" w:name="_Toc296944542"/>
      <w:bookmarkStart w:id="401" w:name="_Toc296891031"/>
      <w:r>
        <w:rPr>
          <w:rFonts w:hint="eastAsia" w:cs="宋体"/>
          <w:bCs/>
          <w:color w:val="auto"/>
          <w:sz w:val="21"/>
          <w:szCs w:val="21"/>
          <w:highlight w:val="none"/>
        </w:rPr>
        <w:t>包人的合理化建议</w:t>
      </w:r>
    </w:p>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14:paraId="73B5BF4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监理人应在收到承包人提交的合理化建议后 7 天内审查完毕并报送发包人，发现其中存在技术上的缺陷，应通知承包人修改。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8E4B27">
      <w:pPr>
        <w:keepNext/>
        <w:keepLines/>
        <w:snapToGrid w:val="0"/>
        <w:spacing w:before="120" w:after="120" w:line="360" w:lineRule="auto"/>
        <w:ind w:firstLine="420" w:firstLineChars="200"/>
        <w:outlineLvl w:val="3"/>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cs="宋体"/>
          <w:color w:val="auto"/>
          <w:sz w:val="21"/>
          <w:szCs w:val="21"/>
          <w:highlight w:val="none"/>
          <w:u w:val="single"/>
        </w:rPr>
        <w:t xml:space="preserve">  </w:t>
      </w:r>
      <w:r>
        <w:rPr>
          <w:rFonts w:hint="eastAsia" w:cs="宋体"/>
          <w:bCs/>
          <w:color w:val="auto"/>
          <w:sz w:val="21"/>
          <w:szCs w:val="21"/>
          <w:highlight w:val="none"/>
          <w:u w:val="single"/>
        </w:rPr>
        <w:t>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26961F6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402" w:name="_Toc297216205"/>
      <w:bookmarkStart w:id="403" w:name="_Toc303539152"/>
      <w:bookmarkStart w:id="404" w:name="_Toc312678030"/>
      <w:bookmarkStart w:id="405" w:name="_Toc304295571"/>
      <w:bookmarkStart w:id="406" w:name="_Toc296891244"/>
      <w:bookmarkStart w:id="407" w:name="_Toc296346705"/>
      <w:bookmarkStart w:id="408" w:name="_Toc318581175"/>
      <w:bookmarkStart w:id="409" w:name="_Toc312677504"/>
      <w:bookmarkStart w:id="410" w:name="_Toc296503204"/>
      <w:bookmarkStart w:id="411" w:name="_Toc300934995"/>
      <w:bookmarkStart w:id="412" w:name="_Toc296347203"/>
      <w:bookmarkStart w:id="413" w:name="_Toc296944543"/>
      <w:bookmarkStart w:id="414" w:name="_Toc297123546"/>
      <w:bookmarkStart w:id="415" w:name="_Toc292559409"/>
      <w:bookmarkStart w:id="416" w:name="_Toc297048390"/>
      <w:bookmarkStart w:id="417" w:name="_Toc292559914"/>
      <w:bookmarkStart w:id="418" w:name="_Toc296891032"/>
      <w:bookmarkStart w:id="419" w:name="_Toc297120504"/>
      <w:r>
        <w:rPr>
          <w:rFonts w:hint="eastAsia" w:cs="宋体"/>
          <w:color w:val="auto"/>
          <w:sz w:val="21"/>
          <w:szCs w:val="21"/>
          <w:highlight w:val="none"/>
        </w:rPr>
        <w:t>包人提出的合理化建议降低了合同价格或者提高了工程经济效益的奖励的方法和金额为：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14:paraId="625BCFE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20" w:name="_Toc297123548"/>
      <w:bookmarkStart w:id="421" w:name="_Toc304295574"/>
      <w:bookmarkStart w:id="422" w:name="_Toc297048385"/>
      <w:bookmarkStart w:id="423" w:name="_Toc296503199"/>
      <w:bookmarkStart w:id="424" w:name="_Toc312677507"/>
      <w:bookmarkStart w:id="425" w:name="_Toc296346700"/>
      <w:bookmarkStart w:id="426" w:name="_Toc296944538"/>
      <w:bookmarkStart w:id="427" w:name="_Toc303539154"/>
      <w:bookmarkStart w:id="428" w:name="_Toc296891027"/>
      <w:bookmarkStart w:id="429" w:name="_Toc296347198"/>
      <w:bookmarkStart w:id="430" w:name="_Toc312678033"/>
      <w:bookmarkStart w:id="431" w:name="_Toc300934997"/>
      <w:bookmarkStart w:id="432" w:name="_Toc292559404"/>
      <w:bookmarkStart w:id="433" w:name="_Toc297216207"/>
      <w:bookmarkStart w:id="434" w:name="_Toc297120499"/>
      <w:bookmarkStart w:id="435" w:name="_Toc296891239"/>
      <w:bookmarkStart w:id="436" w:name="_Toc292559909"/>
      <w:r>
        <w:rPr>
          <w:rFonts w:hint="eastAsia" w:cs="宋体"/>
          <w:bCs/>
          <w:color w:val="auto"/>
          <w:sz w:val="21"/>
          <w:szCs w:val="21"/>
          <w:highlight w:val="none"/>
        </w:rPr>
        <w:t>0.7 暂估价</w:t>
      </w:r>
    </w:p>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14:paraId="14A38C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37" w:name="_Toc318581176"/>
      <w:bookmarkStart w:id="438" w:name="_Toc312677508"/>
      <w:bookmarkStart w:id="439" w:name="_Toc312678034"/>
      <w:r>
        <w:rPr>
          <w:rFonts w:hint="eastAsia" w:cs="宋体"/>
          <w:color w:val="auto"/>
          <w:sz w:val="21"/>
          <w:szCs w:val="21"/>
          <w:highlight w:val="none"/>
        </w:rPr>
        <w:t>估价材料和工程设备的明细见附件12：《暂估价一览表》。</w:t>
      </w:r>
    </w:p>
    <w:bookmarkEnd w:id="437"/>
    <w:bookmarkEnd w:id="438"/>
    <w:bookmarkEnd w:id="439"/>
    <w:p w14:paraId="37B887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40" w:name="_Toc318581177"/>
      <w:bookmarkStart w:id="441" w:name="_Toc312678035"/>
      <w:bookmarkStart w:id="442" w:name="_Toc312677509"/>
      <w:r>
        <w:rPr>
          <w:rFonts w:hint="eastAsia" w:cs="宋体"/>
          <w:color w:val="auto"/>
          <w:sz w:val="21"/>
          <w:szCs w:val="21"/>
          <w:highlight w:val="none"/>
        </w:rPr>
        <w:t>0.7.1 依法必须招标的暂估价项目</w:t>
      </w:r>
    </w:p>
    <w:bookmarkEnd w:id="440"/>
    <w:bookmarkEnd w:id="441"/>
    <w:bookmarkEnd w:id="442"/>
    <w:p w14:paraId="406A8E2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0035B7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380A8C1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2A2C2D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59F6A9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066AEE7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5EC0E3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暂列金是发包人为可能发生工程变更而暂列的金额， 是 招标人自行确定设立的， 承包商无权使用此笔费用。此费用按实际发生经招标人签证后确定全部使用、部分使用或不使用。暂列金不计入工程款付款的基数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61AC0B8">
      <w:pPr>
        <w:snapToGrid w:val="0"/>
        <w:spacing w:before="312" w:beforeLines="100" w:after="312" w:afterLines="100" w:line="360" w:lineRule="auto"/>
        <w:outlineLvl w:val="2"/>
        <w:rPr>
          <w:rFonts w:cs="宋体"/>
          <w:color w:val="auto"/>
          <w:sz w:val="21"/>
          <w:szCs w:val="21"/>
          <w:highlight w:val="none"/>
        </w:rPr>
      </w:pPr>
      <w:bookmarkStart w:id="443" w:name="_Toc351203643"/>
      <w:r>
        <w:rPr>
          <w:rFonts w:hint="eastAsia" w:cs="宋体"/>
          <w:color w:val="auto"/>
          <w:sz w:val="21"/>
          <w:szCs w:val="21"/>
          <w:highlight w:val="none"/>
        </w:rPr>
        <w:t>11. 价格调整</w:t>
      </w:r>
      <w:bookmarkEnd w:id="443"/>
    </w:p>
    <w:p w14:paraId="15F267A3">
      <w:pPr>
        <w:keepNext/>
        <w:keepLines/>
        <w:snapToGrid w:val="0"/>
        <w:spacing w:before="120" w:after="120" w:line="360" w:lineRule="auto"/>
        <w:ind w:firstLine="420" w:firstLineChars="200"/>
        <w:outlineLvl w:val="3"/>
        <w:rPr>
          <w:rFonts w:cs="宋体"/>
          <w:bCs/>
          <w:color w:val="auto"/>
          <w:sz w:val="21"/>
          <w:szCs w:val="21"/>
          <w:highlight w:val="none"/>
        </w:rPr>
      </w:pPr>
      <w:bookmarkStart w:id="444" w:name="_Toc303539157"/>
      <w:bookmarkStart w:id="445" w:name="_Toc296503201"/>
      <w:bookmarkStart w:id="446" w:name="_Toc297048387"/>
      <w:bookmarkStart w:id="447" w:name="_Toc297123550"/>
      <w:bookmarkStart w:id="448" w:name="_Toc312678039"/>
      <w:bookmarkStart w:id="449" w:name="_Toc304295577"/>
      <w:bookmarkStart w:id="450" w:name="_Toc296891029"/>
      <w:bookmarkStart w:id="451" w:name="_Toc297216209"/>
      <w:bookmarkStart w:id="452" w:name="_Toc296346702"/>
      <w:bookmarkStart w:id="453" w:name="_Toc300935000"/>
      <w:bookmarkStart w:id="454" w:name="_Toc297120501"/>
      <w:bookmarkStart w:id="455" w:name="_Toc296891241"/>
      <w:bookmarkStart w:id="456" w:name="_Toc296944540"/>
      <w:bookmarkStart w:id="457" w:name="_Toc292559406"/>
      <w:bookmarkStart w:id="458" w:name="_Toc292559911"/>
      <w:bookmarkStart w:id="459" w:name="_Toc296347200"/>
      <w:r>
        <w:rPr>
          <w:rFonts w:hint="eastAsia" w:cs="宋体"/>
          <w:bCs/>
          <w:color w:val="auto"/>
          <w:sz w:val="21"/>
          <w:szCs w:val="21"/>
          <w:highlight w:val="none"/>
        </w:rPr>
        <w:t>11.1 市场价格波动引起的调整</w:t>
      </w:r>
    </w:p>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14:paraId="18A6D6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cs="宋体"/>
          <w:color w:val="auto"/>
          <w:sz w:val="21"/>
          <w:szCs w:val="21"/>
          <w:highlight w:val="none"/>
          <w:u w:val="single"/>
          <w:lang w:val="en-US" w:eastAsia="zh-CN"/>
        </w:rPr>
        <w:t>不调整</w:t>
      </w:r>
      <w:r>
        <w:rPr>
          <w:rFonts w:hint="eastAsia" w:cs="宋体"/>
          <w:color w:val="auto"/>
          <w:sz w:val="21"/>
          <w:szCs w:val="21"/>
          <w:highlight w:val="none"/>
        </w:rPr>
        <w:t>。</w:t>
      </w:r>
    </w:p>
    <w:bookmarkEnd w:id="347"/>
    <w:bookmarkEnd w:id="348"/>
    <w:bookmarkEnd w:id="349"/>
    <w:bookmarkEnd w:id="350"/>
    <w:bookmarkEnd w:id="351"/>
    <w:bookmarkEnd w:id="352"/>
    <w:p w14:paraId="31694FE2">
      <w:pPr>
        <w:snapToGrid w:val="0"/>
        <w:spacing w:before="312" w:beforeLines="100" w:after="312" w:afterLines="100" w:line="360" w:lineRule="auto"/>
        <w:outlineLvl w:val="2"/>
        <w:rPr>
          <w:rFonts w:cs="宋体"/>
          <w:color w:val="auto"/>
          <w:sz w:val="21"/>
          <w:szCs w:val="21"/>
          <w:highlight w:val="none"/>
        </w:rPr>
      </w:pPr>
      <w:bookmarkStart w:id="460" w:name="_Toc292559915"/>
      <w:bookmarkStart w:id="461" w:name="_Toc296891033"/>
      <w:bookmarkStart w:id="462" w:name="_Toc296503205"/>
      <w:bookmarkStart w:id="463" w:name="_Toc296347204"/>
      <w:bookmarkStart w:id="464" w:name="_Toc296346706"/>
      <w:bookmarkStart w:id="465" w:name="_Toc297048391"/>
      <w:bookmarkStart w:id="466" w:name="_Toc297120505"/>
      <w:bookmarkStart w:id="467" w:name="_Toc296891245"/>
      <w:bookmarkStart w:id="468" w:name="_Toc296944544"/>
      <w:bookmarkStart w:id="469" w:name="_Toc292559410"/>
      <w:bookmarkStart w:id="470" w:name="_Toc351203644"/>
      <w:bookmarkStart w:id="471" w:name="_Toc303539159"/>
      <w:bookmarkStart w:id="472" w:name="_Toc300935002"/>
      <w:bookmarkStart w:id="473" w:name="_Toc312678040"/>
      <w:bookmarkStart w:id="474" w:name="_Toc297216211"/>
      <w:bookmarkStart w:id="475" w:name="_Toc297123552"/>
      <w:bookmarkStart w:id="476" w:name="_Toc304295579"/>
      <w:r>
        <w:rPr>
          <w:rFonts w:hint="eastAsia" w:cs="宋体"/>
          <w:color w:val="auto"/>
          <w:sz w:val="21"/>
          <w:szCs w:val="21"/>
          <w:highlight w:val="none"/>
        </w:rPr>
        <w:t xml:space="preserve">12. </w:t>
      </w:r>
      <w:bookmarkEnd w:id="460"/>
      <w:bookmarkEnd w:id="461"/>
      <w:bookmarkEnd w:id="462"/>
      <w:bookmarkEnd w:id="463"/>
      <w:bookmarkEnd w:id="464"/>
      <w:bookmarkEnd w:id="465"/>
      <w:bookmarkEnd w:id="466"/>
      <w:bookmarkEnd w:id="467"/>
      <w:bookmarkEnd w:id="468"/>
      <w:bookmarkEnd w:id="469"/>
      <w:r>
        <w:rPr>
          <w:rFonts w:hint="eastAsia" w:cs="宋体"/>
          <w:color w:val="auto"/>
          <w:sz w:val="21"/>
          <w:szCs w:val="21"/>
          <w:highlight w:val="none"/>
        </w:rPr>
        <w:t>合同价格、计量与支付</w:t>
      </w:r>
      <w:bookmarkEnd w:id="470"/>
    </w:p>
    <w:bookmarkEnd w:id="471"/>
    <w:bookmarkEnd w:id="472"/>
    <w:bookmarkEnd w:id="473"/>
    <w:bookmarkEnd w:id="474"/>
    <w:bookmarkEnd w:id="475"/>
    <w:bookmarkEnd w:id="476"/>
    <w:p w14:paraId="26629185">
      <w:pPr>
        <w:keepNext/>
        <w:keepLines/>
        <w:snapToGrid w:val="0"/>
        <w:spacing w:before="120" w:after="120" w:line="360" w:lineRule="auto"/>
        <w:ind w:firstLine="420" w:firstLineChars="200"/>
        <w:outlineLvl w:val="3"/>
        <w:rPr>
          <w:rFonts w:cs="宋体"/>
          <w:bCs/>
          <w:color w:val="auto"/>
          <w:sz w:val="21"/>
          <w:szCs w:val="21"/>
          <w:highlight w:val="none"/>
        </w:rPr>
      </w:pPr>
      <w:bookmarkStart w:id="477" w:name="_Toc292559411"/>
      <w:bookmarkStart w:id="478" w:name="_Toc292559916"/>
      <w:bookmarkStart w:id="479" w:name="_Toc267251461"/>
      <w:bookmarkStart w:id="480" w:name="_Toc296347205"/>
      <w:bookmarkStart w:id="481" w:name="_Toc297120506"/>
      <w:bookmarkStart w:id="482" w:name="_Toc296346707"/>
      <w:bookmarkStart w:id="483" w:name="_Toc297048392"/>
      <w:bookmarkStart w:id="484" w:name="_Toc296503206"/>
      <w:bookmarkStart w:id="485" w:name="_Toc296944545"/>
      <w:bookmarkStart w:id="486" w:name="_Toc296891246"/>
      <w:bookmarkStart w:id="487" w:name="_Toc296891034"/>
      <w:bookmarkStart w:id="488" w:name="_Toc312678041"/>
      <w:bookmarkStart w:id="489" w:name="_Toc297123553"/>
      <w:bookmarkStart w:id="490" w:name="_Toc304295580"/>
      <w:bookmarkStart w:id="491" w:name="_Toc300935003"/>
      <w:bookmarkStart w:id="492" w:name="_Toc303539160"/>
      <w:bookmarkStart w:id="493" w:name="_Toc297216212"/>
      <w:r>
        <w:rPr>
          <w:rFonts w:hint="eastAsia" w:cs="宋体"/>
          <w:bCs/>
          <w:color w:val="auto"/>
          <w:sz w:val="21"/>
          <w:szCs w:val="21"/>
          <w:highlight w:val="none"/>
        </w:rPr>
        <w:t>12.1 合</w:t>
      </w:r>
      <w:bookmarkEnd w:id="477"/>
      <w:bookmarkEnd w:id="478"/>
      <w:bookmarkEnd w:id="479"/>
      <w:r>
        <w:rPr>
          <w:rFonts w:hint="eastAsia" w:cs="宋体"/>
          <w:bCs/>
          <w:color w:val="auto"/>
          <w:sz w:val="21"/>
          <w:szCs w:val="21"/>
          <w:highlight w:val="none"/>
        </w:rPr>
        <w:t>同价</w:t>
      </w:r>
      <w:bookmarkEnd w:id="480"/>
      <w:bookmarkEnd w:id="481"/>
      <w:bookmarkEnd w:id="482"/>
      <w:bookmarkEnd w:id="483"/>
      <w:bookmarkEnd w:id="484"/>
      <w:bookmarkEnd w:id="485"/>
      <w:bookmarkEnd w:id="486"/>
      <w:bookmarkEnd w:id="487"/>
      <w:r>
        <w:rPr>
          <w:rFonts w:hint="eastAsia" w:cs="宋体"/>
          <w:bCs/>
          <w:color w:val="auto"/>
          <w:sz w:val="21"/>
          <w:szCs w:val="21"/>
          <w:highlight w:val="none"/>
        </w:rPr>
        <w:t>格形式</w:t>
      </w:r>
    </w:p>
    <w:bookmarkEnd w:id="488"/>
    <w:bookmarkEnd w:id="489"/>
    <w:bookmarkEnd w:id="490"/>
    <w:bookmarkEnd w:id="491"/>
    <w:bookmarkEnd w:id="492"/>
    <w:bookmarkEnd w:id="493"/>
    <w:p w14:paraId="5C4AD7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7139ED1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292562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07025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551B7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5AD41C81">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21D88F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18FEC6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5600F1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8F5CCB4">
      <w:pPr>
        <w:keepNext/>
        <w:keepLines/>
        <w:snapToGrid w:val="0"/>
        <w:spacing w:before="120" w:after="120" w:line="360" w:lineRule="auto"/>
        <w:ind w:firstLine="420" w:firstLineChars="200"/>
        <w:outlineLvl w:val="3"/>
        <w:rPr>
          <w:rFonts w:cs="宋体"/>
          <w:bCs/>
          <w:color w:val="auto"/>
          <w:sz w:val="21"/>
          <w:szCs w:val="21"/>
          <w:highlight w:val="none"/>
        </w:rPr>
      </w:pPr>
      <w:bookmarkStart w:id="494" w:name="_Toc303539161"/>
      <w:bookmarkStart w:id="495" w:name="_Toc297123554"/>
      <w:bookmarkStart w:id="496" w:name="_Toc300935004"/>
      <w:bookmarkStart w:id="497" w:name="_Toc297216213"/>
      <w:bookmarkStart w:id="498" w:name="_Toc312678042"/>
      <w:bookmarkStart w:id="499" w:name="_Toc304295581"/>
      <w:bookmarkStart w:id="500" w:name="_Toc297048393"/>
      <w:bookmarkStart w:id="501" w:name="_Toc296891035"/>
      <w:bookmarkStart w:id="502" w:name="_Toc296944546"/>
      <w:bookmarkStart w:id="503" w:name="_Toc297120507"/>
      <w:bookmarkStart w:id="504" w:name="_Toc296347206"/>
      <w:bookmarkStart w:id="505" w:name="_Toc296503207"/>
      <w:bookmarkStart w:id="506" w:name="_Toc296346708"/>
      <w:bookmarkStart w:id="507" w:name="_Toc292559412"/>
      <w:bookmarkStart w:id="508" w:name="_Toc296891247"/>
      <w:bookmarkStart w:id="509" w:name="_Toc292559917"/>
      <w:r>
        <w:rPr>
          <w:rFonts w:hint="eastAsia" w:cs="宋体"/>
          <w:bCs/>
          <w:color w:val="auto"/>
          <w:sz w:val="21"/>
          <w:szCs w:val="21"/>
          <w:highlight w:val="none"/>
        </w:rPr>
        <w:t>12.2 预付款</w:t>
      </w:r>
    </w:p>
    <w:bookmarkEnd w:id="494"/>
    <w:bookmarkEnd w:id="495"/>
    <w:bookmarkEnd w:id="496"/>
    <w:bookmarkEnd w:id="497"/>
    <w:bookmarkEnd w:id="498"/>
    <w:bookmarkEnd w:id="499"/>
    <w:p w14:paraId="58460B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0CC44E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7B2F7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03D232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1528EF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12801C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A3FC2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500"/>
    <w:bookmarkEnd w:id="501"/>
    <w:bookmarkEnd w:id="502"/>
    <w:bookmarkEnd w:id="503"/>
    <w:bookmarkEnd w:id="504"/>
    <w:bookmarkEnd w:id="505"/>
    <w:bookmarkEnd w:id="506"/>
    <w:bookmarkEnd w:id="507"/>
    <w:bookmarkEnd w:id="508"/>
    <w:bookmarkEnd w:id="509"/>
    <w:p w14:paraId="1718BE0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242325E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12.3.1 计量原则</w:t>
      </w:r>
    </w:p>
    <w:p w14:paraId="2A61878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工程量计算规则：</w:t>
      </w:r>
      <w:r>
        <w:rPr>
          <w:rFonts w:hint="eastAsia" w:cs="宋体"/>
          <w:color w:val="auto"/>
          <w:sz w:val="21"/>
          <w:szCs w:val="21"/>
          <w:highlight w:val="none"/>
          <w:u w:val="single"/>
        </w:rPr>
        <w:t>按招标工程量清单及最高投标限价所采用的工程量清单计价规范及配套文件等</w:t>
      </w:r>
      <w:r>
        <w:rPr>
          <w:rFonts w:hint="eastAsia" w:cs="宋体"/>
          <w:b/>
          <w:color w:val="auto"/>
          <w:sz w:val="21"/>
          <w:szCs w:val="21"/>
          <w:highlight w:val="none"/>
        </w:rPr>
        <w:t>。</w:t>
      </w:r>
    </w:p>
    <w:p w14:paraId="527C1F0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12.3.2 计量周期</w:t>
      </w:r>
    </w:p>
    <w:p w14:paraId="761B5AA0">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关于计量周期的约定</w:t>
      </w:r>
      <w:r>
        <w:rPr>
          <w:rFonts w:hint="eastAsia" w:cs="宋体"/>
          <w:b/>
          <w:color w:val="auto"/>
          <w:sz w:val="21"/>
          <w:szCs w:val="21"/>
          <w:highlight w:val="none"/>
        </w:rPr>
        <w:t>：</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 xml:space="preserve">  按月计量  </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1AA176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12.3.3 单价合同的计量</w:t>
      </w:r>
    </w:p>
    <w:p w14:paraId="5F997947">
      <w:pPr>
        <w:snapToGrid w:val="0"/>
        <w:spacing w:line="440" w:lineRule="exact"/>
        <w:ind w:firstLine="420" w:firstLineChars="200"/>
        <w:jc w:val="left"/>
        <w:rPr>
          <w:rFonts w:hint="eastAsia" w:ascii="宋体" w:cs="宋体"/>
          <w:color w:val="auto"/>
          <w:sz w:val="21"/>
          <w:szCs w:val="21"/>
          <w:highlight w:val="none"/>
          <w:shd w:val="clear" w:color="auto" w:fill="auto"/>
        </w:rPr>
      </w:pPr>
      <w:r>
        <w:rPr>
          <w:rFonts w:hint="eastAsia" w:cs="宋体"/>
          <w:color w:val="auto"/>
          <w:sz w:val="21"/>
          <w:szCs w:val="21"/>
          <w:highlight w:val="none"/>
        </w:rPr>
        <w:t>关于单价合同计量的约定：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ascii="宋体" w:cs="宋体"/>
          <w:color w:val="auto"/>
          <w:sz w:val="21"/>
          <w:szCs w:val="21"/>
          <w:highlight w:val="none"/>
          <w:u w:val="single"/>
          <w:shd w:val="clear" w:color="auto" w:fill="auto"/>
        </w:rPr>
        <w:t xml:space="preserve"> （1）承包人应在施工期间每月底向工程师提交当月已合格完成的 核对合同价(未按照专用合同条款 12.1 完成核对的，为签约合同价，下同)内已完成工程量验工月报表，已完成工程量报表和有关资料。</w:t>
      </w:r>
      <w:r>
        <w:rPr>
          <w:rFonts w:hint="eastAsia" w:ascii="宋体" w:cs="宋体"/>
          <w:color w:val="auto"/>
          <w:sz w:val="21"/>
          <w:szCs w:val="21"/>
          <w:highlight w:val="none"/>
          <w:shd w:val="clear" w:color="auto" w:fill="auto"/>
        </w:rPr>
        <w:t xml:space="preserve">  </w:t>
      </w:r>
    </w:p>
    <w:p w14:paraId="71EE1D4C">
      <w:pPr>
        <w:snapToGrid w:val="0"/>
        <w:spacing w:line="440" w:lineRule="exact"/>
        <w:ind w:firstLine="420" w:firstLineChars="200"/>
        <w:jc w:val="left"/>
        <w:rPr>
          <w:rFonts w:hint="eastAsia" w:ascii="宋体" w:cs="宋体"/>
          <w:color w:val="auto"/>
          <w:sz w:val="21"/>
          <w:szCs w:val="21"/>
          <w:highlight w:val="none"/>
          <w:u w:val="single"/>
          <w:shd w:val="clear" w:color="auto" w:fill="auto"/>
        </w:rPr>
      </w:pPr>
      <w:r>
        <w:rPr>
          <w:rFonts w:hint="eastAsia" w:ascii="宋体" w:cs="宋体"/>
          <w:color w:val="auto"/>
          <w:sz w:val="21"/>
          <w:szCs w:val="21"/>
          <w:highlight w:val="none"/>
          <w:u w:val="single"/>
          <w:shd w:val="clear" w:color="auto" w:fill="auto"/>
        </w:rPr>
        <w:t xml:space="preserve">（2）监理人及跟踪审计单位应在收到承包人提交的工程量报告后 7 天内完成对承包人提交的 工程量报表的审核并报送发包人， 以确定当月实际完成的工程量。监理人或跟踪审计单位对工程量 有异议的，有权要求承包人进行共同复核或抽样复测。承包人应协助监理人或跟踪审计单位进行复 核或抽样复测，并按监理人或跟踪审计单位要求提供补充计量资料。承包人未按监理人或跟踪审计 单位要求参加复核或抽样复测的， 监理人或跟踪审计单位复核或修正的工程量视为承包人实际完成的工程量。 </w:t>
      </w:r>
    </w:p>
    <w:p w14:paraId="17AAD2F2">
      <w:pPr>
        <w:snapToGrid w:val="0"/>
        <w:spacing w:line="440" w:lineRule="exact"/>
        <w:ind w:firstLine="420" w:firstLineChars="200"/>
        <w:jc w:val="left"/>
        <w:rPr>
          <w:rFonts w:cs="宋体"/>
          <w:color w:val="auto"/>
          <w:sz w:val="21"/>
          <w:szCs w:val="21"/>
          <w:highlight w:val="none"/>
        </w:rPr>
      </w:pPr>
      <w:r>
        <w:rPr>
          <w:rFonts w:hint="eastAsia" w:ascii="宋体" w:cs="宋体"/>
          <w:color w:val="auto"/>
          <w:sz w:val="21"/>
          <w:szCs w:val="21"/>
          <w:highlight w:val="none"/>
          <w:u w:val="single"/>
          <w:shd w:val="clear" w:color="auto" w:fill="auto"/>
        </w:rPr>
        <w:t>（3）对承包人超出设计图纸范围和因承包人原因造成返工的工程量，工程师不予计量。承包  人提交的计量报告未经监理人、跟踪审计单位及发包人确认， 不作为工程价款支付的依据。承包人 不按约定时间通知监理人、工程师及跟踪审计单位，致使相关人员未能参加计量，计量结果无效。 如施工图上无法清楚反映或无法准确计算工程量的项目， 必须在隐蔽前由监理人及跟踪审计单位现场计量，保存相关计量文档（包括照片、签字等）。</w:t>
      </w:r>
      <w:r>
        <w:rPr>
          <w:rFonts w:hint="eastAsia" w:ascii="宋体" w:cs="宋体"/>
          <w:color w:val="auto"/>
          <w:sz w:val="21"/>
          <w:szCs w:val="21"/>
          <w:highlight w:val="none"/>
          <w:shd w:val="clear" w:color="auto" w:fill="auto"/>
        </w:rPr>
        <w:t xml:space="preserve">  </w:t>
      </w:r>
    </w:p>
    <w:p w14:paraId="7AFE95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12.3.4 总价合同的计量</w:t>
      </w:r>
    </w:p>
    <w:p w14:paraId="0B43B1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关于总价合同计量的约定：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13F54B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12.3.5 总价合同采用支付分解表计量支付的，是否适用第12.3.4项〔总价合同的计量〕约定进行计量：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0FEE18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12.3.6 其他价格形式合同的计量</w:t>
      </w:r>
    </w:p>
    <w:p w14:paraId="4A607DE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其他价格形式的计量方式和程序：</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88BD1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6E5CB200">
      <w:pPr>
        <w:adjustRightInd w:val="0"/>
        <w:snapToGrid w:val="0"/>
        <w:spacing w:line="360" w:lineRule="auto"/>
        <w:ind w:firstLine="420" w:firstLineChars="200"/>
        <w:rPr>
          <w:rFonts w:cs="宋体"/>
          <w:color w:val="auto"/>
          <w:sz w:val="21"/>
          <w:szCs w:val="21"/>
          <w:highlight w:val="none"/>
        </w:rPr>
      </w:pPr>
      <w:bookmarkStart w:id="510" w:name="_Toc292559921"/>
      <w:bookmarkStart w:id="511" w:name="_Toc296346712"/>
      <w:bookmarkStart w:id="512" w:name="_Toc297120511"/>
      <w:bookmarkStart w:id="513" w:name="_Toc296891039"/>
      <w:bookmarkStart w:id="514" w:name="_Toc300935006"/>
      <w:bookmarkStart w:id="515" w:name="_Toc296503211"/>
      <w:bookmarkStart w:id="516" w:name="_Toc296347210"/>
      <w:bookmarkStart w:id="517" w:name="_Toc292559416"/>
      <w:bookmarkStart w:id="518" w:name="_Toc296891251"/>
      <w:bookmarkStart w:id="519" w:name="_Toc297048397"/>
      <w:bookmarkStart w:id="520" w:name="_Toc297216215"/>
      <w:bookmarkStart w:id="521" w:name="_Toc303539163"/>
      <w:bookmarkStart w:id="522" w:name="_Toc296944550"/>
      <w:bookmarkStart w:id="523" w:name="_Toc297123556"/>
      <w:r>
        <w:rPr>
          <w:rFonts w:hint="eastAsia" w:cs="宋体"/>
          <w:color w:val="auto"/>
          <w:sz w:val="21"/>
          <w:szCs w:val="21"/>
          <w:highlight w:val="none"/>
        </w:rPr>
        <w:t>12.4.1 付款周期</w:t>
      </w:r>
    </w:p>
    <w:p w14:paraId="298DB91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关于付款周期的约定：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3D2BC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12.4.2 进度付款申请单的编制</w:t>
      </w:r>
    </w:p>
    <w:p w14:paraId="48CB45D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关于进度付款申请单编制的约定：</w:t>
      </w:r>
      <w:r>
        <w:rPr>
          <w:rFonts w:hint="eastAsia" w:cs="宋体"/>
          <w:color w:val="auto"/>
          <w:sz w:val="21"/>
          <w:szCs w:val="21"/>
          <w:highlight w:val="none"/>
          <w:u w:val="single"/>
        </w:rPr>
        <w:t xml:space="preserve"> </w:t>
      </w:r>
      <w:r>
        <w:rPr>
          <w:color w:val="auto"/>
          <w:spacing w:val="-7"/>
          <w:sz w:val="21"/>
          <w:szCs w:val="21"/>
          <w:highlight w:val="none"/>
          <w:u w:val="single" w:color="auto"/>
        </w:rPr>
        <w:t>按监理要求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0F37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rFonts w:hint="eastAsia" w:cs="宋体"/>
          <w:color w:val="auto"/>
          <w:sz w:val="21"/>
          <w:szCs w:val="21"/>
          <w:highlight w:val="none"/>
        </w:rPr>
        <w:t>2.4.3 进度付款申请单的提交</w:t>
      </w:r>
    </w:p>
    <w:p w14:paraId="674EE74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（1）单价合同进度付款申请单提交的约定：</w:t>
      </w:r>
      <w:r>
        <w:rPr>
          <w:rFonts w:hint="eastAsia" w:cs="宋体"/>
          <w:color w:val="auto"/>
          <w:sz w:val="21"/>
          <w:szCs w:val="21"/>
          <w:highlight w:val="none"/>
          <w:u w:val="single"/>
        </w:rPr>
        <w:t xml:space="preserve">  </w:t>
      </w:r>
      <w:r>
        <w:rPr>
          <w:color w:val="auto"/>
          <w:spacing w:val="-7"/>
          <w:sz w:val="21"/>
          <w:szCs w:val="21"/>
          <w:highlight w:val="none"/>
          <w:u w:val="single" w:color="auto"/>
        </w:rPr>
        <w:t>按监理要求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E5195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（2）总价合同进度付款申请单提交的约定：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8CC329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（3）其他价格形式合同进度付款申请单提交的约定：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576583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12.4.4 进度款审核和支付</w:t>
      </w:r>
    </w:p>
    <w:p w14:paraId="2665448C">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（1）监理人审查并报送发包人的期限：</w:t>
      </w:r>
      <w:r>
        <w:rPr>
          <w:rFonts w:hint="eastAsia" w:cs="宋体"/>
          <w:color w:val="auto"/>
          <w:sz w:val="21"/>
          <w:szCs w:val="21"/>
          <w:highlight w:val="none"/>
          <w:u w:val="single"/>
        </w:rPr>
        <w:t xml:space="preserve"> </w:t>
      </w:r>
      <w:r>
        <w:rPr>
          <w:color w:val="auto"/>
          <w:spacing w:val="-5"/>
          <w:sz w:val="21"/>
          <w:szCs w:val="21"/>
          <w:highlight w:val="none"/>
          <w:u w:val="single" w:color="auto"/>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F83BDCB">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发包人完成审批并签发进度款支付证书的期限：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9A6431">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（2）发包人支付进度款的期限：</w:t>
      </w:r>
      <w:r>
        <w:rPr>
          <w:rFonts w:hint="eastAsia" w:cs="宋体"/>
          <w:color w:val="auto"/>
          <w:sz w:val="21"/>
          <w:szCs w:val="21"/>
          <w:highlight w:val="none"/>
          <w:u w:val="single"/>
        </w:rPr>
        <w:t xml:space="preserve"> 发包人批准且发票送达一周内完成支付  </w:t>
      </w:r>
      <w:r>
        <w:rPr>
          <w:rFonts w:hint="eastAsia" w:cs="宋体"/>
          <w:color w:val="auto"/>
          <w:sz w:val="21"/>
          <w:szCs w:val="21"/>
          <w:highlight w:val="none"/>
        </w:rPr>
        <w:t>。</w:t>
      </w:r>
    </w:p>
    <w:p w14:paraId="2FA2F68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发包人逾期支付进度款的违约金的计算方式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C7A8E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12.4.6 支付分解表的编制</w:t>
      </w:r>
    </w:p>
    <w:p w14:paraId="1ED8877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（2）总价合同支付分解表的编制与审批：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28D71D0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（3）单价合同的总价项目支付分解表的编制与审批：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1CE5F2C">
      <w:pPr>
        <w:adjustRightInd w:val="0"/>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12.4.7 农民工工资管理</w:t>
      </w:r>
    </w:p>
    <w:p w14:paraId="625010EB">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（1）</w:t>
      </w:r>
      <w:r>
        <w:rPr>
          <w:rFonts w:hint="eastAsia" w:cs="宋体"/>
          <w:bCs/>
          <w:color w:val="auto"/>
          <w:sz w:val="21"/>
          <w:szCs w:val="21"/>
          <w:highlight w:val="none"/>
        </w:rPr>
        <w:t>本工程农民工工资实行专用账户管理，承包人设立的专用账户开户行为</w:t>
      </w:r>
      <w:r>
        <w:rPr>
          <w:rFonts w:hint="eastAsia" w:cs="宋体"/>
          <w:bCs/>
          <w:color w:val="auto"/>
          <w:sz w:val="21"/>
          <w:szCs w:val="21"/>
          <w:highlight w:val="none"/>
          <w:u w:val="single"/>
        </w:rPr>
        <w:t xml:space="preserve">：        </w:t>
      </w:r>
      <w:r>
        <w:rPr>
          <w:rFonts w:hint="eastAsia" w:cs="宋体"/>
          <w:bCs/>
          <w:color w:val="auto"/>
          <w:sz w:val="21"/>
          <w:szCs w:val="21"/>
          <w:highlight w:val="none"/>
        </w:rPr>
        <w:t>，账号：</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2E6D9713">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（2）</w:t>
      </w:r>
      <w:r>
        <w:rPr>
          <w:rFonts w:hint="eastAsia" w:cs="宋体"/>
          <w:bCs/>
          <w:color w:val="auto"/>
          <w:sz w:val="21"/>
          <w:szCs w:val="21"/>
          <w:highlight w:val="none"/>
        </w:rPr>
        <w:t>本工程工资性工程款</w:t>
      </w:r>
      <w:r>
        <w:rPr>
          <w:rFonts w:hint="eastAsia" w:cs="宋体"/>
          <w:bCs/>
          <w:color w:val="auto"/>
          <w:sz w:val="21"/>
          <w:szCs w:val="21"/>
          <w:highlight w:val="none"/>
          <w:u w:val="single"/>
        </w:rPr>
        <w:t xml:space="preserve">         </w:t>
      </w:r>
      <w:r>
        <w:rPr>
          <w:rFonts w:hint="eastAsia" w:cs="宋体"/>
          <w:bCs/>
          <w:color w:val="auto"/>
          <w:sz w:val="21"/>
          <w:szCs w:val="21"/>
          <w:highlight w:val="none"/>
        </w:rPr>
        <w:t>元。</w:t>
      </w:r>
    </w:p>
    <w:p w14:paraId="02432E36">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（3）</w:t>
      </w:r>
      <w:r>
        <w:rPr>
          <w:rFonts w:hint="eastAsia" w:cs="宋体"/>
          <w:bCs/>
          <w:color w:val="auto"/>
          <w:sz w:val="21"/>
          <w:szCs w:val="21"/>
          <w:highlight w:val="none"/>
        </w:rPr>
        <w:t>发包人于每月25日前将工资性工程进度款转入农民工工资专用账户。</w:t>
      </w:r>
    </w:p>
    <w:p w14:paraId="31310DC2">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（4）</w:t>
      </w:r>
      <w:r>
        <w:rPr>
          <w:rFonts w:hint="eastAsia" w:cs="宋体"/>
          <w:bCs/>
          <w:color w:val="auto"/>
          <w:sz w:val="21"/>
          <w:szCs w:val="21"/>
          <w:highlight w:val="none"/>
        </w:rPr>
        <w:t>承包人每月25日前上报本工程农民工工资清单，每月10日前委托开设农民工工资专用账户的银行支付农民工工资。</w:t>
      </w:r>
    </w:p>
    <w:p w14:paraId="232D6CA6">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（5）</w:t>
      </w:r>
      <w:r>
        <w:rPr>
          <w:rFonts w:hint="eastAsia" w:cs="宋体"/>
          <w:bCs/>
          <w:color w:val="auto"/>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53"/>
    <w:p w14:paraId="738EF25C">
      <w:pPr>
        <w:snapToGrid w:val="0"/>
        <w:spacing w:before="312" w:beforeLines="100" w:after="312" w:afterLines="100" w:line="360" w:lineRule="auto"/>
        <w:outlineLvl w:val="2"/>
        <w:rPr>
          <w:rFonts w:cs="宋体"/>
          <w:color w:val="auto"/>
          <w:sz w:val="21"/>
          <w:szCs w:val="21"/>
          <w:highlight w:val="none"/>
        </w:rPr>
      </w:pPr>
      <w:bookmarkStart w:id="524" w:name="_Toc351203645"/>
      <w:bookmarkStart w:id="525" w:name="_Toc303539172"/>
      <w:bookmarkStart w:id="526" w:name="_Toc292559424"/>
      <w:bookmarkStart w:id="527" w:name="_Toc304295593"/>
      <w:bookmarkStart w:id="528" w:name="_Toc300935015"/>
      <w:bookmarkStart w:id="529" w:name="_Toc297048405"/>
      <w:bookmarkStart w:id="530" w:name="_Toc297120519"/>
      <w:bookmarkStart w:id="531" w:name="_Toc292559929"/>
      <w:bookmarkStart w:id="532" w:name="_Toc296346720"/>
      <w:bookmarkStart w:id="533" w:name="_Toc296891047"/>
      <w:bookmarkStart w:id="534" w:name="_Toc296944558"/>
      <w:bookmarkStart w:id="535" w:name="_Toc296503219"/>
      <w:bookmarkStart w:id="536" w:name="_Toc297216223"/>
      <w:bookmarkStart w:id="537" w:name="_Toc296347218"/>
      <w:bookmarkStart w:id="538" w:name="_Toc297123564"/>
      <w:bookmarkStart w:id="539" w:name="_Toc296891259"/>
      <w:bookmarkStart w:id="540" w:name="_Toc312678053"/>
      <w:r>
        <w:rPr>
          <w:rFonts w:hint="eastAsia" w:cs="宋体"/>
          <w:color w:val="auto"/>
          <w:sz w:val="21"/>
          <w:szCs w:val="21"/>
          <w:highlight w:val="none"/>
        </w:rPr>
        <w:t>13. 验收和工程试车</w:t>
      </w:r>
      <w:bookmarkEnd w:id="524"/>
    </w:p>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14:paraId="728E331C">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0C6DFB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02462F9B">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4C9DC327">
      <w:pPr>
        <w:keepNext/>
        <w:keepLines/>
        <w:snapToGrid w:val="0"/>
        <w:spacing w:before="120" w:after="120" w:line="360" w:lineRule="auto"/>
        <w:ind w:firstLine="420" w:firstLineChars="200"/>
        <w:outlineLvl w:val="3"/>
        <w:rPr>
          <w:rFonts w:cs="宋体"/>
          <w:bCs/>
          <w:color w:val="auto"/>
          <w:sz w:val="21"/>
          <w:szCs w:val="21"/>
          <w:highlight w:val="none"/>
        </w:rPr>
      </w:pPr>
      <w:bookmarkStart w:id="541" w:name="_Toc296891263"/>
      <w:bookmarkStart w:id="542" w:name="_Toc296346724"/>
      <w:bookmarkStart w:id="543" w:name="_Toc296944562"/>
      <w:bookmarkStart w:id="544" w:name="_Toc297216224"/>
      <w:bookmarkStart w:id="545" w:name="_Toc296347222"/>
      <w:bookmarkStart w:id="546" w:name="_Toc292559933"/>
      <w:bookmarkStart w:id="547" w:name="_Toc297048409"/>
      <w:bookmarkStart w:id="548" w:name="_Toc296503223"/>
      <w:bookmarkStart w:id="549" w:name="_Toc297120523"/>
      <w:bookmarkStart w:id="550" w:name="_Toc304295596"/>
      <w:bookmarkStart w:id="551" w:name="_Toc312678056"/>
      <w:bookmarkStart w:id="552" w:name="_Toc296891051"/>
      <w:bookmarkStart w:id="553" w:name="_Toc297123565"/>
      <w:bookmarkStart w:id="554" w:name="_Toc292559428"/>
      <w:bookmarkStart w:id="555" w:name="_Toc303539173"/>
      <w:bookmarkStart w:id="556" w:name="_Toc300935016"/>
      <w:bookmarkStart w:id="557" w:name="_Toc267251475"/>
      <w:bookmarkStart w:id="558" w:name="_Toc267251472"/>
      <w:bookmarkStart w:id="559" w:name="_Toc267251476"/>
      <w:bookmarkStart w:id="560" w:name="_Toc267251471"/>
      <w:bookmarkStart w:id="561" w:name="_Toc267251470"/>
      <w:bookmarkStart w:id="562" w:name="_Toc267251473"/>
      <w:bookmarkStart w:id="563" w:name="_Toc267251474"/>
      <w:r>
        <w:rPr>
          <w:rFonts w:hint="eastAsia" w:cs="宋体"/>
          <w:bCs/>
          <w:color w:val="auto"/>
          <w:sz w:val="21"/>
          <w:szCs w:val="21"/>
          <w:highlight w:val="none"/>
        </w:rPr>
        <w:t>13.2 竣工验收</w:t>
      </w:r>
    </w:p>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14:paraId="2AEF9AE5">
      <w:pPr>
        <w:adjustRightInd w:val="0"/>
        <w:snapToGrid w:val="0"/>
        <w:spacing w:line="360" w:lineRule="auto"/>
        <w:ind w:firstLine="420" w:firstLineChars="200"/>
        <w:rPr>
          <w:rFonts w:cs="宋体"/>
          <w:color w:val="auto"/>
          <w:sz w:val="21"/>
          <w:szCs w:val="21"/>
          <w:highlight w:val="none"/>
        </w:rPr>
      </w:pPr>
      <w:bookmarkStart w:id="564" w:name="_Toc280868704"/>
      <w:bookmarkStart w:id="565" w:name="_Toc280868705"/>
      <w:bookmarkStart w:id="566" w:name="_Toc280868706"/>
      <w:bookmarkStart w:id="567" w:name="_Toc280868707"/>
      <w:bookmarkStart w:id="568" w:name="_Toc280868708"/>
      <w:bookmarkStart w:id="569" w:name="_Toc280868709"/>
      <w:r>
        <w:rPr>
          <w:rFonts w:hint="eastAsia" w:cs="宋体"/>
          <w:color w:val="auto"/>
          <w:sz w:val="21"/>
          <w:szCs w:val="21"/>
          <w:highlight w:val="none"/>
        </w:rPr>
        <w:t>13.2.2 竣工验收程序</w:t>
      </w:r>
    </w:p>
    <w:bookmarkEnd w:id="564"/>
    <w:p w14:paraId="70BF546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60EFDB7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5"/>
    <w:p w14:paraId="30F0A5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66"/>
    <w:p w14:paraId="735BFDB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5300DBA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67"/>
    <w:p w14:paraId="5C36D8E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7467303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68"/>
    <w:p w14:paraId="14FA08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77BAD51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 xml:space="preserve"> </w:t>
      </w:r>
      <w:r>
        <w:rPr>
          <w:color w:val="auto"/>
          <w:spacing w:val="-10"/>
          <w:sz w:val="21"/>
          <w:szCs w:val="21"/>
          <w:highlight w:val="none"/>
          <w:u w:val="single" w:color="auto"/>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5AE9D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4213B4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2AC5D0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5EAFBCF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4AA9517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0E2715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2461F01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工程竣工合格后，7天内退场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A72247E">
      <w:pPr>
        <w:snapToGrid w:val="0"/>
        <w:spacing w:before="312" w:beforeLines="100" w:after="312" w:afterLines="100" w:line="360" w:lineRule="auto"/>
        <w:outlineLvl w:val="2"/>
        <w:rPr>
          <w:rFonts w:cs="宋体"/>
          <w:color w:val="auto"/>
          <w:sz w:val="21"/>
          <w:szCs w:val="21"/>
          <w:highlight w:val="none"/>
        </w:rPr>
      </w:pPr>
      <w:bookmarkStart w:id="570" w:name="_Toc351203646"/>
      <w:r>
        <w:rPr>
          <w:rFonts w:hint="eastAsia" w:cs="宋体"/>
          <w:color w:val="auto"/>
          <w:sz w:val="21"/>
          <w:szCs w:val="21"/>
          <w:highlight w:val="none"/>
        </w:rPr>
        <w:t>14. 竣工结算</w:t>
      </w:r>
      <w:bookmarkEnd w:id="570"/>
    </w:p>
    <w:p w14:paraId="06CC742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2F6C7C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30AF58D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1F19830">
      <w:pPr>
        <w:keepNext/>
        <w:keepLines/>
        <w:pageBreakBefore w:val="0"/>
        <w:kinsoku/>
        <w:wordWrap/>
        <w:overflowPunct/>
        <w:topLinePunct w:val="0"/>
        <w:bidi w:val="0"/>
        <w:snapToGrid w:val="0"/>
        <w:spacing w:line="400" w:lineRule="exact"/>
        <w:ind w:left="0" w:leftChars="0" w:right="0" w:rightChars="0"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14.2 竣工结算审核</w:t>
      </w:r>
    </w:p>
    <w:p w14:paraId="4C141C7B">
      <w:pPr>
        <w:pageBreakBefore w:val="0"/>
        <w:kinsoku/>
        <w:wordWrap/>
        <w:overflowPunct/>
        <w:topLinePunct w:val="0"/>
        <w:bidi w:val="0"/>
        <w:adjustRightInd w:val="0"/>
        <w:snapToGrid w:val="0"/>
        <w:spacing w:line="400" w:lineRule="exact"/>
        <w:ind w:left="0" w:leftChars="0" w:right="0" w:rightChars="0" w:firstLine="420" w:firstLineChars="200"/>
        <w:textAlignment w:val="auto"/>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ascii="宋体" w:cs="宋体"/>
          <w:color w:val="auto"/>
          <w:sz w:val="21"/>
          <w:szCs w:val="21"/>
          <w:highlight w:val="none"/>
          <w:u w:val="single"/>
          <w:shd w:val="clear" w:color="auto" w:fill="auto"/>
        </w:rPr>
        <w:t>相关部门审核通过后7天内完成审批并签发结算款支付证书</w:t>
      </w:r>
      <w:r>
        <w:rPr>
          <w:rFonts w:hint="eastAsia" w:cs="宋体"/>
          <w:color w:val="auto"/>
          <w:sz w:val="21"/>
          <w:szCs w:val="21"/>
          <w:highlight w:val="none"/>
        </w:rPr>
        <w:t>。</w:t>
      </w:r>
    </w:p>
    <w:p w14:paraId="5E17C815">
      <w:pPr>
        <w:pageBreakBefore w:val="0"/>
        <w:kinsoku/>
        <w:wordWrap/>
        <w:overflowPunct/>
        <w:topLinePunct w:val="0"/>
        <w:bidi w:val="0"/>
        <w:adjustRightInd w:val="0"/>
        <w:snapToGrid w:val="0"/>
        <w:spacing w:line="400" w:lineRule="exact"/>
        <w:ind w:left="0" w:leftChars="0" w:right="0" w:rightChars="0" w:firstLine="420" w:firstLineChars="200"/>
        <w:textAlignment w:val="auto"/>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ascii="宋体" w:cs="宋体"/>
          <w:color w:val="auto"/>
          <w:sz w:val="21"/>
          <w:szCs w:val="21"/>
          <w:highlight w:val="none"/>
          <w:u w:val="single"/>
          <w:shd w:val="clear" w:color="auto" w:fill="auto"/>
        </w:rPr>
        <w:t>发包人批准且发票送达一周内完成支付</w:t>
      </w:r>
      <w:r>
        <w:rPr>
          <w:rFonts w:hint="eastAsia" w:cs="宋体"/>
          <w:color w:val="auto"/>
          <w:sz w:val="21"/>
          <w:szCs w:val="21"/>
          <w:highlight w:val="none"/>
        </w:rPr>
        <w:t>。</w:t>
      </w:r>
    </w:p>
    <w:p w14:paraId="4D219F1C">
      <w:pPr>
        <w:pageBreakBefore w:val="0"/>
        <w:kinsoku/>
        <w:wordWrap/>
        <w:overflowPunct/>
        <w:topLinePunct w:val="0"/>
        <w:bidi w:val="0"/>
        <w:adjustRightInd w:val="0"/>
        <w:snapToGrid w:val="0"/>
        <w:spacing w:line="400" w:lineRule="exact"/>
        <w:ind w:left="0" w:leftChars="0" w:right="0" w:rightChars="0" w:firstLine="420" w:firstLineChars="200"/>
        <w:textAlignment w:val="auto"/>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ascii="宋体" w:cs="宋体"/>
          <w:color w:val="auto"/>
          <w:sz w:val="21"/>
          <w:szCs w:val="21"/>
          <w:highlight w:val="none"/>
          <w:u w:val="single"/>
          <w:shd w:val="clear" w:color="auto" w:fill="auto"/>
        </w:rPr>
        <w:t xml:space="preserve"> 按照第20条〔争议解决〕约定处理</w:t>
      </w:r>
      <w:r>
        <w:rPr>
          <w:rFonts w:hint="eastAsia" w:cs="宋体"/>
          <w:color w:val="auto"/>
          <w:sz w:val="21"/>
          <w:szCs w:val="21"/>
          <w:highlight w:val="none"/>
        </w:rPr>
        <w:t>。</w:t>
      </w:r>
    </w:p>
    <w:p w14:paraId="5706EF34">
      <w:pPr>
        <w:pageBreakBefore w:val="0"/>
        <w:kinsoku/>
        <w:wordWrap/>
        <w:overflowPunct/>
        <w:topLinePunct w:val="0"/>
        <w:bidi w:val="0"/>
        <w:adjustRightInd w:val="0"/>
        <w:snapToGrid w:val="0"/>
        <w:spacing w:line="400" w:lineRule="exact"/>
        <w:ind w:left="0" w:leftChars="0" w:right="0" w:rightChars="0" w:firstLine="422" w:firstLineChars="200"/>
        <w:textAlignment w:val="auto"/>
        <w:rPr>
          <w:rFonts w:hint="eastAsia" w:eastAsia="黑体" w:cs="宋体"/>
          <w:color w:val="auto"/>
          <w:sz w:val="21"/>
          <w:szCs w:val="21"/>
          <w:highlight w:val="none"/>
          <w:lang w:eastAsia="zh-CN"/>
        </w:rPr>
      </w:pPr>
      <w:r>
        <w:rPr>
          <w:rFonts w:hint="eastAsia" w:ascii="黑体" w:hAnsi="黑体" w:eastAsia="黑体" w:cs="黑体"/>
          <w:b/>
          <w:bCs/>
          <w:color w:val="auto"/>
          <w:sz w:val="21"/>
          <w:szCs w:val="21"/>
          <w:highlight w:val="none"/>
          <w:shd w:val="clear" w:color="auto" w:fill="auto"/>
        </w:rPr>
        <w:t>工程造价审减率超过3%时，将对施工单位进行处罚，处罚金额为审减率超过3%以上的报送金额的6%，由</w:t>
      </w:r>
      <w:r>
        <w:rPr>
          <w:rFonts w:hint="eastAsia" w:ascii="黑体" w:hAnsi="黑体" w:eastAsia="黑体" w:cs="黑体"/>
          <w:b/>
          <w:bCs/>
          <w:color w:val="auto"/>
          <w:sz w:val="21"/>
          <w:szCs w:val="21"/>
          <w:highlight w:val="none"/>
          <w:shd w:val="clear" w:color="auto" w:fill="auto"/>
          <w:lang w:val="en-US" w:eastAsia="zh-CN"/>
        </w:rPr>
        <w:t>发包人</w:t>
      </w:r>
      <w:r>
        <w:rPr>
          <w:rFonts w:hint="eastAsia" w:ascii="黑体" w:hAnsi="黑体" w:eastAsia="黑体" w:cs="黑体"/>
          <w:b/>
          <w:bCs/>
          <w:color w:val="auto"/>
          <w:sz w:val="21"/>
          <w:szCs w:val="21"/>
          <w:highlight w:val="none"/>
          <w:shd w:val="clear" w:color="auto" w:fill="auto"/>
        </w:rPr>
        <w:t>在定案时明确处罚金额报工程监管科落实处罚</w:t>
      </w:r>
      <w:r>
        <w:rPr>
          <w:rFonts w:hint="eastAsia" w:ascii="黑体" w:hAnsi="黑体" w:eastAsia="黑体" w:cs="黑体"/>
          <w:b/>
          <w:bCs/>
          <w:color w:val="auto"/>
          <w:sz w:val="21"/>
          <w:szCs w:val="21"/>
          <w:highlight w:val="none"/>
          <w:shd w:val="clear" w:color="auto" w:fill="auto"/>
          <w:lang w:eastAsia="zh-CN"/>
        </w:rPr>
        <w:t>。</w:t>
      </w:r>
    </w:p>
    <w:p w14:paraId="04E7593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036981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3DE128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color w:val="auto"/>
          <w:sz w:val="21"/>
          <w:szCs w:val="21"/>
          <w:highlight w:val="none"/>
          <w:u w:val="single" w:color="auto"/>
        </w:rPr>
        <w:t>按监理要求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707BD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24BB68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1B1E81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6EA109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bookmarkEnd w:id="557"/>
    <w:bookmarkEnd w:id="558"/>
    <w:bookmarkEnd w:id="559"/>
    <w:bookmarkEnd w:id="560"/>
    <w:bookmarkEnd w:id="561"/>
    <w:bookmarkEnd w:id="562"/>
    <w:bookmarkEnd w:id="563"/>
    <w:bookmarkEnd w:id="569"/>
    <w:p w14:paraId="6F4D8382">
      <w:pPr>
        <w:snapToGrid w:val="0"/>
        <w:spacing w:before="312" w:beforeLines="100" w:after="312" w:afterLines="100" w:line="360" w:lineRule="auto"/>
        <w:outlineLvl w:val="2"/>
        <w:rPr>
          <w:rFonts w:cs="宋体"/>
          <w:color w:val="auto"/>
          <w:sz w:val="21"/>
          <w:szCs w:val="21"/>
          <w:highlight w:val="none"/>
        </w:rPr>
      </w:pPr>
      <w:bookmarkStart w:id="571" w:name="_Toc351203647"/>
      <w:bookmarkStart w:id="572" w:name="_Toc267251483"/>
      <w:bookmarkStart w:id="573" w:name="_Toc267251482"/>
      <w:bookmarkStart w:id="574" w:name="_Toc267251484"/>
      <w:bookmarkStart w:id="575" w:name="_Toc267251485"/>
      <w:bookmarkStart w:id="576" w:name="_Toc267251489"/>
      <w:bookmarkStart w:id="577" w:name="_Toc267251490"/>
      <w:bookmarkStart w:id="578" w:name="_Toc267251486"/>
      <w:bookmarkStart w:id="579" w:name="_Toc267251488"/>
      <w:bookmarkStart w:id="580" w:name="_Toc267251502"/>
      <w:bookmarkStart w:id="581" w:name="_Toc267251495"/>
      <w:bookmarkStart w:id="582" w:name="_Toc267251492"/>
      <w:bookmarkStart w:id="583" w:name="_Toc267251501"/>
      <w:bookmarkStart w:id="584" w:name="_Toc267251498"/>
      <w:bookmarkStart w:id="585" w:name="_Toc267251494"/>
      <w:bookmarkStart w:id="586" w:name="_Toc267251496"/>
      <w:bookmarkStart w:id="587" w:name="_Toc267251497"/>
      <w:bookmarkStart w:id="588" w:name="_Toc267251499"/>
      <w:bookmarkStart w:id="589" w:name="_Toc267251503"/>
      <w:bookmarkStart w:id="590" w:name="_Toc267251493"/>
      <w:bookmarkStart w:id="591" w:name="_Toc267251491"/>
      <w:bookmarkStart w:id="592" w:name="_Toc267251504"/>
      <w:bookmarkStart w:id="593" w:name="_Toc267251506"/>
      <w:bookmarkStart w:id="594" w:name="_Toc267251507"/>
      <w:bookmarkStart w:id="595" w:name="_Toc267251508"/>
      <w:bookmarkStart w:id="596" w:name="_Toc267251511"/>
      <w:bookmarkStart w:id="597" w:name="_Toc267251510"/>
      <w:bookmarkStart w:id="598" w:name="_Toc267251515"/>
      <w:bookmarkStart w:id="599" w:name="_Toc267251509"/>
      <w:bookmarkStart w:id="600" w:name="_Toc267251513"/>
      <w:bookmarkStart w:id="601" w:name="_Toc267251514"/>
      <w:r>
        <w:rPr>
          <w:rFonts w:hint="eastAsia" w:cs="宋体"/>
          <w:color w:val="auto"/>
          <w:sz w:val="21"/>
          <w:szCs w:val="21"/>
          <w:highlight w:val="none"/>
        </w:rPr>
        <w:t>15. 缺陷责任期与保修</w:t>
      </w:r>
      <w:bookmarkEnd w:id="571"/>
    </w:p>
    <w:p w14:paraId="6E8057F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72"/>
    </w:p>
    <w:p w14:paraId="1597DBE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两年，从验收合格之日起计算</w:t>
      </w:r>
      <w:r>
        <w:rPr>
          <w:rFonts w:hint="eastAsia" w:cs="宋体"/>
          <w:color w:val="auto"/>
          <w:sz w:val="21"/>
          <w:szCs w:val="21"/>
          <w:highlight w:val="none"/>
        </w:rPr>
        <w:t>。</w:t>
      </w:r>
    </w:p>
    <w:p w14:paraId="1856F1D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2AA01D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是</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525AB8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51611D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3827F1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F0C9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3B9E30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6929A6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4DC15B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质量保证金的扣留采取以下方式：</w:t>
      </w:r>
    </w:p>
    <w:p w14:paraId="462F24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10B69D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083DE7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A92C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51B319B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①在工程项目竣工前，承包人按专用合同条款第3.7款提供履约保证金的，可在工程进入缺陷责任期时按照多退少补原则转为质量保证金；</w:t>
      </w:r>
    </w:p>
    <w:p w14:paraId="1A14E9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②</w:t>
      </w:r>
      <w:r>
        <w:rPr>
          <w:rFonts w:hint="eastAsia" w:ascii="宋体" w:hAnsi="宋体" w:cs="宋体"/>
          <w:color w:val="auto"/>
          <w:kern w:val="0"/>
          <w:highlight w:val="none"/>
          <w:u w:val="single"/>
        </w:rPr>
        <w:t>质量保证金支持保函（银行保函、担保机构担保、保证保险）使用。采用保函的，保函有效期须与缺陷责任期截止时间保持一致</w:t>
      </w:r>
      <w:r>
        <w:rPr>
          <w:rFonts w:hint="eastAsia" w:cs="宋体"/>
          <w:color w:val="auto"/>
          <w:kern w:val="0"/>
          <w:highlight w:val="none"/>
          <w:u w:val="single"/>
          <w:lang w:eastAsia="zh-CN"/>
        </w:rPr>
        <w:t>。</w:t>
      </w:r>
      <w:r>
        <w:rPr>
          <w:rFonts w:hint="eastAsia" w:cs="宋体"/>
          <w:color w:val="auto"/>
          <w:sz w:val="21"/>
          <w:szCs w:val="21"/>
          <w:highlight w:val="none"/>
          <w:u w:val="single"/>
        </w:rPr>
        <w:t>承包人在缺陷责任期内未履行保修义务的，缺陷责任期满经复查不合格的，质量保证金不予退还。质量缺陷较多，多次催促整改不到位，处理不及时的，发包人可动用质保金，用于工程质量整改</w:t>
      </w:r>
      <w:r>
        <w:rPr>
          <w:rFonts w:hint="eastAsia" w:cs="宋体"/>
          <w:color w:val="auto"/>
          <w:sz w:val="21"/>
          <w:szCs w:val="21"/>
          <w:highlight w:val="none"/>
        </w:rPr>
        <w:t>。</w:t>
      </w:r>
    </w:p>
    <w:bookmarkEnd w:id="573"/>
    <w:bookmarkEnd w:id="574"/>
    <w:p w14:paraId="745DF66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75"/>
    <w:p w14:paraId="44C7A24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3AD92B0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1FCDB85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0B940A23">
      <w:pPr>
        <w:snapToGrid w:val="0"/>
        <w:spacing w:line="440" w:lineRule="exact"/>
        <w:ind w:firstLine="420" w:firstLineChars="200"/>
        <w:jc w:val="left"/>
        <w:rPr>
          <w:rFonts w:hint="eastAsia" w:ascii="宋体" w:cs="宋体"/>
          <w:color w:val="auto"/>
          <w:kern w:val="0"/>
          <w:sz w:val="21"/>
          <w:szCs w:val="21"/>
          <w:highlight w:val="none"/>
          <w:u w:val="single"/>
          <w:shd w:val="clear" w:color="auto" w:fill="auto"/>
        </w:rPr>
      </w:pPr>
      <w:r>
        <w:rPr>
          <w:rFonts w:hint="eastAsia" w:cs="宋体"/>
          <w:color w:val="auto"/>
          <w:sz w:val="21"/>
          <w:szCs w:val="21"/>
          <w:highlight w:val="none"/>
        </w:rPr>
        <w:t>承包人收到保修通知并到达工程现场的合理时间：</w:t>
      </w:r>
      <w:r>
        <w:rPr>
          <w:rFonts w:hint="eastAsia" w:ascii="宋体" w:cs="宋体"/>
          <w:color w:val="auto"/>
          <w:kern w:val="0"/>
          <w:sz w:val="21"/>
          <w:szCs w:val="21"/>
          <w:highlight w:val="none"/>
          <w:u w:val="single"/>
          <w:shd w:val="clear" w:color="auto" w:fill="auto"/>
        </w:rPr>
        <w:t>自承包人收到保修通知起 24 小时内到达工程现场并修复缺陷或损坏 ，如承包人违反此规定，由发包人另行安排队伍进行修整，由此产生的费用将在承包人的质保金中扣除。事后出现漏水、漏电等情况，承包人应在 12 小时内修复 。</w:t>
      </w:r>
    </w:p>
    <w:bookmarkEnd w:id="576"/>
    <w:bookmarkEnd w:id="577"/>
    <w:bookmarkEnd w:id="578"/>
    <w:bookmarkEnd w:id="579"/>
    <w:p w14:paraId="643E5164">
      <w:pPr>
        <w:snapToGrid w:val="0"/>
        <w:spacing w:before="312" w:beforeLines="100" w:after="312" w:afterLines="100" w:line="360" w:lineRule="auto"/>
        <w:outlineLvl w:val="2"/>
        <w:rPr>
          <w:rFonts w:cs="宋体"/>
          <w:color w:val="auto"/>
          <w:sz w:val="21"/>
          <w:szCs w:val="21"/>
          <w:highlight w:val="none"/>
        </w:rPr>
      </w:pPr>
      <w:bookmarkStart w:id="602" w:name="_Toc351203648"/>
      <w:bookmarkStart w:id="603" w:name="_Toc280868717"/>
      <w:bookmarkStart w:id="604" w:name="_Toc280868718"/>
      <w:r>
        <w:rPr>
          <w:rFonts w:hint="eastAsia" w:cs="宋体"/>
          <w:color w:val="auto"/>
          <w:sz w:val="21"/>
          <w:szCs w:val="21"/>
          <w:highlight w:val="none"/>
        </w:rPr>
        <w:t>16. 违约</w:t>
      </w:r>
      <w:bookmarkEnd w:id="602"/>
    </w:p>
    <w:p w14:paraId="3B88E4F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2284F5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243FA12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2DC66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5C2C87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36F59A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ascii="宋体" w:cs="宋体"/>
          <w:color w:val="auto"/>
          <w:kern w:val="0"/>
          <w:szCs w:val="21"/>
          <w:highlight w:val="none"/>
          <w:u w:val="single"/>
        </w:rPr>
        <w:t xml:space="preserve"> 对工期造成影响的可顺延工期</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F5E79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ascii="宋体" w:cs="宋体"/>
          <w:color w:val="auto"/>
          <w:kern w:val="0"/>
          <w:szCs w:val="21"/>
          <w:highlight w:val="none"/>
          <w:u w:val="single"/>
        </w:rPr>
        <w:t>可按照中国人民银行发布的同期同类贷款基准利率支付违约金</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135F51E">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ascii="宋体" w:cs="宋体"/>
          <w:color w:val="auto"/>
          <w:kern w:val="0"/>
          <w:szCs w:val="21"/>
          <w:highlight w:val="none"/>
          <w:u w:val="single"/>
        </w:rPr>
        <w:t xml:space="preserve"> 发包人可追加与被取消的工作造价相当的额外工作做为补偿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A0FA8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ascii="宋体" w:cs="宋体"/>
          <w:color w:val="auto"/>
          <w:kern w:val="0"/>
          <w:szCs w:val="21"/>
          <w:highlight w:val="none"/>
          <w:u w:val="single"/>
        </w:rPr>
        <w:t>发包人可补足或更换材料、工程设备；对工期造成延误的可以顺延；增加承包人成本的可予以补偿</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122FAE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ascii="宋体" w:cs="宋体"/>
          <w:color w:val="auto"/>
          <w:kern w:val="0"/>
          <w:szCs w:val="21"/>
          <w:highlight w:val="none"/>
          <w:u w:val="single"/>
        </w:rPr>
        <w:t xml:space="preserve"> 可顺延工期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E311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ascii="宋体" w:cs="宋体"/>
          <w:color w:val="auto"/>
          <w:kern w:val="0"/>
          <w:szCs w:val="21"/>
          <w:highlight w:val="none"/>
          <w:u w:val="single"/>
        </w:rPr>
        <w:t>对工期造成影响的可顺延工期</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C63F4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BC91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5746F9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56B500B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6181ED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51FE7A4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ascii="宋体" w:cs="宋体"/>
          <w:color w:val="auto"/>
          <w:kern w:val="0"/>
          <w:szCs w:val="21"/>
          <w:highlight w:val="none"/>
          <w:u w:val="single"/>
        </w:rPr>
        <w:t>执行补充条款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12A02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14BAD40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color w:val="auto"/>
          <w:spacing w:val="0"/>
          <w:sz w:val="21"/>
          <w:szCs w:val="21"/>
          <w:highlight w:val="none"/>
          <w:u w:val="single" w:color="auto"/>
        </w:rPr>
        <w:t>由承包人承担全部费用并承担相关法律责任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F271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4FB1EFB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color w:val="auto"/>
          <w:spacing w:val="-4"/>
          <w:sz w:val="21"/>
          <w:szCs w:val="21"/>
          <w:highlight w:val="none"/>
          <w:u w:val="single" w:color="auto"/>
        </w:rPr>
        <w:t>除专用条款约定情形外，其余执行通用条款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A8E1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color w:val="auto"/>
          <w:spacing w:val="-11"/>
          <w:sz w:val="21"/>
          <w:szCs w:val="21"/>
          <w:highlight w:val="none"/>
          <w:u w:val="single" w:color="auto"/>
        </w:rPr>
        <w:t>承包人承担</w:t>
      </w:r>
      <w:r>
        <w:rPr>
          <w:color w:val="auto"/>
          <w:spacing w:val="-12"/>
          <w:sz w:val="21"/>
          <w:szCs w:val="21"/>
          <w:highlight w:val="none"/>
          <w:u w:val="single" w:color="auto"/>
        </w:rPr>
        <w:t>费用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133561">
      <w:pPr>
        <w:snapToGrid w:val="0"/>
        <w:spacing w:before="312" w:beforeLines="100" w:after="312" w:afterLines="100" w:line="360" w:lineRule="auto"/>
        <w:outlineLvl w:val="2"/>
        <w:rPr>
          <w:rFonts w:cs="宋体"/>
          <w:color w:val="auto"/>
          <w:sz w:val="21"/>
          <w:szCs w:val="21"/>
          <w:highlight w:val="none"/>
        </w:rPr>
      </w:pPr>
      <w:bookmarkStart w:id="605" w:name="_Toc351203649"/>
      <w:r>
        <w:rPr>
          <w:rFonts w:hint="eastAsia" w:cs="宋体"/>
          <w:color w:val="auto"/>
          <w:sz w:val="21"/>
          <w:szCs w:val="21"/>
          <w:highlight w:val="none"/>
        </w:rPr>
        <w:t>17. 不可抗力</w:t>
      </w:r>
      <w:bookmarkEnd w:id="605"/>
      <w:r>
        <w:rPr>
          <w:rFonts w:hint="eastAsia" w:cs="宋体"/>
          <w:color w:val="auto"/>
          <w:sz w:val="21"/>
          <w:szCs w:val="21"/>
          <w:highlight w:val="none"/>
        </w:rPr>
        <w:t xml:space="preserve"> </w:t>
      </w:r>
      <w:bookmarkEnd w:id="603"/>
    </w:p>
    <w:p w14:paraId="6545886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70C7BDF3">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2B2135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7BFE1D4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369E8586">
      <w:pPr>
        <w:snapToGrid w:val="0"/>
        <w:spacing w:before="312" w:beforeLines="100" w:after="312" w:afterLines="100" w:line="360" w:lineRule="auto"/>
        <w:outlineLvl w:val="2"/>
        <w:rPr>
          <w:rFonts w:cs="宋体"/>
          <w:color w:val="auto"/>
          <w:sz w:val="21"/>
          <w:szCs w:val="21"/>
          <w:highlight w:val="none"/>
        </w:rPr>
      </w:pPr>
      <w:bookmarkStart w:id="606" w:name="_Toc351203650"/>
      <w:r>
        <w:rPr>
          <w:rFonts w:hint="eastAsia" w:cs="宋体"/>
          <w:color w:val="auto"/>
          <w:sz w:val="21"/>
          <w:szCs w:val="21"/>
          <w:highlight w:val="none"/>
        </w:rPr>
        <w:t>18. 保险</w:t>
      </w:r>
      <w:bookmarkEnd w:id="606"/>
    </w:p>
    <w:bookmarkEnd w:id="604"/>
    <w:p w14:paraId="4494DD9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22C39F34">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cs="宋体"/>
          <w:b/>
          <w:color w:val="auto"/>
          <w:sz w:val="21"/>
          <w:szCs w:val="21"/>
          <w:highlight w:val="none"/>
          <w:u w:val="single"/>
        </w:rPr>
        <w:t xml:space="preserve">  </w:t>
      </w:r>
      <w:r>
        <w:rPr>
          <w:rFonts w:hint="eastAsia"/>
          <w:color w:val="auto"/>
          <w:sz w:val="21"/>
          <w:szCs w:val="21"/>
          <w:highlight w:val="none"/>
          <w:u w:val="single"/>
          <w:shd w:val="clear" w:color="auto" w:fill="auto"/>
        </w:rPr>
        <w:t xml:space="preserve"> </w:t>
      </w:r>
      <w:r>
        <w:rPr>
          <w:color w:val="auto"/>
          <w:spacing w:val="-7"/>
          <w:sz w:val="21"/>
          <w:szCs w:val="21"/>
          <w:highlight w:val="none"/>
          <w:u w:val="single" w:color="auto"/>
        </w:rPr>
        <w:t>承包人自行考虑，</w:t>
      </w:r>
      <w:r>
        <w:rPr>
          <w:color w:val="auto"/>
          <w:spacing w:val="-62"/>
          <w:sz w:val="21"/>
          <w:szCs w:val="21"/>
          <w:highlight w:val="none"/>
          <w:u w:val="single" w:color="auto"/>
        </w:rPr>
        <w:t xml:space="preserve"> </w:t>
      </w:r>
      <w:r>
        <w:rPr>
          <w:color w:val="auto"/>
          <w:spacing w:val="-7"/>
          <w:sz w:val="21"/>
          <w:szCs w:val="21"/>
          <w:highlight w:val="none"/>
          <w:u w:val="single" w:color="auto"/>
        </w:rPr>
        <w:t>自行承担</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718161C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2D400B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09D7989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B5B951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1ACDF475">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80"/>
    <w:bookmarkEnd w:id="581"/>
    <w:bookmarkEnd w:id="582"/>
    <w:bookmarkEnd w:id="583"/>
    <w:bookmarkEnd w:id="584"/>
    <w:bookmarkEnd w:id="585"/>
    <w:bookmarkEnd w:id="586"/>
    <w:bookmarkEnd w:id="587"/>
    <w:bookmarkEnd w:id="588"/>
    <w:bookmarkEnd w:id="589"/>
    <w:bookmarkEnd w:id="590"/>
    <w:bookmarkEnd w:id="591"/>
    <w:p w14:paraId="3E4F8BA7">
      <w:pPr>
        <w:snapToGrid w:val="0"/>
        <w:spacing w:before="312" w:beforeLines="100" w:after="312" w:afterLines="100" w:line="360" w:lineRule="auto"/>
        <w:outlineLvl w:val="2"/>
        <w:rPr>
          <w:rFonts w:cs="宋体"/>
          <w:color w:val="auto"/>
          <w:sz w:val="21"/>
          <w:szCs w:val="21"/>
          <w:highlight w:val="none"/>
        </w:rPr>
      </w:pPr>
      <w:bookmarkStart w:id="607" w:name="_Toc351203651"/>
      <w:r>
        <w:rPr>
          <w:rFonts w:hint="eastAsia" w:cs="宋体"/>
          <w:color w:val="auto"/>
          <w:sz w:val="21"/>
          <w:szCs w:val="21"/>
          <w:highlight w:val="none"/>
        </w:rPr>
        <w:t>20. 争议解决</w:t>
      </w:r>
      <w:bookmarkEnd w:id="607"/>
    </w:p>
    <w:bookmarkEnd w:id="592"/>
    <w:bookmarkEnd w:id="593"/>
    <w:p w14:paraId="38A6060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94"/>
      <w:r>
        <w:rPr>
          <w:rFonts w:hint="eastAsia" w:cs="宋体"/>
          <w:bCs/>
          <w:color w:val="auto"/>
          <w:sz w:val="21"/>
          <w:szCs w:val="21"/>
          <w:highlight w:val="none"/>
        </w:rPr>
        <w:t>议评审</w:t>
      </w:r>
    </w:p>
    <w:p w14:paraId="1E20BE8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 xml:space="preserve"> </w:t>
      </w:r>
      <w:r>
        <w:rPr>
          <w:color w:val="auto"/>
          <w:spacing w:val="-4"/>
          <w:sz w:val="21"/>
          <w:szCs w:val="21"/>
          <w:highlight w:val="none"/>
          <w:u w:val="single" w:color="auto"/>
        </w:rPr>
        <w:t>不采用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A1133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168AF0A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50E361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4961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FF9F0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D9B41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2EFDE1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D19D08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95"/>
    </w:p>
    <w:bookmarkEnd w:id="596"/>
    <w:bookmarkEnd w:id="597"/>
    <w:bookmarkEnd w:id="598"/>
    <w:bookmarkEnd w:id="599"/>
    <w:bookmarkEnd w:id="600"/>
    <w:bookmarkEnd w:id="601"/>
    <w:p w14:paraId="3E0259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w:t>
      </w:r>
      <w:r>
        <w:rPr>
          <w:rFonts w:hint="eastAsia" w:cs="宋体"/>
          <w:b/>
          <w:bCs/>
          <w:color w:val="auto"/>
          <w:sz w:val="21"/>
          <w:szCs w:val="21"/>
          <w:highlight w:val="none"/>
          <w:u w:val="single"/>
          <w:lang w:val="en-US" w:eastAsia="zh-CN"/>
        </w:rPr>
        <w:t xml:space="preserve">1 </w:t>
      </w:r>
      <w:r>
        <w:rPr>
          <w:rFonts w:hint="eastAsia" w:cs="宋体"/>
          <w:b/>
          <w:bCs/>
          <w:color w:val="auto"/>
          <w:sz w:val="21"/>
          <w:szCs w:val="21"/>
          <w:highlight w:val="none"/>
        </w:rPr>
        <w:t>种</w:t>
      </w:r>
      <w:r>
        <w:rPr>
          <w:rFonts w:hint="eastAsia" w:cs="宋体"/>
          <w:color w:val="auto"/>
          <w:sz w:val="21"/>
          <w:szCs w:val="21"/>
          <w:highlight w:val="none"/>
        </w:rPr>
        <w:t>方式解决：</w:t>
      </w:r>
    </w:p>
    <w:p w14:paraId="61AF16C2">
      <w:pPr>
        <w:numPr>
          <w:ilvl w:val="0"/>
          <w:numId w:val="5"/>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滁州</w:t>
      </w:r>
      <w:r>
        <w:rPr>
          <w:rFonts w:hint="eastAsia" w:cs="宋体"/>
          <w:color w:val="auto"/>
          <w:sz w:val="21"/>
          <w:szCs w:val="21"/>
          <w:highlight w:val="none"/>
          <w:u w:val="single"/>
        </w:rPr>
        <w:t xml:space="preserve"> </w:t>
      </w:r>
      <w:r>
        <w:rPr>
          <w:rFonts w:hint="eastAsia" w:cs="宋体"/>
          <w:color w:val="auto"/>
          <w:sz w:val="21"/>
          <w:szCs w:val="21"/>
          <w:highlight w:val="none"/>
        </w:rPr>
        <w:t>仲裁委员会申请仲裁；</w:t>
      </w:r>
    </w:p>
    <w:p w14:paraId="614A14B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5B38A430">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73A342BE">
      <w:pPr>
        <w:snapToGrid w:val="0"/>
        <w:spacing w:before="312" w:beforeLines="100" w:after="312" w:afterLines="100" w:line="360" w:lineRule="auto"/>
        <w:outlineLvl w:val="2"/>
        <w:rPr>
          <w:rFonts w:hint="default" w:eastAsia="宋体" w:cs="宋体"/>
          <w:color w:val="auto"/>
          <w:sz w:val="21"/>
          <w:szCs w:val="21"/>
          <w:highlight w:val="none"/>
          <w:lang w:val="en-US" w:eastAsia="zh-CN"/>
        </w:rPr>
      </w:pPr>
      <w:r>
        <w:rPr>
          <w:rFonts w:hint="eastAsia" w:cs="宋体"/>
          <w:color w:val="auto"/>
          <w:sz w:val="21"/>
          <w:szCs w:val="21"/>
          <w:highlight w:val="none"/>
          <w:lang w:val="en-US" w:eastAsia="zh-CN"/>
        </w:rPr>
        <w:t>双方自行商定。</w:t>
      </w:r>
    </w:p>
    <w:p w14:paraId="785F2BF1">
      <w:pPr>
        <w:snapToGrid w:val="0"/>
        <w:spacing w:before="312" w:beforeLines="100" w:after="312" w:afterLines="100" w:line="360" w:lineRule="auto"/>
        <w:outlineLvl w:val="2"/>
        <w:rPr>
          <w:rFonts w:hint="eastAsia" w:cs="宋体"/>
          <w:color w:val="auto"/>
          <w:sz w:val="21"/>
          <w:szCs w:val="21"/>
          <w:highlight w:val="none"/>
        </w:rPr>
      </w:pPr>
    </w:p>
    <w:p w14:paraId="256D8FD4">
      <w:pPr>
        <w:snapToGrid w:val="0"/>
        <w:spacing w:before="312" w:beforeLines="100" w:after="312" w:afterLines="100" w:line="360" w:lineRule="auto"/>
        <w:outlineLvl w:val="2"/>
        <w:rPr>
          <w:rFonts w:hint="eastAsia" w:cs="宋体"/>
          <w:color w:val="auto"/>
          <w:sz w:val="21"/>
          <w:szCs w:val="21"/>
          <w:highlight w:val="none"/>
        </w:rPr>
      </w:pPr>
    </w:p>
    <w:p w14:paraId="161B81B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eastAsia="宋体" w:cs="宋体"/>
          <w:b/>
          <w:color w:val="auto"/>
          <w:sz w:val="21"/>
          <w:szCs w:val="21"/>
          <w:highlight w:val="none"/>
          <w:lang w:val="en-US" w:eastAsia="zh-CN"/>
        </w:rPr>
      </w:pPr>
    </w:p>
    <w:p w14:paraId="263E1D87">
      <w:pPr>
        <w:pStyle w:val="20"/>
        <w:rPr>
          <w:color w:val="auto"/>
          <w:highlight w:val="none"/>
        </w:rPr>
      </w:pPr>
    </w:p>
    <w:p w14:paraId="4DA46FE1">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1110B631">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7975D1D9">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25BCCDAF">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201D02CD">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A2EDBCC">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EB6EA3A">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1920CDB0">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5C845E66">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1203A78F">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319C8BF3">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3033DA87">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3B191D50">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74"/>
    <w:p w14:paraId="067474C6">
      <w:pPr>
        <w:snapToGrid w:val="0"/>
        <w:spacing w:line="360" w:lineRule="auto"/>
        <w:rPr>
          <w:rFonts w:hint="eastAsia" w:cs="宋体"/>
          <w:b/>
          <w:color w:val="auto"/>
          <w:sz w:val="21"/>
          <w:szCs w:val="21"/>
          <w:highlight w:val="none"/>
        </w:rPr>
      </w:pPr>
    </w:p>
    <w:p w14:paraId="09D0F02A">
      <w:pPr>
        <w:snapToGrid w:val="0"/>
        <w:spacing w:line="360" w:lineRule="auto"/>
        <w:rPr>
          <w:rFonts w:hint="eastAsia" w:cs="宋体"/>
          <w:b/>
          <w:color w:val="auto"/>
          <w:sz w:val="21"/>
          <w:szCs w:val="21"/>
          <w:highlight w:val="none"/>
        </w:rPr>
      </w:pPr>
    </w:p>
    <w:p w14:paraId="1F0C9B81">
      <w:pPr>
        <w:snapToGrid w:val="0"/>
        <w:spacing w:line="360" w:lineRule="auto"/>
        <w:rPr>
          <w:rFonts w:hint="eastAsia" w:cs="宋体"/>
          <w:b/>
          <w:color w:val="auto"/>
          <w:sz w:val="21"/>
          <w:szCs w:val="21"/>
          <w:highlight w:val="none"/>
        </w:rPr>
      </w:pPr>
    </w:p>
    <w:p w14:paraId="6EF58AB5">
      <w:pPr>
        <w:snapToGrid w:val="0"/>
        <w:spacing w:line="360" w:lineRule="auto"/>
        <w:rPr>
          <w:rFonts w:hint="eastAsia" w:cs="宋体"/>
          <w:b/>
          <w:color w:val="auto"/>
          <w:sz w:val="21"/>
          <w:szCs w:val="21"/>
          <w:highlight w:val="none"/>
        </w:rPr>
      </w:pPr>
    </w:p>
    <w:p w14:paraId="40ECE854">
      <w:pPr>
        <w:rPr>
          <w:rFonts w:hint="eastAsia" w:cs="宋体"/>
          <w:b/>
          <w:color w:val="auto"/>
          <w:sz w:val="21"/>
          <w:szCs w:val="21"/>
          <w:highlight w:val="none"/>
        </w:rPr>
      </w:pPr>
    </w:p>
    <w:p w14:paraId="00A025E9">
      <w:pPr>
        <w:rPr>
          <w:rFonts w:hint="eastAsia" w:cs="宋体"/>
          <w:b/>
          <w:color w:val="auto"/>
          <w:sz w:val="21"/>
          <w:szCs w:val="21"/>
          <w:highlight w:val="none"/>
        </w:rPr>
      </w:pPr>
    </w:p>
    <w:p w14:paraId="07BFB47B">
      <w:pPr>
        <w:rPr>
          <w:rFonts w:hint="eastAsia" w:cs="宋体"/>
          <w:b/>
          <w:color w:val="auto"/>
          <w:sz w:val="21"/>
          <w:szCs w:val="21"/>
          <w:highlight w:val="none"/>
        </w:rPr>
      </w:pPr>
    </w:p>
    <w:p w14:paraId="5478A2C2">
      <w:pPr>
        <w:spacing w:before="312" w:beforeLines="100" w:after="312" w:afterLines="100"/>
        <w:outlineLvl w:val="2"/>
        <w:rPr>
          <w:rFonts w:ascii="Times New Roman" w:eastAsia="黑体"/>
          <w:color w:val="auto"/>
          <w:szCs w:val="24"/>
          <w:highlight w:val="none"/>
        </w:rPr>
      </w:pPr>
      <w:bookmarkStart w:id="608" w:name="_Toc128950237"/>
      <w:r>
        <w:rPr>
          <w:rFonts w:hint="eastAsia" w:ascii="Times New Roman" w:eastAsia="黑体"/>
          <w:color w:val="auto"/>
          <w:szCs w:val="24"/>
          <w:highlight w:val="none"/>
        </w:rPr>
        <w:t>工程质量保修书</w:t>
      </w:r>
      <w:bookmarkEnd w:id="608"/>
    </w:p>
    <w:p w14:paraId="685C563F">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02F539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168591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2D40AA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376AA5B3">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729DDA3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1B2051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895A62">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7650C0B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0154AE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2F159F6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0FB145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587857A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5B59B9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3031D1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4C05E99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796422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37F4DF45">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13AB03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两年</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67FCBCF2">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0BBCDEE3">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41C2D92A">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5EF255F0">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2882A654">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CBE9637">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534BEC07">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01EC99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42C213E9">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0FB05168">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6928E619">
      <w:pPr>
        <w:adjustRightInd w:val="0"/>
        <w:snapToGrid w:val="0"/>
        <w:spacing w:line="360" w:lineRule="auto"/>
        <w:ind w:firstLine="420"/>
        <w:rPr>
          <w:rFonts w:cs="宋体"/>
          <w:color w:val="auto"/>
          <w:sz w:val="21"/>
          <w:szCs w:val="21"/>
          <w:highlight w:val="none"/>
        </w:rPr>
      </w:pPr>
    </w:p>
    <w:p w14:paraId="0E864B38">
      <w:pPr>
        <w:adjustRightInd w:val="0"/>
        <w:snapToGrid w:val="0"/>
        <w:spacing w:line="360" w:lineRule="auto"/>
        <w:ind w:firstLine="420"/>
        <w:rPr>
          <w:rFonts w:cs="宋体"/>
          <w:color w:val="auto"/>
          <w:sz w:val="21"/>
          <w:szCs w:val="21"/>
          <w:highlight w:val="none"/>
        </w:rPr>
      </w:pPr>
    </w:p>
    <w:p w14:paraId="488C3B90">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268EA469">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2D02DF5C">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4B21B1E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0B20AF82">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27F49735">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04ED8FCE">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787FFD46">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5CC212B8">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1F7E9A6F">
      <w:pPr>
        <w:widowControl/>
        <w:spacing w:line="360" w:lineRule="auto"/>
        <w:ind w:firstLine="400" w:firstLineChars="200"/>
        <w:jc w:val="left"/>
        <w:rPr>
          <w:rFonts w:cs="宋体"/>
          <w:color w:val="auto"/>
          <w:sz w:val="21"/>
          <w:szCs w:val="21"/>
          <w:highlight w:val="none"/>
        </w:rPr>
      </w:pPr>
      <w:r>
        <w:rPr>
          <w:rFonts w:hint="eastAsia" w:ascii="Times New Roman" w:eastAsia="黑体"/>
          <w:bCs/>
          <w:color w:val="auto"/>
          <w:highlight w:val="none"/>
        </w:rPr>
        <w:br w:type="page"/>
      </w:r>
    </w:p>
    <w:p w14:paraId="2C96278A">
      <w:pPr>
        <w:spacing w:before="312" w:beforeLines="100" w:after="312" w:afterLines="100"/>
        <w:outlineLvl w:val="2"/>
        <w:rPr>
          <w:rFonts w:ascii="Times New Roman" w:eastAsia="黑体"/>
          <w:color w:val="auto"/>
          <w:szCs w:val="24"/>
          <w:highlight w:val="none"/>
        </w:rPr>
      </w:pPr>
      <w:bookmarkStart w:id="609" w:name="_Toc128950249"/>
      <w:r>
        <w:rPr>
          <w:rFonts w:hint="eastAsia" w:ascii="Times New Roman" w:eastAsia="黑体"/>
          <w:color w:val="auto"/>
          <w:szCs w:val="24"/>
          <w:highlight w:val="none"/>
        </w:rPr>
        <w:t>项目经理质量终身责任制承诺</w:t>
      </w:r>
      <w:bookmarkEnd w:id="609"/>
    </w:p>
    <w:p w14:paraId="43EE0CDC">
      <w:pPr>
        <w:spacing w:before="156" w:beforeLines="50" w:after="156" w:afterLines="50" w:line="360" w:lineRule="auto"/>
        <w:jc w:val="center"/>
        <w:rPr>
          <w:rFonts w:cs="宋体"/>
          <w:b/>
          <w:color w:val="auto"/>
          <w:sz w:val="32"/>
          <w:szCs w:val="32"/>
          <w:highlight w:val="none"/>
        </w:rPr>
      </w:pPr>
      <w:bookmarkStart w:id="610" w:name="_Toc128950250"/>
      <w:bookmarkStart w:id="611" w:name="_Toc14540"/>
      <w:bookmarkStart w:id="612" w:name="_Toc19417"/>
      <w:r>
        <w:rPr>
          <w:rFonts w:hint="eastAsia" w:cs="宋体"/>
          <w:b/>
          <w:color w:val="auto"/>
          <w:sz w:val="32"/>
          <w:szCs w:val="32"/>
          <w:highlight w:val="none"/>
        </w:rPr>
        <w:t>项目经理质量终身责任制承诺</w:t>
      </w:r>
      <w:bookmarkEnd w:id="610"/>
      <w:bookmarkEnd w:id="611"/>
      <w:bookmarkEnd w:id="612"/>
    </w:p>
    <w:p w14:paraId="10DD46BB">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7BB0798D">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4EDB438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7D11F23E">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26CDCC56">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601E5BA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21EF60D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0C84009F">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5280EB3A">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6E22C95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0ADCB5AC">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484F1F64">
      <w:pPr>
        <w:spacing w:line="360" w:lineRule="auto"/>
        <w:ind w:left="342" w:leftChars="171" w:firstLine="630" w:firstLineChars="300"/>
        <w:rPr>
          <w:rFonts w:cs="宋体"/>
          <w:bCs/>
          <w:color w:val="auto"/>
          <w:sz w:val="21"/>
          <w:szCs w:val="21"/>
          <w:highlight w:val="none"/>
        </w:rPr>
      </w:pPr>
    </w:p>
    <w:p w14:paraId="2817DC3A">
      <w:pPr>
        <w:spacing w:line="360" w:lineRule="auto"/>
        <w:ind w:left="342" w:leftChars="171" w:firstLine="630" w:firstLineChars="300"/>
        <w:rPr>
          <w:rFonts w:cs="宋体"/>
          <w:bCs/>
          <w:color w:val="auto"/>
          <w:sz w:val="21"/>
          <w:szCs w:val="21"/>
          <w:highlight w:val="none"/>
        </w:rPr>
      </w:pPr>
    </w:p>
    <w:p w14:paraId="07682919">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6E674EC9">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p w14:paraId="4562C09E">
      <w:pPr>
        <w:pStyle w:val="20"/>
        <w:rPr>
          <w:rFonts w:ascii="宋体" w:hAnsi="宋体" w:eastAsia="宋体" w:cs="宋体"/>
          <w:bCs/>
          <w:color w:val="auto"/>
          <w:sz w:val="21"/>
          <w:szCs w:val="21"/>
          <w:highlight w:val="none"/>
        </w:rPr>
      </w:pPr>
    </w:p>
    <w:p w14:paraId="696DC3EE">
      <w:pPr>
        <w:widowControl/>
        <w:jc w:val="left"/>
        <w:rPr>
          <w:b/>
          <w:color w:val="auto"/>
          <w:sz w:val="24"/>
          <w:highlight w:val="none"/>
        </w:rPr>
      </w:pPr>
      <w:r>
        <w:rPr>
          <w:b/>
          <w:color w:val="auto"/>
          <w:sz w:val="24"/>
          <w:highlight w:val="none"/>
        </w:rPr>
        <w:br w:type="page"/>
      </w:r>
    </w:p>
    <w:p w14:paraId="203DF356">
      <w:pPr>
        <w:spacing w:line="360" w:lineRule="auto"/>
        <w:jc w:val="center"/>
        <w:outlineLvl w:val="0"/>
        <w:rPr>
          <w:rFonts w:asciiTheme="minorEastAsia" w:hAnsiTheme="minorEastAsia" w:eastAsiaTheme="minorEastAsia"/>
          <w:b/>
          <w:color w:val="auto"/>
          <w:sz w:val="28"/>
          <w:highlight w:val="none"/>
        </w:rPr>
      </w:pPr>
      <w:bookmarkStart w:id="613" w:name="_Toc16770"/>
      <w:r>
        <w:rPr>
          <w:rFonts w:hint="eastAsia" w:asciiTheme="minorEastAsia" w:hAnsiTheme="minorEastAsia" w:eastAsiaTheme="minorEastAsia"/>
          <w:b/>
          <w:color w:val="auto"/>
          <w:sz w:val="28"/>
          <w:highlight w:val="none"/>
        </w:rPr>
        <w:t>第六章  响应文件格式</w:t>
      </w:r>
      <w:bookmarkEnd w:id="613"/>
    </w:p>
    <w:p w14:paraId="2BBD57BB">
      <w:pPr>
        <w:spacing w:line="900" w:lineRule="exact"/>
        <w:jc w:val="center"/>
        <w:rPr>
          <w:rFonts w:asciiTheme="minorEastAsia" w:hAnsiTheme="minorEastAsia" w:eastAsiaTheme="minorEastAsia"/>
          <w:b/>
          <w:color w:val="auto"/>
          <w:sz w:val="72"/>
          <w:highlight w:val="none"/>
        </w:rPr>
      </w:pPr>
    </w:p>
    <w:p w14:paraId="5BF44E37">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07FCDBBA">
      <w:pPr>
        <w:spacing w:line="900" w:lineRule="exact"/>
        <w:jc w:val="center"/>
        <w:rPr>
          <w:rFonts w:asciiTheme="minorEastAsia" w:hAnsiTheme="minorEastAsia" w:eastAsiaTheme="minorEastAsia"/>
          <w:b/>
          <w:color w:val="auto"/>
          <w:sz w:val="72"/>
          <w:highlight w:val="none"/>
        </w:rPr>
      </w:pPr>
    </w:p>
    <w:p w14:paraId="5B5327F1">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06394EA8">
      <w:pPr>
        <w:spacing w:line="900" w:lineRule="exact"/>
        <w:jc w:val="center"/>
        <w:rPr>
          <w:rFonts w:asciiTheme="minorEastAsia" w:hAnsiTheme="minorEastAsia" w:eastAsiaTheme="minorEastAsia"/>
          <w:b/>
          <w:color w:val="auto"/>
          <w:sz w:val="72"/>
          <w:highlight w:val="none"/>
        </w:rPr>
      </w:pPr>
    </w:p>
    <w:p w14:paraId="2C0C76EC">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1D86B8AF">
      <w:pPr>
        <w:spacing w:line="900" w:lineRule="exact"/>
        <w:jc w:val="center"/>
        <w:rPr>
          <w:rFonts w:asciiTheme="minorEastAsia" w:hAnsiTheme="minorEastAsia" w:eastAsiaTheme="minorEastAsia"/>
          <w:b/>
          <w:color w:val="auto"/>
          <w:sz w:val="72"/>
          <w:highlight w:val="none"/>
        </w:rPr>
      </w:pPr>
    </w:p>
    <w:p w14:paraId="38F6EDB9">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4E5EC245">
      <w:pPr>
        <w:spacing w:after="156" w:afterLines="50"/>
        <w:jc w:val="center"/>
        <w:rPr>
          <w:rFonts w:asciiTheme="minorEastAsia" w:hAnsiTheme="minorEastAsia" w:eastAsiaTheme="minorEastAsia"/>
          <w:b/>
          <w:color w:val="auto"/>
          <w:sz w:val="72"/>
          <w:highlight w:val="none"/>
        </w:rPr>
      </w:pPr>
    </w:p>
    <w:p w14:paraId="5C76CD03">
      <w:pPr>
        <w:spacing w:after="156" w:afterLines="50" w:line="500" w:lineRule="exact"/>
        <w:jc w:val="center"/>
        <w:rPr>
          <w:rFonts w:asciiTheme="minorEastAsia" w:hAnsiTheme="minorEastAsia" w:eastAsiaTheme="minorEastAsia"/>
          <w:b/>
          <w:color w:val="auto"/>
          <w:sz w:val="28"/>
          <w:szCs w:val="28"/>
          <w:highlight w:val="none"/>
        </w:rPr>
      </w:pPr>
    </w:p>
    <w:p w14:paraId="5A80BA63">
      <w:pPr>
        <w:tabs>
          <w:tab w:val="left" w:pos="2410"/>
        </w:tabs>
        <w:autoSpaceDE w:val="0"/>
        <w:autoSpaceDN w:val="0"/>
        <w:adjustRightInd w:val="0"/>
        <w:snapToGrid w:val="0"/>
        <w:spacing w:line="360" w:lineRule="auto"/>
        <w:ind w:firstLine="1606" w:firstLineChars="5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2525BBD">
      <w:pPr>
        <w:tabs>
          <w:tab w:val="left" w:pos="2410"/>
        </w:tabs>
        <w:autoSpaceDE w:val="0"/>
        <w:autoSpaceDN w:val="0"/>
        <w:adjustRightInd w:val="0"/>
        <w:snapToGrid w:val="0"/>
        <w:spacing w:line="360" w:lineRule="auto"/>
        <w:ind w:firstLine="1606" w:firstLineChars="5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3E7C49E">
      <w:pPr>
        <w:tabs>
          <w:tab w:val="left" w:pos="2410"/>
        </w:tabs>
        <w:autoSpaceDE w:val="0"/>
        <w:autoSpaceDN w:val="0"/>
        <w:adjustRightInd w:val="0"/>
        <w:snapToGrid w:val="0"/>
        <w:spacing w:line="360" w:lineRule="auto"/>
        <w:ind w:firstLine="1606" w:firstLineChars="5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A336572">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14" w:name="_Toc32582"/>
      <w:bookmarkStart w:id="615" w:name="_Toc2759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14"/>
      <w:bookmarkEnd w:id="615"/>
    </w:p>
    <w:p w14:paraId="17196DC4">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5748145">
      <w:pPr>
        <w:spacing w:line="360" w:lineRule="auto"/>
        <w:jc w:val="center"/>
        <w:outlineLvl w:val="1"/>
        <w:rPr>
          <w:rFonts w:asciiTheme="minorEastAsia" w:hAnsiTheme="minorEastAsia" w:eastAsiaTheme="minorEastAsia"/>
          <w:b/>
          <w:color w:val="auto"/>
          <w:sz w:val="24"/>
          <w:highlight w:val="none"/>
        </w:rPr>
      </w:pPr>
      <w:bookmarkStart w:id="616" w:name="_Toc461053086"/>
      <w:bookmarkStart w:id="617" w:name="_Toc461056631"/>
      <w:bookmarkStart w:id="618" w:name="_Toc520983587"/>
      <w:bookmarkStart w:id="619" w:name="_Toc17778"/>
      <w:bookmarkStart w:id="620" w:name="_Toc26877"/>
      <w:r>
        <w:rPr>
          <w:rFonts w:hint="eastAsia" w:asciiTheme="minorEastAsia" w:hAnsiTheme="minorEastAsia" w:eastAsiaTheme="minorEastAsia"/>
          <w:b/>
          <w:color w:val="auto"/>
          <w:sz w:val="24"/>
          <w:highlight w:val="none"/>
        </w:rPr>
        <w:t>一</w:t>
      </w:r>
      <w:bookmarkEnd w:id="616"/>
      <w:bookmarkEnd w:id="617"/>
      <w:r>
        <w:rPr>
          <w:rFonts w:hint="eastAsia" w:asciiTheme="minorEastAsia" w:hAnsiTheme="minorEastAsia" w:eastAsiaTheme="minorEastAsia"/>
          <w:b/>
          <w:color w:val="auto"/>
          <w:sz w:val="24"/>
          <w:highlight w:val="none"/>
        </w:rPr>
        <w:t>、报价表格式</w:t>
      </w:r>
      <w:bookmarkEnd w:id="618"/>
      <w:bookmarkEnd w:id="619"/>
      <w:bookmarkEnd w:id="620"/>
    </w:p>
    <w:p w14:paraId="1A4AAA46">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65691F4A">
      <w:pPr>
        <w:snapToGrid w:val="0"/>
        <w:spacing w:line="360" w:lineRule="auto"/>
        <w:jc w:val="left"/>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某项目    </w:t>
      </w:r>
    </w:p>
    <w:p w14:paraId="0294BFBF">
      <w:pPr>
        <w:snapToGrid w:val="0"/>
        <w:spacing w:after="156" w:afterLines="50" w:line="360" w:lineRule="auto"/>
        <w:jc w:val="left"/>
        <w:rPr>
          <w:rFonts w:cs="宋体" w:asciiTheme="minorEastAsia" w:hAnsiTheme="minorEastAsia" w:eastAsiaTheme="minorEastAsia"/>
          <w:b/>
          <w:bCs/>
          <w:color w:val="auto"/>
          <w:kern w:val="2"/>
          <w:sz w:val="24"/>
          <w:szCs w:val="24"/>
          <w:highlight w:val="none"/>
          <w:u w:val="single"/>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某编号    </w:t>
      </w:r>
    </w:p>
    <w:tbl>
      <w:tblPr>
        <w:tblStyle w:val="5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5342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8F3F4C4">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43B23486">
            <w:pPr>
              <w:rPr>
                <w:rFonts w:cs="宋体" w:asciiTheme="minorEastAsia" w:hAnsiTheme="minorEastAsia" w:eastAsiaTheme="minorEastAsia"/>
                <w:b/>
                <w:color w:val="auto"/>
                <w:kern w:val="2"/>
                <w:sz w:val="24"/>
                <w:szCs w:val="24"/>
                <w:highlight w:val="none"/>
              </w:rPr>
            </w:pPr>
          </w:p>
        </w:tc>
      </w:tr>
      <w:tr w14:paraId="3B38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C846408">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谈判</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348E2286">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 xml:space="preserve">全部 </w:t>
            </w:r>
          </w:p>
        </w:tc>
      </w:tr>
      <w:tr w14:paraId="6AC6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487EBF7">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75E22C43">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267B23CE">
            <w:pPr>
              <w:snapToGrid w:val="0"/>
              <w:spacing w:line="360" w:lineRule="auto"/>
              <w:jc w:val="left"/>
              <w:rPr>
                <w:rFonts w:cs="宋体"/>
                <w:bCs/>
                <w:color w:val="auto"/>
                <w:sz w:val="21"/>
                <w:szCs w:val="21"/>
                <w:highlight w:val="none"/>
                <w:u w:val="single"/>
              </w:rPr>
            </w:pPr>
            <w:r>
              <w:rPr>
                <w:rFonts w:hint="eastAsia" w:cs="宋体"/>
                <w:bCs/>
                <w:color w:val="auto"/>
                <w:sz w:val="21"/>
                <w:szCs w:val="21"/>
                <w:highlight w:val="none"/>
              </w:rPr>
              <w:t>大写：</w:t>
            </w:r>
            <w:r>
              <w:rPr>
                <w:rFonts w:hint="eastAsia" w:cs="宋体"/>
                <w:bCs/>
                <w:color w:val="auto"/>
                <w:sz w:val="21"/>
                <w:szCs w:val="21"/>
                <w:highlight w:val="none"/>
                <w:u w:val="single"/>
              </w:rPr>
              <w:t xml:space="preserve">                     </w:t>
            </w:r>
          </w:p>
          <w:p w14:paraId="1FAD785C">
            <w:pPr>
              <w:snapToGrid w:val="0"/>
              <w:rPr>
                <w:rFonts w:cs="宋体" w:asciiTheme="minorEastAsia" w:hAnsiTheme="minorEastAsia" w:eastAsiaTheme="minorEastAsia"/>
                <w:b/>
                <w:color w:val="auto"/>
                <w:kern w:val="2"/>
                <w:sz w:val="24"/>
                <w:szCs w:val="24"/>
                <w:highlight w:val="none"/>
              </w:rPr>
            </w:pPr>
            <w:r>
              <w:rPr>
                <w:rFonts w:hint="eastAsia" w:cs="宋体"/>
                <w:bCs/>
                <w:color w:val="auto"/>
                <w:sz w:val="21"/>
                <w:szCs w:val="21"/>
                <w:highlight w:val="none"/>
              </w:rPr>
              <w:t>小写：</w:t>
            </w:r>
            <w:r>
              <w:rPr>
                <w:rFonts w:hint="eastAsia" w:cs="宋体"/>
                <w:bCs/>
                <w:color w:val="auto"/>
                <w:sz w:val="21"/>
                <w:szCs w:val="21"/>
                <w:highlight w:val="none"/>
                <w:u w:val="single"/>
              </w:rPr>
              <w:t xml:space="preserve">                     </w:t>
            </w:r>
          </w:p>
        </w:tc>
      </w:tr>
      <w:tr w14:paraId="7525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27DB7B20">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5B5C2850">
            <w:pPr>
              <w:snapToGrid w:val="0"/>
              <w:rPr>
                <w:rFonts w:cs="宋体" w:asciiTheme="minorEastAsia" w:hAnsiTheme="minorEastAsia" w:eastAsiaTheme="minorEastAsia"/>
                <w:b/>
                <w:color w:val="auto"/>
                <w:kern w:val="2"/>
                <w:sz w:val="24"/>
                <w:szCs w:val="24"/>
                <w:highlight w:val="none"/>
              </w:rPr>
            </w:pPr>
          </w:p>
        </w:tc>
      </w:tr>
      <w:tr w14:paraId="3EFE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5BF4D379">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19E4E221">
            <w:pPr>
              <w:snapToGrid w:val="0"/>
              <w:spacing w:line="360" w:lineRule="auto"/>
              <w:rPr>
                <w:rFonts w:hint="eastAsia" w:cs="宋体" w:asciiTheme="minorEastAsia" w:hAnsiTheme="minorEastAsia" w:eastAsiaTheme="minorEastAsia"/>
                <w:b/>
                <w:color w:val="auto"/>
                <w:kern w:val="2"/>
                <w:sz w:val="24"/>
                <w:szCs w:val="24"/>
                <w:highlight w:val="none"/>
                <w:lang w:eastAsia="zh-CN"/>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lang w:val="en-US" w:eastAsia="zh-CN"/>
              </w:rPr>
              <w:t xml:space="preserve">  </w:t>
            </w:r>
            <w:bookmarkStart w:id="669" w:name="_GoBack"/>
            <w:bookmarkEnd w:id="669"/>
            <w:r>
              <w:rPr>
                <w:rFonts w:hint="eastAsia" w:cs="宋体" w:asciiTheme="minorEastAsia" w:hAnsiTheme="minorEastAsia" w:eastAsiaTheme="minorEastAsia"/>
                <w:bCs/>
                <w:color w:val="auto"/>
                <w:kern w:val="2"/>
                <w:sz w:val="24"/>
                <w:szCs w:val="24"/>
                <w:highlight w:val="none"/>
                <w:u w:val="single"/>
                <w:lang w:val="en-US" w:eastAsia="zh-CN"/>
              </w:rPr>
              <w:t xml:space="preserve">   </w:t>
            </w:r>
            <w:r>
              <w:rPr>
                <w:rFonts w:hint="eastAsia" w:cs="宋体" w:asciiTheme="minorEastAsia" w:hAnsiTheme="minorEastAsia" w:eastAsiaTheme="minorEastAsia"/>
                <w:bCs/>
                <w:color w:val="auto"/>
                <w:kern w:val="2"/>
                <w:sz w:val="24"/>
                <w:szCs w:val="24"/>
                <w:highlight w:val="none"/>
              </w:rPr>
              <w:t>日历天完工</w:t>
            </w:r>
            <w:r>
              <w:rPr>
                <w:rFonts w:hint="eastAsia" w:cs="宋体" w:asciiTheme="minorEastAsia" w:hAnsiTheme="minorEastAsia" w:eastAsiaTheme="minorEastAsia"/>
                <w:bCs/>
                <w:color w:val="auto"/>
                <w:kern w:val="2"/>
                <w:sz w:val="24"/>
                <w:szCs w:val="24"/>
                <w:highlight w:val="none"/>
                <w:lang w:eastAsia="zh-CN"/>
              </w:rPr>
              <w:t>。供应商自报的承诺工期为考核标准。因供应商原因造成的工期延误，每推迟一天，按500元/天处以违约金。</w:t>
            </w:r>
          </w:p>
        </w:tc>
      </w:tr>
      <w:tr w14:paraId="23A5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5340B384">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5BF93DFC">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73F8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68ABE436">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49C90B95">
            <w:pPr>
              <w:rPr>
                <w:rFonts w:cs="宋体" w:asciiTheme="minorEastAsia" w:hAnsiTheme="minorEastAsia" w:eastAsiaTheme="minorEastAsia"/>
                <w:b/>
                <w:color w:val="auto"/>
                <w:kern w:val="2"/>
                <w:sz w:val="24"/>
                <w:szCs w:val="24"/>
                <w:highlight w:val="none"/>
              </w:rPr>
            </w:pPr>
          </w:p>
        </w:tc>
      </w:tr>
    </w:tbl>
    <w:p w14:paraId="22BC453D">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064E3D25">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2EF8B44C">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603EBD1B">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1.本表内容根据谈判文件要求包括了谈判文件要求提供的全部内容的所有费用。</w:t>
      </w:r>
    </w:p>
    <w:p w14:paraId="2D679295">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79607FAC">
      <w:pPr>
        <w:adjustRightInd w:val="0"/>
        <w:snapToGrid w:val="0"/>
        <w:spacing w:line="360" w:lineRule="auto"/>
        <w:ind w:firstLine="482" w:firstLineChars="200"/>
        <w:rPr>
          <w:rFonts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val="en-US" w:eastAsia="zh-CN"/>
        </w:rPr>
        <w:t>3</w:t>
      </w:r>
      <w:r>
        <w:rPr>
          <w:rFonts w:hint="eastAsia" w:cs="@仿宋_GB2312" w:asciiTheme="minorEastAsia" w:hAnsiTheme="minorEastAsia" w:eastAsiaTheme="minorEastAsia"/>
          <w:b/>
          <w:bCs/>
          <w:color w:val="auto"/>
          <w:kern w:val="2"/>
          <w:sz w:val="24"/>
          <w:szCs w:val="24"/>
          <w:highlight w:val="none"/>
        </w:rPr>
        <w:t>.表中大写金额与小写金额不一致的，以大写金额为准。</w:t>
      </w:r>
    </w:p>
    <w:p w14:paraId="25FA0FFD">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313CBF7B">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341DE6B5">
      <w:pPr>
        <w:autoSpaceDE w:val="0"/>
        <w:autoSpaceDN w:val="0"/>
        <w:adjustRightInd w:val="0"/>
        <w:spacing w:before="20" w:after="20" w:line="360" w:lineRule="auto"/>
        <w:jc w:val="center"/>
        <w:outlineLvl w:val="2"/>
        <w:rPr>
          <w:rFonts w:cs="宋体" w:asciiTheme="minorEastAsia" w:hAnsiTheme="minorEastAsia" w:eastAsiaTheme="minorEastAsia"/>
          <w:b/>
          <w:color w:val="auto"/>
          <w:sz w:val="24"/>
          <w:szCs w:val="24"/>
          <w:highlight w:val="none"/>
        </w:rPr>
      </w:pPr>
      <w:bookmarkStart w:id="621" w:name="_Toc30688"/>
      <w:r>
        <w:rPr>
          <w:rFonts w:hint="eastAsia" w:cs="宋体" w:asciiTheme="minorEastAsia" w:hAnsiTheme="minorEastAsia" w:eastAsiaTheme="minorEastAsia"/>
          <w:b/>
          <w:color w:val="auto"/>
          <w:sz w:val="24"/>
          <w:szCs w:val="24"/>
          <w:highlight w:val="none"/>
        </w:rPr>
        <w:t>工程量清单报价书</w:t>
      </w:r>
      <w:bookmarkEnd w:id="621"/>
    </w:p>
    <w:p w14:paraId="5100E6F2">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3C5FA1F8">
      <w:pPr>
        <w:widowControl/>
        <w:jc w:val="left"/>
        <w:rPr>
          <w:b/>
          <w:bCs/>
          <w:color w:val="auto"/>
          <w:sz w:val="24"/>
          <w:szCs w:val="28"/>
          <w:highlight w:val="none"/>
        </w:rPr>
      </w:pPr>
      <w:r>
        <w:rPr>
          <w:b/>
          <w:bCs/>
          <w:color w:val="auto"/>
          <w:sz w:val="24"/>
          <w:szCs w:val="28"/>
          <w:highlight w:val="none"/>
        </w:rPr>
        <w:br w:type="page"/>
      </w:r>
    </w:p>
    <w:p w14:paraId="56E2141A">
      <w:pPr>
        <w:spacing w:line="360" w:lineRule="auto"/>
        <w:jc w:val="center"/>
        <w:outlineLvl w:val="1"/>
        <w:rPr>
          <w:rFonts w:asciiTheme="minorEastAsia" w:hAnsiTheme="minorEastAsia" w:eastAsiaTheme="minorEastAsia"/>
          <w:b/>
          <w:color w:val="auto"/>
          <w:sz w:val="24"/>
          <w:highlight w:val="none"/>
        </w:rPr>
      </w:pPr>
      <w:bookmarkStart w:id="622" w:name="_Toc461053087"/>
      <w:bookmarkStart w:id="623" w:name="_Toc461056632"/>
      <w:bookmarkStart w:id="624" w:name="_Toc520983588"/>
      <w:bookmarkStart w:id="625" w:name="_Toc19576"/>
      <w:bookmarkStart w:id="626" w:name="_Toc28658"/>
      <w:r>
        <w:rPr>
          <w:rFonts w:hint="eastAsia" w:asciiTheme="minorEastAsia" w:hAnsiTheme="minorEastAsia" w:eastAsiaTheme="minorEastAsia"/>
          <w:b/>
          <w:color w:val="auto"/>
          <w:sz w:val="24"/>
          <w:highlight w:val="none"/>
        </w:rPr>
        <w:t>二</w:t>
      </w:r>
      <w:bookmarkEnd w:id="622"/>
      <w:bookmarkEnd w:id="623"/>
      <w:r>
        <w:rPr>
          <w:rFonts w:hint="eastAsia" w:asciiTheme="minorEastAsia" w:hAnsiTheme="minorEastAsia" w:eastAsiaTheme="minorEastAsia"/>
          <w:b/>
          <w:color w:val="auto"/>
          <w:sz w:val="24"/>
          <w:highlight w:val="none"/>
        </w:rPr>
        <w:t>、最后承诺报价表</w:t>
      </w:r>
      <w:bookmarkEnd w:id="624"/>
      <w:bookmarkEnd w:id="625"/>
      <w:bookmarkEnd w:id="626"/>
    </w:p>
    <w:p w14:paraId="394CFFCC">
      <w:pPr>
        <w:spacing w:before="156" w:beforeLines="50" w:after="156" w:afterLines="50" w:line="360" w:lineRule="auto"/>
        <w:ind w:firstLine="236" w:firstLineChars="98"/>
        <w:jc w:val="center"/>
        <w:outlineLvl w:val="9"/>
        <w:rPr>
          <w:b/>
          <w:color w:val="auto"/>
          <w:sz w:val="24"/>
          <w:szCs w:val="28"/>
          <w:highlight w:val="none"/>
        </w:rPr>
      </w:pPr>
      <w:bookmarkStart w:id="627" w:name="_Toc16156"/>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27"/>
    </w:p>
    <w:p w14:paraId="5A57671C">
      <w:pPr>
        <w:snapToGrid w:val="0"/>
        <w:spacing w:line="360" w:lineRule="auto"/>
        <w:jc w:val="left"/>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p w14:paraId="642A9B40">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tbl>
      <w:tblPr>
        <w:tblStyle w:val="5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7778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667ABD11">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440F6862">
            <w:pPr>
              <w:rPr>
                <w:rFonts w:cs="宋体" w:asciiTheme="minorEastAsia" w:hAnsiTheme="minorEastAsia" w:eastAsiaTheme="minorEastAsia"/>
                <w:b/>
                <w:color w:val="auto"/>
                <w:kern w:val="2"/>
                <w:sz w:val="24"/>
                <w:szCs w:val="24"/>
                <w:highlight w:val="none"/>
              </w:rPr>
            </w:pPr>
          </w:p>
        </w:tc>
      </w:tr>
      <w:tr w14:paraId="64FA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30B9B64E">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谈判</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44602FA1">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0FB5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2E5C39F4">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3F32C929">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5BF55CDB">
            <w:pPr>
              <w:snapToGrid w:val="0"/>
              <w:spacing w:line="360" w:lineRule="auto"/>
              <w:jc w:val="left"/>
              <w:rPr>
                <w:rFonts w:cs="宋体"/>
                <w:bCs/>
                <w:color w:val="auto"/>
                <w:sz w:val="21"/>
                <w:szCs w:val="21"/>
                <w:highlight w:val="none"/>
                <w:u w:val="single"/>
              </w:rPr>
            </w:pPr>
            <w:r>
              <w:rPr>
                <w:rFonts w:hint="eastAsia" w:cs="宋体"/>
                <w:bCs/>
                <w:color w:val="auto"/>
                <w:sz w:val="21"/>
                <w:szCs w:val="21"/>
                <w:highlight w:val="none"/>
              </w:rPr>
              <w:t>大写：</w:t>
            </w:r>
            <w:r>
              <w:rPr>
                <w:rFonts w:hint="eastAsia" w:cs="宋体"/>
                <w:bCs/>
                <w:color w:val="auto"/>
                <w:sz w:val="21"/>
                <w:szCs w:val="21"/>
                <w:highlight w:val="none"/>
                <w:u w:val="single"/>
              </w:rPr>
              <w:t xml:space="preserve">                     </w:t>
            </w:r>
          </w:p>
          <w:p w14:paraId="4A92EAC1">
            <w:pPr>
              <w:snapToGrid w:val="0"/>
              <w:rPr>
                <w:rFonts w:cs="宋体" w:asciiTheme="minorEastAsia" w:hAnsiTheme="minorEastAsia" w:eastAsiaTheme="minorEastAsia"/>
                <w:b/>
                <w:color w:val="auto"/>
                <w:kern w:val="2"/>
                <w:sz w:val="24"/>
                <w:szCs w:val="24"/>
                <w:highlight w:val="none"/>
              </w:rPr>
            </w:pPr>
            <w:r>
              <w:rPr>
                <w:rFonts w:hint="eastAsia" w:cs="宋体"/>
                <w:bCs/>
                <w:color w:val="auto"/>
                <w:sz w:val="21"/>
                <w:szCs w:val="21"/>
                <w:highlight w:val="none"/>
              </w:rPr>
              <w:t>小写：</w:t>
            </w:r>
            <w:r>
              <w:rPr>
                <w:rFonts w:hint="eastAsia" w:cs="宋体"/>
                <w:bCs/>
                <w:color w:val="auto"/>
                <w:sz w:val="21"/>
                <w:szCs w:val="21"/>
                <w:highlight w:val="none"/>
                <w:u w:val="single"/>
              </w:rPr>
              <w:t xml:space="preserve">                     </w:t>
            </w:r>
          </w:p>
        </w:tc>
      </w:tr>
      <w:tr w14:paraId="0FAC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47181268">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1" w:type="pct"/>
            <w:vAlign w:val="center"/>
          </w:tcPr>
          <w:p w14:paraId="5EF01F22">
            <w:pPr>
              <w:snapToGrid w:val="0"/>
              <w:rPr>
                <w:rFonts w:cs="宋体" w:asciiTheme="minorEastAsia" w:hAnsiTheme="minorEastAsia" w:eastAsiaTheme="minorEastAsia"/>
                <w:b/>
                <w:color w:val="auto"/>
                <w:kern w:val="2"/>
                <w:sz w:val="24"/>
                <w:szCs w:val="24"/>
                <w:highlight w:val="none"/>
              </w:rPr>
            </w:pPr>
          </w:p>
        </w:tc>
      </w:tr>
      <w:tr w14:paraId="4F98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65A5DDD5">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1" w:type="pct"/>
            <w:vAlign w:val="center"/>
          </w:tcPr>
          <w:p w14:paraId="4F203BB6">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lang w:val="en-US" w:eastAsia="zh-CN"/>
              </w:rPr>
              <w:t xml:space="preserve">   </w:t>
            </w:r>
            <w:r>
              <w:rPr>
                <w:rFonts w:hint="eastAsia" w:cs="宋体" w:asciiTheme="minorEastAsia" w:hAnsiTheme="minorEastAsia" w:eastAsiaTheme="minorEastAsia"/>
                <w:bCs/>
                <w:color w:val="auto"/>
                <w:kern w:val="2"/>
                <w:sz w:val="24"/>
                <w:szCs w:val="24"/>
                <w:highlight w:val="none"/>
              </w:rPr>
              <w:t>日历天完工</w:t>
            </w:r>
            <w:r>
              <w:rPr>
                <w:rFonts w:hint="eastAsia" w:cs="宋体" w:asciiTheme="minorEastAsia" w:hAnsiTheme="minorEastAsia" w:eastAsiaTheme="minorEastAsia"/>
                <w:bCs/>
                <w:color w:val="auto"/>
                <w:kern w:val="2"/>
                <w:sz w:val="24"/>
                <w:szCs w:val="24"/>
                <w:highlight w:val="none"/>
                <w:lang w:eastAsia="zh-CN"/>
              </w:rPr>
              <w:t>。供应商自报的承诺工期为考核标准。因供应商原因造成的工期延误，每推迟一天，按500元/天处以违约金。</w:t>
            </w:r>
          </w:p>
        </w:tc>
      </w:tr>
      <w:tr w14:paraId="1335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42580CAC">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09573331">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2F8B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509" w:type="pct"/>
            <w:vAlign w:val="center"/>
          </w:tcPr>
          <w:p w14:paraId="6BB542EE">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61AF47AA">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（此处可补充谈判小组根据与供应商谈判情况变动的谈判文件的内容，包括采购需求中的技术、服务要求以及合同草案条款。）</w:t>
            </w:r>
          </w:p>
        </w:tc>
      </w:tr>
      <w:tr w14:paraId="4E78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509" w:type="pct"/>
            <w:vAlign w:val="center"/>
          </w:tcPr>
          <w:p w14:paraId="2CE5204A">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谈判小组签字</w:t>
            </w:r>
          </w:p>
        </w:tc>
        <w:tc>
          <w:tcPr>
            <w:tcW w:w="3491" w:type="pct"/>
          </w:tcPr>
          <w:p w14:paraId="628405B1">
            <w:pPr>
              <w:rPr>
                <w:rFonts w:cs="宋体" w:asciiTheme="minorEastAsia" w:hAnsiTheme="minorEastAsia" w:eastAsiaTheme="minorEastAsia"/>
                <w:b/>
                <w:color w:val="auto"/>
                <w:kern w:val="2"/>
                <w:sz w:val="24"/>
                <w:szCs w:val="24"/>
                <w:highlight w:val="none"/>
              </w:rPr>
            </w:pPr>
          </w:p>
        </w:tc>
      </w:tr>
    </w:tbl>
    <w:p w14:paraId="0C0E94FC">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390BC005">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10B07FFF">
      <w:pPr>
        <w:spacing w:line="360" w:lineRule="auto"/>
        <w:jc w:val="left"/>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590F0D4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w:t>
      </w:r>
      <w:r>
        <w:rPr>
          <w:rFonts w:hint="eastAsia" w:cs="@仿宋_GB2312"/>
          <w:b/>
          <w:bCs/>
          <w:color w:val="auto"/>
          <w:kern w:val="2"/>
          <w:sz w:val="24"/>
          <w:highlight w:val="none"/>
        </w:rPr>
        <w:t>本页《报价表》由供应商在接到报价通知后依据谈判情况填写,并在规定时间内提交。</w:t>
      </w:r>
      <w:r>
        <w:rPr>
          <w:rFonts w:hint="eastAsia" w:cs="宋体" w:asciiTheme="minorEastAsia" w:hAnsiTheme="minorEastAsia" w:eastAsiaTheme="minorEastAsia"/>
          <w:color w:val="auto"/>
          <w:kern w:val="2"/>
          <w:sz w:val="24"/>
          <w:szCs w:val="24"/>
          <w:highlight w:val="none"/>
        </w:rPr>
        <w:t>考虑谈判报价的方便，供应商在填写最后承诺报价后，（第一次报价-最后承诺报价）除以第一次报价后得出的优惠率视同为清单中全部分项工程量的优惠浮动值（特定分项优惠除外），而不考虑措施项目清单和规费税金清单的金额改变。</w:t>
      </w:r>
      <w:r>
        <w:rPr>
          <w:rFonts w:hint="eastAsia" w:cs="宋体" w:asciiTheme="minorEastAsia" w:hAnsiTheme="minorEastAsia" w:eastAsiaTheme="minorEastAsia"/>
          <w:bCs/>
          <w:color w:val="auto"/>
          <w:kern w:val="2"/>
          <w:sz w:val="24"/>
          <w:szCs w:val="24"/>
          <w:highlight w:val="none"/>
        </w:rPr>
        <w:t>此优惠率调整原则适用于合同内价格的计算及项目增减、变更时价格的计算。</w:t>
      </w:r>
    </w:p>
    <w:p w14:paraId="1F1BFEB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2.表中大写金额与小写金额不一致的，以大写金额为准。</w:t>
      </w:r>
    </w:p>
    <w:p w14:paraId="1987DF08">
      <w:pPr>
        <w:widowControl/>
        <w:jc w:val="left"/>
        <w:rPr>
          <w:rFonts w:cs="@仿宋_GB2312" w:asciiTheme="minorEastAsia" w:hAnsiTheme="minorEastAsia" w:eastAsiaTheme="minorEastAsia"/>
          <w:b/>
          <w:bCs/>
          <w:color w:val="auto"/>
          <w:kern w:val="2"/>
          <w:sz w:val="24"/>
          <w:szCs w:val="24"/>
          <w:highlight w:val="none"/>
        </w:rPr>
      </w:pPr>
      <w:r>
        <w:rPr>
          <w:bCs/>
          <w:color w:val="auto"/>
          <w:sz w:val="24"/>
          <w:highlight w:val="none"/>
        </w:rPr>
        <w:br w:type="page"/>
      </w:r>
      <w:bookmarkStart w:id="628" w:name="_Toc1235"/>
      <w:bookmarkStart w:id="629" w:name="_Toc15150"/>
      <w:bookmarkStart w:id="630"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628"/>
      <w:bookmarkEnd w:id="629"/>
    </w:p>
    <w:p w14:paraId="5FF12CA4">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03E7754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40556963">
      <w:pPr>
        <w:spacing w:line="360" w:lineRule="auto"/>
        <w:jc w:val="center"/>
        <w:outlineLvl w:val="1"/>
        <w:rPr>
          <w:rFonts w:asciiTheme="minorEastAsia" w:hAnsiTheme="minorEastAsia" w:eastAsiaTheme="minorEastAsia"/>
          <w:b/>
          <w:color w:val="auto"/>
          <w:sz w:val="24"/>
          <w:highlight w:val="none"/>
        </w:rPr>
      </w:pPr>
      <w:bookmarkStart w:id="631" w:name="_Toc6032"/>
      <w:bookmarkStart w:id="632" w:name="_Toc6969"/>
      <w:r>
        <w:rPr>
          <w:rFonts w:hint="eastAsia" w:asciiTheme="minorEastAsia" w:hAnsiTheme="minorEastAsia" w:eastAsiaTheme="minorEastAsia"/>
          <w:b/>
          <w:color w:val="auto"/>
          <w:sz w:val="24"/>
          <w:highlight w:val="none"/>
        </w:rPr>
        <w:t>四、谈判响应函</w:t>
      </w:r>
      <w:bookmarkEnd w:id="630"/>
      <w:bookmarkEnd w:id="631"/>
      <w:bookmarkEnd w:id="632"/>
    </w:p>
    <w:p w14:paraId="5109D588">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single"/>
          <w:lang w:eastAsia="zh-CN"/>
        </w:rPr>
        <w:t>采购人</w:t>
      </w:r>
    </w:p>
    <w:p w14:paraId="3A471EC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根据贵方的竞争性谈判公告和谈判邀请，我方兹宣布同意如下：</w:t>
      </w:r>
    </w:p>
    <w:p w14:paraId="4A08C0C8">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1.经踏勘项目现场和研究上述谈判文件的谈判须知、合同条款、图纸和工程建设技术标准及其他有关文件后，我方接受上述文件要求，并对工程量清单及最高投标限价无异议。我方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承诺按本谈判文件、施工图纸、合同条款和工程建设技术标准的条件、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0F1AF7CF">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2.我方已详细审核并确认全部谈判文件及有关附件，充分理解谈判价格不得低于企业个别成本有关规定。我方经成本核算，所填报的谈判报价不低于企业个别成本。</w:t>
      </w:r>
    </w:p>
    <w:p w14:paraId="4AC97685">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w:t>
      </w:r>
      <w:r>
        <w:rPr>
          <w:rFonts w:hint="eastAsia" w:cs="宋体"/>
          <w:color w:val="auto"/>
          <w:sz w:val="24"/>
          <w:szCs w:val="24"/>
          <w:highlight w:val="none"/>
          <w:lang w:eastAsia="zh-CN"/>
        </w:rPr>
        <w:t>谈判文件</w:t>
      </w:r>
      <w:r>
        <w:rPr>
          <w:rFonts w:hint="eastAsia" w:ascii="宋体" w:hAnsi="宋体" w:eastAsia="宋体" w:cs="宋体"/>
          <w:color w:val="auto"/>
          <w:sz w:val="24"/>
          <w:szCs w:val="24"/>
          <w:highlight w:val="none"/>
        </w:rPr>
        <w:t>约定的工期和</w:t>
      </w:r>
      <w:r>
        <w:rPr>
          <w:rFonts w:hint="eastAsia" w:cs="宋体"/>
          <w:color w:val="auto"/>
          <w:sz w:val="24"/>
          <w:szCs w:val="24"/>
          <w:highlight w:val="none"/>
          <w:lang w:eastAsia="zh-CN"/>
        </w:rPr>
        <w:t>谈判文件</w:t>
      </w:r>
      <w:r>
        <w:rPr>
          <w:rFonts w:hint="eastAsia" w:ascii="宋体" w:hAnsi="宋体" w:eastAsia="宋体" w:cs="宋体"/>
          <w:color w:val="auto"/>
          <w:sz w:val="24"/>
          <w:szCs w:val="24"/>
          <w:highlight w:val="none"/>
        </w:rPr>
        <w:t>或业主开工令的要求如期开工、工程质量达到合格标准、如期竣工并移交整个工程。</w:t>
      </w:r>
    </w:p>
    <w:p w14:paraId="2B4AE7FE">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w:t>
      </w:r>
      <w:r>
        <w:rPr>
          <w:rFonts w:hint="eastAsia" w:cs="宋体"/>
          <w:color w:val="auto"/>
          <w:kern w:val="2"/>
          <w:sz w:val="24"/>
          <w:szCs w:val="24"/>
          <w:highlight w:val="none"/>
          <w:lang w:eastAsia="zh-CN"/>
        </w:rPr>
        <w:t>谈判文件</w:t>
      </w:r>
      <w:r>
        <w:rPr>
          <w:rFonts w:hint="eastAsia" w:ascii="宋体" w:hAnsi="宋体" w:eastAsia="宋体" w:cs="宋体"/>
          <w:color w:val="auto"/>
          <w:kern w:val="2"/>
          <w:sz w:val="24"/>
          <w:szCs w:val="24"/>
          <w:highlight w:val="none"/>
        </w:rPr>
        <w:t>规定的</w:t>
      </w:r>
      <w:r>
        <w:rPr>
          <w:rFonts w:hint="eastAsia" w:cs="宋体"/>
          <w:color w:val="auto"/>
          <w:kern w:val="2"/>
          <w:sz w:val="24"/>
          <w:szCs w:val="24"/>
          <w:highlight w:val="none"/>
          <w:lang w:eastAsia="zh-CN"/>
        </w:rPr>
        <w:t>谈判有效期</w:t>
      </w:r>
      <w:r>
        <w:rPr>
          <w:rFonts w:hint="eastAsia" w:ascii="宋体" w:hAnsi="宋体" w:eastAsia="宋体" w:cs="宋体"/>
          <w:color w:val="auto"/>
          <w:kern w:val="2"/>
          <w:sz w:val="24"/>
          <w:szCs w:val="24"/>
          <w:highlight w:val="none"/>
        </w:rPr>
        <w:t>内有效，在此期间内如果成交，我方将受此约束。</w:t>
      </w:r>
    </w:p>
    <w:p w14:paraId="66EFEDE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w:t>
      </w:r>
      <w:r>
        <w:rPr>
          <w:rFonts w:hint="eastAsia" w:cs="宋体"/>
          <w:color w:val="auto"/>
          <w:kern w:val="2"/>
          <w:sz w:val="24"/>
          <w:szCs w:val="24"/>
          <w:highlight w:val="none"/>
          <w:lang w:eastAsia="zh-CN"/>
        </w:rPr>
        <w:t>谈判文件</w:t>
      </w:r>
      <w:r>
        <w:rPr>
          <w:rFonts w:hint="eastAsia" w:ascii="宋体" w:hAnsi="宋体" w:eastAsia="宋体" w:cs="宋体"/>
          <w:color w:val="auto"/>
          <w:kern w:val="2"/>
          <w:sz w:val="24"/>
          <w:szCs w:val="24"/>
          <w:highlight w:val="none"/>
        </w:rPr>
        <w:t>、</w:t>
      </w:r>
      <w:r>
        <w:rPr>
          <w:rFonts w:hint="eastAsia" w:cs="宋体"/>
          <w:color w:val="auto"/>
          <w:kern w:val="2"/>
          <w:sz w:val="24"/>
          <w:szCs w:val="24"/>
          <w:highlight w:val="none"/>
          <w:lang w:eastAsia="zh-CN"/>
        </w:rPr>
        <w:t>谈判文件</w:t>
      </w:r>
      <w:r>
        <w:rPr>
          <w:rFonts w:hint="eastAsia" w:ascii="宋体" w:hAnsi="宋体" w:eastAsia="宋体" w:cs="宋体"/>
          <w:color w:val="auto"/>
          <w:kern w:val="2"/>
          <w:sz w:val="24"/>
          <w:szCs w:val="24"/>
          <w:highlight w:val="none"/>
        </w:rPr>
        <w:t>澄清、修改、补充将成为约束双方的合同文件的组成部分。</w:t>
      </w:r>
    </w:p>
    <w:p w14:paraId="6D623042">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45A0D98A">
      <w:pPr>
        <w:spacing w:line="360" w:lineRule="auto"/>
        <w:ind w:firstLine="3600" w:firstLineChars="1500"/>
        <w:rPr>
          <w:rFonts w:cs="@仿宋_GB2312"/>
          <w:color w:val="auto"/>
          <w:kern w:val="2"/>
          <w:sz w:val="24"/>
          <w:highlight w:val="none"/>
        </w:rPr>
      </w:pPr>
    </w:p>
    <w:p w14:paraId="1A87F574">
      <w:pPr>
        <w:spacing w:line="360" w:lineRule="auto"/>
        <w:ind w:firstLine="3600" w:firstLineChars="15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408F9F31">
      <w:pPr>
        <w:spacing w:line="360" w:lineRule="auto"/>
        <w:ind w:firstLine="3600" w:firstLineChars="15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2BD00C2C">
      <w:pPr>
        <w:widowControl/>
        <w:jc w:val="left"/>
        <w:rPr>
          <w:color w:val="auto"/>
          <w:sz w:val="24"/>
          <w:highlight w:val="none"/>
        </w:rPr>
      </w:pPr>
      <w:r>
        <w:rPr>
          <w:color w:val="auto"/>
          <w:sz w:val="24"/>
          <w:highlight w:val="none"/>
        </w:rPr>
        <w:br w:type="page"/>
      </w:r>
    </w:p>
    <w:p w14:paraId="5E244742">
      <w:pPr>
        <w:spacing w:line="360" w:lineRule="auto"/>
        <w:jc w:val="center"/>
        <w:outlineLvl w:val="1"/>
        <w:rPr>
          <w:b/>
          <w:i/>
          <w:color w:val="auto"/>
          <w:sz w:val="24"/>
          <w:highlight w:val="none"/>
        </w:rPr>
      </w:pPr>
      <w:bookmarkStart w:id="633" w:name="_Toc2947"/>
      <w:bookmarkStart w:id="634" w:name="_Toc16222"/>
      <w:r>
        <w:rPr>
          <w:rFonts w:hint="eastAsia" w:asciiTheme="minorEastAsia" w:hAnsiTheme="minorEastAsia" w:eastAsiaTheme="minorEastAsia"/>
          <w:b/>
          <w:color w:val="auto"/>
          <w:sz w:val="24"/>
          <w:highlight w:val="none"/>
        </w:rPr>
        <w:t>五、</w:t>
      </w:r>
      <w:bookmarkEnd w:id="633"/>
      <w:bookmarkStart w:id="635" w:name="_Toc8658"/>
      <w:r>
        <w:rPr>
          <w:rFonts w:hint="eastAsia" w:asciiTheme="minorEastAsia" w:hAnsiTheme="minorEastAsia" w:eastAsiaTheme="minorEastAsia"/>
          <w:b/>
          <w:color w:val="auto"/>
          <w:sz w:val="24"/>
          <w:highlight w:val="none"/>
          <w:lang w:val="en-US" w:eastAsia="zh-CN"/>
        </w:rPr>
        <w:t>供应商资格声明书</w:t>
      </w:r>
      <w:bookmarkEnd w:id="634"/>
      <w:r>
        <w:rPr>
          <w:rFonts w:hint="eastAsia" w:asciiTheme="minorEastAsia" w:hAnsiTheme="minorEastAsia" w:eastAsiaTheme="minorEastAsia"/>
          <w:b/>
          <w:color w:val="auto"/>
          <w:sz w:val="24"/>
          <w:highlight w:val="none"/>
          <w:lang w:val="en-US" w:eastAsia="zh-CN"/>
        </w:rPr>
        <w:t xml:space="preserve"> </w:t>
      </w:r>
    </w:p>
    <w:p w14:paraId="428BCAAF">
      <w:pPr>
        <w:pStyle w:val="32"/>
        <w:spacing w:line="360" w:lineRule="auto"/>
        <w:outlineLvl w:val="9"/>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F887B8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在参与本次项目谈判中，我单位承诺：</w:t>
      </w:r>
    </w:p>
    <w:p w14:paraId="638FA05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4F3FFE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7EC8F7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5A3D663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6103D58">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53D4AAC5">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谈判</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w:t>
      </w:r>
      <w:r>
        <w:rPr>
          <w:rFonts w:hint="eastAsia" w:cs="宋体"/>
          <w:color w:val="auto"/>
          <w:kern w:val="2"/>
          <w:sz w:val="24"/>
          <w:szCs w:val="24"/>
          <w:highlight w:val="none"/>
          <w:lang w:val="en-US" w:eastAsia="zh-CN"/>
        </w:rPr>
        <w:t>谈判</w:t>
      </w:r>
      <w:r>
        <w:rPr>
          <w:rFonts w:hint="eastAsia" w:ascii="宋体" w:hAnsi="宋体" w:eastAsia="宋体" w:cs="宋体"/>
          <w:color w:val="auto"/>
          <w:kern w:val="2"/>
          <w:sz w:val="24"/>
          <w:szCs w:val="24"/>
          <w:highlight w:val="none"/>
        </w:rPr>
        <w:t>资格行为，且处于处罚期内的情况；</w:t>
      </w:r>
    </w:p>
    <w:p w14:paraId="0A619CD8">
      <w:pPr>
        <w:spacing w:line="360" w:lineRule="auto"/>
        <w:rPr>
          <w:rFonts w:hint="eastAsia"/>
          <w:color w:val="auto"/>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1085FE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4DA86D0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288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E836A66">
            <w:pPr>
              <w:keepNext w:val="0"/>
              <w:keepLines w:val="0"/>
              <w:pageBreakBefore w:val="0"/>
              <w:widowControl/>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42B0270B">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52025C05">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52F3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4987D93">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4B4070DE">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26536F19">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0304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ADBC968">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058FA02B">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56A704BA">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FAFF60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C38D5A7">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9F38A06">
      <w:pPr>
        <w:spacing w:line="360" w:lineRule="auto"/>
        <w:jc w:val="center"/>
        <w:outlineLvl w:val="9"/>
        <w:rPr>
          <w:b/>
          <w:i/>
          <w:color w:val="auto"/>
          <w:sz w:val="24"/>
          <w:highlight w:val="none"/>
        </w:r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bookmarkEnd w:id="635"/>
    <w:p w14:paraId="72E2C9EA">
      <w:pPr>
        <w:spacing w:line="360" w:lineRule="auto"/>
        <w:jc w:val="center"/>
        <w:outlineLvl w:val="1"/>
        <w:rPr>
          <w:rFonts w:hint="eastAsia" w:asciiTheme="minorEastAsia" w:hAnsiTheme="minorEastAsia" w:eastAsiaTheme="minorEastAsia"/>
          <w:b/>
          <w:color w:val="auto"/>
          <w:sz w:val="24"/>
          <w:highlight w:val="none"/>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bookmarkStart w:id="636" w:name="_Toc516969106"/>
      <w:bookmarkStart w:id="637" w:name="_Toc8203"/>
      <w:bookmarkStart w:id="638" w:name="_Toc204594911"/>
      <w:bookmarkStart w:id="639" w:name="_Toc121626298"/>
      <w:bookmarkStart w:id="640" w:name="_Toc520983594"/>
    </w:p>
    <w:p w14:paraId="41DDF3D1">
      <w:pPr>
        <w:spacing w:line="360" w:lineRule="auto"/>
        <w:jc w:val="center"/>
        <w:outlineLvl w:val="1"/>
        <w:rPr>
          <w:rFonts w:asciiTheme="minorEastAsia" w:hAnsiTheme="minorEastAsia" w:eastAsiaTheme="minorEastAsia"/>
          <w:b/>
          <w:color w:val="auto"/>
          <w:sz w:val="24"/>
          <w:highlight w:val="none"/>
        </w:rPr>
      </w:pPr>
      <w:bookmarkStart w:id="641" w:name="_Toc11666"/>
      <w:r>
        <w:rPr>
          <w:rFonts w:hint="eastAsia" w:asciiTheme="minorEastAsia" w:hAnsiTheme="minorEastAsia" w:eastAsiaTheme="minorEastAsia"/>
          <w:b/>
          <w:color w:val="auto"/>
          <w:sz w:val="24"/>
          <w:highlight w:val="none"/>
        </w:rPr>
        <w:t>六、授权书</w:t>
      </w:r>
      <w:bookmarkEnd w:id="636"/>
      <w:bookmarkEnd w:id="637"/>
      <w:bookmarkEnd w:id="638"/>
      <w:bookmarkEnd w:id="639"/>
      <w:bookmarkEnd w:id="640"/>
      <w:bookmarkEnd w:id="641"/>
    </w:p>
    <w:p w14:paraId="07756719">
      <w:pPr>
        <w:spacing w:line="360" w:lineRule="auto"/>
        <w:jc w:val="center"/>
        <w:rPr>
          <w:rFonts w:asciiTheme="minorEastAsia" w:hAnsiTheme="minorEastAsia" w:eastAsiaTheme="minorEastAsia"/>
          <w:b/>
          <w:color w:val="auto"/>
          <w:sz w:val="24"/>
          <w:highlight w:val="none"/>
        </w:rPr>
      </w:pPr>
    </w:p>
    <w:p w14:paraId="0672196A">
      <w:pPr>
        <w:pStyle w:val="30"/>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50B95E24">
      <w:pPr>
        <w:pStyle w:val="30"/>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7F6FD9DC">
      <w:pPr>
        <w:pStyle w:val="30"/>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73D0B431">
      <w:pPr>
        <w:pStyle w:val="30"/>
        <w:snapToGrid w:val="0"/>
        <w:spacing w:line="360" w:lineRule="auto"/>
        <w:ind w:firstLine="480" w:firstLineChars="200"/>
        <w:jc w:val="left"/>
        <w:rPr>
          <w:rFonts w:hAnsi="宋体" w:eastAsia="宋体"/>
          <w:color w:val="auto"/>
          <w:sz w:val="24"/>
          <w:highlight w:val="none"/>
        </w:rPr>
      </w:pPr>
    </w:p>
    <w:p w14:paraId="4682E3A7">
      <w:pPr>
        <w:pStyle w:val="30"/>
        <w:snapToGrid w:val="0"/>
        <w:spacing w:line="360" w:lineRule="auto"/>
        <w:ind w:firstLine="480" w:firstLineChars="200"/>
        <w:jc w:val="left"/>
        <w:rPr>
          <w:rFonts w:hAnsi="宋体" w:eastAsia="宋体"/>
          <w:color w:val="auto"/>
          <w:sz w:val="24"/>
          <w:highlight w:val="none"/>
        </w:rPr>
      </w:pPr>
    </w:p>
    <w:p w14:paraId="3FC1D29C">
      <w:pPr>
        <w:pStyle w:val="30"/>
        <w:snapToGrid w:val="0"/>
        <w:spacing w:line="360" w:lineRule="auto"/>
        <w:ind w:firstLine="480" w:firstLineChars="200"/>
        <w:jc w:val="left"/>
        <w:rPr>
          <w:rFonts w:hAnsi="宋体" w:eastAsia="宋体"/>
          <w:color w:val="auto"/>
          <w:sz w:val="24"/>
          <w:highlight w:val="none"/>
        </w:rPr>
      </w:pPr>
    </w:p>
    <w:p w14:paraId="7610B127">
      <w:pPr>
        <w:pStyle w:val="30"/>
        <w:snapToGrid w:val="0"/>
        <w:spacing w:line="360" w:lineRule="auto"/>
        <w:ind w:firstLine="480" w:firstLineChars="200"/>
        <w:jc w:val="left"/>
        <w:rPr>
          <w:rFonts w:hAnsi="宋体" w:eastAsia="宋体"/>
          <w:color w:val="auto"/>
          <w:sz w:val="24"/>
          <w:highlight w:val="none"/>
        </w:rPr>
      </w:pPr>
    </w:p>
    <w:p w14:paraId="7E7F358A">
      <w:pPr>
        <w:pStyle w:val="30"/>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08F9D80">
      <w:pPr>
        <w:pStyle w:val="30"/>
        <w:snapToGrid w:val="0"/>
        <w:spacing w:line="360" w:lineRule="auto"/>
        <w:ind w:firstLine="480" w:firstLineChars="200"/>
        <w:jc w:val="left"/>
        <w:rPr>
          <w:rFonts w:hAnsi="宋体" w:eastAsia="宋体"/>
          <w:color w:val="auto"/>
          <w:sz w:val="24"/>
          <w:szCs w:val="28"/>
          <w:highlight w:val="none"/>
        </w:rPr>
      </w:pPr>
    </w:p>
    <w:p w14:paraId="0A24FD07">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2A2A8817">
      <w:pPr>
        <w:spacing w:line="360" w:lineRule="auto"/>
        <w:rPr>
          <w:color w:val="auto"/>
          <w:sz w:val="24"/>
          <w:szCs w:val="28"/>
          <w:highlight w:val="none"/>
        </w:rPr>
      </w:pPr>
    </w:p>
    <w:p w14:paraId="0BA9E7C9">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供应商电子签章：</w:t>
      </w:r>
      <w:r>
        <w:rPr>
          <w:rFonts w:hint="eastAsia"/>
          <w:bCs/>
          <w:color w:val="auto"/>
          <w:sz w:val="24"/>
          <w:szCs w:val="28"/>
          <w:highlight w:val="none"/>
          <w:u w:val="single"/>
        </w:rPr>
        <w:t xml:space="preserve">                    </w:t>
      </w:r>
    </w:p>
    <w:p w14:paraId="14E0B96C">
      <w:pPr>
        <w:spacing w:line="360" w:lineRule="auto"/>
        <w:jc w:val="center"/>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7262CEDC">
      <w:pPr>
        <w:spacing w:line="360" w:lineRule="auto"/>
        <w:rPr>
          <w:color w:val="auto"/>
          <w:sz w:val="24"/>
          <w:szCs w:val="28"/>
          <w:highlight w:val="none"/>
        </w:rPr>
      </w:pPr>
    </w:p>
    <w:p w14:paraId="5B155DB6">
      <w:pPr>
        <w:spacing w:line="360" w:lineRule="auto"/>
        <w:rPr>
          <w:color w:val="auto"/>
          <w:sz w:val="24"/>
          <w:szCs w:val="28"/>
          <w:highlight w:val="none"/>
        </w:rPr>
      </w:pPr>
    </w:p>
    <w:p w14:paraId="042766A8">
      <w:pPr>
        <w:pStyle w:val="3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4D7B760">
      <w:pPr>
        <w:pStyle w:val="3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49BC3BD1">
      <w:pPr>
        <w:spacing w:line="360" w:lineRule="auto"/>
        <w:jc w:val="left"/>
        <w:rPr>
          <w:color w:val="auto"/>
          <w:sz w:val="24"/>
          <w:highlight w:val="none"/>
        </w:rPr>
      </w:pPr>
      <w:r>
        <w:rPr>
          <w:rFonts w:hint="eastAsia"/>
          <w:color w:val="auto"/>
          <w:sz w:val="24"/>
          <w:highlight w:val="none"/>
        </w:rPr>
        <w:t>2.法定代表人参加谈判的无需提供授权书，仅提供身份证明扫描件。</w:t>
      </w:r>
    </w:p>
    <w:p w14:paraId="532F015C">
      <w:pPr>
        <w:widowControl/>
        <w:jc w:val="left"/>
        <w:rPr>
          <w:color w:val="auto"/>
          <w:sz w:val="24"/>
          <w:highlight w:val="none"/>
        </w:rPr>
      </w:pPr>
      <w:r>
        <w:rPr>
          <w:color w:val="auto"/>
          <w:sz w:val="24"/>
          <w:highlight w:val="none"/>
        </w:rPr>
        <w:br w:type="page"/>
      </w:r>
    </w:p>
    <w:p w14:paraId="166F0A53">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42" w:name="_Toc24843"/>
      <w:bookmarkStart w:id="643" w:name="_Toc15839"/>
      <w:r>
        <w:rPr>
          <w:rFonts w:hint="eastAsia" w:cs="@仿宋_GB2312" w:asciiTheme="minorEastAsia" w:hAnsiTheme="minorEastAsia" w:eastAsiaTheme="minorEastAsia"/>
          <w:b/>
          <w:bCs/>
          <w:color w:val="auto"/>
          <w:kern w:val="2"/>
          <w:sz w:val="24"/>
          <w:szCs w:val="24"/>
          <w:highlight w:val="none"/>
        </w:rPr>
        <w:t>七、法定代表人身份证明书</w:t>
      </w:r>
      <w:bookmarkEnd w:id="642"/>
      <w:bookmarkEnd w:id="643"/>
    </w:p>
    <w:p w14:paraId="6A673DBB">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3BAF4021">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4C7F6C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6A11A1F7">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5C7148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1D0C7567">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58B0FD9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38A9C87D">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3E8A7E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08FEA0B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46B77A1A">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4C9F765B">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19169BCF">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1CB9A9EA">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76F44EF7">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46ECDFE6">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26A62CF2">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12574F71">
      <w:pPr>
        <w:widowControl/>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14D3389D">
      <w:pPr>
        <w:keepNext/>
        <w:keepLines/>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644" w:name="_Toc4373"/>
      <w:bookmarkStart w:id="645" w:name="_Toc32663"/>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、项目经理承诺书</w:t>
      </w:r>
      <w:bookmarkEnd w:id="644"/>
      <w:bookmarkEnd w:id="645"/>
    </w:p>
    <w:p w14:paraId="1E1D60A8">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none"/>
          <w:lang w:eastAsia="zh-CN"/>
        </w:rPr>
        <w:t>采购人</w:t>
      </w:r>
    </w:p>
    <w:p w14:paraId="6EAD0F7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w:t>
      </w:r>
      <w:r>
        <w:rPr>
          <w:rFonts w:hint="eastAsia" w:cs="宋体"/>
          <w:color w:val="auto"/>
          <w:kern w:val="2"/>
          <w:sz w:val="24"/>
          <w:szCs w:val="24"/>
          <w:highlight w:val="none"/>
          <w:lang w:eastAsia="zh-CN"/>
        </w:rPr>
        <w:t>谈判</w:t>
      </w:r>
      <w:r>
        <w:rPr>
          <w:rFonts w:hint="eastAsia" w:cs="宋体"/>
          <w:color w:val="auto"/>
          <w:kern w:val="2"/>
          <w:sz w:val="24"/>
          <w:szCs w:val="24"/>
          <w:highlight w:val="none"/>
        </w:rPr>
        <w:t>担任的项目经理，郑重承诺：</w:t>
      </w:r>
    </w:p>
    <w:p w14:paraId="71E31A82">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w:t>
      </w:r>
      <w:r>
        <w:rPr>
          <w:rFonts w:hint="eastAsia" w:cs="宋体"/>
          <w:color w:val="auto"/>
          <w:kern w:val="2"/>
          <w:sz w:val="24"/>
          <w:szCs w:val="24"/>
          <w:highlight w:val="none"/>
          <w:lang w:eastAsia="zh-CN"/>
        </w:rPr>
        <w:t>谈判</w:t>
      </w:r>
      <w:r>
        <w:rPr>
          <w:rFonts w:hint="eastAsia" w:cs="宋体"/>
          <w:color w:val="auto"/>
          <w:kern w:val="2"/>
          <w:sz w:val="24"/>
          <w:szCs w:val="24"/>
          <w:highlight w:val="none"/>
        </w:rPr>
        <w:t>而造假的行为。</w:t>
      </w:r>
    </w:p>
    <w:p w14:paraId="04456CDA">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w:t>
      </w:r>
      <w:r>
        <w:rPr>
          <w:rFonts w:hint="eastAsia" w:cs="宋体"/>
          <w:color w:val="auto"/>
          <w:kern w:val="2"/>
          <w:sz w:val="24"/>
          <w:szCs w:val="24"/>
          <w:highlight w:val="none"/>
          <w:lang w:val="en-US" w:eastAsia="zh-CN"/>
        </w:rPr>
        <w:t>谈判</w:t>
      </w:r>
      <w:r>
        <w:rPr>
          <w:rFonts w:hint="eastAsia" w:cs="宋体"/>
          <w:color w:val="auto"/>
          <w:kern w:val="2"/>
          <w:sz w:val="24"/>
          <w:szCs w:val="24"/>
          <w:highlight w:val="none"/>
        </w:rPr>
        <w:t>文件规定履约。</w:t>
      </w:r>
    </w:p>
    <w:p w14:paraId="211C690C">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22688AEB">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1ABA0D16">
      <w:pPr>
        <w:spacing w:line="360" w:lineRule="auto"/>
        <w:ind w:firstLine="480" w:firstLineChars="200"/>
        <w:rPr>
          <w:rFonts w:cs="宋体"/>
          <w:color w:val="auto"/>
          <w:kern w:val="2"/>
          <w:sz w:val="24"/>
          <w:szCs w:val="24"/>
          <w:highlight w:val="none"/>
        </w:rPr>
      </w:pPr>
    </w:p>
    <w:p w14:paraId="6C5A6DE5">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38237CFF">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290ACAC0">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07FACC05">
      <w:pPr>
        <w:spacing w:line="360" w:lineRule="auto"/>
        <w:ind w:firstLine="480" w:firstLineChars="200"/>
        <w:rPr>
          <w:rFonts w:cs="宋体"/>
          <w:color w:val="auto"/>
          <w:kern w:val="2"/>
          <w:sz w:val="24"/>
          <w:szCs w:val="24"/>
          <w:highlight w:val="none"/>
        </w:rPr>
      </w:pPr>
    </w:p>
    <w:p w14:paraId="3A002917">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656F406E">
      <w:pPr>
        <w:spacing w:line="360" w:lineRule="auto"/>
        <w:ind w:firstLine="4200" w:firstLineChars="1750"/>
        <w:rPr>
          <w:rFonts w:ascii="@仿宋_GB2312" w:eastAsia="@仿宋_GB2312" w:cs="宋体"/>
          <w:color w:val="auto"/>
          <w:kern w:val="2"/>
          <w:sz w:val="24"/>
          <w:szCs w:val="24"/>
          <w:highlight w:val="none"/>
          <w:lang w:val="zh-CN"/>
        </w:rPr>
      </w:pPr>
      <w:r>
        <w:rPr>
          <w:rFonts w:hint="eastAsia" w:ascii="@仿宋_GB2312" w:cs="@仿宋_GB2312"/>
          <w:color w:val="auto"/>
          <w:kern w:val="2"/>
          <w:sz w:val="24"/>
          <w:szCs w:val="28"/>
          <w:highlight w:val="none"/>
        </w:rPr>
        <w:br w:type="page"/>
      </w:r>
    </w:p>
    <w:p w14:paraId="4EAD70AC">
      <w:pPr>
        <w:spacing w:line="360" w:lineRule="auto"/>
        <w:jc w:val="center"/>
        <w:outlineLvl w:val="1"/>
        <w:rPr>
          <w:rFonts w:asciiTheme="minorEastAsia" w:hAnsiTheme="minorEastAsia" w:eastAsiaTheme="minorEastAsia"/>
          <w:b/>
          <w:color w:val="auto"/>
          <w:sz w:val="24"/>
          <w:highlight w:val="none"/>
        </w:rPr>
      </w:pPr>
      <w:bookmarkStart w:id="646" w:name="_Toc30935"/>
      <w:bookmarkStart w:id="647" w:name="_Toc30344"/>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、中小企业声明函</w:t>
      </w:r>
      <w:bookmarkEnd w:id="646"/>
      <w:bookmarkEnd w:id="647"/>
    </w:p>
    <w:p w14:paraId="45FE22FE">
      <w:pPr>
        <w:rPr>
          <w:rFonts w:asciiTheme="minorEastAsia" w:hAnsiTheme="minorEastAsia" w:eastAsiaTheme="minorEastAsia"/>
          <w:color w:val="auto"/>
          <w:sz w:val="24"/>
          <w:szCs w:val="24"/>
          <w:highlight w:val="none"/>
        </w:rPr>
      </w:pPr>
      <w:r>
        <w:rPr>
          <w:rFonts w:hint="eastAsia"/>
          <w:b w:val="0"/>
          <w:i/>
          <w:color w:val="auto"/>
          <w:sz w:val="24"/>
          <w:highlight w:val="none"/>
          <w:lang w:val="en-US" w:eastAsia="zh-CN"/>
        </w:rPr>
        <w:t xml:space="preserve"> </w:t>
      </w:r>
    </w:p>
    <w:p w14:paraId="70833344">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zh-CN"/>
        </w:rPr>
        <w:t>（单位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zh-CN"/>
        </w:rPr>
        <w:t>（项目</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1B1C122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1.</w:t>
      </w:r>
      <w:r>
        <w:rPr>
          <w:rFonts w:hint="eastAsia" w:cs="@仿宋_GB2312"/>
          <w:color w:val="auto"/>
          <w:kern w:val="2"/>
          <w:sz w:val="24"/>
          <w:szCs w:val="24"/>
          <w:highlight w:val="none"/>
          <w:u w:val="single"/>
          <w:lang w:val="zh-CN"/>
        </w:rPr>
        <w:t xml:space="preserve"> （标的名称）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112E6A3F">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2.</w:t>
      </w:r>
      <w:r>
        <w:rPr>
          <w:rFonts w:hint="eastAsia" w:cs="@仿宋_GB2312"/>
          <w:color w:val="auto"/>
          <w:kern w:val="2"/>
          <w:sz w:val="24"/>
          <w:szCs w:val="24"/>
          <w:highlight w:val="none"/>
          <w:u w:val="single"/>
          <w:lang w:val="zh-CN"/>
        </w:rPr>
        <w:t xml:space="preserve"> （标的名称）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7A2D5B35">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w:t>
      </w:r>
    </w:p>
    <w:p w14:paraId="5D324CC6">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621AE0F3">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7C7B5069">
      <w:pPr>
        <w:spacing w:line="360" w:lineRule="auto"/>
        <w:ind w:firstLine="435"/>
        <w:rPr>
          <w:rFonts w:cs="@仿宋_GB2312" w:asciiTheme="minorEastAsia" w:hAnsiTheme="minorEastAsia" w:eastAsiaTheme="minorEastAsia"/>
          <w:color w:val="auto"/>
          <w:kern w:val="2"/>
          <w:sz w:val="24"/>
          <w:szCs w:val="24"/>
          <w:highlight w:val="none"/>
        </w:rPr>
      </w:pPr>
    </w:p>
    <w:p w14:paraId="0FCA109F">
      <w:pPr>
        <w:spacing w:line="360" w:lineRule="auto"/>
        <w:ind w:firstLine="435"/>
        <w:rPr>
          <w:rFonts w:cs="@仿宋_GB2312" w:asciiTheme="minorEastAsia" w:hAnsiTheme="minorEastAsia" w:eastAsiaTheme="minorEastAsia"/>
          <w:color w:val="auto"/>
          <w:kern w:val="2"/>
          <w:sz w:val="24"/>
          <w:szCs w:val="24"/>
          <w:highlight w:val="none"/>
        </w:rPr>
      </w:pPr>
    </w:p>
    <w:p w14:paraId="6279806C">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4FA50B74">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6B7AE3F7">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16ACC49">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082C5231">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E31255B">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0FB36D2">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41DB90A5">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193EB1DE">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4AB69522">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57708ADB">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21282997">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5．填写示例：</w:t>
      </w:r>
      <w:r>
        <w:rPr>
          <w:rFonts w:hint="eastAsia" w:cs="宋体"/>
          <w:b/>
          <w:bCs/>
          <w:color w:val="auto"/>
          <w:kern w:val="2"/>
          <w:sz w:val="21"/>
          <w:szCs w:val="21"/>
          <w:highlight w:val="none"/>
          <w:u w:val="single"/>
        </w:rPr>
        <w:t>某标的名称</w:t>
      </w:r>
      <w:r>
        <w:rPr>
          <w:rFonts w:hint="eastAsia" w:cs="宋体"/>
          <w:b/>
          <w:bCs/>
          <w:color w:val="auto"/>
          <w:kern w:val="2"/>
          <w:sz w:val="21"/>
          <w:szCs w:val="21"/>
          <w:highlight w:val="none"/>
        </w:rPr>
        <w:t>（</w:t>
      </w:r>
      <w:r>
        <w:rPr>
          <w:rFonts w:hint="eastAsia" w:cs="宋体"/>
          <w:b/>
          <w:bCs/>
          <w:color w:val="auto"/>
          <w:kern w:val="2"/>
          <w:sz w:val="21"/>
          <w:szCs w:val="21"/>
          <w:highlight w:val="none"/>
          <w:u w:val="single"/>
        </w:rPr>
        <w:t>填写第三章采购需求前附表中明确的“标的名称”</w:t>
      </w:r>
      <w:r>
        <w:rPr>
          <w:rFonts w:hint="eastAsia" w:cs="宋体"/>
          <w:b/>
          <w:bCs/>
          <w:color w:val="auto"/>
          <w:kern w:val="2"/>
          <w:sz w:val="21"/>
          <w:szCs w:val="21"/>
          <w:highlight w:val="none"/>
        </w:rPr>
        <w:t>），属于</w:t>
      </w:r>
      <w:r>
        <w:rPr>
          <w:rFonts w:hint="eastAsia" w:cs="宋体"/>
          <w:b/>
          <w:bCs/>
          <w:color w:val="auto"/>
          <w:kern w:val="2"/>
          <w:sz w:val="21"/>
          <w:szCs w:val="21"/>
          <w:highlight w:val="none"/>
          <w:u w:val="single"/>
        </w:rPr>
        <w:t>（填写第三章采购需求前附表中明确的“所属行业”，如建筑业）</w:t>
      </w:r>
      <w:r>
        <w:rPr>
          <w:rFonts w:hint="eastAsia" w:cs="宋体"/>
          <w:b/>
          <w:bCs/>
          <w:color w:val="auto"/>
          <w:kern w:val="2"/>
          <w:sz w:val="21"/>
          <w:szCs w:val="21"/>
          <w:highlight w:val="none"/>
        </w:rPr>
        <w:t>行业；</w:t>
      </w:r>
      <w:r>
        <w:rPr>
          <w:rFonts w:hint="eastAsia" w:cs="宋体"/>
          <w:b/>
          <w:bCs/>
          <w:color w:val="auto"/>
          <w:kern w:val="2"/>
          <w:sz w:val="21"/>
          <w:szCs w:val="21"/>
          <w:highlight w:val="none"/>
          <w:lang w:eastAsia="zh-CN"/>
        </w:rPr>
        <w:t>承建</w:t>
      </w:r>
      <w:r>
        <w:rPr>
          <w:rFonts w:hint="eastAsia" w:cs="宋体"/>
          <w:b/>
          <w:bCs/>
          <w:color w:val="auto"/>
          <w:kern w:val="2"/>
          <w:sz w:val="21"/>
          <w:szCs w:val="21"/>
          <w:highlight w:val="none"/>
        </w:rPr>
        <w:t>企业为</w:t>
      </w:r>
      <w:r>
        <w:rPr>
          <w:rFonts w:hint="eastAsia" w:cs="宋体"/>
          <w:b/>
          <w:bCs/>
          <w:color w:val="auto"/>
          <w:kern w:val="2"/>
          <w:sz w:val="21"/>
          <w:szCs w:val="21"/>
          <w:highlight w:val="none"/>
          <w:u w:val="single"/>
          <w:lang w:val="zh-CN"/>
        </w:rPr>
        <w:t>某公司</w:t>
      </w:r>
      <w:r>
        <w:rPr>
          <w:rFonts w:hint="eastAsia" w:cs="宋体"/>
          <w:b/>
          <w:bCs/>
          <w:color w:val="auto"/>
          <w:kern w:val="2"/>
          <w:sz w:val="21"/>
          <w:szCs w:val="21"/>
          <w:highlight w:val="none"/>
        </w:rPr>
        <w:t>，</w:t>
      </w:r>
      <w:r>
        <w:rPr>
          <w:rFonts w:hint="eastAsia" w:cs="宋体"/>
          <w:b/>
          <w:bCs/>
          <w:color w:val="auto"/>
          <w:kern w:val="2"/>
          <w:sz w:val="21"/>
          <w:szCs w:val="21"/>
          <w:highlight w:val="none"/>
          <w:lang w:val="zh-CN"/>
        </w:rPr>
        <w:t>从业人员</w:t>
      </w:r>
      <w:r>
        <w:rPr>
          <w:rFonts w:hint="eastAsia" w:cs="宋体"/>
          <w:b/>
          <w:bCs/>
          <w:color w:val="auto"/>
          <w:kern w:val="2"/>
          <w:sz w:val="21"/>
          <w:szCs w:val="21"/>
          <w:highlight w:val="none"/>
          <w:u w:val="single"/>
        </w:rPr>
        <w:t>100</w:t>
      </w:r>
      <w:r>
        <w:rPr>
          <w:rFonts w:hint="eastAsia" w:cs="宋体"/>
          <w:b/>
          <w:bCs/>
          <w:color w:val="auto"/>
          <w:kern w:val="2"/>
          <w:sz w:val="21"/>
          <w:szCs w:val="21"/>
          <w:highlight w:val="none"/>
          <w:lang w:val="zh-CN"/>
        </w:rPr>
        <w:t>人</w:t>
      </w:r>
      <w:r>
        <w:rPr>
          <w:rFonts w:hint="eastAsia" w:cs="宋体"/>
          <w:b/>
          <w:bCs/>
          <w:color w:val="auto"/>
          <w:kern w:val="2"/>
          <w:sz w:val="21"/>
          <w:szCs w:val="21"/>
          <w:highlight w:val="none"/>
        </w:rPr>
        <w:t>，</w:t>
      </w:r>
      <w:r>
        <w:rPr>
          <w:rFonts w:hint="eastAsia" w:cs="宋体"/>
          <w:b/>
          <w:bCs/>
          <w:color w:val="auto"/>
          <w:kern w:val="2"/>
          <w:sz w:val="21"/>
          <w:szCs w:val="21"/>
          <w:highlight w:val="none"/>
          <w:lang w:val="zh-CN"/>
        </w:rPr>
        <w:t>营业收入为</w:t>
      </w:r>
      <w:r>
        <w:rPr>
          <w:rFonts w:hint="eastAsia" w:cs="宋体"/>
          <w:b/>
          <w:bCs/>
          <w:color w:val="auto"/>
          <w:kern w:val="2"/>
          <w:sz w:val="21"/>
          <w:szCs w:val="21"/>
          <w:highlight w:val="none"/>
          <w:u w:val="single"/>
        </w:rPr>
        <w:t>10000</w:t>
      </w:r>
      <w:r>
        <w:rPr>
          <w:rFonts w:hint="eastAsia" w:cs="宋体"/>
          <w:b/>
          <w:bCs/>
          <w:color w:val="auto"/>
          <w:kern w:val="2"/>
          <w:sz w:val="21"/>
          <w:szCs w:val="21"/>
          <w:highlight w:val="none"/>
          <w:lang w:val="zh-CN"/>
        </w:rPr>
        <w:t>万元</w:t>
      </w:r>
      <w:r>
        <w:rPr>
          <w:rFonts w:hint="eastAsia" w:cs="宋体"/>
          <w:b/>
          <w:bCs/>
          <w:color w:val="auto"/>
          <w:kern w:val="2"/>
          <w:sz w:val="21"/>
          <w:szCs w:val="21"/>
          <w:highlight w:val="none"/>
        </w:rPr>
        <w:t>，</w:t>
      </w:r>
      <w:r>
        <w:rPr>
          <w:rFonts w:hint="eastAsia" w:cs="宋体"/>
          <w:b/>
          <w:bCs/>
          <w:color w:val="auto"/>
          <w:kern w:val="2"/>
          <w:sz w:val="21"/>
          <w:szCs w:val="21"/>
          <w:highlight w:val="none"/>
          <w:lang w:val="zh-CN"/>
        </w:rPr>
        <w:t>资产总额为</w:t>
      </w:r>
      <w:r>
        <w:rPr>
          <w:rFonts w:hint="eastAsia" w:cs="宋体"/>
          <w:b/>
          <w:bCs/>
          <w:color w:val="auto"/>
          <w:kern w:val="2"/>
          <w:sz w:val="21"/>
          <w:szCs w:val="21"/>
          <w:highlight w:val="none"/>
          <w:u w:val="single"/>
        </w:rPr>
        <w:t>5000</w:t>
      </w:r>
      <w:r>
        <w:rPr>
          <w:rFonts w:hint="eastAsia" w:cs="宋体"/>
          <w:b/>
          <w:bCs/>
          <w:color w:val="auto"/>
          <w:kern w:val="2"/>
          <w:sz w:val="21"/>
          <w:szCs w:val="21"/>
          <w:highlight w:val="none"/>
          <w:lang w:val="zh-CN"/>
        </w:rPr>
        <w:t>万元</w:t>
      </w:r>
      <w:r>
        <w:rPr>
          <w:rFonts w:hint="eastAsia" w:cs="宋体"/>
          <w:b/>
          <w:bCs/>
          <w:color w:val="auto"/>
          <w:kern w:val="2"/>
          <w:sz w:val="21"/>
          <w:szCs w:val="21"/>
          <w:highlight w:val="none"/>
        </w:rPr>
        <w:t>，</w:t>
      </w:r>
      <w:r>
        <w:rPr>
          <w:rFonts w:hint="eastAsia" w:cs="宋体"/>
          <w:b/>
          <w:bCs/>
          <w:color w:val="auto"/>
          <w:kern w:val="2"/>
          <w:sz w:val="21"/>
          <w:szCs w:val="21"/>
          <w:highlight w:val="none"/>
          <w:lang w:val="zh-CN"/>
        </w:rPr>
        <w:t>属于</w:t>
      </w:r>
      <w:r>
        <w:rPr>
          <w:rFonts w:hint="eastAsia" w:cs="宋体"/>
          <w:b/>
          <w:bCs/>
          <w:color w:val="auto"/>
          <w:kern w:val="2"/>
          <w:sz w:val="21"/>
          <w:szCs w:val="21"/>
          <w:highlight w:val="none"/>
        </w:rPr>
        <w:t>中</w:t>
      </w:r>
      <w:r>
        <w:rPr>
          <w:rFonts w:hint="eastAsia" w:cs="宋体"/>
          <w:b/>
          <w:bCs/>
          <w:color w:val="auto"/>
          <w:kern w:val="2"/>
          <w:sz w:val="21"/>
          <w:szCs w:val="21"/>
          <w:highlight w:val="none"/>
          <w:u w:val="single"/>
          <w:lang w:val="zh-CN"/>
        </w:rPr>
        <w:t>型</w:t>
      </w:r>
      <w:r>
        <w:rPr>
          <w:rFonts w:hint="eastAsia" w:cs="宋体"/>
          <w:b/>
          <w:bCs/>
          <w:color w:val="auto"/>
          <w:kern w:val="2"/>
          <w:sz w:val="21"/>
          <w:szCs w:val="21"/>
          <w:highlight w:val="none"/>
          <w:lang w:val="zh-CN"/>
        </w:rPr>
        <w:t>企业</w:t>
      </w:r>
      <w:r>
        <w:rPr>
          <w:rFonts w:hint="eastAsia" w:cs="宋体"/>
          <w:b/>
          <w:bCs/>
          <w:color w:val="auto"/>
          <w:kern w:val="2"/>
          <w:sz w:val="21"/>
          <w:szCs w:val="21"/>
          <w:highlight w:val="none"/>
        </w:rPr>
        <w:t>[</w:t>
      </w:r>
      <w:r>
        <w:rPr>
          <w:rFonts w:hint="eastAsia" w:cs="宋体"/>
          <w:b/>
          <w:bCs/>
          <w:color w:val="auto"/>
          <w:kern w:val="2"/>
          <w:sz w:val="21"/>
          <w:szCs w:val="21"/>
          <w:highlight w:val="none"/>
          <w:lang w:val="en-US" w:eastAsia="zh-CN"/>
        </w:rPr>
        <w:t>供应商</w:t>
      </w:r>
      <w:r>
        <w:rPr>
          <w:rFonts w:hint="eastAsia" w:cs="宋体"/>
          <w:b/>
          <w:bCs/>
          <w:color w:val="auto"/>
          <w:kern w:val="2"/>
          <w:sz w:val="21"/>
          <w:szCs w:val="21"/>
          <w:highlight w:val="none"/>
        </w:rPr>
        <w:t>自行登录工业和信息化部官网进行中小企业规模类型自测（查询网址https://www.miit.gov.cn/）]。</w:t>
      </w:r>
    </w:p>
    <w:p w14:paraId="445EA083">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EA313D6">
      <w:pPr>
        <w:spacing w:line="360" w:lineRule="auto"/>
        <w:jc w:val="center"/>
        <w:outlineLvl w:val="1"/>
        <w:rPr>
          <w:rFonts w:asciiTheme="minorEastAsia" w:hAnsiTheme="minorEastAsia" w:eastAsiaTheme="minorEastAsia"/>
          <w:b/>
          <w:color w:val="auto"/>
          <w:sz w:val="24"/>
          <w:highlight w:val="none"/>
        </w:rPr>
      </w:pPr>
      <w:bookmarkStart w:id="648" w:name="_Toc28558"/>
      <w:bookmarkStart w:id="649" w:name="_Toc12123"/>
      <w:r>
        <w:rPr>
          <w:rFonts w:hint="eastAsia" w:asciiTheme="minorEastAsia" w:hAnsiTheme="minorEastAsia" w:eastAsiaTheme="minorEastAsia"/>
          <w:b/>
          <w:color w:val="auto"/>
          <w:sz w:val="24"/>
          <w:highlight w:val="none"/>
        </w:rPr>
        <w:t>十、残疾人福利性单位声明函</w:t>
      </w:r>
      <w:bookmarkEnd w:id="648"/>
      <w:bookmarkEnd w:id="649"/>
    </w:p>
    <w:p w14:paraId="023E64CB">
      <w:pPr>
        <w:pStyle w:val="20"/>
        <w:jc w:val="center"/>
        <w:rPr>
          <w:rFonts w:asciiTheme="minorEastAsia" w:hAnsiTheme="minorEastAsia" w:eastAsiaTheme="minorEastAsia"/>
          <w:color w:val="auto"/>
          <w:spacing w:val="6"/>
          <w:sz w:val="24"/>
          <w:szCs w:val="24"/>
          <w:highlight w:val="none"/>
        </w:rPr>
      </w:pPr>
      <w:r>
        <w:rPr>
          <w:rFonts w:hint="eastAsia" w:ascii="宋体" w:hAnsi="宋体" w:eastAsia="宋体"/>
          <w:b w:val="0"/>
          <w:i/>
          <w:color w:val="auto"/>
          <w:sz w:val="24"/>
          <w:highlight w:val="none"/>
          <w:lang w:val="en-US" w:eastAsia="zh-CN"/>
        </w:rPr>
        <w:t>（非残疾人福利性单位谈判，请删去“残疾人福利性单位声明函”）</w:t>
      </w:r>
    </w:p>
    <w:p w14:paraId="77742057">
      <w:pPr>
        <w:spacing w:line="360" w:lineRule="auto"/>
        <w:rPr>
          <w:rFonts w:cs="Times New Roman"/>
          <w:color w:val="auto"/>
          <w:spacing w:val="6"/>
          <w:kern w:val="2"/>
          <w:sz w:val="24"/>
          <w:szCs w:val="24"/>
          <w:highlight w:val="none"/>
        </w:rPr>
      </w:pPr>
    </w:p>
    <w:p w14:paraId="6BA9FBA6">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0247E70D">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4B3824FC">
      <w:pPr>
        <w:spacing w:line="360" w:lineRule="auto"/>
        <w:ind w:firstLine="4228" w:firstLineChars="1762"/>
        <w:rPr>
          <w:rFonts w:cs="Times New Roman"/>
          <w:color w:val="auto"/>
          <w:kern w:val="2"/>
          <w:sz w:val="24"/>
          <w:szCs w:val="24"/>
          <w:highlight w:val="none"/>
        </w:rPr>
      </w:pPr>
    </w:p>
    <w:p w14:paraId="67C1E17C">
      <w:pPr>
        <w:spacing w:line="360" w:lineRule="auto"/>
        <w:ind w:firstLine="4228" w:firstLineChars="1762"/>
        <w:rPr>
          <w:rFonts w:cs="Times New Roman"/>
          <w:color w:val="auto"/>
          <w:kern w:val="2"/>
          <w:sz w:val="24"/>
          <w:szCs w:val="24"/>
          <w:highlight w:val="none"/>
        </w:rPr>
      </w:pPr>
    </w:p>
    <w:p w14:paraId="1DFDCD0C">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470B8807">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51D1C03B">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0AFA094">
      <w:pPr>
        <w:spacing w:line="360" w:lineRule="auto"/>
        <w:jc w:val="center"/>
        <w:outlineLvl w:val="1"/>
        <w:rPr>
          <w:rFonts w:asciiTheme="minorEastAsia" w:hAnsiTheme="minorEastAsia" w:eastAsiaTheme="minorEastAsia"/>
          <w:b/>
          <w:color w:val="auto"/>
          <w:sz w:val="24"/>
          <w:highlight w:val="none"/>
        </w:rPr>
      </w:pPr>
      <w:bookmarkStart w:id="650" w:name="_Toc16830"/>
      <w:bookmarkStart w:id="651" w:name="_Toc15906"/>
      <w:bookmarkStart w:id="652"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、诚信履约承诺函</w:t>
      </w:r>
      <w:bookmarkEnd w:id="650"/>
      <w:bookmarkEnd w:id="651"/>
    </w:p>
    <w:p w14:paraId="23EFF63B">
      <w:pPr>
        <w:spacing w:line="360" w:lineRule="auto"/>
        <w:rPr>
          <w:rFonts w:cs="@仿宋_GB2312" w:asciiTheme="minorEastAsia" w:hAnsiTheme="minorEastAsia" w:eastAsiaTheme="minorEastAsia"/>
          <w:b/>
          <w:bCs/>
          <w:color w:val="auto"/>
          <w:kern w:val="2"/>
          <w:sz w:val="24"/>
          <w:highlight w:val="none"/>
        </w:rPr>
      </w:pPr>
    </w:p>
    <w:p w14:paraId="1357876D">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cs="@仿宋_GB2312" w:asciiTheme="minorEastAsia" w:hAnsiTheme="minorEastAsia" w:eastAsiaTheme="minorEastAsia"/>
          <w:b/>
          <w:bCs/>
          <w:color w:val="auto"/>
          <w:kern w:val="2"/>
          <w:sz w:val="24"/>
          <w:highlight w:val="none"/>
          <w:u w:val="none"/>
          <w:lang w:eastAsia="zh-CN"/>
        </w:rPr>
        <w:t>采购人</w:t>
      </w:r>
    </w:p>
    <w:p w14:paraId="6C757408">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572FD71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（1）中标或者成交后无正当理由拒不与采购人签订政府采购合同；</w:t>
      </w:r>
    </w:p>
    <w:p w14:paraId="528B2013">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5FFD9BAD">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7D6BB837">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7B7386CC">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745F59E4">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88482A0">
      <w:pPr>
        <w:spacing w:line="360" w:lineRule="auto"/>
        <w:rPr>
          <w:rFonts w:cs="@仿宋_GB2312" w:asciiTheme="minorEastAsia" w:hAnsiTheme="minorEastAsia" w:eastAsiaTheme="minorEastAsia"/>
          <w:bCs/>
          <w:color w:val="auto"/>
          <w:kern w:val="2"/>
          <w:sz w:val="24"/>
          <w:highlight w:val="none"/>
        </w:rPr>
      </w:pPr>
    </w:p>
    <w:p w14:paraId="092A6FD8">
      <w:pPr>
        <w:spacing w:line="360" w:lineRule="auto"/>
        <w:rPr>
          <w:rFonts w:cs="@仿宋_GB2312" w:asciiTheme="minorEastAsia" w:hAnsiTheme="minorEastAsia" w:eastAsiaTheme="minorEastAsia"/>
          <w:bCs/>
          <w:color w:val="auto"/>
          <w:kern w:val="2"/>
          <w:sz w:val="24"/>
          <w:highlight w:val="none"/>
        </w:rPr>
      </w:pPr>
    </w:p>
    <w:p w14:paraId="5A63C991">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07D750ED">
      <w:pPr>
        <w:spacing w:line="360" w:lineRule="auto"/>
        <w:ind w:firstLine="4320" w:firstLineChars="1800"/>
        <w:rPr>
          <w:rFonts w:asciiTheme="minorEastAsia" w:hAnsiTheme="minorEastAsia" w:eastAsiaTheme="minorEastAsia"/>
          <w:b/>
          <w:color w:val="auto"/>
          <w:sz w:val="24"/>
          <w:highlight w:val="non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41704021">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652"/>
    <w:p w14:paraId="1E958B06">
      <w:pPr>
        <w:spacing w:line="360" w:lineRule="auto"/>
        <w:jc w:val="center"/>
        <w:outlineLvl w:val="1"/>
        <w:rPr>
          <w:rFonts w:asciiTheme="minorEastAsia" w:hAnsiTheme="minorEastAsia" w:eastAsiaTheme="minorEastAsia"/>
          <w:b/>
          <w:color w:val="auto"/>
          <w:sz w:val="24"/>
          <w:highlight w:val="none"/>
        </w:rPr>
      </w:pPr>
      <w:bookmarkStart w:id="653" w:name="_Toc6061"/>
      <w:bookmarkStart w:id="654" w:name="_Toc1341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、其他相关证明材料</w:t>
      </w:r>
      <w:bookmarkEnd w:id="653"/>
      <w:bookmarkEnd w:id="654"/>
    </w:p>
    <w:p w14:paraId="42C3EE1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邀请、采购需求及评标方法和标准规定的相关证明文件。</w:t>
      </w:r>
    </w:p>
    <w:p w14:paraId="7084964D">
      <w:pPr>
        <w:spacing w:line="360" w:lineRule="auto"/>
        <w:ind w:firstLine="480" w:firstLineChars="200"/>
        <w:rPr>
          <w:rFonts w:asciiTheme="minorEastAsia" w:hAnsiTheme="minorEastAsia" w:eastAsiaTheme="minorEastAsia"/>
          <w:color w:val="auto"/>
          <w:sz w:val="24"/>
          <w:highlight w:val="none"/>
        </w:rPr>
      </w:pPr>
    </w:p>
    <w:p w14:paraId="0ED8E42A">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5D783A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634B4F34">
      <w:pPr>
        <w:pStyle w:val="52"/>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664DB770">
      <w:pPr>
        <w:widowControl/>
        <w:jc w:val="left"/>
        <w:rPr>
          <w:bCs/>
          <w:color w:val="auto"/>
          <w:sz w:val="24"/>
          <w:highlight w:val="none"/>
        </w:rPr>
      </w:pPr>
    </w:p>
    <w:p w14:paraId="7B3F8F9D">
      <w:pPr>
        <w:spacing w:line="360" w:lineRule="auto"/>
        <w:jc w:val="center"/>
        <w:outlineLvl w:val="0"/>
        <w:rPr>
          <w:b/>
          <w:bCs/>
          <w:color w:val="auto"/>
          <w:sz w:val="28"/>
          <w:highlight w:val="none"/>
        </w:rPr>
      </w:pPr>
      <w:bookmarkStart w:id="655" w:name="_Toc25478"/>
      <w:bookmarkStart w:id="656" w:name="_Toc921"/>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655"/>
      <w:bookmarkEnd w:id="656"/>
    </w:p>
    <w:p w14:paraId="064B6906">
      <w:pPr>
        <w:spacing w:line="360" w:lineRule="auto"/>
        <w:jc w:val="center"/>
        <w:outlineLvl w:val="1"/>
        <w:rPr>
          <w:rFonts w:ascii="仿宋" w:hAnsi="仿宋" w:eastAsia="仿宋" w:cs="仿宋"/>
          <w:b/>
          <w:bCs/>
          <w:color w:val="auto"/>
          <w:sz w:val="32"/>
          <w:szCs w:val="44"/>
          <w:highlight w:val="none"/>
        </w:rPr>
      </w:pPr>
      <w:bookmarkStart w:id="657" w:name="_Toc7450"/>
      <w:bookmarkStart w:id="658" w:name="_Toc30776"/>
      <w:r>
        <w:rPr>
          <w:rFonts w:hint="eastAsia" w:ascii="仿宋" w:hAnsi="仿宋" w:eastAsia="仿宋" w:cs="仿宋"/>
          <w:b/>
          <w:bCs/>
          <w:color w:val="auto"/>
          <w:sz w:val="32"/>
          <w:szCs w:val="44"/>
          <w:highlight w:val="none"/>
        </w:rPr>
        <w:t>询问函范本</w:t>
      </w:r>
      <w:bookmarkEnd w:id="657"/>
      <w:bookmarkEnd w:id="658"/>
    </w:p>
    <w:p w14:paraId="763A7628">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0C73ABE1">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2664FA9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137D76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59" w:name="_Toc13620"/>
      <w:r>
        <w:rPr>
          <w:rFonts w:hint="eastAsia" w:cs="仿宋" w:asciiTheme="minorEastAsia" w:hAnsiTheme="minorEastAsia" w:eastAsiaTheme="minorEastAsia"/>
          <w:color w:val="auto"/>
          <w:sz w:val="24"/>
          <w:szCs w:val="24"/>
          <w:highlight w:val="none"/>
        </w:rPr>
        <w:t>一、(事项一)</w:t>
      </w:r>
      <w:bookmarkEnd w:id="659"/>
    </w:p>
    <w:p w14:paraId="666DE06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5B563B3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868CCD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7B5A353">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60" w:name="_Toc14277"/>
      <w:r>
        <w:rPr>
          <w:rFonts w:hint="eastAsia" w:cs="仿宋" w:asciiTheme="minorEastAsia" w:hAnsiTheme="minorEastAsia" w:eastAsiaTheme="minorEastAsia"/>
          <w:color w:val="auto"/>
          <w:sz w:val="24"/>
          <w:szCs w:val="24"/>
          <w:highlight w:val="none"/>
        </w:rPr>
        <w:t>二、(事项二)</w:t>
      </w:r>
      <w:bookmarkEnd w:id="660"/>
    </w:p>
    <w:p w14:paraId="41E1C47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EECD9C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6C58BA7">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3D1B41C1">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F231AE6">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61798EDB">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138DF1C">
      <w:pPr>
        <w:jc w:val="center"/>
        <w:outlineLvl w:val="1"/>
        <w:rPr>
          <w:rFonts w:ascii="仿宋" w:hAnsi="仿宋" w:eastAsia="仿宋" w:cs="仿宋"/>
          <w:b/>
          <w:bCs/>
          <w:color w:val="auto"/>
          <w:sz w:val="32"/>
          <w:szCs w:val="44"/>
          <w:highlight w:val="none"/>
        </w:rPr>
      </w:pPr>
      <w:bookmarkStart w:id="661" w:name="_Toc16939"/>
      <w:bookmarkStart w:id="662" w:name="_Toc28125"/>
      <w:r>
        <w:rPr>
          <w:rFonts w:hint="eastAsia" w:ascii="仿宋" w:hAnsi="仿宋" w:eastAsia="仿宋" w:cs="仿宋"/>
          <w:b/>
          <w:bCs/>
          <w:color w:val="auto"/>
          <w:sz w:val="32"/>
          <w:szCs w:val="44"/>
          <w:highlight w:val="none"/>
        </w:rPr>
        <w:t>质疑函范本</w:t>
      </w:r>
      <w:bookmarkEnd w:id="661"/>
      <w:bookmarkEnd w:id="662"/>
    </w:p>
    <w:p w14:paraId="4634E69A">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663" w:name="_Toc21660"/>
      <w:r>
        <w:rPr>
          <w:rFonts w:hint="eastAsia" w:cs="仿宋" w:asciiTheme="minorEastAsia" w:hAnsiTheme="minorEastAsia" w:eastAsiaTheme="minorEastAsia"/>
          <w:b/>
          <w:bCs/>
          <w:color w:val="auto"/>
          <w:sz w:val="24"/>
          <w:szCs w:val="24"/>
          <w:highlight w:val="none"/>
        </w:rPr>
        <w:t>一、质疑供应商基本信息</w:t>
      </w:r>
      <w:bookmarkEnd w:id="663"/>
    </w:p>
    <w:p w14:paraId="60F9070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143088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58FCFD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DD2776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7D0FC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7BCBD0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F23C61F">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64" w:name="_Toc4238"/>
      <w:r>
        <w:rPr>
          <w:rFonts w:hint="eastAsia" w:cs="仿宋" w:asciiTheme="minorEastAsia" w:hAnsiTheme="minorEastAsia" w:eastAsiaTheme="minorEastAsia"/>
          <w:b/>
          <w:bCs/>
          <w:color w:val="auto"/>
          <w:sz w:val="24"/>
          <w:szCs w:val="24"/>
          <w:highlight w:val="none"/>
        </w:rPr>
        <w:t>二、质疑项目基本情况</w:t>
      </w:r>
      <w:bookmarkEnd w:id="664"/>
    </w:p>
    <w:p w14:paraId="546B5D8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1BAA1A2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C9EB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52D5C6A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3960DAD4">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65" w:name="_Toc10846"/>
      <w:r>
        <w:rPr>
          <w:rFonts w:hint="eastAsia" w:cs="仿宋" w:asciiTheme="minorEastAsia" w:hAnsiTheme="minorEastAsia" w:eastAsiaTheme="minorEastAsia"/>
          <w:b/>
          <w:bCs/>
          <w:color w:val="auto"/>
          <w:sz w:val="24"/>
          <w:szCs w:val="24"/>
          <w:highlight w:val="none"/>
        </w:rPr>
        <w:t>三、质疑事项具体内容</w:t>
      </w:r>
      <w:bookmarkEnd w:id="665"/>
    </w:p>
    <w:p w14:paraId="6D105BA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21FDB11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9220B9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500E6D6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1C99469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1AA1F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098D5E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E8CD5F5">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66" w:name="_Toc15784"/>
      <w:r>
        <w:rPr>
          <w:rFonts w:hint="eastAsia" w:cs="仿宋" w:asciiTheme="minorEastAsia" w:hAnsiTheme="minorEastAsia" w:eastAsiaTheme="minorEastAsia"/>
          <w:b/>
          <w:bCs/>
          <w:color w:val="auto"/>
          <w:sz w:val="24"/>
          <w:szCs w:val="24"/>
          <w:highlight w:val="none"/>
        </w:rPr>
        <w:t>四、与质疑事项相关的质疑请求</w:t>
      </w:r>
      <w:bookmarkEnd w:id="666"/>
    </w:p>
    <w:p w14:paraId="47D5F86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E32E9F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0F6A8AE">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F803E4C">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302808F">
      <w:pPr>
        <w:outlineLvl w:val="0"/>
        <w:rPr>
          <w:rFonts w:asciiTheme="minorEastAsia" w:hAnsiTheme="minorEastAsia" w:eastAsiaTheme="minorEastAsia"/>
          <w:b/>
          <w:color w:val="auto"/>
          <w:sz w:val="28"/>
          <w:szCs w:val="32"/>
          <w:highlight w:val="none"/>
        </w:rPr>
      </w:pPr>
      <w:bookmarkStart w:id="667" w:name="_Toc23661"/>
      <w:bookmarkStart w:id="668" w:name="_Toc17542"/>
      <w:r>
        <w:rPr>
          <w:rFonts w:hint="eastAsia" w:asciiTheme="minorEastAsia" w:hAnsiTheme="minorEastAsia" w:eastAsiaTheme="minorEastAsia"/>
          <w:b/>
          <w:color w:val="auto"/>
          <w:sz w:val="28"/>
          <w:szCs w:val="32"/>
          <w:highlight w:val="none"/>
        </w:rPr>
        <w:t>质疑函制作说明：</w:t>
      </w:r>
      <w:bookmarkEnd w:id="667"/>
      <w:bookmarkEnd w:id="668"/>
    </w:p>
    <w:p w14:paraId="38E718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6862A9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D648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C7D2F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33CD8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9E86A2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26CC52FB">
      <w:pPr>
        <w:pStyle w:val="27"/>
        <w:rPr>
          <w:rFonts w:hint="eastAsia" w:asciiTheme="minorEastAsia" w:hAnsiTheme="minorEastAsia" w:eastAsiaTheme="minorEastAsia"/>
          <w:color w:val="auto"/>
          <w:sz w:val="24"/>
          <w:highlight w:val="none"/>
        </w:rPr>
      </w:pPr>
    </w:p>
    <w:p w14:paraId="6B62E9DC">
      <w:pPr>
        <w:rPr>
          <w:rFonts w:hint="eastAsia" w:asciiTheme="minorEastAsia" w:hAnsiTheme="minorEastAsia" w:eastAsiaTheme="minorEastAsia"/>
          <w:color w:val="auto"/>
          <w:sz w:val="24"/>
          <w:highlight w:val="none"/>
        </w:rPr>
      </w:pPr>
    </w:p>
    <w:p w14:paraId="0BBAE708">
      <w:pPr>
        <w:pStyle w:val="27"/>
        <w:rPr>
          <w:rFonts w:hint="eastAsia" w:asciiTheme="minorEastAsia" w:hAnsiTheme="minorEastAsia" w:eastAsiaTheme="minorEastAsia"/>
          <w:color w:val="auto"/>
          <w:sz w:val="24"/>
          <w:highlight w:val="none"/>
        </w:rPr>
      </w:pPr>
    </w:p>
    <w:p w14:paraId="67F1D28A">
      <w:pPr>
        <w:rPr>
          <w:rFonts w:hint="eastAsia" w:asciiTheme="minorEastAsia" w:hAnsiTheme="minorEastAsia" w:eastAsiaTheme="minorEastAsia"/>
          <w:color w:val="auto"/>
          <w:sz w:val="24"/>
          <w:highlight w:val="none"/>
        </w:rPr>
      </w:pPr>
    </w:p>
    <w:p w14:paraId="3FE47BA5">
      <w:pPr>
        <w:pStyle w:val="27"/>
        <w:rPr>
          <w:rFonts w:hint="eastAsia" w:asciiTheme="minorEastAsia" w:hAnsiTheme="minorEastAsia" w:eastAsiaTheme="minorEastAsia"/>
          <w:color w:val="auto"/>
          <w:sz w:val="24"/>
          <w:highlight w:val="none"/>
        </w:rPr>
      </w:pPr>
    </w:p>
    <w:p w14:paraId="095BCD9E">
      <w:pPr>
        <w:rPr>
          <w:rFonts w:hint="eastAsia" w:asciiTheme="minorEastAsia" w:hAnsiTheme="minorEastAsia" w:eastAsiaTheme="minorEastAsia"/>
          <w:color w:val="auto"/>
          <w:sz w:val="24"/>
          <w:highlight w:val="none"/>
        </w:rPr>
      </w:pPr>
    </w:p>
    <w:p w14:paraId="5D51982F">
      <w:pPr>
        <w:pStyle w:val="27"/>
        <w:rPr>
          <w:rFonts w:hint="eastAsia" w:asciiTheme="minorEastAsia" w:hAnsiTheme="minorEastAsia" w:eastAsiaTheme="minorEastAsia"/>
          <w:color w:val="auto"/>
          <w:sz w:val="24"/>
          <w:highlight w:val="none"/>
        </w:rPr>
      </w:pPr>
    </w:p>
    <w:p w14:paraId="3DE1EF10">
      <w:pPr>
        <w:rPr>
          <w:rFonts w:hint="eastAsia" w:asciiTheme="minorEastAsia" w:hAnsiTheme="minorEastAsia" w:eastAsiaTheme="minorEastAsia"/>
          <w:color w:val="auto"/>
          <w:sz w:val="24"/>
          <w:highlight w:val="none"/>
        </w:rPr>
      </w:pPr>
    </w:p>
    <w:p w14:paraId="4C040B92">
      <w:pPr>
        <w:pStyle w:val="27"/>
        <w:rPr>
          <w:rFonts w:hint="eastAsia" w:asciiTheme="minorEastAsia" w:hAnsiTheme="minorEastAsia" w:eastAsiaTheme="minorEastAsia"/>
          <w:color w:val="auto"/>
          <w:sz w:val="24"/>
          <w:highlight w:val="none"/>
        </w:rPr>
      </w:pPr>
    </w:p>
    <w:p w14:paraId="26997B41">
      <w:pPr>
        <w:rPr>
          <w:rFonts w:hint="eastAsia" w:asciiTheme="minorEastAsia" w:hAnsiTheme="minorEastAsia" w:eastAsiaTheme="minorEastAsia"/>
          <w:color w:val="auto"/>
          <w:sz w:val="24"/>
          <w:highlight w:val="none"/>
        </w:rPr>
      </w:pPr>
    </w:p>
    <w:p w14:paraId="74A801D9">
      <w:pPr>
        <w:pStyle w:val="27"/>
        <w:rPr>
          <w:rFonts w:hint="eastAsia" w:asciiTheme="minorEastAsia" w:hAnsiTheme="minorEastAsia" w:eastAsiaTheme="minorEastAsia"/>
          <w:color w:val="auto"/>
          <w:sz w:val="24"/>
          <w:highlight w:val="none"/>
        </w:rPr>
      </w:pPr>
    </w:p>
    <w:p w14:paraId="29411D86">
      <w:pPr>
        <w:rPr>
          <w:rFonts w:hint="eastAsia" w:asciiTheme="minorEastAsia" w:hAnsiTheme="minorEastAsia" w:eastAsiaTheme="minorEastAsia"/>
          <w:color w:val="auto"/>
          <w:sz w:val="24"/>
          <w:highlight w:val="none"/>
        </w:rPr>
      </w:pPr>
    </w:p>
    <w:p w14:paraId="37F05CD5">
      <w:pPr>
        <w:pStyle w:val="27"/>
        <w:rPr>
          <w:rFonts w:hint="eastAsia" w:asciiTheme="minorEastAsia" w:hAnsiTheme="minorEastAsia" w:eastAsiaTheme="minorEastAsia"/>
          <w:color w:val="auto"/>
          <w:sz w:val="24"/>
          <w:highlight w:val="none"/>
        </w:rPr>
      </w:pPr>
    </w:p>
    <w:p w14:paraId="443CEB64">
      <w:pPr>
        <w:rPr>
          <w:rFonts w:hint="eastAsia" w:asciiTheme="minorEastAsia" w:hAnsiTheme="minorEastAsia" w:eastAsiaTheme="minorEastAsia"/>
          <w:color w:val="auto"/>
          <w:sz w:val="24"/>
          <w:highlight w:val="none"/>
        </w:rPr>
      </w:pPr>
    </w:p>
    <w:p w14:paraId="1D88B343">
      <w:pPr>
        <w:pStyle w:val="27"/>
        <w:rPr>
          <w:rFonts w:hint="eastAsia" w:asciiTheme="minorEastAsia" w:hAnsiTheme="minorEastAsia" w:eastAsiaTheme="minorEastAsia"/>
          <w:color w:val="auto"/>
          <w:sz w:val="24"/>
          <w:highlight w:val="none"/>
        </w:rPr>
      </w:pPr>
    </w:p>
    <w:p w14:paraId="130C9DDC">
      <w:pPr>
        <w:rPr>
          <w:rFonts w:hint="eastAsia" w:asciiTheme="minorEastAsia" w:hAnsiTheme="minorEastAsia" w:eastAsiaTheme="minorEastAsia"/>
          <w:color w:val="auto"/>
          <w:sz w:val="24"/>
          <w:highlight w:val="none"/>
        </w:rPr>
      </w:pPr>
    </w:p>
    <w:p w14:paraId="5D776ACE">
      <w:pPr>
        <w:pStyle w:val="27"/>
        <w:rPr>
          <w:rFonts w:hint="eastAsia" w:asciiTheme="minorEastAsia" w:hAnsiTheme="minorEastAsia" w:eastAsiaTheme="minorEastAsia"/>
          <w:color w:val="auto"/>
          <w:sz w:val="24"/>
          <w:highlight w:val="none"/>
        </w:rPr>
      </w:pPr>
    </w:p>
    <w:p w14:paraId="60AC673F">
      <w:pPr>
        <w:rPr>
          <w:rFonts w:hint="eastAsia" w:asciiTheme="minorEastAsia" w:hAnsiTheme="minorEastAsia" w:eastAsiaTheme="minorEastAsia"/>
          <w:color w:val="auto"/>
          <w:sz w:val="24"/>
          <w:highlight w:val="none"/>
        </w:rPr>
      </w:pPr>
    </w:p>
    <w:p w14:paraId="4391D0E5">
      <w:pPr>
        <w:pStyle w:val="27"/>
        <w:rPr>
          <w:rFonts w:hint="eastAsia" w:asciiTheme="minorEastAsia" w:hAnsiTheme="minorEastAsia" w:eastAsiaTheme="minorEastAsia"/>
          <w:color w:val="auto"/>
          <w:sz w:val="24"/>
          <w:highlight w:val="none"/>
        </w:rPr>
      </w:pPr>
    </w:p>
    <w:p w14:paraId="464D9982">
      <w:pPr>
        <w:rPr>
          <w:rFonts w:hint="eastAsia" w:asciiTheme="minorEastAsia" w:hAnsiTheme="minorEastAsia" w:eastAsiaTheme="minorEastAsia"/>
          <w:color w:val="auto"/>
          <w:sz w:val="24"/>
          <w:highlight w:val="none"/>
        </w:rPr>
      </w:pPr>
    </w:p>
    <w:p w14:paraId="08F9E81A">
      <w:pPr>
        <w:pStyle w:val="27"/>
        <w:rPr>
          <w:rFonts w:hint="eastAsia"/>
          <w:color w:val="auto"/>
          <w:highlight w:val="none"/>
        </w:rPr>
      </w:pPr>
    </w:p>
    <w:p w14:paraId="2765D64A">
      <w:pPr>
        <w:pStyle w:val="27"/>
        <w:rPr>
          <w:rFonts w:hint="eastAsia" w:asciiTheme="minorEastAsia" w:hAnsiTheme="minorEastAsia" w:eastAsiaTheme="minorEastAsia"/>
          <w:color w:val="auto"/>
          <w:sz w:val="24"/>
          <w:highlight w:val="none"/>
        </w:rPr>
      </w:pPr>
    </w:p>
    <w:p w14:paraId="7E25EFC7">
      <w:pPr>
        <w:rPr>
          <w:color w:val="auto"/>
          <w:highlight w:val="none"/>
        </w:rPr>
      </w:pP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F7078">
    <w:pPr>
      <w:pStyle w:val="3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F0C63">
    <w:pPr>
      <w:pStyle w:val="35"/>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3C42D">
                          <w:pPr>
                            <w:pStyle w:val="3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63C42D">
                    <w:pPr>
                      <w:pStyle w:val="3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D036C">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95216">
                          <w:pPr>
                            <w:pStyle w:val="3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8695216">
                    <w:pPr>
                      <w:pStyle w:val="3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4CBA1">
    <w:pPr>
      <w:pStyle w:val="36"/>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A9243">
    <w:pPr>
      <w:pStyle w:val="36"/>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CA1B2">
    <w:pPr>
      <w:pStyle w:val="36"/>
      <w:jc w:val="both"/>
      <w:rPr>
        <w:rFonts w:hint="eastAsia"/>
      </w:rPr>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2">
    <w:nsid w:val="506C173F"/>
    <w:multiLevelType w:val="singleLevel"/>
    <w:tmpl w:val="506C173F"/>
    <w:lvl w:ilvl="0" w:tentative="0">
      <w:start w:val="2"/>
      <w:numFmt w:val="chineseCounting"/>
      <w:suff w:val="nothing"/>
      <w:lvlText w:val="%1、"/>
      <w:lvlJc w:val="left"/>
      <w:rPr>
        <w:rFonts w:hint="eastAsia"/>
      </w:rPr>
    </w:lvl>
  </w:abstractNum>
  <w:abstractNum w:abstractNumId="3">
    <w:nsid w:val="5D27C42A"/>
    <w:multiLevelType w:val="singleLevel"/>
    <w:tmpl w:val="5D27C42A"/>
    <w:lvl w:ilvl="0" w:tentative="0">
      <w:start w:val="1"/>
      <w:numFmt w:val="decimal"/>
      <w:suff w:val="nothing"/>
      <w:lvlText w:val="（%1）"/>
      <w:lvlJc w:val="left"/>
    </w:lvl>
  </w:abstractNum>
  <w:abstractNum w:abstractNumId="4">
    <w:nsid w:val="7F7E5238"/>
    <w:multiLevelType w:val="multilevel"/>
    <w:tmpl w:val="7F7E5238"/>
    <w:lvl w:ilvl="0" w:tentative="0">
      <w:start w:val="1"/>
      <w:numFmt w:val="none"/>
      <w:pStyle w:val="17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7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80"/>
      <w:lvlText w:val="           "/>
      <w:lvlJc w:val="left"/>
      <w:pPr>
        <w:tabs>
          <w:tab w:val="left" w:pos="1440"/>
        </w:tabs>
        <w:ind w:left="1152" w:hanging="1152"/>
      </w:pPr>
      <w:rPr>
        <w:rFonts w:hint="eastAsia"/>
      </w:rPr>
    </w:lvl>
    <w:lvl w:ilvl="6" w:tentative="0">
      <w:start w:val="1"/>
      <w:numFmt w:val="decimal"/>
      <w:pStyle w:val="182"/>
      <w:lvlText w:val="%1.%2.%3.%4.%5.%6.%7"/>
      <w:lvlJc w:val="left"/>
      <w:pPr>
        <w:tabs>
          <w:tab w:val="left" w:pos="2520"/>
        </w:tabs>
        <w:ind w:left="1296" w:hanging="1296"/>
      </w:pPr>
      <w:rPr>
        <w:rFonts w:hint="eastAsia"/>
      </w:rPr>
    </w:lvl>
    <w:lvl w:ilvl="7" w:tentative="0">
      <w:start w:val="1"/>
      <w:numFmt w:val="decimal"/>
      <w:pStyle w:val="184"/>
      <w:lvlText w:val="%1.%2.%3.%4.%5.%6.%7.%8"/>
      <w:lvlJc w:val="left"/>
      <w:pPr>
        <w:tabs>
          <w:tab w:val="left" w:pos="1440"/>
        </w:tabs>
        <w:ind w:left="1440" w:hanging="1440"/>
      </w:pPr>
      <w:rPr>
        <w:rFonts w:hint="eastAsia"/>
      </w:rPr>
    </w:lvl>
    <w:lvl w:ilvl="8" w:tentative="0">
      <w:start w:val="1"/>
      <w:numFmt w:val="decimal"/>
      <w:pStyle w:val="186"/>
      <w:lvlText w:val="%1.%2.%3.%4.%5.%6.%7.%8.%9"/>
      <w:lvlJc w:val="left"/>
      <w:pPr>
        <w:tabs>
          <w:tab w:val="left" w:pos="1584"/>
        </w:tabs>
        <w:ind w:left="1584" w:hanging="1584"/>
      </w:pPr>
      <w:rPr>
        <w:rFonts w:hint="eastAsi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48D2"/>
    <w:rsid w:val="00066AD7"/>
    <w:rsid w:val="00070E0E"/>
    <w:rsid w:val="0007146E"/>
    <w:rsid w:val="0007385B"/>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068"/>
    <w:rsid w:val="000C1DB1"/>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448"/>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5F64"/>
    <w:rsid w:val="001571EE"/>
    <w:rsid w:val="00157856"/>
    <w:rsid w:val="00157B7B"/>
    <w:rsid w:val="00160729"/>
    <w:rsid w:val="0016455F"/>
    <w:rsid w:val="00165398"/>
    <w:rsid w:val="00166794"/>
    <w:rsid w:val="00166ED8"/>
    <w:rsid w:val="001714C9"/>
    <w:rsid w:val="00171515"/>
    <w:rsid w:val="00172073"/>
    <w:rsid w:val="001721FA"/>
    <w:rsid w:val="00172B93"/>
    <w:rsid w:val="0018119B"/>
    <w:rsid w:val="001844AB"/>
    <w:rsid w:val="001853C7"/>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503E"/>
    <w:rsid w:val="001D53B4"/>
    <w:rsid w:val="001E1835"/>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247F"/>
    <w:rsid w:val="00264F2E"/>
    <w:rsid w:val="00271245"/>
    <w:rsid w:val="00272B17"/>
    <w:rsid w:val="00273F66"/>
    <w:rsid w:val="00274A9E"/>
    <w:rsid w:val="00276BA1"/>
    <w:rsid w:val="00280984"/>
    <w:rsid w:val="002832CF"/>
    <w:rsid w:val="002835E3"/>
    <w:rsid w:val="00284542"/>
    <w:rsid w:val="002856FD"/>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2142"/>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10B9"/>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7D7"/>
    <w:rsid w:val="004D3D4B"/>
    <w:rsid w:val="004D4557"/>
    <w:rsid w:val="004D5498"/>
    <w:rsid w:val="004D66A5"/>
    <w:rsid w:val="004D6B00"/>
    <w:rsid w:val="004E1D50"/>
    <w:rsid w:val="004E3266"/>
    <w:rsid w:val="004E38BA"/>
    <w:rsid w:val="004E3EB6"/>
    <w:rsid w:val="004E50CA"/>
    <w:rsid w:val="004F27A0"/>
    <w:rsid w:val="0050027D"/>
    <w:rsid w:val="00501382"/>
    <w:rsid w:val="00502831"/>
    <w:rsid w:val="005048FB"/>
    <w:rsid w:val="00510798"/>
    <w:rsid w:val="005119B5"/>
    <w:rsid w:val="005125F1"/>
    <w:rsid w:val="005150CC"/>
    <w:rsid w:val="00524A11"/>
    <w:rsid w:val="00527768"/>
    <w:rsid w:val="00530EA4"/>
    <w:rsid w:val="005327FB"/>
    <w:rsid w:val="00533251"/>
    <w:rsid w:val="00533FCA"/>
    <w:rsid w:val="005346EF"/>
    <w:rsid w:val="005369F1"/>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4549"/>
    <w:rsid w:val="0060572E"/>
    <w:rsid w:val="00606EBA"/>
    <w:rsid w:val="00607471"/>
    <w:rsid w:val="00610A66"/>
    <w:rsid w:val="006119B8"/>
    <w:rsid w:val="00613177"/>
    <w:rsid w:val="00613F7C"/>
    <w:rsid w:val="00614BF2"/>
    <w:rsid w:val="0061557C"/>
    <w:rsid w:val="00623DE2"/>
    <w:rsid w:val="00627601"/>
    <w:rsid w:val="006300D0"/>
    <w:rsid w:val="00632012"/>
    <w:rsid w:val="00634694"/>
    <w:rsid w:val="00634D55"/>
    <w:rsid w:val="00636517"/>
    <w:rsid w:val="00636EE7"/>
    <w:rsid w:val="00637690"/>
    <w:rsid w:val="00637ED5"/>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DB1"/>
    <w:rsid w:val="00693404"/>
    <w:rsid w:val="006953D9"/>
    <w:rsid w:val="006A1269"/>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4550"/>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5E35"/>
    <w:rsid w:val="00830A4E"/>
    <w:rsid w:val="008334F8"/>
    <w:rsid w:val="00834249"/>
    <w:rsid w:val="00835FFD"/>
    <w:rsid w:val="0084381F"/>
    <w:rsid w:val="00843E35"/>
    <w:rsid w:val="008455A8"/>
    <w:rsid w:val="00845F72"/>
    <w:rsid w:val="0084791E"/>
    <w:rsid w:val="00850A91"/>
    <w:rsid w:val="008524CE"/>
    <w:rsid w:val="00857633"/>
    <w:rsid w:val="00862EAF"/>
    <w:rsid w:val="00863491"/>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633C"/>
    <w:rsid w:val="008D76DA"/>
    <w:rsid w:val="008D7DB2"/>
    <w:rsid w:val="008E449E"/>
    <w:rsid w:val="008E4BDD"/>
    <w:rsid w:val="008E770C"/>
    <w:rsid w:val="008F00F4"/>
    <w:rsid w:val="008F187F"/>
    <w:rsid w:val="008F402F"/>
    <w:rsid w:val="008F76E8"/>
    <w:rsid w:val="00904508"/>
    <w:rsid w:val="009078A1"/>
    <w:rsid w:val="00911E9C"/>
    <w:rsid w:val="0091345E"/>
    <w:rsid w:val="00917405"/>
    <w:rsid w:val="00920F7C"/>
    <w:rsid w:val="00922718"/>
    <w:rsid w:val="00924743"/>
    <w:rsid w:val="00932A87"/>
    <w:rsid w:val="00932F92"/>
    <w:rsid w:val="00934CAE"/>
    <w:rsid w:val="0093560E"/>
    <w:rsid w:val="0094257D"/>
    <w:rsid w:val="009443B6"/>
    <w:rsid w:val="00946F68"/>
    <w:rsid w:val="0095467C"/>
    <w:rsid w:val="00954A61"/>
    <w:rsid w:val="00955C6F"/>
    <w:rsid w:val="00956789"/>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E86"/>
    <w:rsid w:val="00A75185"/>
    <w:rsid w:val="00A754A0"/>
    <w:rsid w:val="00A757C3"/>
    <w:rsid w:val="00A75E5B"/>
    <w:rsid w:val="00A75F4B"/>
    <w:rsid w:val="00A7684A"/>
    <w:rsid w:val="00A77B8B"/>
    <w:rsid w:val="00A80C58"/>
    <w:rsid w:val="00A83B69"/>
    <w:rsid w:val="00A86533"/>
    <w:rsid w:val="00A91CA2"/>
    <w:rsid w:val="00A9220A"/>
    <w:rsid w:val="00A92FB8"/>
    <w:rsid w:val="00A948F1"/>
    <w:rsid w:val="00AA0BE3"/>
    <w:rsid w:val="00AA18F9"/>
    <w:rsid w:val="00AA1D7D"/>
    <w:rsid w:val="00AA2790"/>
    <w:rsid w:val="00AA3806"/>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39E3"/>
    <w:rsid w:val="00B06D36"/>
    <w:rsid w:val="00B12BC4"/>
    <w:rsid w:val="00B22838"/>
    <w:rsid w:val="00B30C9B"/>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27B"/>
    <w:rsid w:val="00B91826"/>
    <w:rsid w:val="00B91AEE"/>
    <w:rsid w:val="00B93568"/>
    <w:rsid w:val="00B95F5A"/>
    <w:rsid w:val="00B96EAD"/>
    <w:rsid w:val="00BA4B7C"/>
    <w:rsid w:val="00BA79F5"/>
    <w:rsid w:val="00BA7EA7"/>
    <w:rsid w:val="00BB30B2"/>
    <w:rsid w:val="00BB3AB6"/>
    <w:rsid w:val="00BB766D"/>
    <w:rsid w:val="00BC007B"/>
    <w:rsid w:val="00BC26BA"/>
    <w:rsid w:val="00BC35F8"/>
    <w:rsid w:val="00BC403F"/>
    <w:rsid w:val="00BC481B"/>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13A88"/>
    <w:rsid w:val="00C220FC"/>
    <w:rsid w:val="00C24DFA"/>
    <w:rsid w:val="00C24F9D"/>
    <w:rsid w:val="00C2521C"/>
    <w:rsid w:val="00C274C0"/>
    <w:rsid w:val="00C30182"/>
    <w:rsid w:val="00C31FC9"/>
    <w:rsid w:val="00C37581"/>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23D"/>
    <w:rsid w:val="00CB14E5"/>
    <w:rsid w:val="00CB218D"/>
    <w:rsid w:val="00CB377B"/>
    <w:rsid w:val="00CB5625"/>
    <w:rsid w:val="00CB5797"/>
    <w:rsid w:val="00CC1400"/>
    <w:rsid w:val="00CC1C17"/>
    <w:rsid w:val="00CC4F7F"/>
    <w:rsid w:val="00CD09E1"/>
    <w:rsid w:val="00CE1780"/>
    <w:rsid w:val="00CE4913"/>
    <w:rsid w:val="00CE66BD"/>
    <w:rsid w:val="00CF0671"/>
    <w:rsid w:val="00CF247A"/>
    <w:rsid w:val="00CF44AD"/>
    <w:rsid w:val="00CF4D7C"/>
    <w:rsid w:val="00CF4FC0"/>
    <w:rsid w:val="00CF7486"/>
    <w:rsid w:val="00D1072F"/>
    <w:rsid w:val="00D108A5"/>
    <w:rsid w:val="00D12CF8"/>
    <w:rsid w:val="00D14585"/>
    <w:rsid w:val="00D153C8"/>
    <w:rsid w:val="00D169F2"/>
    <w:rsid w:val="00D20EFF"/>
    <w:rsid w:val="00D236BB"/>
    <w:rsid w:val="00D3019D"/>
    <w:rsid w:val="00D31324"/>
    <w:rsid w:val="00D4386E"/>
    <w:rsid w:val="00D51432"/>
    <w:rsid w:val="00D53ED8"/>
    <w:rsid w:val="00D541A0"/>
    <w:rsid w:val="00D54BB8"/>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0F82"/>
    <w:rsid w:val="00D945DC"/>
    <w:rsid w:val="00D95E90"/>
    <w:rsid w:val="00D96126"/>
    <w:rsid w:val="00DA2FD5"/>
    <w:rsid w:val="00DB0C86"/>
    <w:rsid w:val="00DB4B1C"/>
    <w:rsid w:val="00DB5085"/>
    <w:rsid w:val="00DB619F"/>
    <w:rsid w:val="00DB7211"/>
    <w:rsid w:val="00DC1062"/>
    <w:rsid w:val="00DC132C"/>
    <w:rsid w:val="00DC181A"/>
    <w:rsid w:val="00DC5727"/>
    <w:rsid w:val="00DD149F"/>
    <w:rsid w:val="00DD43F0"/>
    <w:rsid w:val="00DD44DE"/>
    <w:rsid w:val="00DE09AB"/>
    <w:rsid w:val="00DE352F"/>
    <w:rsid w:val="00DE4A3F"/>
    <w:rsid w:val="00DE5A99"/>
    <w:rsid w:val="00DF4367"/>
    <w:rsid w:val="00DF7291"/>
    <w:rsid w:val="00E03FF0"/>
    <w:rsid w:val="00E0574A"/>
    <w:rsid w:val="00E1243D"/>
    <w:rsid w:val="00E12742"/>
    <w:rsid w:val="00E146D4"/>
    <w:rsid w:val="00E14815"/>
    <w:rsid w:val="00E21D37"/>
    <w:rsid w:val="00E220ED"/>
    <w:rsid w:val="00E22B44"/>
    <w:rsid w:val="00E233AD"/>
    <w:rsid w:val="00E2457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4BB4"/>
    <w:rsid w:val="00ED5C9F"/>
    <w:rsid w:val="00EE050C"/>
    <w:rsid w:val="00EE2113"/>
    <w:rsid w:val="00EE34D0"/>
    <w:rsid w:val="00EE5730"/>
    <w:rsid w:val="00EE6E9A"/>
    <w:rsid w:val="00EF2AC4"/>
    <w:rsid w:val="00EF397E"/>
    <w:rsid w:val="00F0340C"/>
    <w:rsid w:val="00F04CED"/>
    <w:rsid w:val="00F06F68"/>
    <w:rsid w:val="00F11241"/>
    <w:rsid w:val="00F11D35"/>
    <w:rsid w:val="00F15E9D"/>
    <w:rsid w:val="00F23FA7"/>
    <w:rsid w:val="00F24C2D"/>
    <w:rsid w:val="00F272C4"/>
    <w:rsid w:val="00F27D59"/>
    <w:rsid w:val="00F316E1"/>
    <w:rsid w:val="00F31BE4"/>
    <w:rsid w:val="00F32155"/>
    <w:rsid w:val="00F32A81"/>
    <w:rsid w:val="00F40C82"/>
    <w:rsid w:val="00F4197F"/>
    <w:rsid w:val="00F41F2C"/>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98D"/>
    <w:rsid w:val="00FB3171"/>
    <w:rsid w:val="00FB444E"/>
    <w:rsid w:val="00FB5DC9"/>
    <w:rsid w:val="00FC1439"/>
    <w:rsid w:val="00FC3F65"/>
    <w:rsid w:val="00FC5007"/>
    <w:rsid w:val="00FC724B"/>
    <w:rsid w:val="00FC7910"/>
    <w:rsid w:val="00FD01E0"/>
    <w:rsid w:val="00FD50FC"/>
    <w:rsid w:val="00FE1627"/>
    <w:rsid w:val="00FE2D4E"/>
    <w:rsid w:val="00FE4C3C"/>
    <w:rsid w:val="00FF092F"/>
    <w:rsid w:val="00FF0DA7"/>
    <w:rsid w:val="00FF2DF6"/>
    <w:rsid w:val="00FF44E0"/>
    <w:rsid w:val="00FF6C72"/>
    <w:rsid w:val="013435B5"/>
    <w:rsid w:val="015659DA"/>
    <w:rsid w:val="02486573"/>
    <w:rsid w:val="029C3B08"/>
    <w:rsid w:val="02E806FA"/>
    <w:rsid w:val="035F40DD"/>
    <w:rsid w:val="03EF075E"/>
    <w:rsid w:val="04643CEC"/>
    <w:rsid w:val="057535C8"/>
    <w:rsid w:val="05AC0D47"/>
    <w:rsid w:val="062C3E14"/>
    <w:rsid w:val="0672656F"/>
    <w:rsid w:val="06CE52A8"/>
    <w:rsid w:val="0710194F"/>
    <w:rsid w:val="0726460B"/>
    <w:rsid w:val="074D717F"/>
    <w:rsid w:val="079F4812"/>
    <w:rsid w:val="07B04F69"/>
    <w:rsid w:val="07C16525"/>
    <w:rsid w:val="07EC4BEA"/>
    <w:rsid w:val="08997B94"/>
    <w:rsid w:val="09731054"/>
    <w:rsid w:val="09B07E99"/>
    <w:rsid w:val="0A6D6A59"/>
    <w:rsid w:val="0AD835BA"/>
    <w:rsid w:val="0AF87D87"/>
    <w:rsid w:val="0B6D7C36"/>
    <w:rsid w:val="0BD115F6"/>
    <w:rsid w:val="0BE33FF4"/>
    <w:rsid w:val="0C6852C9"/>
    <w:rsid w:val="0C9C6D31"/>
    <w:rsid w:val="0CCC323C"/>
    <w:rsid w:val="0E194F31"/>
    <w:rsid w:val="0E6B25E0"/>
    <w:rsid w:val="0F7A244B"/>
    <w:rsid w:val="0F960BD1"/>
    <w:rsid w:val="0FFC3E38"/>
    <w:rsid w:val="102C27E7"/>
    <w:rsid w:val="103D2038"/>
    <w:rsid w:val="1056270F"/>
    <w:rsid w:val="117A5014"/>
    <w:rsid w:val="11956312"/>
    <w:rsid w:val="11A7297E"/>
    <w:rsid w:val="12067E67"/>
    <w:rsid w:val="12790979"/>
    <w:rsid w:val="12FC1310"/>
    <w:rsid w:val="13433B2C"/>
    <w:rsid w:val="14257B28"/>
    <w:rsid w:val="14442136"/>
    <w:rsid w:val="148C213F"/>
    <w:rsid w:val="16AB3022"/>
    <w:rsid w:val="17750F09"/>
    <w:rsid w:val="1784011D"/>
    <w:rsid w:val="17AF353E"/>
    <w:rsid w:val="183028D1"/>
    <w:rsid w:val="18F5648F"/>
    <w:rsid w:val="19AE222D"/>
    <w:rsid w:val="19E155F7"/>
    <w:rsid w:val="1CD5442F"/>
    <w:rsid w:val="1DE52AD1"/>
    <w:rsid w:val="1E2C10BC"/>
    <w:rsid w:val="1E711203"/>
    <w:rsid w:val="1EA41352"/>
    <w:rsid w:val="1F3276F4"/>
    <w:rsid w:val="1FEE0D9C"/>
    <w:rsid w:val="206155F1"/>
    <w:rsid w:val="20C11F53"/>
    <w:rsid w:val="21154D5A"/>
    <w:rsid w:val="23907598"/>
    <w:rsid w:val="23E06A22"/>
    <w:rsid w:val="242C3F8C"/>
    <w:rsid w:val="2449262D"/>
    <w:rsid w:val="24673AC7"/>
    <w:rsid w:val="246F40D7"/>
    <w:rsid w:val="24774A18"/>
    <w:rsid w:val="24A06DFA"/>
    <w:rsid w:val="25B10902"/>
    <w:rsid w:val="265F58F3"/>
    <w:rsid w:val="26D97A21"/>
    <w:rsid w:val="278A787E"/>
    <w:rsid w:val="27AA76B5"/>
    <w:rsid w:val="27BB0A3D"/>
    <w:rsid w:val="27E85AF1"/>
    <w:rsid w:val="28090FC9"/>
    <w:rsid w:val="28943FB7"/>
    <w:rsid w:val="2932795D"/>
    <w:rsid w:val="296333CC"/>
    <w:rsid w:val="297406FE"/>
    <w:rsid w:val="29B368CB"/>
    <w:rsid w:val="2B806CA3"/>
    <w:rsid w:val="2B9B0870"/>
    <w:rsid w:val="2BED6E09"/>
    <w:rsid w:val="2D1633EB"/>
    <w:rsid w:val="2DFA27F2"/>
    <w:rsid w:val="2E160EED"/>
    <w:rsid w:val="2E3D3BD6"/>
    <w:rsid w:val="2E4C78E1"/>
    <w:rsid w:val="302E5052"/>
    <w:rsid w:val="30522E72"/>
    <w:rsid w:val="31175F84"/>
    <w:rsid w:val="31321010"/>
    <w:rsid w:val="323E3A6F"/>
    <w:rsid w:val="32D94B0D"/>
    <w:rsid w:val="3321791E"/>
    <w:rsid w:val="342D7F28"/>
    <w:rsid w:val="345614B9"/>
    <w:rsid w:val="34CC64BD"/>
    <w:rsid w:val="350E7D08"/>
    <w:rsid w:val="361D268E"/>
    <w:rsid w:val="36E83F1F"/>
    <w:rsid w:val="377E398B"/>
    <w:rsid w:val="37A37610"/>
    <w:rsid w:val="380A4A95"/>
    <w:rsid w:val="38AF2CB3"/>
    <w:rsid w:val="39875C71"/>
    <w:rsid w:val="3A190B5C"/>
    <w:rsid w:val="3B92336A"/>
    <w:rsid w:val="3D464925"/>
    <w:rsid w:val="3E654273"/>
    <w:rsid w:val="3E8E1868"/>
    <w:rsid w:val="3F3426F2"/>
    <w:rsid w:val="3F8F0431"/>
    <w:rsid w:val="40254DC4"/>
    <w:rsid w:val="40746687"/>
    <w:rsid w:val="407B7BAD"/>
    <w:rsid w:val="41174523"/>
    <w:rsid w:val="42842924"/>
    <w:rsid w:val="432B3B11"/>
    <w:rsid w:val="43E678CC"/>
    <w:rsid w:val="45617CBE"/>
    <w:rsid w:val="45E85CE9"/>
    <w:rsid w:val="45F97EF6"/>
    <w:rsid w:val="465C4C5A"/>
    <w:rsid w:val="469E3992"/>
    <w:rsid w:val="472E5B48"/>
    <w:rsid w:val="47FA40E1"/>
    <w:rsid w:val="485E6108"/>
    <w:rsid w:val="48665B32"/>
    <w:rsid w:val="48743B3D"/>
    <w:rsid w:val="489C2933"/>
    <w:rsid w:val="49B276EA"/>
    <w:rsid w:val="49BF2A4F"/>
    <w:rsid w:val="4BBC7D76"/>
    <w:rsid w:val="4CB67A9B"/>
    <w:rsid w:val="4CCB12D0"/>
    <w:rsid w:val="4D4759EB"/>
    <w:rsid w:val="4D545FE5"/>
    <w:rsid w:val="4E3B1BCF"/>
    <w:rsid w:val="4EA15069"/>
    <w:rsid w:val="4F98311E"/>
    <w:rsid w:val="4FC350DF"/>
    <w:rsid w:val="4FE635FB"/>
    <w:rsid w:val="500718A1"/>
    <w:rsid w:val="51973BEE"/>
    <w:rsid w:val="51BF1FF4"/>
    <w:rsid w:val="520C480A"/>
    <w:rsid w:val="528559C7"/>
    <w:rsid w:val="52CB277F"/>
    <w:rsid w:val="53675FC4"/>
    <w:rsid w:val="53DD0E57"/>
    <w:rsid w:val="53F109E6"/>
    <w:rsid w:val="54CD3304"/>
    <w:rsid w:val="55131DDA"/>
    <w:rsid w:val="556C28C7"/>
    <w:rsid w:val="55FA7A9F"/>
    <w:rsid w:val="565B309E"/>
    <w:rsid w:val="566F774E"/>
    <w:rsid w:val="56C66210"/>
    <w:rsid w:val="57401AE5"/>
    <w:rsid w:val="575E22AF"/>
    <w:rsid w:val="5809250B"/>
    <w:rsid w:val="58170ED4"/>
    <w:rsid w:val="59BD150F"/>
    <w:rsid w:val="5A8E586C"/>
    <w:rsid w:val="5B64628F"/>
    <w:rsid w:val="5C391541"/>
    <w:rsid w:val="5CA01A5A"/>
    <w:rsid w:val="5D1350D5"/>
    <w:rsid w:val="5DF97B87"/>
    <w:rsid w:val="5E9241C4"/>
    <w:rsid w:val="5E9860A7"/>
    <w:rsid w:val="5F722862"/>
    <w:rsid w:val="5FC77254"/>
    <w:rsid w:val="60665609"/>
    <w:rsid w:val="60705C16"/>
    <w:rsid w:val="62006926"/>
    <w:rsid w:val="6295006F"/>
    <w:rsid w:val="64EA414E"/>
    <w:rsid w:val="660B3F47"/>
    <w:rsid w:val="669E6224"/>
    <w:rsid w:val="66A009FE"/>
    <w:rsid w:val="68FE6526"/>
    <w:rsid w:val="692F6511"/>
    <w:rsid w:val="696D0DB3"/>
    <w:rsid w:val="6A3B3D97"/>
    <w:rsid w:val="6B0F2FA0"/>
    <w:rsid w:val="6B3F6731"/>
    <w:rsid w:val="6BA95B9A"/>
    <w:rsid w:val="6C8E0AE9"/>
    <w:rsid w:val="6D674868"/>
    <w:rsid w:val="6D6904D2"/>
    <w:rsid w:val="6E087F44"/>
    <w:rsid w:val="6E414065"/>
    <w:rsid w:val="6E672132"/>
    <w:rsid w:val="6F4D6A39"/>
    <w:rsid w:val="72743DB7"/>
    <w:rsid w:val="727447D3"/>
    <w:rsid w:val="72C62AF2"/>
    <w:rsid w:val="730A0F49"/>
    <w:rsid w:val="736507F6"/>
    <w:rsid w:val="73693599"/>
    <w:rsid w:val="736E72E6"/>
    <w:rsid w:val="73C963C3"/>
    <w:rsid w:val="74940C67"/>
    <w:rsid w:val="74AE38FD"/>
    <w:rsid w:val="74FC2405"/>
    <w:rsid w:val="753F634B"/>
    <w:rsid w:val="76797C2F"/>
    <w:rsid w:val="76885478"/>
    <w:rsid w:val="76FC1307"/>
    <w:rsid w:val="775678A3"/>
    <w:rsid w:val="79015FB4"/>
    <w:rsid w:val="791443AA"/>
    <w:rsid w:val="79523AA4"/>
    <w:rsid w:val="795F2373"/>
    <w:rsid w:val="799B26EC"/>
    <w:rsid w:val="79FA090D"/>
    <w:rsid w:val="7A0B3779"/>
    <w:rsid w:val="7A560E98"/>
    <w:rsid w:val="7AFD5272"/>
    <w:rsid w:val="7B021ACD"/>
    <w:rsid w:val="7B1E7CC8"/>
    <w:rsid w:val="7B407BFE"/>
    <w:rsid w:val="7BD232B0"/>
    <w:rsid w:val="7BE424D4"/>
    <w:rsid w:val="7C312D2E"/>
    <w:rsid w:val="7CD42548"/>
    <w:rsid w:val="7D3B4910"/>
    <w:rsid w:val="7D8C689F"/>
    <w:rsid w:val="7F285D26"/>
    <w:rsid w:val="7FBA7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nhideWhenUsed="0" w:uiPriority="0" w:semiHidden="0" w:name="HTML Sample"/>
    <w:lsdException w:qFormat="1" w:uiPriority="99" w:name="HTML Typewriter"/>
    <w:lsdException w:qFormat="1"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93"/>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06"/>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95"/>
    <w:autoRedefine/>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00"/>
    <w:autoRedefine/>
    <w:qFormat/>
    <w:uiPriority w:val="0"/>
    <w:pPr>
      <w:keepNext/>
      <w:keepLines/>
      <w:spacing w:before="280" w:after="290" w:line="376" w:lineRule="auto"/>
      <w:outlineLvl w:val="3"/>
    </w:pPr>
    <w:rPr>
      <w:b/>
      <w:bCs/>
      <w:sz w:val="28"/>
      <w:szCs w:val="28"/>
    </w:rPr>
  </w:style>
  <w:style w:type="paragraph" w:styleId="7">
    <w:name w:val="heading 5"/>
    <w:basedOn w:val="1"/>
    <w:next w:val="1"/>
    <w:link w:val="107"/>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108"/>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109"/>
    <w:autoRedefine/>
    <w:qFormat/>
    <w:uiPriority w:val="0"/>
    <w:pPr>
      <w:tabs>
        <w:tab w:val="left" w:pos="1800"/>
        <w:tab w:val="clear" w:pos="1440"/>
      </w:tabs>
      <w:ind w:left="1276" w:hanging="1276"/>
      <w:outlineLvl w:val="6"/>
    </w:pPr>
  </w:style>
  <w:style w:type="paragraph" w:styleId="10">
    <w:name w:val="heading 8"/>
    <w:basedOn w:val="1"/>
    <w:next w:val="1"/>
    <w:link w:val="110"/>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11"/>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8">
    <w:name w:val="Default Paragraph Font"/>
    <w:autoRedefine/>
    <w:semiHidden/>
    <w:unhideWhenUsed/>
    <w:qFormat/>
    <w:uiPriority w:val="1"/>
  </w:style>
  <w:style w:type="table" w:default="1" w:styleId="56">
    <w:name w:val="Normal Table"/>
    <w:autoRedefine/>
    <w:semiHidden/>
    <w:unhideWhenUsed/>
    <w:qFormat/>
    <w:uiPriority w:val="99"/>
    <w:tblPr>
      <w:tblCellMar>
        <w:top w:w="0" w:type="dxa"/>
        <w:left w:w="108" w:type="dxa"/>
        <w:bottom w:w="0" w:type="dxa"/>
        <w:right w:w="108" w:type="dxa"/>
      </w:tblCellMar>
    </w:tblPr>
  </w:style>
  <w:style w:type="paragraph" w:customStyle="1" w:styleId="2">
    <w:name w:val="样式 ！正文 + 首行缩进:  2 字符"/>
    <w:basedOn w:val="1"/>
    <w:qFormat/>
    <w:uiPriority w:val="0"/>
    <w:pPr>
      <w:ind w:firstLine="480" w:firstLineChars="200"/>
    </w:pPr>
    <w:rPr>
      <w:rFonts w:hint="eastAsia" w:ascii="Arial" w:hAnsi="Arial" w:cs="宋体"/>
    </w:rPr>
  </w:style>
  <w:style w:type="paragraph" w:styleId="12">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autoRedefine/>
    <w:unhideWhenUsed/>
    <w:qFormat/>
    <w:uiPriority w:val="39"/>
    <w:pPr>
      <w:ind w:left="1260"/>
      <w:jc w:val="left"/>
    </w:pPr>
    <w:rPr>
      <w:rFonts w:ascii="Calibri" w:hAnsi="Calibri" w:cs="Calibri"/>
      <w:kern w:val="2"/>
      <w:sz w:val="18"/>
      <w:szCs w:val="18"/>
    </w:rPr>
  </w:style>
  <w:style w:type="paragraph" w:styleId="14">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autoRedefine/>
    <w:qFormat/>
    <w:uiPriority w:val="0"/>
    <w:pPr>
      <w:spacing w:before="152" w:after="160"/>
    </w:pPr>
    <w:rPr>
      <w:rFonts w:ascii="Arial" w:hAnsi="Arial" w:eastAsia="黑体" w:cs="Arial"/>
      <w:kern w:val="2"/>
    </w:rPr>
  </w:style>
  <w:style w:type="paragraph" w:styleId="16">
    <w:name w:val="Document Map"/>
    <w:basedOn w:val="1"/>
    <w:link w:val="155"/>
    <w:autoRedefine/>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92"/>
    <w:autoRedefine/>
    <w:qFormat/>
    <w:uiPriority w:val="0"/>
    <w:pPr>
      <w:jc w:val="left"/>
    </w:pPr>
    <w:rPr>
      <w:rFonts w:ascii="Arial" w:hAnsi="Arial" w:eastAsia="黑体" w:cs="Arial"/>
    </w:rPr>
  </w:style>
  <w:style w:type="paragraph" w:styleId="18">
    <w:name w:val="Salutation"/>
    <w:basedOn w:val="1"/>
    <w:next w:val="1"/>
    <w:link w:val="122"/>
    <w:autoRedefine/>
    <w:qFormat/>
    <w:uiPriority w:val="0"/>
    <w:rPr>
      <w:rFonts w:ascii="仿宋_GB2312" w:hAnsi="Times New Roman" w:eastAsia="仿宋_GB2312" w:cs="Times New Roman"/>
      <w:kern w:val="2"/>
      <w:sz w:val="28"/>
      <w:lang w:val="zh-CN"/>
    </w:rPr>
  </w:style>
  <w:style w:type="paragraph" w:styleId="19">
    <w:name w:val="Body Text 3"/>
    <w:basedOn w:val="1"/>
    <w:link w:val="141"/>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w:basedOn w:val="1"/>
    <w:link w:val="101"/>
    <w:autoRedefine/>
    <w:qFormat/>
    <w:uiPriority w:val="0"/>
    <w:pPr>
      <w:spacing w:after="120"/>
    </w:pPr>
    <w:rPr>
      <w:rFonts w:ascii="@微软简标宋" w:hAnsi="@微软简标宋" w:eastAsia="@微软简标宋" w:cs="@微软简标宋"/>
      <w:szCs w:val="24"/>
      <w:lang w:val="zh-CN"/>
    </w:rPr>
  </w:style>
  <w:style w:type="paragraph" w:styleId="21">
    <w:name w:val="Body Text Indent"/>
    <w:basedOn w:val="1"/>
    <w:next w:val="22"/>
    <w:link w:val="116"/>
    <w:autoRedefine/>
    <w:unhideWhenUsed/>
    <w:qFormat/>
    <w:uiPriority w:val="0"/>
    <w:pPr>
      <w:spacing w:after="120"/>
      <w:ind w:left="420" w:leftChars="200"/>
    </w:pPr>
    <w:rPr>
      <w:rFonts w:asciiTheme="minorHAnsi" w:hAnsiTheme="minorHAnsi"/>
      <w:kern w:val="2"/>
      <w:sz w:val="21"/>
      <w:szCs w:val="22"/>
    </w:rPr>
  </w:style>
  <w:style w:type="paragraph" w:styleId="22">
    <w:name w:val="envelope return"/>
    <w:basedOn w:val="1"/>
    <w:next w:val="23"/>
    <w:qFormat/>
    <w:uiPriority w:val="0"/>
    <w:pPr>
      <w:snapToGrid w:val="0"/>
    </w:pPr>
    <w:rPr>
      <w:rFonts w:ascii="Arial" w:hAnsi="Arial"/>
    </w:rPr>
  </w:style>
  <w:style w:type="paragraph" w:styleId="23">
    <w:name w:val="Title"/>
    <w:basedOn w:val="1"/>
    <w:next w:val="1"/>
    <w:link w:val="144"/>
    <w:autoRedefine/>
    <w:qFormat/>
    <w:uiPriority w:val="0"/>
    <w:pPr>
      <w:spacing w:before="0" w:after="0" w:line="360" w:lineRule="auto"/>
      <w:jc w:val="center"/>
    </w:pPr>
    <w:rPr>
      <w:rFonts w:ascii="宋体" w:hAnsi="宋体" w:eastAsia="黑体"/>
      <w:smallCaps/>
      <w:snapToGrid w:val="0"/>
      <w:sz w:val="44"/>
      <w:szCs w:val="24"/>
    </w:rPr>
  </w:style>
  <w:style w:type="paragraph" w:styleId="24">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5">
    <w:name w:val="List Continue"/>
    <w:basedOn w:val="1"/>
    <w:autoRedefine/>
    <w:qFormat/>
    <w:uiPriority w:val="0"/>
    <w:pPr>
      <w:spacing w:after="120"/>
      <w:ind w:left="420" w:leftChars="200"/>
    </w:pPr>
    <w:rPr>
      <w:rFonts w:ascii="Calibri" w:hAnsi="Calibri" w:cs="Times New Roman"/>
      <w:kern w:val="2"/>
      <w:sz w:val="21"/>
      <w:szCs w:val="22"/>
    </w:rPr>
  </w:style>
  <w:style w:type="paragraph" w:styleId="26">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7">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8">
    <w:name w:val="toc 5"/>
    <w:basedOn w:val="1"/>
    <w:next w:val="1"/>
    <w:autoRedefine/>
    <w:unhideWhenUsed/>
    <w:qFormat/>
    <w:uiPriority w:val="39"/>
    <w:pPr>
      <w:ind w:left="840"/>
      <w:jc w:val="left"/>
    </w:pPr>
    <w:rPr>
      <w:rFonts w:ascii="Calibri" w:hAnsi="Calibri" w:cs="Calibri"/>
      <w:kern w:val="2"/>
      <w:sz w:val="18"/>
      <w:szCs w:val="18"/>
    </w:rPr>
  </w:style>
  <w:style w:type="paragraph" w:styleId="29">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30">
    <w:name w:val="Plain Text"/>
    <w:basedOn w:val="1"/>
    <w:link w:val="81"/>
    <w:autoRedefine/>
    <w:qFormat/>
    <w:uiPriority w:val="0"/>
    <w:rPr>
      <w:rFonts w:hAnsi="Courier New" w:eastAsiaTheme="minorEastAsia"/>
      <w:szCs w:val="22"/>
    </w:rPr>
  </w:style>
  <w:style w:type="paragraph" w:styleId="31">
    <w:name w:val="toc 8"/>
    <w:basedOn w:val="1"/>
    <w:next w:val="1"/>
    <w:autoRedefine/>
    <w:unhideWhenUsed/>
    <w:qFormat/>
    <w:uiPriority w:val="39"/>
    <w:pPr>
      <w:ind w:left="1470"/>
      <w:jc w:val="left"/>
    </w:pPr>
    <w:rPr>
      <w:rFonts w:ascii="Calibri" w:hAnsi="Calibri" w:cs="Calibri"/>
      <w:kern w:val="2"/>
      <w:sz w:val="18"/>
      <w:szCs w:val="18"/>
    </w:rPr>
  </w:style>
  <w:style w:type="paragraph" w:styleId="32">
    <w:name w:val="Date"/>
    <w:basedOn w:val="1"/>
    <w:next w:val="1"/>
    <w:link w:val="88"/>
    <w:autoRedefine/>
    <w:qFormat/>
    <w:uiPriority w:val="0"/>
    <w:rPr>
      <w:rFonts w:ascii="Arial" w:hAnsi="Arial" w:cs="Arial"/>
      <w:b/>
      <w:sz w:val="28"/>
    </w:rPr>
  </w:style>
  <w:style w:type="paragraph" w:styleId="33">
    <w:name w:val="Body Text Indent 2"/>
    <w:basedOn w:val="1"/>
    <w:link w:val="137"/>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4">
    <w:name w:val="Balloon Text"/>
    <w:basedOn w:val="1"/>
    <w:link w:val="75"/>
    <w:autoRedefine/>
    <w:unhideWhenUsed/>
    <w:qFormat/>
    <w:uiPriority w:val="0"/>
    <w:rPr>
      <w:sz w:val="18"/>
      <w:szCs w:val="18"/>
    </w:rPr>
  </w:style>
  <w:style w:type="paragraph" w:styleId="35">
    <w:name w:val="footer"/>
    <w:basedOn w:val="1"/>
    <w:link w:val="80"/>
    <w:autoRedefine/>
    <w:unhideWhenUsed/>
    <w:qFormat/>
    <w:uiPriority w:val="99"/>
    <w:pPr>
      <w:tabs>
        <w:tab w:val="center" w:pos="4153"/>
        <w:tab w:val="right" w:pos="8306"/>
      </w:tabs>
      <w:snapToGrid w:val="0"/>
      <w:jc w:val="left"/>
    </w:pPr>
    <w:rPr>
      <w:sz w:val="18"/>
      <w:szCs w:val="18"/>
    </w:rPr>
  </w:style>
  <w:style w:type="paragraph" w:styleId="36">
    <w:name w:val="header"/>
    <w:basedOn w:val="1"/>
    <w:link w:val="7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7">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8">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9">
    <w:name w:val="toc 4"/>
    <w:basedOn w:val="1"/>
    <w:next w:val="1"/>
    <w:autoRedefine/>
    <w:unhideWhenUsed/>
    <w:qFormat/>
    <w:uiPriority w:val="39"/>
    <w:pPr>
      <w:ind w:left="630"/>
      <w:jc w:val="left"/>
    </w:pPr>
    <w:rPr>
      <w:rFonts w:ascii="Calibri" w:hAnsi="Calibri" w:cs="Calibri"/>
      <w:kern w:val="2"/>
      <w:sz w:val="18"/>
      <w:szCs w:val="18"/>
    </w:rPr>
  </w:style>
  <w:style w:type="paragraph" w:styleId="40">
    <w:name w:val="index heading"/>
    <w:basedOn w:val="1"/>
    <w:next w:val="41"/>
    <w:autoRedefine/>
    <w:semiHidden/>
    <w:qFormat/>
    <w:uiPriority w:val="0"/>
    <w:rPr>
      <w:rFonts w:ascii="Times New Roman" w:hAnsi="Times New Roman" w:cs="Times New Roman"/>
      <w:kern w:val="2"/>
      <w:sz w:val="21"/>
      <w:szCs w:val="24"/>
    </w:rPr>
  </w:style>
  <w:style w:type="paragraph" w:styleId="41">
    <w:name w:val="index 1"/>
    <w:basedOn w:val="1"/>
    <w:next w:val="1"/>
    <w:autoRedefine/>
    <w:qFormat/>
    <w:uiPriority w:val="0"/>
    <w:pPr>
      <w:jc w:val="center"/>
    </w:pPr>
    <w:rPr>
      <w:rFonts w:ascii="Arial" w:hAnsi="Arial" w:eastAsia="Arial" w:cs="Arial"/>
      <w:b/>
      <w:bCs/>
      <w:sz w:val="28"/>
    </w:rPr>
  </w:style>
  <w:style w:type="paragraph" w:styleId="42">
    <w:name w:val="Subtitle"/>
    <w:basedOn w:val="1"/>
    <w:link w:val="229"/>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3">
    <w:name w:val="List"/>
    <w:basedOn w:val="1"/>
    <w:autoRedefine/>
    <w:qFormat/>
    <w:uiPriority w:val="0"/>
    <w:pPr>
      <w:ind w:left="200" w:hanging="200" w:hangingChars="200"/>
    </w:pPr>
    <w:rPr>
      <w:rFonts w:ascii="Calibri" w:hAnsi="Calibri" w:cs="Times New Roman"/>
      <w:kern w:val="2"/>
      <w:sz w:val="21"/>
      <w:szCs w:val="22"/>
    </w:rPr>
  </w:style>
  <w:style w:type="paragraph" w:styleId="44">
    <w:name w:val="footnote text"/>
    <w:basedOn w:val="1"/>
    <w:link w:val="118"/>
    <w:autoRedefine/>
    <w:unhideWhenUsed/>
    <w:qFormat/>
    <w:uiPriority w:val="0"/>
    <w:pPr>
      <w:snapToGrid w:val="0"/>
      <w:jc w:val="left"/>
    </w:pPr>
    <w:rPr>
      <w:rFonts w:ascii="Times New Roman" w:hAnsi="Times New Roman" w:cs="Times New Roman"/>
      <w:kern w:val="2"/>
      <w:sz w:val="18"/>
      <w:szCs w:val="18"/>
      <w:lang w:val="zh-CN"/>
    </w:rPr>
  </w:style>
  <w:style w:type="paragraph" w:styleId="45">
    <w:name w:val="toc 6"/>
    <w:basedOn w:val="1"/>
    <w:next w:val="1"/>
    <w:autoRedefine/>
    <w:unhideWhenUsed/>
    <w:qFormat/>
    <w:uiPriority w:val="39"/>
    <w:pPr>
      <w:ind w:left="1050"/>
      <w:jc w:val="left"/>
    </w:pPr>
    <w:rPr>
      <w:rFonts w:ascii="Calibri" w:hAnsi="Calibri" w:cs="Calibri"/>
      <w:kern w:val="2"/>
      <w:sz w:val="18"/>
      <w:szCs w:val="18"/>
    </w:rPr>
  </w:style>
  <w:style w:type="paragraph" w:styleId="46">
    <w:name w:val="Body Text Indent 3"/>
    <w:basedOn w:val="1"/>
    <w:link w:val="136"/>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7">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8">
    <w:name w:val="toc 9"/>
    <w:basedOn w:val="1"/>
    <w:next w:val="1"/>
    <w:autoRedefine/>
    <w:unhideWhenUsed/>
    <w:qFormat/>
    <w:uiPriority w:val="39"/>
    <w:pPr>
      <w:ind w:left="1680"/>
      <w:jc w:val="left"/>
    </w:pPr>
    <w:rPr>
      <w:rFonts w:ascii="Calibri" w:hAnsi="Calibri" w:cs="Calibri"/>
      <w:kern w:val="2"/>
      <w:sz w:val="18"/>
      <w:szCs w:val="18"/>
    </w:rPr>
  </w:style>
  <w:style w:type="paragraph" w:styleId="49">
    <w:name w:val="Body Text 2"/>
    <w:basedOn w:val="1"/>
    <w:link w:val="140"/>
    <w:autoRedefine/>
    <w:qFormat/>
    <w:uiPriority w:val="0"/>
    <w:pPr>
      <w:spacing w:line="360" w:lineRule="auto"/>
    </w:pPr>
    <w:rPr>
      <w:rFonts w:hAnsi="Times New Roman" w:cs="Times New Roman"/>
      <w:spacing w:val="-20"/>
      <w:kern w:val="2"/>
      <w:sz w:val="28"/>
      <w:lang w:val="zh-CN"/>
    </w:rPr>
  </w:style>
  <w:style w:type="paragraph" w:styleId="50">
    <w:name w:val="List 4"/>
    <w:basedOn w:val="1"/>
    <w:autoRedefine/>
    <w:qFormat/>
    <w:uiPriority w:val="0"/>
    <w:pPr>
      <w:ind w:left="100" w:leftChars="600" w:hanging="200" w:hangingChars="200"/>
    </w:pPr>
    <w:rPr>
      <w:rFonts w:ascii="Calibri" w:hAnsi="Calibri" w:cs="Times New Roman"/>
      <w:kern w:val="2"/>
      <w:sz w:val="21"/>
      <w:szCs w:val="22"/>
    </w:rPr>
  </w:style>
  <w:style w:type="paragraph" w:styleId="51">
    <w:name w:val="List Continue 2"/>
    <w:basedOn w:val="1"/>
    <w:autoRedefine/>
    <w:qFormat/>
    <w:uiPriority w:val="0"/>
    <w:pPr>
      <w:spacing w:after="120"/>
      <w:ind w:left="840" w:leftChars="400"/>
    </w:pPr>
    <w:rPr>
      <w:rFonts w:ascii="Calibri" w:hAnsi="Calibri" w:cs="Times New Roman"/>
      <w:kern w:val="2"/>
      <w:sz w:val="21"/>
      <w:szCs w:val="22"/>
    </w:rPr>
  </w:style>
  <w:style w:type="paragraph" w:styleId="52">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3">
    <w:name w:val="annotation subject"/>
    <w:basedOn w:val="17"/>
    <w:next w:val="17"/>
    <w:link w:val="103"/>
    <w:autoRedefine/>
    <w:unhideWhenUsed/>
    <w:qFormat/>
    <w:uiPriority w:val="0"/>
    <w:rPr>
      <w:rFonts w:ascii="宋体" w:hAnsi="宋体" w:eastAsia="宋体" w:cstheme="minorBidi"/>
      <w:b/>
      <w:bCs/>
    </w:rPr>
  </w:style>
  <w:style w:type="paragraph" w:styleId="54">
    <w:name w:val="Body Text First Indent"/>
    <w:basedOn w:val="20"/>
    <w:autoRedefine/>
    <w:semiHidden/>
    <w:unhideWhenUsed/>
    <w:qFormat/>
    <w:uiPriority w:val="99"/>
    <w:pPr>
      <w:ind w:firstLine="420" w:firstLineChars="100"/>
    </w:pPr>
  </w:style>
  <w:style w:type="paragraph" w:styleId="55">
    <w:name w:val="Body Text First Indent 2"/>
    <w:basedOn w:val="21"/>
    <w:next w:val="1"/>
    <w:qFormat/>
    <w:uiPriority w:val="0"/>
    <w:pPr>
      <w:spacing w:line="360" w:lineRule="auto"/>
      <w:ind w:firstLine="200"/>
    </w:pPr>
    <w:rPr>
      <w:sz w:val="21"/>
    </w:rPr>
  </w:style>
  <w:style w:type="table" w:styleId="57">
    <w:name w:val="Table Grid"/>
    <w:basedOn w:val="56"/>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9">
    <w:name w:val="Strong"/>
    <w:autoRedefine/>
    <w:qFormat/>
    <w:uiPriority w:val="0"/>
    <w:rPr>
      <w:b/>
      <w:bCs/>
    </w:rPr>
  </w:style>
  <w:style w:type="character" w:styleId="60">
    <w:name w:val="page number"/>
    <w:basedOn w:val="58"/>
    <w:autoRedefine/>
    <w:qFormat/>
    <w:uiPriority w:val="0"/>
  </w:style>
  <w:style w:type="character" w:styleId="61">
    <w:name w:val="FollowedHyperlink"/>
    <w:basedOn w:val="58"/>
    <w:autoRedefine/>
    <w:semiHidden/>
    <w:unhideWhenUsed/>
    <w:qFormat/>
    <w:uiPriority w:val="99"/>
    <w:rPr>
      <w:color w:val="800080" w:themeColor="followedHyperlink"/>
      <w:u w:val="single"/>
      <w14:textFill>
        <w14:solidFill>
          <w14:schemeClr w14:val="folHlink"/>
        </w14:solidFill>
      </w14:textFill>
    </w:rPr>
  </w:style>
  <w:style w:type="character" w:styleId="62">
    <w:name w:val="Emphasis"/>
    <w:autoRedefine/>
    <w:qFormat/>
    <w:uiPriority w:val="0"/>
    <w:rPr>
      <w:color w:val="CC0033"/>
    </w:rPr>
  </w:style>
  <w:style w:type="character" w:styleId="63">
    <w:name w:val="HTML Definition"/>
    <w:basedOn w:val="58"/>
    <w:semiHidden/>
    <w:unhideWhenUsed/>
    <w:qFormat/>
    <w:uiPriority w:val="99"/>
  </w:style>
  <w:style w:type="character" w:styleId="64">
    <w:name w:val="HTML Typewriter"/>
    <w:basedOn w:val="58"/>
    <w:semiHidden/>
    <w:unhideWhenUsed/>
    <w:qFormat/>
    <w:uiPriority w:val="99"/>
    <w:rPr>
      <w:rFonts w:hint="default" w:ascii="monospace" w:hAnsi="monospace" w:eastAsia="monospace" w:cs="monospace"/>
      <w:sz w:val="20"/>
    </w:rPr>
  </w:style>
  <w:style w:type="character" w:styleId="65">
    <w:name w:val="HTML Acronym"/>
    <w:basedOn w:val="58"/>
    <w:semiHidden/>
    <w:unhideWhenUsed/>
    <w:qFormat/>
    <w:uiPriority w:val="99"/>
  </w:style>
  <w:style w:type="character" w:styleId="66">
    <w:name w:val="HTML Variable"/>
    <w:basedOn w:val="58"/>
    <w:semiHidden/>
    <w:unhideWhenUsed/>
    <w:qFormat/>
    <w:uiPriority w:val="99"/>
  </w:style>
  <w:style w:type="character" w:styleId="67">
    <w:name w:val="Hyperlink"/>
    <w:basedOn w:val="58"/>
    <w:autoRedefine/>
    <w:unhideWhenUsed/>
    <w:qFormat/>
    <w:uiPriority w:val="99"/>
    <w:rPr>
      <w:color w:val="0000FF" w:themeColor="hyperlink"/>
      <w:u w:val="single"/>
      <w14:textFill>
        <w14:solidFill>
          <w14:schemeClr w14:val="hlink"/>
        </w14:solidFill>
      </w14:textFill>
    </w:rPr>
  </w:style>
  <w:style w:type="character" w:styleId="68">
    <w:name w:val="HTML Code"/>
    <w:basedOn w:val="58"/>
    <w:semiHidden/>
    <w:unhideWhenUsed/>
    <w:qFormat/>
    <w:uiPriority w:val="99"/>
    <w:rPr>
      <w:rFonts w:hint="default" w:ascii="monospace" w:hAnsi="monospace" w:eastAsia="monospace" w:cs="monospace"/>
      <w:sz w:val="20"/>
    </w:rPr>
  </w:style>
  <w:style w:type="character" w:styleId="69">
    <w:name w:val="annotation reference"/>
    <w:basedOn w:val="58"/>
    <w:autoRedefine/>
    <w:unhideWhenUsed/>
    <w:qFormat/>
    <w:uiPriority w:val="0"/>
    <w:rPr>
      <w:sz w:val="21"/>
      <w:szCs w:val="21"/>
    </w:rPr>
  </w:style>
  <w:style w:type="character" w:styleId="70">
    <w:name w:val="HTML Cite"/>
    <w:basedOn w:val="58"/>
    <w:semiHidden/>
    <w:unhideWhenUsed/>
    <w:qFormat/>
    <w:uiPriority w:val="99"/>
  </w:style>
  <w:style w:type="character" w:styleId="71">
    <w:name w:val="footnote reference"/>
    <w:autoRedefine/>
    <w:unhideWhenUsed/>
    <w:qFormat/>
    <w:uiPriority w:val="0"/>
    <w:rPr>
      <w:vertAlign w:val="superscript"/>
    </w:rPr>
  </w:style>
  <w:style w:type="character" w:styleId="72">
    <w:name w:val="HTML Keyboard"/>
    <w:basedOn w:val="58"/>
    <w:semiHidden/>
    <w:unhideWhenUsed/>
    <w:qFormat/>
    <w:uiPriority w:val="99"/>
    <w:rPr>
      <w:rFonts w:ascii="monospace" w:hAnsi="monospace" w:eastAsia="monospace" w:cs="monospace"/>
      <w:sz w:val="20"/>
    </w:rPr>
  </w:style>
  <w:style w:type="character" w:styleId="73">
    <w:name w:val="HTML Sample"/>
    <w:autoRedefine/>
    <w:qFormat/>
    <w:uiPriority w:val="0"/>
    <w:rPr>
      <w:rFonts w:hint="default" w:ascii="monospace" w:hAnsi="monospace" w:eastAsia="monospace" w:cs="monospace"/>
      <w:sz w:val="21"/>
      <w:szCs w:val="21"/>
    </w:rPr>
  </w:style>
  <w:style w:type="paragraph" w:customStyle="1" w:styleId="74">
    <w:name w:val="样式1"/>
    <w:basedOn w:val="1"/>
    <w:next w:val="6"/>
    <w:autoRedefine/>
    <w:qFormat/>
    <w:uiPriority w:val="0"/>
    <w:pPr>
      <w:spacing w:line="360" w:lineRule="auto"/>
      <w:ind w:firstLine="420" w:firstLineChars="200"/>
    </w:pPr>
    <w:rPr>
      <w:rFonts w:cs="Times New Roman"/>
      <w:kern w:val="2"/>
      <w:sz w:val="21"/>
      <w:szCs w:val="21"/>
    </w:rPr>
  </w:style>
  <w:style w:type="character" w:customStyle="1" w:styleId="75">
    <w:name w:val="批注框文本 Char"/>
    <w:basedOn w:val="58"/>
    <w:link w:val="34"/>
    <w:autoRedefine/>
    <w:qFormat/>
    <w:uiPriority w:val="0"/>
    <w:rPr>
      <w:rFonts w:ascii="@仿宋_GB2312" w:hAnsi="@仿宋_GB2312" w:eastAsia="@仿宋_GB2312" w:cs="@仿宋_GB2312"/>
      <w:sz w:val="18"/>
      <w:szCs w:val="18"/>
    </w:rPr>
  </w:style>
  <w:style w:type="paragraph" w:customStyle="1" w:styleId="76">
    <w:name w:val="正文（缩进）"/>
    <w:basedOn w:val="1"/>
    <w:autoRedefine/>
    <w:qFormat/>
    <w:uiPriority w:val="0"/>
    <w:pPr>
      <w:widowControl/>
      <w:spacing w:before="156" w:after="156"/>
      <w:ind w:firstLine="480" w:firstLineChars="200"/>
      <w:jc w:val="left"/>
    </w:pPr>
    <w:rPr>
      <w:sz w:val="24"/>
      <w:szCs w:val="24"/>
    </w:rPr>
  </w:style>
  <w:style w:type="paragraph" w:customStyle="1" w:styleId="77">
    <w:name w:val="xl31"/>
    <w:basedOn w:val="1"/>
    <w:autoRedefine/>
    <w:qFormat/>
    <w:uiPriority w:val="0"/>
    <w:pPr>
      <w:widowControl/>
      <w:spacing w:before="100" w:beforeAutospacing="1" w:after="100" w:afterAutospacing="1"/>
      <w:jc w:val="center"/>
    </w:pPr>
    <w:rPr>
      <w:b/>
      <w:bCs/>
      <w:sz w:val="28"/>
      <w:szCs w:val="28"/>
    </w:rPr>
  </w:style>
  <w:style w:type="paragraph" w:customStyle="1" w:styleId="78">
    <w:name w:val="D&amp;L"/>
    <w:basedOn w:val="36"/>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9">
    <w:name w:val="页眉 Char"/>
    <w:basedOn w:val="58"/>
    <w:link w:val="36"/>
    <w:autoRedefine/>
    <w:qFormat/>
    <w:uiPriority w:val="99"/>
    <w:rPr>
      <w:rFonts w:ascii="@仿宋_GB2312" w:hAnsi="@仿宋_GB2312" w:eastAsia="@仿宋_GB2312" w:cs="@仿宋_GB2312"/>
      <w:sz w:val="18"/>
      <w:szCs w:val="18"/>
    </w:rPr>
  </w:style>
  <w:style w:type="character" w:customStyle="1" w:styleId="80">
    <w:name w:val="页脚 Char"/>
    <w:basedOn w:val="58"/>
    <w:link w:val="35"/>
    <w:autoRedefine/>
    <w:qFormat/>
    <w:uiPriority w:val="99"/>
    <w:rPr>
      <w:rFonts w:ascii="@仿宋_GB2312" w:hAnsi="@仿宋_GB2312" w:eastAsia="@仿宋_GB2312" w:cs="@仿宋_GB2312"/>
      <w:sz w:val="18"/>
      <w:szCs w:val="18"/>
    </w:rPr>
  </w:style>
  <w:style w:type="character" w:customStyle="1" w:styleId="81">
    <w:name w:val="纯文本 Char"/>
    <w:link w:val="30"/>
    <w:autoRedefine/>
    <w:qFormat/>
    <w:uiPriority w:val="0"/>
    <w:rPr>
      <w:rFonts w:ascii="宋体" w:hAnsi="Courier New"/>
    </w:rPr>
  </w:style>
  <w:style w:type="character" w:customStyle="1" w:styleId="82">
    <w:name w:val="纯文本 字符1"/>
    <w:basedOn w:val="58"/>
    <w:autoRedefine/>
    <w:semiHidden/>
    <w:qFormat/>
    <w:uiPriority w:val="99"/>
    <w:rPr>
      <w:rFonts w:hAnsi="Courier New" w:cs="Courier New" w:asciiTheme="minorEastAsia"/>
      <w:szCs w:val="20"/>
    </w:rPr>
  </w:style>
  <w:style w:type="character" w:customStyle="1" w:styleId="83">
    <w:name w:val="未处理的提及1"/>
    <w:basedOn w:val="58"/>
    <w:autoRedefine/>
    <w:semiHidden/>
    <w:unhideWhenUsed/>
    <w:qFormat/>
    <w:uiPriority w:val="99"/>
    <w:rPr>
      <w:color w:val="605E5C"/>
      <w:shd w:val="clear" w:color="auto" w:fill="E1DFDD"/>
    </w:rPr>
  </w:style>
  <w:style w:type="paragraph" w:styleId="84">
    <w:name w:val="List Paragraph"/>
    <w:basedOn w:val="1"/>
    <w:autoRedefine/>
    <w:qFormat/>
    <w:uiPriority w:val="34"/>
    <w:pPr>
      <w:ind w:firstLine="420" w:firstLineChars="200"/>
    </w:pPr>
  </w:style>
  <w:style w:type="paragraph" w:customStyle="1" w:styleId="85">
    <w:name w:val="Char Char Char Char Char Char Char1 Char"/>
    <w:basedOn w:val="1"/>
    <w:autoRedefine/>
    <w:qFormat/>
    <w:uiPriority w:val="0"/>
    <w:rPr>
      <w:rFonts w:ascii="Arial" w:hAnsi="Arial" w:cs="Arial"/>
      <w:sz w:val="24"/>
    </w:rPr>
  </w:style>
  <w:style w:type="table" w:customStyle="1" w:styleId="86">
    <w:name w:val="网格表 1 浅色1"/>
    <w:basedOn w:val="56"/>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87">
    <w:name w:val="日期 字符"/>
    <w:basedOn w:val="58"/>
    <w:autoRedefine/>
    <w:semiHidden/>
    <w:qFormat/>
    <w:uiPriority w:val="99"/>
    <w:rPr>
      <w:rFonts w:ascii="@仿宋_GB2312" w:hAnsi="@仿宋_GB2312" w:eastAsia="@仿宋_GB2312" w:cs="@仿宋_GB2312"/>
      <w:szCs w:val="20"/>
    </w:rPr>
  </w:style>
  <w:style w:type="character" w:customStyle="1" w:styleId="88">
    <w:name w:val="日期 Char"/>
    <w:link w:val="32"/>
    <w:autoRedefine/>
    <w:qFormat/>
    <w:uiPriority w:val="0"/>
    <w:rPr>
      <w:rFonts w:ascii="Arial" w:hAnsi="Arial" w:eastAsia="宋体" w:cs="Arial"/>
      <w:b/>
      <w:sz w:val="28"/>
      <w:szCs w:val="20"/>
    </w:rPr>
  </w:style>
  <w:style w:type="character" w:customStyle="1" w:styleId="89">
    <w:name w:val="纯文本 Char1"/>
    <w:link w:val="90"/>
    <w:autoRedefine/>
    <w:qFormat/>
    <w:locked/>
    <w:uiPriority w:val="99"/>
    <w:rPr>
      <w:rFonts w:ascii="Arial" w:hAnsi="Arial" w:eastAsia="Arial"/>
      <w:kern w:val="2"/>
      <w:sz w:val="21"/>
      <w:lang w:val="en-US" w:eastAsia="zh-CN" w:bidi="ar-SA"/>
    </w:rPr>
  </w:style>
  <w:style w:type="paragraph" w:customStyle="1" w:styleId="90">
    <w:name w:val="纯文本1"/>
    <w:basedOn w:val="1"/>
    <w:link w:val="89"/>
    <w:autoRedefine/>
    <w:qFormat/>
    <w:uiPriority w:val="0"/>
    <w:rPr>
      <w:rFonts w:ascii="Arial" w:hAnsi="Arial" w:eastAsia="Arial"/>
    </w:rPr>
  </w:style>
  <w:style w:type="character" w:customStyle="1" w:styleId="91">
    <w:name w:val="批注文字 Char"/>
    <w:basedOn w:val="58"/>
    <w:autoRedefine/>
    <w:qFormat/>
    <w:uiPriority w:val="0"/>
    <w:rPr>
      <w:rFonts w:ascii="@仿宋_GB2312" w:hAnsi="@仿宋_GB2312" w:eastAsia="@仿宋_GB2312" w:cs="@仿宋_GB2312"/>
      <w:szCs w:val="20"/>
    </w:rPr>
  </w:style>
  <w:style w:type="character" w:customStyle="1" w:styleId="92">
    <w:name w:val="批注文字 Char1"/>
    <w:link w:val="17"/>
    <w:autoRedefine/>
    <w:qFormat/>
    <w:uiPriority w:val="99"/>
    <w:rPr>
      <w:rFonts w:ascii="Arial" w:hAnsi="Arial" w:eastAsia="黑体" w:cs="Arial"/>
      <w:szCs w:val="20"/>
    </w:rPr>
  </w:style>
  <w:style w:type="character" w:customStyle="1" w:styleId="93">
    <w:name w:val="标题 1 Char"/>
    <w:basedOn w:val="58"/>
    <w:link w:val="3"/>
    <w:autoRedefine/>
    <w:qFormat/>
    <w:uiPriority w:val="0"/>
    <w:rPr>
      <w:rFonts w:ascii="@仿宋_GB2312" w:hAnsi="@仿宋_GB2312" w:eastAsia="@仿宋_GB2312" w:cs="@仿宋_GB2312"/>
      <w:b/>
      <w:bCs/>
      <w:kern w:val="44"/>
      <w:sz w:val="44"/>
      <w:szCs w:val="44"/>
    </w:rPr>
  </w:style>
  <w:style w:type="paragraph" w:customStyle="1" w:styleId="94">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95">
    <w:name w:val="标题 3 Char"/>
    <w:basedOn w:val="58"/>
    <w:link w:val="5"/>
    <w:autoRedefine/>
    <w:qFormat/>
    <w:uiPriority w:val="0"/>
    <w:rPr>
      <w:rFonts w:ascii="@仿宋_GB2312" w:hAnsi="@仿宋_GB2312" w:eastAsia="@仿宋_GB2312" w:cs="@仿宋_GB2312"/>
      <w:b/>
      <w:bCs/>
      <w:sz w:val="32"/>
      <w:szCs w:val="32"/>
    </w:rPr>
  </w:style>
  <w:style w:type="character" w:customStyle="1" w:styleId="96">
    <w:name w:val="fontstyle01"/>
    <w:basedOn w:val="58"/>
    <w:autoRedefine/>
    <w:qFormat/>
    <w:uiPriority w:val="0"/>
    <w:rPr>
      <w:rFonts w:hint="eastAsia" w:ascii="宋体" w:hAnsi="宋体" w:eastAsia="宋体"/>
      <w:color w:val="000000"/>
      <w:sz w:val="22"/>
      <w:szCs w:val="22"/>
    </w:rPr>
  </w:style>
  <w:style w:type="character" w:customStyle="1" w:styleId="97">
    <w:name w:val="fontstyle21"/>
    <w:basedOn w:val="58"/>
    <w:autoRedefine/>
    <w:qFormat/>
    <w:uiPriority w:val="0"/>
    <w:rPr>
      <w:rFonts w:hint="default" w:ascii="TimesNewRomanPSMT" w:hAnsi="TimesNewRomanPSMT"/>
      <w:color w:val="000000"/>
      <w:sz w:val="22"/>
      <w:szCs w:val="22"/>
    </w:rPr>
  </w:style>
  <w:style w:type="character" w:customStyle="1" w:styleId="98">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99">
    <w:name w:val="标题 4 字符"/>
    <w:basedOn w:val="58"/>
    <w:autoRedefine/>
    <w:semiHidden/>
    <w:qFormat/>
    <w:uiPriority w:val="9"/>
    <w:rPr>
      <w:rFonts w:asciiTheme="majorHAnsi" w:hAnsiTheme="majorHAnsi" w:eastAsiaTheme="majorEastAsia" w:cstheme="majorBidi"/>
      <w:b/>
      <w:bCs/>
      <w:sz w:val="28"/>
      <w:szCs w:val="28"/>
    </w:rPr>
  </w:style>
  <w:style w:type="character" w:customStyle="1" w:styleId="100">
    <w:name w:val="标题 4 Char"/>
    <w:link w:val="6"/>
    <w:autoRedefine/>
    <w:qFormat/>
    <w:uiPriority w:val="0"/>
    <w:rPr>
      <w:rFonts w:ascii="@仿宋_GB2312" w:hAnsi="@仿宋_GB2312" w:eastAsia="@仿宋_GB2312" w:cs="@仿宋_GB2312"/>
      <w:b/>
      <w:bCs/>
      <w:sz w:val="28"/>
      <w:szCs w:val="28"/>
    </w:rPr>
  </w:style>
  <w:style w:type="character" w:customStyle="1" w:styleId="101">
    <w:name w:val="正文文本 Char"/>
    <w:basedOn w:val="58"/>
    <w:link w:val="20"/>
    <w:autoRedefine/>
    <w:qFormat/>
    <w:uiPriority w:val="0"/>
    <w:rPr>
      <w:rFonts w:ascii="@微软简标宋" w:hAnsi="@微软简标宋" w:eastAsia="@微软简标宋" w:cs="@微软简标宋"/>
      <w:szCs w:val="24"/>
      <w:lang w:val="zh-CN" w:eastAsia="zh-CN"/>
    </w:rPr>
  </w:style>
  <w:style w:type="table" w:customStyle="1" w:styleId="102">
    <w:name w:val="网格型1"/>
    <w:basedOn w:val="56"/>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3">
    <w:name w:val="批注主题 Char"/>
    <w:basedOn w:val="92"/>
    <w:link w:val="53"/>
    <w:autoRedefine/>
    <w:qFormat/>
    <w:uiPriority w:val="0"/>
    <w:rPr>
      <w:rFonts w:ascii="Arial" w:hAnsi="Arial" w:eastAsia="黑体" w:cs="Arial"/>
      <w:b/>
      <w:bCs/>
      <w:szCs w:val="20"/>
    </w:rPr>
  </w:style>
  <w:style w:type="paragraph" w:customStyle="1" w:styleId="104">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105">
    <w:name w:val="网格型2"/>
    <w:basedOn w:val="56"/>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6">
    <w:name w:val="标题 2 Char"/>
    <w:basedOn w:val="58"/>
    <w:link w:val="4"/>
    <w:autoRedefine/>
    <w:qFormat/>
    <w:uiPriority w:val="0"/>
    <w:rPr>
      <w:rFonts w:ascii="Cambria" w:hAnsi="Cambria" w:cs="Times New Roman"/>
      <w:b/>
      <w:bCs/>
      <w:kern w:val="2"/>
      <w:sz w:val="32"/>
      <w:szCs w:val="32"/>
      <w:lang w:val="zh-CN" w:eastAsia="zh-CN"/>
    </w:rPr>
  </w:style>
  <w:style w:type="character" w:customStyle="1" w:styleId="107">
    <w:name w:val="标题 5 Char"/>
    <w:basedOn w:val="58"/>
    <w:link w:val="7"/>
    <w:autoRedefine/>
    <w:qFormat/>
    <w:uiPriority w:val="0"/>
    <w:rPr>
      <w:rFonts w:ascii="Calibri" w:hAnsi="Calibri" w:cs="Times New Roman"/>
      <w:b/>
      <w:bCs/>
      <w:kern w:val="2"/>
      <w:sz w:val="28"/>
      <w:szCs w:val="28"/>
      <w:lang w:val="zh-CN" w:eastAsia="zh-CN"/>
    </w:rPr>
  </w:style>
  <w:style w:type="character" w:customStyle="1" w:styleId="108">
    <w:name w:val="标题 6 Char"/>
    <w:basedOn w:val="58"/>
    <w:link w:val="8"/>
    <w:autoRedefine/>
    <w:qFormat/>
    <w:uiPriority w:val="0"/>
    <w:rPr>
      <w:rFonts w:ascii="Times New Roman" w:hAnsi="Times New Roman" w:cs="Times New Roman"/>
      <w:b/>
      <w:bCs/>
      <w:kern w:val="2"/>
      <w:sz w:val="30"/>
      <w:szCs w:val="18"/>
      <w:lang w:val="zh-CN" w:eastAsia="zh-CN"/>
    </w:rPr>
  </w:style>
  <w:style w:type="character" w:customStyle="1" w:styleId="109">
    <w:name w:val="标题 7 Char"/>
    <w:basedOn w:val="58"/>
    <w:link w:val="9"/>
    <w:autoRedefine/>
    <w:qFormat/>
    <w:uiPriority w:val="0"/>
    <w:rPr>
      <w:rFonts w:ascii="Times New Roman" w:hAnsi="Times New Roman" w:cs="Times New Roman"/>
      <w:b/>
      <w:bCs/>
      <w:kern w:val="2"/>
      <w:sz w:val="30"/>
      <w:szCs w:val="18"/>
      <w:lang w:val="zh-CN" w:eastAsia="zh-CN"/>
    </w:rPr>
  </w:style>
  <w:style w:type="character" w:customStyle="1" w:styleId="110">
    <w:name w:val="标题 8 Char"/>
    <w:basedOn w:val="58"/>
    <w:link w:val="10"/>
    <w:autoRedefine/>
    <w:qFormat/>
    <w:uiPriority w:val="0"/>
    <w:rPr>
      <w:rFonts w:eastAsia="黑体" w:cs="Times New Roman"/>
      <w:kern w:val="2"/>
      <w:sz w:val="32"/>
      <w:szCs w:val="32"/>
      <w:lang w:val="zh-CN" w:eastAsia="zh-CN"/>
    </w:rPr>
  </w:style>
  <w:style w:type="character" w:customStyle="1" w:styleId="111">
    <w:name w:val="标题 9 Char"/>
    <w:basedOn w:val="58"/>
    <w:link w:val="11"/>
    <w:autoRedefine/>
    <w:qFormat/>
    <w:uiPriority w:val="0"/>
    <w:rPr>
      <w:rFonts w:ascii="Cambria" w:hAnsi="Cambria" w:cs="Times New Roman"/>
      <w:kern w:val="2"/>
      <w:sz w:val="21"/>
      <w:szCs w:val="21"/>
      <w:lang w:val="zh-CN" w:eastAsia="zh-CN"/>
    </w:rPr>
  </w:style>
  <w:style w:type="character" w:customStyle="1" w:styleId="112">
    <w:name w:val="纯文本 Char2"/>
    <w:autoRedefine/>
    <w:qFormat/>
    <w:uiPriority w:val="0"/>
    <w:rPr>
      <w:rFonts w:ascii="宋体" w:hAnsi="Courier New"/>
    </w:rPr>
  </w:style>
  <w:style w:type="table" w:customStyle="1" w:styleId="113">
    <w:name w:val="网格型3"/>
    <w:basedOn w:val="56"/>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网格表 1 浅色11"/>
    <w:basedOn w:val="56"/>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15">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6">
    <w:name w:val="正文文本缩进 Char"/>
    <w:basedOn w:val="58"/>
    <w:link w:val="21"/>
    <w:autoRedefine/>
    <w:qFormat/>
    <w:uiPriority w:val="0"/>
    <w:rPr>
      <w:rFonts w:asciiTheme="minorHAnsi" w:hAnsiTheme="minorHAnsi"/>
      <w:kern w:val="2"/>
      <w:sz w:val="21"/>
      <w:szCs w:val="22"/>
    </w:rPr>
  </w:style>
  <w:style w:type="paragraph" w:customStyle="1" w:styleId="117">
    <w:name w:val="Char"/>
    <w:basedOn w:val="1"/>
    <w:autoRedefine/>
    <w:qFormat/>
    <w:uiPriority w:val="0"/>
    <w:rPr>
      <w:rFonts w:ascii="Tahoma" w:hAnsi="Tahoma" w:cs="Times New Roman"/>
      <w:sz w:val="24"/>
    </w:rPr>
  </w:style>
  <w:style w:type="character" w:customStyle="1" w:styleId="118">
    <w:name w:val="脚注文本 Char"/>
    <w:basedOn w:val="58"/>
    <w:link w:val="44"/>
    <w:autoRedefine/>
    <w:qFormat/>
    <w:uiPriority w:val="0"/>
    <w:rPr>
      <w:rFonts w:ascii="Times New Roman" w:hAnsi="Times New Roman" w:cs="Times New Roman"/>
      <w:kern w:val="2"/>
      <w:sz w:val="18"/>
      <w:szCs w:val="18"/>
      <w:lang w:val="zh-CN" w:eastAsia="zh-CN"/>
    </w:rPr>
  </w:style>
  <w:style w:type="paragraph" w:customStyle="1" w:styleId="119">
    <w:name w:val="样式 标题 3 + (中文) 黑体 小四 非加粗 段前: 7.8 磅 段后: 0 磅 行距: 固定值 20 磅"/>
    <w:basedOn w:val="5"/>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2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21">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22">
    <w:name w:val="称呼 Char"/>
    <w:basedOn w:val="58"/>
    <w:link w:val="18"/>
    <w:autoRedefine/>
    <w:qFormat/>
    <w:uiPriority w:val="0"/>
    <w:rPr>
      <w:rFonts w:ascii="仿宋_GB2312" w:hAnsi="Times New Roman" w:eastAsia="仿宋_GB2312" w:cs="Times New Roman"/>
      <w:kern w:val="2"/>
      <w:sz w:val="28"/>
      <w:lang w:val="zh-CN" w:eastAsia="zh-CN"/>
    </w:rPr>
  </w:style>
  <w:style w:type="paragraph" w:customStyle="1" w:styleId="123">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24">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2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6">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7">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29">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30">
    <w:name w:val="Char Char Char Char Char Char"/>
    <w:basedOn w:val="1"/>
    <w:autoRedefine/>
    <w:qFormat/>
    <w:uiPriority w:val="0"/>
    <w:rPr>
      <w:rFonts w:ascii="Tahoma" w:hAnsi="Tahoma" w:cs="Times New Roman"/>
      <w:kern w:val="2"/>
      <w:sz w:val="24"/>
    </w:rPr>
  </w:style>
  <w:style w:type="paragraph" w:customStyle="1" w:styleId="131">
    <w:name w:val="Blockquote"/>
    <w:basedOn w:val="1"/>
    <w:link w:val="132"/>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32">
    <w:name w:val="Blockquote Char"/>
    <w:link w:val="131"/>
    <w:autoRedefine/>
    <w:qFormat/>
    <w:uiPriority w:val="0"/>
    <w:rPr>
      <w:rFonts w:ascii="Times New Roman" w:hAnsi="Times New Roman" w:cs="Times New Roman"/>
      <w:sz w:val="24"/>
      <w:lang w:val="zh-CN" w:eastAsia="zh-CN"/>
    </w:rPr>
  </w:style>
  <w:style w:type="paragraph" w:customStyle="1" w:styleId="133">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34">
    <w:name w:val="tdrownotice1"/>
    <w:autoRedefine/>
    <w:qFormat/>
    <w:uiPriority w:val="0"/>
    <w:rPr>
      <w:sz w:val="22"/>
    </w:rPr>
  </w:style>
  <w:style w:type="paragraph" w:customStyle="1" w:styleId="135">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36">
    <w:name w:val="正文文本缩进 3 Char"/>
    <w:basedOn w:val="58"/>
    <w:link w:val="46"/>
    <w:autoRedefine/>
    <w:qFormat/>
    <w:uiPriority w:val="0"/>
    <w:rPr>
      <w:rFonts w:hAnsi="MS Sans Serif" w:cs="Times New Roman"/>
      <w:bCs/>
      <w:color w:val="000000"/>
      <w:sz w:val="24"/>
      <w:lang w:val="zh-CN" w:eastAsia="zh-CN"/>
    </w:rPr>
  </w:style>
  <w:style w:type="character" w:customStyle="1" w:styleId="137">
    <w:name w:val="正文文本缩进 2 Char"/>
    <w:basedOn w:val="58"/>
    <w:link w:val="33"/>
    <w:autoRedefine/>
    <w:qFormat/>
    <w:uiPriority w:val="0"/>
    <w:rPr>
      <w:rFonts w:hAnsi="MS Sans Serif" w:cs="Times New Roman"/>
      <w:bCs/>
      <w:spacing w:val="12"/>
      <w:sz w:val="24"/>
      <w:lang w:val="zh-CN" w:eastAsia="zh-CN"/>
    </w:rPr>
  </w:style>
  <w:style w:type="paragraph" w:customStyle="1" w:styleId="138">
    <w:name w:val="目录"/>
    <w:basedOn w:val="1"/>
    <w:autoRedefine/>
    <w:qFormat/>
    <w:uiPriority w:val="0"/>
    <w:pPr>
      <w:widowControl/>
      <w:jc w:val="center"/>
    </w:pPr>
    <w:rPr>
      <w:rFonts w:hAnsi="Calibri" w:cs="Times New Roman"/>
      <w:b/>
      <w:sz w:val="36"/>
    </w:rPr>
  </w:style>
  <w:style w:type="paragraph" w:customStyle="1" w:styleId="139">
    <w:name w:val="目录文字"/>
    <w:basedOn w:val="1"/>
    <w:autoRedefine/>
    <w:qFormat/>
    <w:uiPriority w:val="0"/>
    <w:pPr>
      <w:widowControl/>
      <w:spacing w:line="480" w:lineRule="auto"/>
      <w:jc w:val="left"/>
    </w:pPr>
    <w:rPr>
      <w:rFonts w:cs="Times New Roman"/>
      <w:sz w:val="24"/>
    </w:rPr>
  </w:style>
  <w:style w:type="character" w:customStyle="1" w:styleId="140">
    <w:name w:val="正文文本 2 Char"/>
    <w:basedOn w:val="58"/>
    <w:link w:val="49"/>
    <w:autoRedefine/>
    <w:qFormat/>
    <w:uiPriority w:val="0"/>
    <w:rPr>
      <w:rFonts w:hAnsi="Times New Roman" w:cs="Times New Roman"/>
      <w:spacing w:val="-20"/>
      <w:kern w:val="2"/>
      <w:sz w:val="28"/>
      <w:lang w:val="zh-CN" w:eastAsia="zh-CN"/>
    </w:rPr>
  </w:style>
  <w:style w:type="character" w:customStyle="1" w:styleId="141">
    <w:name w:val="正文文本 3 Char"/>
    <w:basedOn w:val="58"/>
    <w:link w:val="19"/>
    <w:autoRedefine/>
    <w:qFormat/>
    <w:uiPriority w:val="0"/>
    <w:rPr>
      <w:rFonts w:ascii="仿宋_GB2312" w:eastAsia="仿宋_GB2312" w:cs="Times New Roman"/>
      <w:bCs/>
      <w:color w:val="000000"/>
      <w:kern w:val="2"/>
      <w:sz w:val="24"/>
      <w:szCs w:val="32"/>
      <w:lang w:val="zh-CN" w:eastAsia="zh-CN"/>
    </w:rPr>
  </w:style>
  <w:style w:type="paragraph" w:customStyle="1" w:styleId="142">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43">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44">
    <w:name w:val="标题 Char"/>
    <w:basedOn w:val="58"/>
    <w:link w:val="23"/>
    <w:autoRedefine/>
    <w:qFormat/>
    <w:uiPriority w:val="0"/>
    <w:rPr>
      <w:rFonts w:eastAsia="黑体" w:cs="Times New Roman"/>
      <w:b/>
      <w:smallCaps/>
      <w:snapToGrid w:val="0"/>
      <w:kern w:val="2"/>
      <w:sz w:val="44"/>
      <w:szCs w:val="24"/>
      <w:lang w:val="zh-CN" w:eastAsia="zh-CN"/>
    </w:rPr>
  </w:style>
  <w:style w:type="paragraph" w:customStyle="1" w:styleId="145">
    <w:name w:val="段落1 Char"/>
    <w:basedOn w:val="30"/>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46">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47">
    <w:name w:val="简单回函地址"/>
    <w:basedOn w:val="1"/>
    <w:autoRedefine/>
    <w:qFormat/>
    <w:uiPriority w:val="0"/>
    <w:rPr>
      <w:rFonts w:ascii="Calibri" w:hAnsi="Calibri" w:cs="Times New Roman"/>
      <w:kern w:val="2"/>
      <w:sz w:val="21"/>
      <w:szCs w:val="22"/>
    </w:rPr>
  </w:style>
  <w:style w:type="paragraph" w:customStyle="1" w:styleId="148">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9">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50">
    <w:name w:val="t_tag"/>
    <w:basedOn w:val="58"/>
    <w:autoRedefine/>
    <w:qFormat/>
    <w:uiPriority w:val="0"/>
  </w:style>
  <w:style w:type="table" w:customStyle="1" w:styleId="151">
    <w:name w:val="网格型11"/>
    <w:basedOn w:val="56"/>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52">
    <w:name w:val="批注框文本 Char1"/>
    <w:basedOn w:val="58"/>
    <w:autoRedefine/>
    <w:qFormat/>
    <w:uiPriority w:val="0"/>
    <w:rPr>
      <w:rFonts w:ascii="Times New Roman" w:hAnsi="Times New Roman" w:eastAsia="宋体" w:cs="Times New Roman"/>
      <w:sz w:val="18"/>
      <w:szCs w:val="18"/>
    </w:rPr>
  </w:style>
  <w:style w:type="character" w:customStyle="1" w:styleId="153">
    <w:name w:val="批注主题 Char1"/>
    <w:basedOn w:val="92"/>
    <w:autoRedefine/>
    <w:qFormat/>
    <w:uiPriority w:val="0"/>
    <w:rPr>
      <w:rFonts w:ascii="@仿宋_GB2312" w:hAnsi="@仿宋_GB2312" w:eastAsia="@仿宋_GB2312" w:cs="@仿宋_GB2312"/>
      <w:b/>
      <w:bCs/>
      <w:szCs w:val="20"/>
    </w:rPr>
  </w:style>
  <w:style w:type="paragraph" w:customStyle="1" w:styleId="154">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55">
    <w:name w:val="文档结构图 Char"/>
    <w:basedOn w:val="58"/>
    <w:link w:val="16"/>
    <w:autoRedefine/>
    <w:qFormat/>
    <w:uiPriority w:val="0"/>
    <w:rPr>
      <w:rFonts w:ascii="Calibri" w:hAnsi="Calibri" w:cs="Times New Roman"/>
      <w:bCs/>
      <w:kern w:val="2"/>
      <w:sz w:val="21"/>
      <w:szCs w:val="32"/>
      <w:shd w:val="clear" w:color="auto" w:fill="000080"/>
      <w:lang w:val="zh-CN" w:eastAsia="zh-CN"/>
    </w:rPr>
  </w:style>
  <w:style w:type="character" w:customStyle="1" w:styleId="156">
    <w:name w:val="标题 1 Char1"/>
    <w:autoRedefine/>
    <w:qFormat/>
    <w:uiPriority w:val="0"/>
    <w:rPr>
      <w:rFonts w:ascii="Calibri" w:hAnsi="Calibri" w:eastAsia="宋体"/>
      <w:b/>
      <w:kern w:val="44"/>
      <w:sz w:val="44"/>
      <w:szCs w:val="44"/>
    </w:rPr>
  </w:style>
  <w:style w:type="character" w:customStyle="1" w:styleId="157">
    <w:name w:val="标题 3 Char1"/>
    <w:autoRedefine/>
    <w:semiHidden/>
    <w:qFormat/>
    <w:uiPriority w:val="0"/>
    <w:rPr>
      <w:rFonts w:ascii="Calibri" w:hAnsi="Calibri" w:eastAsia="宋体"/>
      <w:b/>
      <w:kern w:val="2"/>
      <w:sz w:val="32"/>
    </w:rPr>
  </w:style>
  <w:style w:type="character" w:customStyle="1" w:styleId="158">
    <w:name w:val="标题 4 Char1"/>
    <w:autoRedefine/>
    <w:semiHidden/>
    <w:qFormat/>
    <w:uiPriority w:val="0"/>
    <w:rPr>
      <w:rFonts w:ascii="Cambria" w:hAnsi="Cambria" w:eastAsia="宋体"/>
      <w:b/>
      <w:kern w:val="2"/>
      <w:sz w:val="28"/>
      <w:szCs w:val="28"/>
    </w:rPr>
  </w:style>
  <w:style w:type="character" w:customStyle="1" w:styleId="159">
    <w:name w:val="标题 5 Char1"/>
    <w:autoRedefine/>
    <w:semiHidden/>
    <w:qFormat/>
    <w:uiPriority w:val="0"/>
    <w:rPr>
      <w:rFonts w:ascii="Calibri" w:hAnsi="Calibri" w:eastAsia="宋体"/>
      <w:b/>
      <w:kern w:val="2"/>
      <w:sz w:val="28"/>
      <w:szCs w:val="28"/>
    </w:rPr>
  </w:style>
  <w:style w:type="character" w:customStyle="1" w:styleId="160">
    <w:name w:val="标题 6 Char1"/>
    <w:autoRedefine/>
    <w:semiHidden/>
    <w:qFormat/>
    <w:uiPriority w:val="0"/>
    <w:rPr>
      <w:rFonts w:ascii="Cambria" w:hAnsi="Cambria" w:eastAsia="宋体"/>
      <w:b/>
      <w:kern w:val="2"/>
      <w:sz w:val="24"/>
      <w:szCs w:val="24"/>
    </w:rPr>
  </w:style>
  <w:style w:type="character" w:customStyle="1" w:styleId="161">
    <w:name w:val="标题 7 Char1"/>
    <w:autoRedefine/>
    <w:semiHidden/>
    <w:qFormat/>
    <w:uiPriority w:val="0"/>
    <w:rPr>
      <w:rFonts w:ascii="Calibri" w:hAnsi="Calibri" w:eastAsia="宋体"/>
      <w:b/>
      <w:kern w:val="2"/>
      <w:sz w:val="24"/>
      <w:szCs w:val="24"/>
    </w:rPr>
  </w:style>
  <w:style w:type="character" w:customStyle="1" w:styleId="162">
    <w:name w:val="标题 8 Char1"/>
    <w:autoRedefine/>
    <w:semiHidden/>
    <w:qFormat/>
    <w:uiPriority w:val="0"/>
    <w:rPr>
      <w:rFonts w:ascii="Cambria" w:hAnsi="Cambria" w:eastAsia="宋体"/>
      <w:kern w:val="2"/>
      <w:sz w:val="24"/>
      <w:szCs w:val="24"/>
    </w:rPr>
  </w:style>
  <w:style w:type="character" w:customStyle="1" w:styleId="163">
    <w:name w:val="标题 9 Char1"/>
    <w:autoRedefine/>
    <w:semiHidden/>
    <w:qFormat/>
    <w:uiPriority w:val="0"/>
    <w:rPr>
      <w:rFonts w:ascii="Cambria" w:hAnsi="Cambria" w:eastAsia="宋体"/>
      <w:kern w:val="2"/>
      <w:sz w:val="21"/>
      <w:szCs w:val="21"/>
    </w:rPr>
  </w:style>
  <w:style w:type="paragraph" w:customStyle="1" w:styleId="164">
    <w:name w:val="MsoNormal"/>
    <w:basedOn w:val="165"/>
    <w:autoRedefine/>
    <w:qFormat/>
    <w:uiPriority w:val="0"/>
    <w:rPr>
      <w:rFonts w:ascii="Calibri" w:hAnsi="Calibri" w:eastAsia="Calibri"/>
      <w:sz w:val="21"/>
    </w:rPr>
  </w:style>
  <w:style w:type="paragraph" w:customStyle="1" w:styleId="165">
    <w:name w:val="Normal_0"/>
    <w:autoRedefine/>
    <w:qFormat/>
    <w:uiPriority w:val="0"/>
    <w:rPr>
      <w:rFonts w:ascii="Times New Roman" w:hAnsi="Times New Roman" w:eastAsia="宋体" w:cs="Times New Roman"/>
      <w:sz w:val="24"/>
      <w:szCs w:val="24"/>
      <w:lang w:val="en-US" w:eastAsia="zh-CN" w:bidi="ar-SA"/>
    </w:rPr>
  </w:style>
  <w:style w:type="paragraph" w:customStyle="1" w:styleId="166">
    <w:name w:val="标题 2_0"/>
    <w:basedOn w:val="167"/>
    <w:next w:val="168"/>
    <w:link w:val="169"/>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67">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9">
    <w:name w:val="标题 2 Char_0"/>
    <w:link w:val="166"/>
    <w:autoRedefine/>
    <w:qFormat/>
    <w:uiPriority w:val="0"/>
    <w:rPr>
      <w:rFonts w:ascii="黑体" w:eastAsia="黑体" w:cs="Times New Roman"/>
      <w:b/>
      <w:smallCaps/>
      <w:snapToGrid w:val="0"/>
      <w:sz w:val="36"/>
      <w:szCs w:val="24"/>
      <w:lang w:val="zh-CN" w:eastAsia="zh-CN"/>
    </w:rPr>
  </w:style>
  <w:style w:type="paragraph" w:customStyle="1" w:styleId="170">
    <w:name w:val="纯文本_0"/>
    <w:basedOn w:val="168"/>
    <w:link w:val="171"/>
    <w:autoRedefine/>
    <w:qFormat/>
    <w:uiPriority w:val="99"/>
    <w:rPr>
      <w:rFonts w:ascii="宋体" w:hAnsi="Courier New"/>
      <w:szCs w:val="21"/>
    </w:rPr>
  </w:style>
  <w:style w:type="character" w:customStyle="1" w:styleId="171">
    <w:name w:val="Texte Char1"/>
    <w:link w:val="170"/>
    <w:autoRedefine/>
    <w:qFormat/>
    <w:uiPriority w:val="99"/>
    <w:rPr>
      <w:rFonts w:hAnsi="Courier New" w:cs="Times New Roman"/>
      <w:kern w:val="2"/>
      <w:sz w:val="21"/>
      <w:szCs w:val="21"/>
    </w:rPr>
  </w:style>
  <w:style w:type="paragraph" w:customStyle="1" w:styleId="172">
    <w:name w:val="纯文本_1"/>
    <w:basedOn w:val="173"/>
    <w:link w:val="174"/>
    <w:autoRedefine/>
    <w:qFormat/>
    <w:uiPriority w:val="0"/>
    <w:rPr>
      <w:rFonts w:ascii="宋体" w:hAnsi="Courier New"/>
      <w:szCs w:val="21"/>
      <w:lang w:val="zh-CN"/>
    </w:rPr>
  </w:style>
  <w:style w:type="paragraph" w:customStyle="1" w:styleId="173">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4">
    <w:name w:val="纯文本 Char1_0"/>
    <w:link w:val="172"/>
    <w:autoRedefine/>
    <w:qFormat/>
    <w:uiPriority w:val="0"/>
    <w:rPr>
      <w:rFonts w:hAnsi="Courier New" w:cs="Times New Roman"/>
      <w:kern w:val="2"/>
      <w:sz w:val="21"/>
      <w:szCs w:val="21"/>
      <w:lang w:val="zh-CN" w:eastAsia="zh-CN"/>
    </w:rPr>
  </w:style>
  <w:style w:type="paragraph" w:customStyle="1" w:styleId="175">
    <w:name w:val="标题 3_0"/>
    <w:basedOn w:val="176"/>
    <w:next w:val="177"/>
    <w:link w:val="188"/>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76">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正文缩进_0"/>
    <w:basedOn w:val="176"/>
    <w:autoRedefine/>
    <w:unhideWhenUsed/>
    <w:qFormat/>
    <w:uiPriority w:val="0"/>
    <w:pPr>
      <w:ind w:firstLine="420" w:firstLineChars="200"/>
    </w:pPr>
    <w:rPr>
      <w:rFonts w:ascii="Calibri" w:hAnsi="Calibri"/>
      <w:bCs/>
      <w:szCs w:val="32"/>
    </w:rPr>
  </w:style>
  <w:style w:type="paragraph" w:customStyle="1" w:styleId="178">
    <w:name w:val="标题 1_0"/>
    <w:basedOn w:val="176"/>
    <w:next w:val="176"/>
    <w:link w:val="179"/>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9">
    <w:name w:val="标题 1 Char_0"/>
    <w:link w:val="178"/>
    <w:autoRedefine/>
    <w:qFormat/>
    <w:uiPriority w:val="0"/>
    <w:rPr>
      <w:rFonts w:ascii="黑体" w:hAnsi="Times New Roman" w:eastAsia="黑体" w:cs="Times New Roman"/>
      <w:sz w:val="52"/>
      <w:lang w:val="zh-CN" w:eastAsia="zh-CN"/>
    </w:rPr>
  </w:style>
  <w:style w:type="paragraph" w:customStyle="1" w:styleId="180">
    <w:name w:val="标题 6_0"/>
    <w:basedOn w:val="176"/>
    <w:next w:val="176"/>
    <w:link w:val="181"/>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81">
    <w:name w:val="标题 6 Char_0"/>
    <w:link w:val="180"/>
    <w:autoRedefine/>
    <w:qFormat/>
    <w:uiPriority w:val="0"/>
    <w:rPr>
      <w:rFonts w:ascii="Arial" w:hAnsi="Arial" w:eastAsia="黑体" w:cs="Times New Roman"/>
      <w:b/>
      <w:bCs/>
      <w:sz w:val="24"/>
      <w:szCs w:val="24"/>
      <w:lang w:val="zh-CN" w:eastAsia="zh-CN"/>
    </w:rPr>
  </w:style>
  <w:style w:type="paragraph" w:customStyle="1" w:styleId="182">
    <w:name w:val="标题 7_0"/>
    <w:basedOn w:val="176"/>
    <w:next w:val="176"/>
    <w:link w:val="183"/>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83">
    <w:name w:val="标题 7 Char_0"/>
    <w:link w:val="182"/>
    <w:autoRedefine/>
    <w:qFormat/>
    <w:uiPriority w:val="0"/>
    <w:rPr>
      <w:rFonts w:ascii="Times New Roman" w:hAnsi="Times New Roman" w:cs="Times New Roman"/>
      <w:b/>
      <w:bCs/>
      <w:sz w:val="24"/>
      <w:szCs w:val="24"/>
      <w:lang w:val="zh-CN" w:eastAsia="zh-CN"/>
    </w:rPr>
  </w:style>
  <w:style w:type="paragraph" w:customStyle="1" w:styleId="184">
    <w:name w:val="标题 8_0"/>
    <w:basedOn w:val="176"/>
    <w:next w:val="176"/>
    <w:link w:val="185"/>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85">
    <w:name w:val="标题 8 Char_0"/>
    <w:link w:val="184"/>
    <w:autoRedefine/>
    <w:qFormat/>
    <w:uiPriority w:val="0"/>
    <w:rPr>
      <w:rFonts w:ascii="Arial" w:hAnsi="Arial" w:eastAsia="黑体" w:cs="Times New Roman"/>
      <w:sz w:val="24"/>
      <w:szCs w:val="24"/>
      <w:lang w:val="zh-CN" w:eastAsia="zh-CN"/>
    </w:rPr>
  </w:style>
  <w:style w:type="paragraph" w:customStyle="1" w:styleId="186">
    <w:name w:val="标题 9_0"/>
    <w:basedOn w:val="176"/>
    <w:next w:val="176"/>
    <w:link w:val="187"/>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87">
    <w:name w:val="标题 9 Char_0"/>
    <w:link w:val="186"/>
    <w:autoRedefine/>
    <w:qFormat/>
    <w:uiPriority w:val="0"/>
    <w:rPr>
      <w:rFonts w:ascii="Arial" w:hAnsi="Arial" w:eastAsia="黑体" w:cs="Times New Roman"/>
      <w:sz w:val="21"/>
      <w:szCs w:val="21"/>
      <w:lang w:val="zh-CN" w:eastAsia="zh-CN"/>
    </w:rPr>
  </w:style>
  <w:style w:type="character" w:customStyle="1" w:styleId="188">
    <w:name w:val="标题 3 Char_0"/>
    <w:link w:val="175"/>
    <w:autoRedefine/>
    <w:qFormat/>
    <w:uiPriority w:val="0"/>
    <w:rPr>
      <w:rFonts w:ascii="Times New Roman" w:hAnsi="Times New Roman" w:cs="Times New Roman"/>
      <w:b/>
      <w:sz w:val="32"/>
      <w:lang w:val="zh-CN" w:eastAsia="zh-CN"/>
    </w:rPr>
  </w:style>
  <w:style w:type="paragraph" w:customStyle="1" w:styleId="189">
    <w:name w:val="Blockquote_0"/>
    <w:basedOn w:val="176"/>
    <w:link w:val="190"/>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90">
    <w:name w:val="Blockquote Char_0"/>
    <w:link w:val="189"/>
    <w:autoRedefine/>
    <w:qFormat/>
    <w:locked/>
    <w:uiPriority w:val="0"/>
    <w:rPr>
      <w:rFonts w:ascii="Times New Roman" w:hAnsi="Times New Roman" w:cs="Times New Roman"/>
      <w:sz w:val="24"/>
      <w:lang w:val="zh-CN" w:eastAsia="zh-CN"/>
    </w:rPr>
  </w:style>
  <w:style w:type="paragraph" w:customStyle="1" w:styleId="191">
    <w:name w:val="标题 4_0"/>
    <w:basedOn w:val="176"/>
    <w:next w:val="176"/>
    <w:link w:val="192"/>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92">
    <w:name w:val="标题 4 Char_0"/>
    <w:link w:val="191"/>
    <w:autoRedefine/>
    <w:qFormat/>
    <w:uiPriority w:val="0"/>
    <w:rPr>
      <w:rFonts w:ascii="Arial" w:hAnsi="Arial" w:eastAsia="黑体" w:cs="Times New Roman"/>
      <w:sz w:val="28"/>
      <w:lang w:val="zh-CN" w:eastAsia="zh-CN"/>
    </w:rPr>
  </w:style>
  <w:style w:type="paragraph" w:customStyle="1" w:styleId="193">
    <w:name w:val="纯文本_2"/>
    <w:basedOn w:val="176"/>
    <w:link w:val="194"/>
    <w:autoRedefine/>
    <w:qFormat/>
    <w:uiPriority w:val="0"/>
    <w:rPr>
      <w:rFonts w:ascii="宋体" w:hAnsi="Courier New"/>
      <w:szCs w:val="21"/>
      <w:lang w:val="zh-CN"/>
    </w:rPr>
  </w:style>
  <w:style w:type="character" w:customStyle="1" w:styleId="194">
    <w:name w:val="纯文本 Char1_1"/>
    <w:link w:val="193"/>
    <w:autoRedefine/>
    <w:qFormat/>
    <w:uiPriority w:val="0"/>
    <w:rPr>
      <w:rFonts w:hAnsi="Courier New" w:cs="Times New Roman"/>
      <w:kern w:val="2"/>
      <w:sz w:val="21"/>
      <w:szCs w:val="21"/>
      <w:lang w:val="zh-CN" w:eastAsia="zh-CN"/>
    </w:rPr>
  </w:style>
  <w:style w:type="paragraph" w:customStyle="1" w:styleId="195">
    <w:name w:val="Blockquote_0_1"/>
    <w:basedOn w:val="196"/>
    <w:link w:val="197"/>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96">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97">
    <w:name w:val="Blockquote Char_0_1"/>
    <w:link w:val="195"/>
    <w:autoRedefine/>
    <w:qFormat/>
    <w:locked/>
    <w:uiPriority w:val="0"/>
    <w:rPr>
      <w:rFonts w:ascii="Times New Roman" w:hAnsi="Times New Roman" w:cs="Times New Roman"/>
      <w:sz w:val="24"/>
      <w:lang w:val="zh-CN" w:eastAsia="zh-CN"/>
    </w:rPr>
  </w:style>
  <w:style w:type="paragraph" w:customStyle="1" w:styleId="198">
    <w:name w:val="正文文本_0"/>
    <w:basedOn w:val="176"/>
    <w:link w:val="199"/>
    <w:autoRedefine/>
    <w:qFormat/>
    <w:uiPriority w:val="0"/>
    <w:pPr>
      <w:spacing w:after="120"/>
    </w:pPr>
    <w:rPr>
      <w:lang w:val="zh-CN"/>
    </w:rPr>
  </w:style>
  <w:style w:type="character" w:customStyle="1" w:styleId="199">
    <w:name w:val="正文文本 Char_0"/>
    <w:link w:val="198"/>
    <w:autoRedefine/>
    <w:qFormat/>
    <w:uiPriority w:val="0"/>
    <w:rPr>
      <w:rFonts w:ascii="Times New Roman" w:hAnsi="Times New Roman" w:cs="Times New Roman"/>
      <w:kern w:val="2"/>
      <w:sz w:val="21"/>
      <w:szCs w:val="24"/>
      <w:lang w:val="zh-CN" w:eastAsia="zh-CN"/>
    </w:rPr>
  </w:style>
  <w:style w:type="paragraph" w:customStyle="1" w:styleId="200">
    <w:name w:val="普通(网站)_0"/>
    <w:basedOn w:val="176"/>
    <w:autoRedefine/>
    <w:qFormat/>
    <w:uiPriority w:val="0"/>
    <w:pPr>
      <w:widowControl/>
      <w:spacing w:before="100" w:beforeAutospacing="1" w:after="100" w:afterAutospacing="1"/>
      <w:jc w:val="left"/>
    </w:pPr>
    <w:rPr>
      <w:rFonts w:ascii="宋体" w:hAnsi="宋体"/>
      <w:kern w:val="0"/>
      <w:sz w:val="24"/>
    </w:rPr>
  </w:style>
  <w:style w:type="paragraph" w:customStyle="1" w:styleId="20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3">
    <w:name w:val="脚注文本_0"/>
    <w:basedOn w:val="125"/>
    <w:link w:val="204"/>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204">
    <w:name w:val="脚注文本 Char_0"/>
    <w:link w:val="203"/>
    <w:autoRedefine/>
    <w:qFormat/>
    <w:uiPriority w:val="0"/>
    <w:rPr>
      <w:rFonts w:ascii="Times New Roman" w:hAnsi="Times New Roman" w:cs="Times New Roman"/>
      <w:sz w:val="18"/>
      <w:lang w:val="zh-CN" w:eastAsia="zh-CN"/>
    </w:rPr>
  </w:style>
  <w:style w:type="paragraph" w:customStyle="1" w:styleId="205">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20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1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11">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1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1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1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1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16">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17">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1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20">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21">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22">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23">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24">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25">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26">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27">
    <w:name w:val="Char Char Char Char Char"/>
    <w:basedOn w:val="1"/>
    <w:autoRedefine/>
    <w:qFormat/>
    <w:uiPriority w:val="0"/>
    <w:rPr>
      <w:rFonts w:ascii="Tahoma" w:hAnsi="Tahoma" w:cs="Times New Roman"/>
      <w:kern w:val="2"/>
      <w:sz w:val="24"/>
    </w:rPr>
  </w:style>
  <w:style w:type="paragraph" w:customStyle="1" w:styleId="228">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9">
    <w:name w:val="副标题 Char"/>
    <w:basedOn w:val="58"/>
    <w:link w:val="42"/>
    <w:autoRedefine/>
    <w:qFormat/>
    <w:uiPriority w:val="0"/>
    <w:rPr>
      <w:rFonts w:ascii="Arial" w:hAnsi="Arial" w:cs="Times New Roman"/>
      <w:b/>
      <w:bCs/>
      <w:kern w:val="28"/>
      <w:sz w:val="32"/>
      <w:szCs w:val="32"/>
      <w:lang w:val="zh-CN" w:eastAsia="zh-CN"/>
    </w:rPr>
  </w:style>
  <w:style w:type="character" w:customStyle="1" w:styleId="230">
    <w:name w:val="Char Char"/>
    <w:autoRedefine/>
    <w:qFormat/>
    <w:uiPriority w:val="0"/>
    <w:rPr>
      <w:rFonts w:ascii="宋体" w:hAnsi="Courier New" w:eastAsia="宋体" w:cs="Courier New"/>
      <w:kern w:val="2"/>
      <w:sz w:val="21"/>
      <w:szCs w:val="21"/>
      <w:lang w:val="en-US" w:eastAsia="zh-CN" w:bidi="ar-SA"/>
    </w:rPr>
  </w:style>
  <w:style w:type="character" w:customStyle="1" w:styleId="231">
    <w:name w:val="标题4 Char Char"/>
    <w:link w:val="232"/>
    <w:autoRedefine/>
    <w:qFormat/>
    <w:uiPriority w:val="0"/>
    <w:rPr>
      <w:rFonts w:ascii="Arial" w:hAnsi="Arial"/>
      <w:b/>
      <w:bCs/>
      <w:sz w:val="24"/>
      <w:szCs w:val="32"/>
    </w:rPr>
  </w:style>
  <w:style w:type="paragraph" w:customStyle="1" w:styleId="232">
    <w:name w:val="标题4"/>
    <w:basedOn w:val="4"/>
    <w:next w:val="27"/>
    <w:link w:val="231"/>
    <w:autoRedefine/>
    <w:qFormat/>
    <w:uiPriority w:val="0"/>
    <w:pPr>
      <w:spacing w:before="0" w:after="0" w:line="413" w:lineRule="auto"/>
    </w:pPr>
    <w:rPr>
      <w:rFonts w:ascii="Arial" w:hAnsi="Arial" w:cstheme="minorBidi"/>
      <w:kern w:val="0"/>
      <w:sz w:val="24"/>
      <w:lang w:val="en-US"/>
    </w:rPr>
  </w:style>
  <w:style w:type="character" w:customStyle="1" w:styleId="233">
    <w:name w:val="明显引用 Char"/>
    <w:link w:val="234"/>
    <w:autoRedefine/>
    <w:qFormat/>
    <w:uiPriority w:val="0"/>
    <w:rPr>
      <w:b/>
      <w:bCs/>
      <w:i/>
      <w:iCs/>
      <w:color w:val="4F81BD"/>
    </w:rPr>
  </w:style>
  <w:style w:type="paragraph" w:styleId="234">
    <w:name w:val="Intense Quote"/>
    <w:basedOn w:val="1"/>
    <w:next w:val="1"/>
    <w:link w:val="233"/>
    <w:autoRedefine/>
    <w:qFormat/>
    <w:uiPriority w:val="0"/>
    <w:pPr>
      <w:pBdr>
        <w:bottom w:val="single" w:color="4F81BD" w:themeColor="accent1" w:sz="4" w:space="4"/>
      </w:pBdr>
      <w:spacing w:before="200" w:after="280"/>
      <w:ind w:left="936" w:right="936"/>
    </w:pPr>
    <w:rPr>
      <w:b/>
      <w:bCs/>
      <w:i/>
      <w:iCs/>
      <w:color w:val="4F81BD"/>
    </w:rPr>
  </w:style>
  <w:style w:type="paragraph" w:customStyle="1" w:styleId="235">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36">
    <w:name w:val="明显引用 Char1"/>
    <w:basedOn w:val="58"/>
    <w:autoRedefine/>
    <w:qFormat/>
    <w:uiPriority w:val="30"/>
    <w:rPr>
      <w:rFonts w:ascii="Times New Roman" w:hAnsi="Times New Roman" w:eastAsia="宋体" w:cs="Times New Roman"/>
      <w:i/>
      <w:iCs/>
      <w:color w:val="5B9BD5"/>
      <w:szCs w:val="24"/>
    </w:rPr>
  </w:style>
  <w:style w:type="character" w:customStyle="1" w:styleId="237">
    <w:name w:val="标题5 Char Char"/>
    <w:link w:val="238"/>
    <w:autoRedefine/>
    <w:qFormat/>
    <w:uiPriority w:val="0"/>
    <w:rPr>
      <w:rFonts w:ascii="Arial" w:hAnsi="Arial"/>
      <w:b/>
      <w:bCs/>
      <w:sz w:val="24"/>
      <w:szCs w:val="32"/>
    </w:rPr>
  </w:style>
  <w:style w:type="paragraph" w:customStyle="1" w:styleId="238">
    <w:name w:val="标题5"/>
    <w:basedOn w:val="5"/>
    <w:link w:val="237"/>
    <w:autoRedefine/>
    <w:qFormat/>
    <w:uiPriority w:val="0"/>
    <w:pPr>
      <w:spacing w:line="413" w:lineRule="auto"/>
      <w:jc w:val="left"/>
    </w:pPr>
    <w:rPr>
      <w:rFonts w:ascii="Arial" w:hAnsi="Arial"/>
      <w:sz w:val="24"/>
    </w:rPr>
  </w:style>
  <w:style w:type="character" w:customStyle="1" w:styleId="239">
    <w:name w:val="引用 Char"/>
    <w:link w:val="240"/>
    <w:autoRedefine/>
    <w:qFormat/>
    <w:uiPriority w:val="0"/>
    <w:rPr>
      <w:i/>
      <w:iCs/>
      <w:color w:val="000000"/>
    </w:rPr>
  </w:style>
  <w:style w:type="paragraph" w:styleId="240">
    <w:name w:val="Quote"/>
    <w:basedOn w:val="1"/>
    <w:next w:val="1"/>
    <w:link w:val="239"/>
    <w:autoRedefine/>
    <w:qFormat/>
    <w:uiPriority w:val="0"/>
    <w:rPr>
      <w:i/>
      <w:iCs/>
      <w:color w:val="000000"/>
    </w:rPr>
  </w:style>
  <w:style w:type="paragraph" w:customStyle="1" w:styleId="241">
    <w:name w:val="引用1"/>
    <w:basedOn w:val="1"/>
    <w:next w:val="1"/>
    <w:autoRedefine/>
    <w:qFormat/>
    <w:uiPriority w:val="0"/>
    <w:rPr>
      <w:rFonts w:ascii="Calibri" w:hAnsi="Calibri" w:cs="Times New Roman"/>
      <w:i/>
      <w:iCs/>
      <w:color w:val="000000"/>
      <w:kern w:val="2"/>
      <w:sz w:val="21"/>
      <w:szCs w:val="22"/>
    </w:rPr>
  </w:style>
  <w:style w:type="character" w:customStyle="1" w:styleId="242">
    <w:name w:val="引用 Char1"/>
    <w:basedOn w:val="58"/>
    <w:autoRedefine/>
    <w:qFormat/>
    <w:uiPriority w:val="29"/>
    <w:rPr>
      <w:rFonts w:ascii="Times New Roman" w:hAnsi="Times New Roman" w:eastAsia="宋体" w:cs="Times New Roman"/>
      <w:i/>
      <w:iCs/>
      <w:color w:val="404040"/>
      <w:szCs w:val="24"/>
    </w:rPr>
  </w:style>
  <w:style w:type="character" w:customStyle="1" w:styleId="243">
    <w:name w:val="ask-title2"/>
    <w:autoRedefine/>
    <w:qFormat/>
    <w:uiPriority w:val="0"/>
  </w:style>
  <w:style w:type="character" w:customStyle="1" w:styleId="244">
    <w:name w:val="正文文本 Char1"/>
    <w:autoRedefine/>
    <w:qFormat/>
    <w:uiPriority w:val="0"/>
    <w:rPr>
      <w:kern w:val="2"/>
      <w:sz w:val="21"/>
      <w:szCs w:val="22"/>
    </w:rPr>
  </w:style>
  <w:style w:type="character" w:customStyle="1" w:styleId="245">
    <w:name w:val="不明显强调1"/>
    <w:autoRedefine/>
    <w:qFormat/>
    <w:uiPriority w:val="0"/>
    <w:rPr>
      <w:i/>
      <w:iCs/>
      <w:color w:val="808080"/>
    </w:rPr>
  </w:style>
  <w:style w:type="character" w:customStyle="1" w:styleId="246">
    <w:name w:val="明显参考1"/>
    <w:autoRedefine/>
    <w:qFormat/>
    <w:uiPriority w:val="0"/>
    <w:rPr>
      <w:b/>
      <w:bCs/>
      <w:smallCaps/>
      <w:color w:val="C0504D"/>
      <w:spacing w:val="5"/>
      <w:u w:val="single"/>
    </w:rPr>
  </w:style>
  <w:style w:type="character" w:customStyle="1" w:styleId="247">
    <w:name w:val="书籍标题1"/>
    <w:autoRedefine/>
    <w:qFormat/>
    <w:uiPriority w:val="0"/>
    <w:rPr>
      <w:b/>
      <w:bCs/>
      <w:smallCaps/>
      <w:spacing w:val="5"/>
    </w:rPr>
  </w:style>
  <w:style w:type="character" w:customStyle="1" w:styleId="248">
    <w:name w:val="日期 Char1"/>
    <w:autoRedefine/>
    <w:qFormat/>
    <w:uiPriority w:val="0"/>
    <w:rPr>
      <w:kern w:val="2"/>
      <w:sz w:val="21"/>
      <w:szCs w:val="22"/>
    </w:rPr>
  </w:style>
  <w:style w:type="character" w:customStyle="1" w:styleId="249">
    <w:name w:val="明显强调1"/>
    <w:autoRedefine/>
    <w:qFormat/>
    <w:uiPriority w:val="0"/>
    <w:rPr>
      <w:b/>
      <w:bCs/>
      <w:i/>
      <w:iCs/>
      <w:color w:val="4F81BD"/>
    </w:rPr>
  </w:style>
  <w:style w:type="character" w:customStyle="1" w:styleId="250">
    <w:name w:val="textcontents"/>
    <w:autoRedefine/>
    <w:qFormat/>
    <w:uiPriority w:val="0"/>
    <w:rPr>
      <w:rFonts w:cs="Times New Roman"/>
    </w:rPr>
  </w:style>
  <w:style w:type="character" w:customStyle="1" w:styleId="251">
    <w:name w:val="不明显参考1"/>
    <w:autoRedefine/>
    <w:qFormat/>
    <w:uiPriority w:val="0"/>
    <w:rPr>
      <w:smallCaps/>
      <w:color w:val="C0504D"/>
      <w:u w:val="single"/>
    </w:rPr>
  </w:style>
  <w:style w:type="character" w:customStyle="1" w:styleId="252">
    <w:name w:val="批注文字 Char Char"/>
    <w:autoRedefine/>
    <w:qFormat/>
    <w:uiPriority w:val="0"/>
    <w:rPr>
      <w:rFonts w:ascii="宋体" w:hAnsi="Times New Roman" w:eastAsia="宋体" w:cs="Times New Roman"/>
      <w:sz w:val="28"/>
      <w:szCs w:val="20"/>
    </w:rPr>
  </w:style>
  <w:style w:type="character" w:customStyle="1" w:styleId="253">
    <w:name w:val="文档结构图 Char1"/>
    <w:autoRedefine/>
    <w:qFormat/>
    <w:uiPriority w:val="0"/>
    <w:rPr>
      <w:rFonts w:ascii="宋体"/>
      <w:kern w:val="2"/>
      <w:sz w:val="18"/>
      <w:szCs w:val="18"/>
    </w:rPr>
  </w:style>
  <w:style w:type="paragraph" w:customStyle="1" w:styleId="254">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55">
    <w:name w:val="页脚 Char1"/>
    <w:autoRedefine/>
    <w:semiHidden/>
    <w:qFormat/>
    <w:uiPriority w:val="99"/>
    <w:rPr>
      <w:kern w:val="2"/>
      <w:sz w:val="18"/>
      <w:szCs w:val="18"/>
    </w:rPr>
  </w:style>
  <w:style w:type="character" w:customStyle="1" w:styleId="256">
    <w:name w:val="批注框文本 Char2"/>
    <w:autoRedefine/>
    <w:semiHidden/>
    <w:qFormat/>
    <w:uiPriority w:val="99"/>
    <w:rPr>
      <w:kern w:val="2"/>
      <w:sz w:val="18"/>
      <w:szCs w:val="18"/>
    </w:rPr>
  </w:style>
  <w:style w:type="character" w:customStyle="1" w:styleId="257">
    <w:name w:val="批注主题 Char2"/>
    <w:autoRedefine/>
    <w:semiHidden/>
    <w:qFormat/>
    <w:uiPriority w:val="99"/>
    <w:rPr>
      <w:b/>
      <w:bCs/>
      <w:kern w:val="2"/>
      <w:sz w:val="21"/>
      <w:szCs w:val="22"/>
    </w:rPr>
  </w:style>
  <w:style w:type="character" w:customStyle="1" w:styleId="258">
    <w:name w:val="文档结构图 Char2"/>
    <w:autoRedefine/>
    <w:semiHidden/>
    <w:qFormat/>
    <w:uiPriority w:val="99"/>
    <w:rPr>
      <w:rFonts w:ascii="宋体"/>
      <w:kern w:val="2"/>
      <w:sz w:val="18"/>
      <w:szCs w:val="18"/>
    </w:rPr>
  </w:style>
  <w:style w:type="character" w:customStyle="1" w:styleId="259">
    <w:name w:val="页眉 Char1"/>
    <w:autoRedefine/>
    <w:semiHidden/>
    <w:qFormat/>
    <w:uiPriority w:val="99"/>
    <w:rPr>
      <w:kern w:val="2"/>
      <w:sz w:val="18"/>
      <w:szCs w:val="18"/>
    </w:rPr>
  </w:style>
  <w:style w:type="character" w:customStyle="1" w:styleId="260">
    <w:name w:val="日期 Char2"/>
    <w:autoRedefine/>
    <w:semiHidden/>
    <w:qFormat/>
    <w:uiPriority w:val="99"/>
    <w:rPr>
      <w:kern w:val="2"/>
      <w:sz w:val="21"/>
      <w:szCs w:val="22"/>
    </w:rPr>
  </w:style>
  <w:style w:type="character" w:customStyle="1" w:styleId="261">
    <w:name w:val="正文文本 Char2"/>
    <w:autoRedefine/>
    <w:semiHidden/>
    <w:qFormat/>
    <w:uiPriority w:val="99"/>
    <w:rPr>
      <w:kern w:val="2"/>
      <w:sz w:val="21"/>
      <w:szCs w:val="22"/>
    </w:rPr>
  </w:style>
  <w:style w:type="character" w:customStyle="1" w:styleId="262">
    <w:name w:val="标题 Char1"/>
    <w:autoRedefine/>
    <w:qFormat/>
    <w:uiPriority w:val="10"/>
    <w:rPr>
      <w:rFonts w:ascii="Cambria" w:hAnsi="Cambria" w:cs="Times New Roman"/>
      <w:b/>
      <w:bCs/>
      <w:kern w:val="2"/>
      <w:sz w:val="32"/>
      <w:szCs w:val="32"/>
    </w:rPr>
  </w:style>
  <w:style w:type="character" w:customStyle="1" w:styleId="263">
    <w:name w:val="副标题 Char1"/>
    <w:autoRedefine/>
    <w:qFormat/>
    <w:uiPriority w:val="11"/>
    <w:rPr>
      <w:rFonts w:ascii="Cambria" w:hAnsi="Cambria" w:cs="Times New Roman"/>
      <w:b/>
      <w:bCs/>
      <w:kern w:val="28"/>
      <w:sz w:val="32"/>
      <w:szCs w:val="32"/>
    </w:rPr>
  </w:style>
  <w:style w:type="paragraph" w:customStyle="1" w:styleId="264">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6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6">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67">
    <w:name w:val="正文2 Char"/>
    <w:link w:val="268"/>
    <w:autoRedefine/>
    <w:qFormat/>
    <w:uiPriority w:val="0"/>
    <w:rPr>
      <w:rFonts w:ascii="楷体" w:eastAsia="楷体"/>
      <w:b/>
      <w:color w:val="0000FF"/>
    </w:rPr>
  </w:style>
  <w:style w:type="paragraph" w:customStyle="1" w:styleId="268">
    <w:name w:val="正文2"/>
    <w:link w:val="267"/>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9">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70">
    <w:name w:val="正文文本 (2)_"/>
    <w:link w:val="271"/>
    <w:autoRedefine/>
    <w:qFormat/>
    <w:locked/>
    <w:uiPriority w:val="99"/>
    <w:rPr>
      <w:rFonts w:ascii="MingLiU" w:eastAsia="MingLiU" w:cs="MingLiU"/>
      <w:spacing w:val="20"/>
      <w:sz w:val="22"/>
      <w:shd w:val="clear" w:color="auto" w:fill="FFFFFF"/>
    </w:rPr>
  </w:style>
  <w:style w:type="paragraph" w:customStyle="1" w:styleId="271">
    <w:name w:val="正文文本 (2)1"/>
    <w:basedOn w:val="1"/>
    <w:link w:val="270"/>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72">
    <w:name w:val="正文文本 (2) + 间距 0 pt5"/>
    <w:autoRedefine/>
    <w:qFormat/>
    <w:uiPriority w:val="99"/>
    <w:rPr>
      <w:rFonts w:ascii="MingLiU" w:eastAsia="MingLiU" w:cs="MingLiU"/>
      <w:spacing w:val="0"/>
      <w:sz w:val="22"/>
      <w:shd w:val="clear" w:color="auto" w:fill="FFFFFF"/>
    </w:rPr>
  </w:style>
  <w:style w:type="character" w:customStyle="1" w:styleId="273">
    <w:name w:val="访问过的超链接1"/>
    <w:basedOn w:val="58"/>
    <w:autoRedefine/>
    <w:semiHidden/>
    <w:unhideWhenUsed/>
    <w:qFormat/>
    <w:uiPriority w:val="99"/>
    <w:rPr>
      <w:color w:val="954F72"/>
      <w:u w:val="single"/>
    </w:rPr>
  </w:style>
  <w:style w:type="character" w:customStyle="1" w:styleId="274">
    <w:name w:val="明显引用 Char2"/>
    <w:basedOn w:val="58"/>
    <w:autoRedefine/>
    <w:qFormat/>
    <w:uiPriority w:val="30"/>
    <w:rPr>
      <w:b/>
      <w:bCs/>
      <w:i/>
      <w:iCs/>
      <w:color w:val="4F81BD" w:themeColor="accent1"/>
      <w14:textFill>
        <w14:solidFill>
          <w14:schemeClr w14:val="accent1"/>
        </w14:solidFill>
      </w14:textFill>
    </w:rPr>
  </w:style>
  <w:style w:type="character" w:customStyle="1" w:styleId="275">
    <w:name w:val="引用 Char2"/>
    <w:basedOn w:val="58"/>
    <w:autoRedefine/>
    <w:qFormat/>
    <w:uiPriority w:val="29"/>
    <w:rPr>
      <w:i/>
      <w:iCs/>
      <w:color w:val="000000" w:themeColor="text1"/>
      <w14:textFill>
        <w14:solidFill>
          <w14:schemeClr w14:val="tx1"/>
        </w14:solidFill>
      </w14:textFill>
    </w:rPr>
  </w:style>
  <w:style w:type="table" w:customStyle="1" w:styleId="276">
    <w:name w:val="网格型4"/>
    <w:basedOn w:val="56"/>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
    <w:name w:val="Table Normal"/>
    <w:autoRedefine/>
    <w:semiHidden/>
    <w:unhideWhenUsed/>
    <w:qFormat/>
    <w:uiPriority w:val="0"/>
    <w:tblPr>
      <w:tblCellMar>
        <w:top w:w="0" w:type="dxa"/>
        <w:left w:w="0" w:type="dxa"/>
        <w:bottom w:w="0" w:type="dxa"/>
        <w:right w:w="0" w:type="dxa"/>
      </w:tblCellMar>
    </w:tblPr>
  </w:style>
  <w:style w:type="paragraph" w:customStyle="1" w:styleId="278">
    <w:name w:val="Table Text"/>
    <w:basedOn w:val="1"/>
    <w:autoRedefine/>
    <w:semiHidden/>
    <w:qFormat/>
    <w:uiPriority w:val="0"/>
    <w:rPr>
      <w:rFonts w:ascii="Arial" w:hAnsi="Arial" w:eastAsia="Arial" w:cs="Arial"/>
      <w:sz w:val="21"/>
      <w:szCs w:val="21"/>
      <w:lang w:val="en-US" w:eastAsia="en-US" w:bidi="ar-SA"/>
    </w:rPr>
  </w:style>
  <w:style w:type="character" w:customStyle="1" w:styleId="279">
    <w:name w:val="first-child"/>
    <w:basedOn w:val="58"/>
    <w:qFormat/>
    <w:uiPriority w:val="0"/>
  </w:style>
  <w:style w:type="character" w:customStyle="1" w:styleId="280">
    <w:name w:val="layui-this"/>
    <w:basedOn w:val="58"/>
    <w:qFormat/>
    <w:uiPriority w:val="0"/>
    <w:rPr>
      <w:bdr w:val="single" w:color="EEEEEE" w:sz="6" w:space="0"/>
      <w:shd w:val="clear" w:fill="FFFFFF"/>
    </w:rPr>
  </w:style>
  <w:style w:type="character" w:customStyle="1" w:styleId="281">
    <w:name w:val="hover"/>
    <w:basedOn w:val="58"/>
    <w:qFormat/>
    <w:uiPriority w:val="0"/>
  </w:style>
  <w:style w:type="character" w:customStyle="1" w:styleId="282">
    <w:name w:val="hover1"/>
    <w:basedOn w:val="58"/>
    <w:qFormat/>
    <w:uiPriority w:val="0"/>
    <w:rPr>
      <w:color w:val="2590EB"/>
    </w:rPr>
  </w:style>
  <w:style w:type="character" w:customStyle="1" w:styleId="283">
    <w:name w:val="hover2"/>
    <w:basedOn w:val="58"/>
    <w:qFormat/>
    <w:uiPriority w:val="0"/>
    <w:rPr>
      <w:color w:val="2590EB"/>
    </w:rPr>
  </w:style>
  <w:style w:type="character" w:customStyle="1" w:styleId="284">
    <w:name w:val="hover3"/>
    <w:basedOn w:val="58"/>
    <w:qFormat/>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4CFDD-AEC3-4BBC-9B81-C7151120817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82</Pages>
  <Words>2559</Words>
  <Characters>2960</Characters>
  <Lines>445</Lines>
  <Paragraphs>125</Paragraphs>
  <TotalTime>32</TotalTime>
  <ScaleCrop>false</ScaleCrop>
  <LinksUpToDate>false</LinksUpToDate>
  <CharactersWithSpaces>3096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2021-12-20T01:22:00Z</dcterms:created>
  <dc:creator>Anakin</dc:creator>
  <cp:lastModifiedBy>Pim Pom丶</cp:lastModifiedBy>
  <cp:lastPrinted>2026-09-07T08:58:00Z</cp:lastPrinted>
  <dcterms:modified xsi:type="dcterms:W3CDTF">2026-09-10T01:31:21Z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BE393E6EDC3845A1908AECFA21276DCE_12</vt:lpwstr>
  </property>
  <property fmtid="{D5CDD505-2E9C-101B-9397-08002B2CF9AE}" pid="4" name="KSOTemplateDocerSaveRecord">
    <vt:lpwstr>eyJoZGlkIjoiOTk1OGJkZDZlMmJiZjgxZThhZWQ4YzE0YWIxYTUyMmQiLCJ1c2VySWQiOiI0MDkyMjI1MTkifQ==</vt:lpwstr>
  </property>
</Properties>
</file>