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E8F75">
      <w:pPr>
        <w:spacing w:line="1200" w:lineRule="exact"/>
        <w:jc w:val="center"/>
        <w:rPr>
          <w:rFonts w:hint="default" w:ascii="宋体" w:hAnsi="宋体" w:eastAsia="宋体" w:cs="宋体"/>
          <w:b/>
          <w:bCs/>
          <w:color w:val="auto"/>
          <w:sz w:val="48"/>
          <w:szCs w:val="48"/>
          <w:highlight w:val="none"/>
          <w:lang w:val="en-US" w:eastAsia="zh-CN"/>
        </w:rPr>
      </w:pPr>
      <w:r>
        <w:rPr>
          <w:rFonts w:hint="eastAsia" w:ascii="宋体" w:hAnsi="宋体" w:cs="宋体"/>
          <w:b/>
          <w:bCs/>
          <w:color w:val="auto"/>
          <w:sz w:val="48"/>
          <w:szCs w:val="48"/>
          <w:highlight w:val="none"/>
        </w:rPr>
        <w:t>明湖新区2026年地块控制性详细规划编制</w:t>
      </w:r>
      <w:r>
        <w:rPr>
          <w:rFonts w:hint="eastAsia" w:ascii="宋体" w:hAnsi="宋体" w:cs="宋体"/>
          <w:b/>
          <w:bCs/>
          <w:color w:val="auto"/>
          <w:sz w:val="48"/>
          <w:szCs w:val="48"/>
          <w:highlight w:val="none"/>
          <w:lang w:val="en-US" w:eastAsia="zh-CN"/>
        </w:rPr>
        <w:t>服务项目</w:t>
      </w:r>
    </w:p>
    <w:p w14:paraId="5E5D17F5">
      <w:pPr>
        <w:rPr>
          <w:color w:val="auto"/>
          <w:highlight w:val="none"/>
        </w:rPr>
      </w:pPr>
    </w:p>
    <w:p w14:paraId="42C1BA68">
      <w:pPr>
        <w:spacing w:line="1200" w:lineRule="exact"/>
        <w:jc w:val="center"/>
        <w:rPr>
          <w:rFonts w:hint="eastAsia" w:ascii="仿宋" w:hAnsi="仿宋" w:eastAsia="仿宋" w:cs="仿宋"/>
          <w:b/>
          <w:bCs/>
          <w:color w:val="auto"/>
          <w:sz w:val="66"/>
          <w:szCs w:val="66"/>
          <w:highlight w:val="none"/>
        </w:rPr>
      </w:pPr>
    </w:p>
    <w:p w14:paraId="2478DFB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询</w:t>
      </w:r>
    </w:p>
    <w:p w14:paraId="00CE600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价</w:t>
      </w:r>
    </w:p>
    <w:p w14:paraId="0E4CD7A9">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文</w:t>
      </w:r>
    </w:p>
    <w:p w14:paraId="524746A0">
      <w:pPr>
        <w:spacing w:line="1200" w:lineRule="exact"/>
        <w:jc w:val="center"/>
        <w:rPr>
          <w:rFonts w:ascii="宋体" w:hAnsi="宋体" w:cs="宋体"/>
          <w:b/>
          <w:bCs/>
          <w:color w:val="auto"/>
          <w:sz w:val="66"/>
          <w:szCs w:val="66"/>
          <w:highlight w:val="none"/>
        </w:rPr>
      </w:pPr>
      <w:r>
        <w:rPr>
          <w:rFonts w:hint="eastAsia" w:ascii="仿宋" w:hAnsi="仿宋" w:eastAsia="仿宋" w:cs="仿宋"/>
          <w:b/>
          <w:bCs/>
          <w:color w:val="auto"/>
          <w:sz w:val="66"/>
          <w:szCs w:val="66"/>
          <w:highlight w:val="none"/>
        </w:rPr>
        <w:t>件</w:t>
      </w:r>
    </w:p>
    <w:p w14:paraId="3D8D2318">
      <w:pPr>
        <w:spacing w:line="600" w:lineRule="exact"/>
        <w:ind w:firstLine="3500" w:firstLineChars="1250"/>
        <w:jc w:val="center"/>
        <w:rPr>
          <w:color w:val="auto"/>
          <w:sz w:val="28"/>
          <w:szCs w:val="28"/>
          <w:highlight w:val="none"/>
        </w:rPr>
      </w:pPr>
    </w:p>
    <w:p w14:paraId="340E214B">
      <w:pPr>
        <w:spacing w:line="600" w:lineRule="exact"/>
        <w:jc w:val="center"/>
        <w:rPr>
          <w:rFonts w:cs="宋体"/>
          <w:color w:val="auto"/>
          <w:sz w:val="28"/>
          <w:szCs w:val="28"/>
          <w:highlight w:val="none"/>
          <w:u w:val="single"/>
        </w:rPr>
      </w:pPr>
    </w:p>
    <w:p w14:paraId="75081A1E">
      <w:pPr>
        <w:spacing w:line="800" w:lineRule="exact"/>
        <w:rPr>
          <w:b/>
          <w:bCs/>
          <w:color w:val="auto"/>
          <w:sz w:val="44"/>
          <w:szCs w:val="44"/>
          <w:highlight w:val="none"/>
        </w:rPr>
      </w:pPr>
    </w:p>
    <w:p w14:paraId="088A4DC7">
      <w:pPr>
        <w:ind w:firstLine="803" w:firstLineChars="250"/>
        <w:rPr>
          <w:rFonts w:ascii="宋体"/>
          <w:b/>
          <w:color w:val="auto"/>
          <w:sz w:val="32"/>
          <w:szCs w:val="32"/>
          <w:highlight w:val="none"/>
        </w:rPr>
      </w:pPr>
      <w:r>
        <w:rPr>
          <w:rFonts w:hint="eastAsia" w:ascii="宋体"/>
          <w:b/>
          <w:color w:val="auto"/>
          <w:sz w:val="32"/>
          <w:szCs w:val="32"/>
          <w:highlight w:val="none"/>
        </w:rPr>
        <w:t>询 价 单 位：</w:t>
      </w:r>
      <w:r>
        <w:rPr>
          <w:rFonts w:hint="eastAsia" w:ascii="宋体"/>
          <w:b/>
          <w:color w:val="auto"/>
          <w:sz w:val="32"/>
          <w:szCs w:val="32"/>
          <w:highlight w:val="none"/>
          <w:u w:val="single"/>
        </w:rPr>
        <w:t xml:space="preserve">滁州市明湖建设管理服务中心 </w:t>
      </w:r>
      <w:r>
        <w:rPr>
          <w:rFonts w:hint="eastAsia" w:ascii="宋体"/>
          <w:b/>
          <w:color w:val="auto"/>
          <w:sz w:val="32"/>
          <w:szCs w:val="32"/>
          <w:highlight w:val="none"/>
        </w:rPr>
        <w:t>（盖章）</w:t>
      </w:r>
    </w:p>
    <w:p w14:paraId="07CAD4A7">
      <w:pPr>
        <w:spacing w:line="240" w:lineRule="exact"/>
        <w:ind w:firstLine="803" w:firstLineChars="250"/>
        <w:rPr>
          <w:rFonts w:ascii="宋体"/>
          <w:b/>
          <w:color w:val="auto"/>
          <w:sz w:val="32"/>
          <w:szCs w:val="32"/>
          <w:highlight w:val="none"/>
        </w:rPr>
      </w:pPr>
    </w:p>
    <w:p w14:paraId="6157E8F9">
      <w:pPr>
        <w:ind w:firstLine="803" w:firstLineChars="250"/>
        <w:rPr>
          <w:rFonts w:ascii="宋体"/>
          <w:b/>
          <w:color w:val="auto"/>
          <w:w w:val="90"/>
          <w:sz w:val="32"/>
          <w:szCs w:val="32"/>
          <w:highlight w:val="none"/>
        </w:rPr>
      </w:pPr>
      <w:r>
        <w:rPr>
          <w:rFonts w:hint="eastAsia" w:ascii="宋体"/>
          <w:b/>
          <w:color w:val="auto"/>
          <w:sz w:val="32"/>
          <w:szCs w:val="32"/>
          <w:highlight w:val="none"/>
        </w:rPr>
        <w:t>代 理 机 构：</w:t>
      </w:r>
      <w:r>
        <w:rPr>
          <w:rFonts w:hint="eastAsia" w:ascii="宋体"/>
          <w:b/>
          <w:color w:val="auto"/>
          <w:w w:val="90"/>
          <w:sz w:val="32"/>
          <w:szCs w:val="32"/>
          <w:highlight w:val="none"/>
          <w:u w:val="single"/>
        </w:rPr>
        <w:t xml:space="preserve"> </w:t>
      </w:r>
      <w:r>
        <w:rPr>
          <w:rFonts w:hint="eastAsia"/>
          <w:b/>
          <w:bCs/>
          <w:color w:val="auto"/>
          <w:sz w:val="30"/>
          <w:szCs w:val="30"/>
          <w:highlight w:val="none"/>
          <w:u w:val="single"/>
        </w:rPr>
        <w:t>滁州市城投工程咨询管理有限公司</w:t>
      </w:r>
      <w:r>
        <w:rPr>
          <w:rFonts w:hint="eastAsia" w:ascii="宋体"/>
          <w:b/>
          <w:color w:val="auto"/>
          <w:w w:val="90"/>
          <w:sz w:val="32"/>
          <w:szCs w:val="32"/>
          <w:highlight w:val="none"/>
        </w:rPr>
        <w:t>（盖章）</w:t>
      </w:r>
    </w:p>
    <w:p w14:paraId="7B90F377">
      <w:pPr>
        <w:spacing w:line="240" w:lineRule="exact"/>
        <w:ind w:firstLine="803" w:firstLineChars="250"/>
        <w:rPr>
          <w:rFonts w:ascii="宋体"/>
          <w:b/>
          <w:color w:val="auto"/>
          <w:sz w:val="32"/>
          <w:szCs w:val="32"/>
          <w:highlight w:val="none"/>
        </w:rPr>
      </w:pPr>
    </w:p>
    <w:p w14:paraId="4D63D110">
      <w:pPr>
        <w:jc w:val="center"/>
        <w:rPr>
          <w:rFonts w:ascii="宋体"/>
          <w:b/>
          <w:color w:val="auto"/>
          <w:sz w:val="28"/>
          <w:szCs w:val="28"/>
          <w:highlight w:val="none"/>
        </w:rPr>
      </w:pPr>
      <w:r>
        <w:rPr>
          <w:rFonts w:ascii="宋体"/>
          <w:b/>
          <w:color w:val="auto"/>
          <w:sz w:val="32"/>
          <w:szCs w:val="32"/>
          <w:highlight w:val="none"/>
          <w:u w:val="single"/>
        </w:rPr>
        <w:t xml:space="preserve"> 20</w:t>
      </w:r>
      <w:r>
        <w:rPr>
          <w:rFonts w:hint="eastAsia" w:ascii="宋体"/>
          <w:b/>
          <w:color w:val="auto"/>
          <w:sz w:val="32"/>
          <w:szCs w:val="32"/>
          <w:highlight w:val="none"/>
          <w:u w:val="single"/>
        </w:rPr>
        <w:t>2</w:t>
      </w:r>
      <w:r>
        <w:rPr>
          <w:rFonts w:hint="eastAsia" w:ascii="宋体"/>
          <w:b/>
          <w:color w:val="auto"/>
          <w:sz w:val="32"/>
          <w:szCs w:val="32"/>
          <w:highlight w:val="none"/>
          <w:u w:val="single"/>
          <w:lang w:val="en-US" w:eastAsia="zh-CN"/>
        </w:rPr>
        <w:t>6</w:t>
      </w:r>
      <w:r>
        <w:rPr>
          <w:rFonts w:ascii="宋体"/>
          <w:b/>
          <w:color w:val="auto"/>
          <w:sz w:val="32"/>
          <w:szCs w:val="32"/>
          <w:highlight w:val="none"/>
          <w:u w:val="single"/>
        </w:rPr>
        <w:t xml:space="preserve"> </w:t>
      </w:r>
      <w:r>
        <w:rPr>
          <w:rFonts w:hint="eastAsia" w:ascii="宋体"/>
          <w:b/>
          <w:color w:val="auto"/>
          <w:sz w:val="32"/>
          <w:szCs w:val="32"/>
          <w:highlight w:val="none"/>
        </w:rPr>
        <w:t xml:space="preserve">年 </w:t>
      </w:r>
      <w:r>
        <w:rPr>
          <w:rFonts w:hint="eastAsia" w:ascii="宋体"/>
          <w:b/>
          <w:color w:val="auto"/>
          <w:sz w:val="32"/>
          <w:szCs w:val="32"/>
          <w:highlight w:val="none"/>
          <w:u w:val="single"/>
          <w:lang w:val="en-US" w:eastAsia="zh-CN"/>
        </w:rPr>
        <w:t>3</w:t>
      </w:r>
      <w:r>
        <w:rPr>
          <w:rFonts w:hint="eastAsia" w:ascii="宋体"/>
          <w:b/>
          <w:color w:val="auto"/>
          <w:sz w:val="32"/>
          <w:szCs w:val="32"/>
          <w:highlight w:val="none"/>
        </w:rPr>
        <w:t>月</w:t>
      </w:r>
    </w:p>
    <w:p w14:paraId="2B0EACC7">
      <w:pPr>
        <w:rPr>
          <w:color w:val="auto"/>
          <w:highlight w:val="none"/>
        </w:rPr>
      </w:pPr>
      <w:r>
        <w:rPr>
          <w:rFonts w:hint="eastAsia" w:ascii="宋体" w:hAnsi="宋体" w:cs="宋体"/>
          <w:color w:val="auto"/>
          <w:sz w:val="24"/>
          <w:highlight w:val="none"/>
        </w:rPr>
        <w:br w:type="page"/>
      </w:r>
    </w:p>
    <w:p w14:paraId="1D9CCECF">
      <w:pPr>
        <w:pStyle w:val="2"/>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rPr>
      </w:pPr>
      <w:bookmarkStart w:id="0" w:name="_Toc460829701"/>
      <w:bookmarkEnd w:id="0"/>
      <w:r>
        <w:rPr>
          <w:rFonts w:hint="eastAsia" w:ascii="宋体" w:hAnsi="宋体" w:eastAsia="宋体" w:cs="宋体"/>
          <w:color w:val="auto"/>
          <w:sz w:val="30"/>
          <w:szCs w:val="30"/>
          <w:highlight w:val="none"/>
          <w:lang w:eastAsia="zh-CN"/>
        </w:rPr>
        <w:t>明湖新区2026年地块控制性详细规划编制服务项目</w:t>
      </w:r>
      <w:r>
        <w:rPr>
          <w:rFonts w:hint="eastAsia" w:ascii="宋体" w:hAnsi="宋体" w:eastAsia="宋体" w:cs="宋体"/>
          <w:color w:val="auto"/>
          <w:sz w:val="30"/>
          <w:szCs w:val="30"/>
          <w:highlight w:val="none"/>
        </w:rPr>
        <w:t>询价公告</w:t>
      </w:r>
    </w:p>
    <w:p w14:paraId="0C36E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项目概况</w:t>
      </w:r>
    </w:p>
    <w:p w14:paraId="6587A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明湖新区2026年地块控制性详细规划编制服务项目的供应商应在滁州市城投工程咨询管理有限公司网站（https://www.czctgczx.com/）获取询价文件，并于</w:t>
      </w:r>
      <w:r>
        <w:rPr>
          <w:rFonts w:hint="eastAsia" w:ascii="宋体" w:hAnsi="宋体" w:eastAsia="宋体" w:cs="宋体"/>
          <w:b/>
          <w:bCs/>
          <w:color w:val="auto"/>
          <w:kern w:val="0"/>
          <w:sz w:val="24"/>
          <w:szCs w:val="24"/>
          <w:highlight w:val="none"/>
          <w:shd w:val="clear" w:color="auto" w:fill="FFFFFF"/>
          <w:lang w:val="en-US" w:eastAsia="zh-CN" w:bidi="ar"/>
        </w:rPr>
        <w:t>2026年</w:t>
      </w:r>
      <w:r>
        <w:rPr>
          <w:rFonts w:hint="eastAsia" w:ascii="宋体" w:hAnsi="宋体" w:cs="宋体"/>
          <w:b/>
          <w:bCs/>
          <w:color w:val="auto"/>
          <w:kern w:val="0"/>
          <w:sz w:val="24"/>
          <w:szCs w:val="24"/>
          <w:highlight w:val="none"/>
          <w:shd w:val="clear" w:color="auto" w:fill="FFFFFF"/>
          <w:lang w:val="en-US" w:eastAsia="zh-CN" w:bidi="ar"/>
        </w:rPr>
        <w:t>4</w:t>
      </w:r>
      <w:r>
        <w:rPr>
          <w:rFonts w:hint="eastAsia" w:ascii="宋体" w:hAnsi="宋体" w:eastAsia="宋体" w:cs="宋体"/>
          <w:b/>
          <w:bCs/>
          <w:color w:val="auto"/>
          <w:kern w:val="0"/>
          <w:sz w:val="24"/>
          <w:szCs w:val="24"/>
          <w:highlight w:val="none"/>
          <w:shd w:val="clear" w:color="auto" w:fill="FFFFFF"/>
          <w:lang w:val="en-US" w:eastAsia="zh-CN" w:bidi="ar"/>
        </w:rPr>
        <w:t>月</w:t>
      </w:r>
      <w:r>
        <w:rPr>
          <w:rFonts w:hint="eastAsia" w:ascii="宋体" w:hAnsi="宋体" w:cs="宋体"/>
          <w:b/>
          <w:bCs/>
          <w:color w:val="auto"/>
          <w:kern w:val="0"/>
          <w:sz w:val="24"/>
          <w:szCs w:val="24"/>
          <w:highlight w:val="none"/>
          <w:shd w:val="clear" w:color="auto" w:fill="FFFFFF"/>
          <w:lang w:val="en-US" w:eastAsia="zh-CN" w:bidi="ar"/>
        </w:rPr>
        <w:t>3</w:t>
      </w:r>
      <w:r>
        <w:rPr>
          <w:rFonts w:hint="eastAsia" w:ascii="宋体" w:hAnsi="宋体" w:eastAsia="宋体" w:cs="宋体"/>
          <w:b/>
          <w:bCs/>
          <w:color w:val="auto"/>
          <w:kern w:val="0"/>
          <w:sz w:val="24"/>
          <w:szCs w:val="24"/>
          <w:highlight w:val="none"/>
          <w:shd w:val="clear" w:color="auto" w:fill="FFFFFF"/>
          <w:lang w:val="en-US" w:eastAsia="zh-CN" w:bidi="ar"/>
        </w:rPr>
        <w:t>日</w:t>
      </w:r>
      <w:r>
        <w:rPr>
          <w:rFonts w:hint="eastAsia" w:ascii="宋体" w:hAnsi="宋体" w:cs="宋体"/>
          <w:b/>
          <w:bCs/>
          <w:color w:val="auto"/>
          <w:kern w:val="0"/>
          <w:sz w:val="24"/>
          <w:szCs w:val="24"/>
          <w:highlight w:val="none"/>
          <w:shd w:val="clear" w:color="auto" w:fill="FFFFFF"/>
          <w:lang w:val="en-US" w:eastAsia="zh-CN" w:bidi="ar"/>
        </w:rPr>
        <w:t>9</w:t>
      </w:r>
      <w:r>
        <w:rPr>
          <w:rFonts w:hint="eastAsia" w:ascii="宋体" w:hAnsi="宋体" w:eastAsia="宋体" w:cs="宋体"/>
          <w:b/>
          <w:bCs/>
          <w:color w:val="auto"/>
          <w:kern w:val="0"/>
          <w:sz w:val="24"/>
          <w:szCs w:val="24"/>
          <w:highlight w:val="none"/>
          <w:shd w:val="clear" w:color="auto" w:fill="FFFFFF"/>
          <w:lang w:val="en-US" w:eastAsia="zh-CN" w:bidi="ar"/>
        </w:rPr>
        <w:t>点</w:t>
      </w:r>
      <w:r>
        <w:rPr>
          <w:rFonts w:hint="eastAsia" w:ascii="宋体" w:hAnsi="宋体" w:cs="宋体"/>
          <w:b/>
          <w:bCs/>
          <w:color w:val="auto"/>
          <w:kern w:val="0"/>
          <w:sz w:val="24"/>
          <w:szCs w:val="24"/>
          <w:highlight w:val="none"/>
          <w:shd w:val="clear" w:color="auto" w:fill="FFFFFF"/>
          <w:lang w:val="en-US" w:eastAsia="zh-CN" w:bidi="ar"/>
        </w:rPr>
        <w:t>00</w:t>
      </w:r>
      <w:r>
        <w:rPr>
          <w:rFonts w:hint="eastAsia" w:ascii="宋体" w:hAnsi="宋体" w:eastAsia="宋体" w:cs="宋体"/>
          <w:b/>
          <w:bCs/>
          <w:color w:val="auto"/>
          <w:kern w:val="0"/>
          <w:sz w:val="24"/>
          <w:szCs w:val="24"/>
          <w:highlight w:val="none"/>
          <w:shd w:val="clear" w:color="auto" w:fill="FFFFFF"/>
          <w:lang w:val="en-US" w:eastAsia="zh-CN" w:bidi="ar"/>
        </w:rPr>
        <w:t>分</w:t>
      </w:r>
      <w:r>
        <w:rPr>
          <w:rFonts w:hint="eastAsia" w:ascii="宋体" w:hAnsi="宋体" w:eastAsia="宋体" w:cs="宋体"/>
          <w:color w:val="auto"/>
          <w:kern w:val="0"/>
          <w:sz w:val="24"/>
          <w:szCs w:val="24"/>
          <w:highlight w:val="none"/>
          <w:shd w:val="clear" w:color="auto" w:fill="FFFFFF"/>
          <w:lang w:val="en-US" w:eastAsia="zh-CN" w:bidi="ar"/>
        </w:rPr>
        <w:t>（北京时间）前递交响应文件。</w:t>
      </w:r>
    </w:p>
    <w:p w14:paraId="1080940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一、项目基本情况</w:t>
      </w:r>
    </w:p>
    <w:p w14:paraId="2A8AD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项目名称：明湖新区2026年地块控制性详细规划编制服务项目</w:t>
      </w:r>
    </w:p>
    <w:p w14:paraId="20BEA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项目编号：HXJY1110001053644001 </w:t>
      </w:r>
    </w:p>
    <w:p w14:paraId="16723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采购方式：□竞争性谈判 □竞争性磋商 ☑询价</w:t>
      </w:r>
    </w:p>
    <w:p w14:paraId="41E6B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预算金额：200000.00元</w:t>
      </w:r>
    </w:p>
    <w:p w14:paraId="33A42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最高限价：200000.00元</w:t>
      </w:r>
    </w:p>
    <w:p w14:paraId="457B7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采购需求：明湖新区2026年地块控制性详细规划编制,总用地约</w:t>
      </w:r>
      <w:r>
        <w:rPr>
          <w:rFonts w:hint="eastAsia" w:ascii="宋体" w:hAnsi="宋体" w:cs="宋体"/>
          <w:color w:val="auto"/>
          <w:kern w:val="0"/>
          <w:sz w:val="24"/>
          <w:szCs w:val="24"/>
          <w:highlight w:val="none"/>
          <w:shd w:val="clear" w:color="auto" w:fill="FFFFFF"/>
          <w:lang w:val="en-US" w:eastAsia="zh-CN" w:bidi="ar"/>
        </w:rPr>
        <w:t>60</w:t>
      </w:r>
      <w:r>
        <w:rPr>
          <w:rFonts w:hint="eastAsia" w:ascii="宋体" w:hAnsi="宋体" w:eastAsia="宋体" w:cs="宋体"/>
          <w:color w:val="auto"/>
          <w:kern w:val="0"/>
          <w:sz w:val="24"/>
          <w:szCs w:val="24"/>
          <w:highlight w:val="none"/>
          <w:shd w:val="clear" w:color="auto" w:fill="FFFFFF"/>
          <w:lang w:val="en-US" w:eastAsia="zh-CN" w:bidi="ar"/>
        </w:rPr>
        <w:t>公顷。提供文本、图册，完成矢量数据入库工作</w:t>
      </w:r>
      <w:r>
        <w:rPr>
          <w:rFonts w:hint="eastAsia" w:ascii="宋体" w:hAnsi="宋体" w:cs="宋体"/>
          <w:color w:val="auto"/>
          <w:kern w:val="0"/>
          <w:sz w:val="24"/>
          <w:szCs w:val="24"/>
          <w:highlight w:val="none"/>
          <w:shd w:val="clear" w:color="auto" w:fill="FFFFFF"/>
          <w:lang w:val="en-US" w:eastAsia="zh-CN" w:bidi="ar"/>
        </w:rPr>
        <w:t>。</w:t>
      </w:r>
    </w:p>
    <w:p w14:paraId="4A17CD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合同履行期限：2026年全年，合同签订后按要求每个地块10个日历天内完成地块控制性详细规划编制工作，其他要求以滁州市明湖建设管理服务中心具体要求为准。</w:t>
      </w:r>
    </w:p>
    <w:p w14:paraId="3C3E9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本项目不接受联合体。</w:t>
      </w:r>
    </w:p>
    <w:p w14:paraId="644A8502">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 w:name="_Toc28359090"/>
      <w:bookmarkEnd w:id="1"/>
      <w:bookmarkStart w:id="2" w:name="_Toc35393799"/>
      <w:bookmarkEnd w:id="2"/>
      <w:bookmarkStart w:id="3" w:name="_Toc35393630"/>
      <w:bookmarkEnd w:id="3"/>
      <w:bookmarkStart w:id="4" w:name="_Toc9532"/>
      <w:bookmarkEnd w:id="4"/>
      <w:bookmarkStart w:id="5" w:name="_Toc28359013"/>
      <w:bookmarkEnd w:id="5"/>
      <w:r>
        <w:rPr>
          <w:rFonts w:hint="eastAsia" w:ascii="宋体" w:hAnsi="宋体" w:eastAsia="宋体" w:cs="宋体"/>
          <w:b/>
          <w:bCs/>
          <w:color w:val="auto"/>
          <w:kern w:val="0"/>
          <w:sz w:val="24"/>
          <w:szCs w:val="24"/>
          <w:highlight w:val="none"/>
          <w:lang w:val="en-US" w:eastAsia="zh-CN"/>
        </w:rPr>
        <w:t>二、申请人的资格要求</w:t>
      </w:r>
    </w:p>
    <w:p w14:paraId="42C26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6" w:name="_Toc28359014"/>
      <w:bookmarkStart w:id="7" w:name="_Toc28359091"/>
      <w:r>
        <w:rPr>
          <w:rFonts w:hint="eastAsia" w:ascii="宋体" w:hAnsi="宋体" w:eastAsia="宋体" w:cs="宋体"/>
          <w:color w:val="auto"/>
          <w:kern w:val="0"/>
          <w:sz w:val="24"/>
          <w:szCs w:val="24"/>
          <w:highlight w:val="none"/>
          <w:shd w:val="clear" w:color="auto" w:fill="FFFFFF"/>
          <w:lang w:val="en-US" w:eastAsia="zh-CN" w:bidi="ar"/>
        </w:rPr>
        <w:t>1.企业要求：为具有独立承担民事责任能力且具有相应服务能力的企业，同时具有城乡规划（国土空间规划）乙级及以上资质；</w:t>
      </w:r>
    </w:p>
    <w:p w14:paraId="260AF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2.项目负责人及技术负责人要求：同时具备城乡规划相关专业高级工程师职称证书和城乡规划师注册证书。</w:t>
      </w:r>
    </w:p>
    <w:p w14:paraId="00171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3.信誉要求：投标人不得存在以下情形：</w:t>
      </w:r>
    </w:p>
    <w:p w14:paraId="37746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①被列入“信用中国”网站“失信被执行人”的； </w:t>
      </w:r>
    </w:p>
    <w:p w14:paraId="01415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②被列入“信用中国”网站“重大税收违法失信主体”的； </w:t>
      </w:r>
    </w:p>
    <w:p w14:paraId="7C3DD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③被列入“信用中国”网站 “严重失信主体名单”的； </w:t>
      </w:r>
    </w:p>
    <w:p w14:paraId="26C73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④在“信用中国”网站上披露的仍在公示期的严重失信行为(具体行 为类别及判定依据见“信用中国”查询的严重失信行为类别及判定依据) 的；</w:t>
      </w:r>
    </w:p>
    <w:p w14:paraId="7D319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⑤被列入国家企业信用信息公示系统网站“经营异常名录”或者“严 重违法失信名单”的；</w:t>
      </w:r>
    </w:p>
    <w:p w14:paraId="41E0B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⑥被列入中国政府采购网站“政府采购严重违法失信行为信息记录” 的；</w:t>
      </w:r>
    </w:p>
    <w:p w14:paraId="5E756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⑦前三年有行贿犯罪行为的单位和个人。</w:t>
      </w:r>
    </w:p>
    <w:p w14:paraId="40E16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4.投标人所属分公司、办事处等分支机构存在第</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款信誉要求①-⑦项情形之一的，接受投标人参加本项目。</w:t>
      </w:r>
    </w:p>
    <w:p w14:paraId="346C3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备注：第3、4条按照“关于联合惩戒失信行为加强</w:t>
      </w:r>
      <w:bookmarkStart w:id="257" w:name="_GoBack"/>
      <w:bookmarkEnd w:id="257"/>
      <w:r>
        <w:rPr>
          <w:rFonts w:hint="eastAsia" w:ascii="宋体" w:hAnsi="宋体" w:eastAsia="宋体" w:cs="宋体"/>
          <w:color w:val="auto"/>
          <w:kern w:val="0"/>
          <w:sz w:val="24"/>
          <w:szCs w:val="24"/>
          <w:highlight w:val="none"/>
          <w:shd w:val="clear" w:color="auto" w:fill="FFFFFF"/>
          <w:lang w:val="en-US" w:eastAsia="zh-CN" w:bidi="ar"/>
        </w:rPr>
        <w:t>信用查询管理的通知”查询或承诺。</w:t>
      </w:r>
    </w:p>
    <w:bookmarkEnd w:id="6"/>
    <w:bookmarkEnd w:id="7"/>
    <w:p w14:paraId="11A5BAE8">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8" w:name="_Toc35393631"/>
      <w:bookmarkEnd w:id="8"/>
      <w:bookmarkStart w:id="9" w:name="_Toc35393800"/>
      <w:bookmarkEnd w:id="9"/>
      <w:bookmarkStart w:id="10" w:name="_Toc25136"/>
      <w:bookmarkEnd w:id="10"/>
      <w:r>
        <w:rPr>
          <w:rFonts w:hint="eastAsia" w:ascii="宋体" w:hAnsi="宋体" w:eastAsia="宋体" w:cs="宋体"/>
          <w:b/>
          <w:bCs/>
          <w:color w:val="auto"/>
          <w:kern w:val="0"/>
          <w:sz w:val="24"/>
          <w:szCs w:val="24"/>
          <w:highlight w:val="none"/>
          <w:lang w:val="en-US" w:eastAsia="zh-CN"/>
        </w:rPr>
        <w:t>三、获取询价文件</w:t>
      </w:r>
    </w:p>
    <w:p w14:paraId="16DE3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30</w:t>
      </w:r>
      <w:r>
        <w:rPr>
          <w:rFonts w:hint="eastAsia" w:ascii="宋体" w:hAnsi="宋体" w:eastAsia="宋体" w:cs="宋体"/>
          <w:color w:val="auto"/>
          <w:kern w:val="0"/>
          <w:sz w:val="24"/>
          <w:szCs w:val="24"/>
          <w:highlight w:val="none"/>
          <w:shd w:val="clear" w:color="auto" w:fill="FFFFFF"/>
          <w:lang w:val="en-US" w:eastAsia="zh-CN" w:bidi="ar"/>
        </w:rPr>
        <w:t>日至2026年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日</w:t>
      </w:r>
    </w:p>
    <w:p w14:paraId="1B8C9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地点：滁州市城投工程咨询管理有限公司网站（https://www.czctgczx.com/）</w:t>
      </w:r>
    </w:p>
    <w:p w14:paraId="27AD7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方式：网上下载</w:t>
      </w:r>
    </w:p>
    <w:p w14:paraId="77CCA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售价：0元</w:t>
      </w:r>
    </w:p>
    <w:p w14:paraId="07526F59">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1" w:name="_Toc2409_WPSOffice_Level2"/>
      <w:bookmarkEnd w:id="11"/>
      <w:bookmarkStart w:id="12" w:name="_Toc23501"/>
      <w:bookmarkEnd w:id="12"/>
      <w:bookmarkStart w:id="13" w:name="_Toc3042"/>
      <w:bookmarkEnd w:id="13"/>
      <w:bookmarkStart w:id="14" w:name="_Toc13601"/>
      <w:bookmarkEnd w:id="14"/>
      <w:bookmarkStart w:id="15" w:name="_Toc1952_WPSOffice_Level2"/>
      <w:bookmarkEnd w:id="15"/>
      <w:bookmarkStart w:id="16" w:name="_Toc35393803"/>
      <w:bookmarkStart w:id="17" w:name="_Toc28359017"/>
      <w:bookmarkStart w:id="18" w:name="_Toc28359094"/>
      <w:bookmarkStart w:id="19" w:name="_Toc35393634"/>
      <w:r>
        <w:rPr>
          <w:rFonts w:hint="eastAsia" w:ascii="宋体" w:hAnsi="宋体" w:eastAsia="宋体" w:cs="宋体"/>
          <w:b/>
          <w:bCs/>
          <w:color w:val="auto"/>
          <w:kern w:val="0"/>
          <w:sz w:val="24"/>
          <w:szCs w:val="24"/>
          <w:highlight w:val="none"/>
          <w:lang w:val="en-US" w:eastAsia="zh-CN"/>
        </w:rPr>
        <w:t>四、响应文件提交</w:t>
      </w:r>
    </w:p>
    <w:p w14:paraId="252C6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截止时间：2026年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9</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60120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地点：新点电子交易平台后在【滁州专区】</w:t>
      </w:r>
    </w:p>
    <w:p w14:paraId="0C5CA12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0" w:name="_Toc27950"/>
      <w:r>
        <w:rPr>
          <w:rFonts w:hint="eastAsia" w:ascii="宋体" w:hAnsi="宋体" w:eastAsia="宋体" w:cs="宋体"/>
          <w:b/>
          <w:bCs/>
          <w:color w:val="auto"/>
          <w:kern w:val="0"/>
          <w:sz w:val="24"/>
          <w:szCs w:val="24"/>
          <w:highlight w:val="none"/>
          <w:lang w:val="en-US" w:eastAsia="zh-CN"/>
        </w:rPr>
        <w:t>五、开启</w:t>
      </w:r>
    </w:p>
    <w:p w14:paraId="197A7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9</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3CDB1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地点：网上开标；本项目仅接受加密电子投标文件投标人在投标截止时间前通过新点电子交易平台后在【滁州专区】（https://www.etrading.cn/BREpointSSO/login/oauth2login?regioncode=DQ_ChuZhou）交易系统递交电子投标文件。</w:t>
      </w:r>
    </w:p>
    <w:bookmarkEnd w:id="16"/>
    <w:bookmarkEnd w:id="17"/>
    <w:bookmarkEnd w:id="18"/>
    <w:bookmarkEnd w:id="19"/>
    <w:bookmarkEnd w:id="20"/>
    <w:p w14:paraId="243B580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六、公告期限</w:t>
      </w:r>
    </w:p>
    <w:p w14:paraId="41163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自本公告发布之日起3个工作日。</w:t>
      </w:r>
    </w:p>
    <w:p w14:paraId="58FF52B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1" w:name="_Toc23052"/>
      <w:bookmarkStart w:id="22" w:name="_Toc28359095"/>
      <w:bookmarkStart w:id="23" w:name="_Toc28359018"/>
      <w:bookmarkStart w:id="24" w:name="_Toc35393805"/>
      <w:bookmarkStart w:id="25" w:name="_Toc35393636"/>
      <w:r>
        <w:rPr>
          <w:rFonts w:hint="eastAsia" w:ascii="宋体" w:hAnsi="宋体" w:eastAsia="宋体" w:cs="宋体"/>
          <w:b/>
          <w:bCs/>
          <w:color w:val="auto"/>
          <w:kern w:val="0"/>
          <w:sz w:val="24"/>
          <w:szCs w:val="24"/>
          <w:highlight w:val="none"/>
          <w:lang w:val="en-US" w:eastAsia="zh-CN"/>
        </w:rPr>
        <w:t>七、其他补充事宜</w:t>
      </w:r>
    </w:p>
    <w:p w14:paraId="120AC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1.投标人从滁州市城投工程咨询管理有限公司（https://www.czctgczx.com/）下载。投标人自行承担因未按要求获取招标文件导致无法上传电子投标文件的风险。</w:t>
      </w:r>
    </w:p>
    <w:p w14:paraId="62D71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0B6B2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投标人登录新点电子交易平台【滁州专区】获取询价文件及其它资料（含澄清和补充说明等）。如在招标文件获取过程中遇到系统问题，请拨打技术支持服务热线0512-58151515（工作日）5或者网站首页在线客服。</w:t>
      </w:r>
    </w:p>
    <w:p w14:paraId="05F04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2.招标文件及相关资料售价：人民币0元/套。</w:t>
      </w:r>
    </w:p>
    <w:p w14:paraId="1FBD2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A203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4.本项目采用不见面开标，投标人登录滁州市城投工程咨询有限公司不见面开标系统参与网上开标（网址：http://js.etrading.cn/EpointBidOpening/bidopeninghallaction/hall/login）。</w:t>
      </w:r>
    </w:p>
    <w:p w14:paraId="07A8C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投标人应在投标截止时间之前，登录新点电子交易平台【滁州专区】上传投标文件</w:t>
      </w:r>
    </w:p>
    <w:p w14:paraId="06840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5.本项目仅接受加密电子投标文件投标人在投标截止时间前通过新点电子交易平台后在【滁州专区】</w:t>
      </w:r>
    </w:p>
    <w:p w14:paraId="1901DD38">
      <w:pPr>
        <w:wordWrap w:val="0"/>
        <w:spacing w:line="440" w:lineRule="exact"/>
        <w:ind w:firstLine="573"/>
        <w:rPr>
          <w:rFonts w:ascii="宋体" w:hAnsi="宋体" w:cs="宋体"/>
          <w:color w:val="auto"/>
          <w:szCs w:val="21"/>
          <w:highlight w:val="none"/>
        </w:rPr>
      </w:pPr>
      <w:r>
        <w:rPr>
          <w:rFonts w:hint="eastAsia" w:ascii="宋体" w:hAnsi="宋体" w:eastAsia="宋体" w:cs="宋体"/>
          <w:color w:val="auto"/>
          <w:kern w:val="0"/>
          <w:sz w:val="24"/>
          <w:szCs w:val="24"/>
          <w:highlight w:val="none"/>
          <w:shd w:val="clear" w:color="auto" w:fill="FFFFFF"/>
          <w:lang w:val="en-US" w:eastAsia="zh-CN" w:bidi="ar"/>
        </w:rPr>
        <w:t>（https://www.etrading.cn/BREpointSSO/login/oauth2login?regioncode=DQ_ChuZhou）交易系统递交电子投标文件。</w:t>
      </w:r>
    </w:p>
    <w:bookmarkEnd w:id="21"/>
    <w:bookmarkEnd w:id="22"/>
    <w:bookmarkEnd w:id="23"/>
    <w:bookmarkEnd w:id="24"/>
    <w:bookmarkEnd w:id="25"/>
    <w:p w14:paraId="78E2C9B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八、凡对本次采购提出询问，请按以下方式联系。</w:t>
      </w:r>
    </w:p>
    <w:p w14:paraId="1EE57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26" w:name="_Toc35393806"/>
      <w:bookmarkEnd w:id="26"/>
      <w:bookmarkStart w:id="27" w:name="_Toc35393637"/>
      <w:bookmarkEnd w:id="27"/>
      <w:bookmarkStart w:id="28" w:name="_Toc28359019"/>
      <w:bookmarkEnd w:id="28"/>
      <w:bookmarkStart w:id="29" w:name="_Toc28359096"/>
      <w:bookmarkEnd w:id="29"/>
      <w:r>
        <w:rPr>
          <w:rFonts w:hint="eastAsia" w:ascii="宋体" w:hAnsi="宋体" w:eastAsia="宋体" w:cs="宋体"/>
          <w:color w:val="auto"/>
          <w:kern w:val="0"/>
          <w:sz w:val="24"/>
          <w:szCs w:val="24"/>
          <w:highlight w:val="none"/>
          <w:shd w:val="clear" w:color="auto" w:fill="FFFFFF"/>
          <w:lang w:val="en-US" w:eastAsia="zh-CN" w:bidi="ar"/>
        </w:rPr>
        <w:t>1.采购人信息</w:t>
      </w:r>
    </w:p>
    <w:p w14:paraId="02DA5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名    称：滁州市明湖建设管理服务中心     </w:t>
      </w:r>
    </w:p>
    <w:p w14:paraId="05FEC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    址：滁州市明湖公园内</w:t>
      </w:r>
    </w:p>
    <w:p w14:paraId="70B2A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联系电话：张主任、 18949140567</w:t>
      </w:r>
    </w:p>
    <w:p w14:paraId="5CC6E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0" w:name="_Toc35393807"/>
      <w:bookmarkEnd w:id="30"/>
      <w:bookmarkStart w:id="31" w:name="_Toc28359020"/>
      <w:bookmarkEnd w:id="31"/>
      <w:bookmarkStart w:id="32" w:name="_Toc28359097"/>
      <w:bookmarkEnd w:id="32"/>
      <w:bookmarkStart w:id="33" w:name="_Toc35393638"/>
      <w:bookmarkEnd w:id="33"/>
      <w:r>
        <w:rPr>
          <w:rFonts w:hint="eastAsia" w:ascii="宋体" w:hAnsi="宋体" w:eastAsia="宋体" w:cs="宋体"/>
          <w:color w:val="auto"/>
          <w:kern w:val="0"/>
          <w:sz w:val="24"/>
          <w:szCs w:val="24"/>
          <w:highlight w:val="none"/>
          <w:shd w:val="clear" w:color="auto" w:fill="FFFFFF"/>
          <w:lang w:val="en-US" w:eastAsia="zh-CN" w:bidi="ar"/>
        </w:rPr>
        <w:t>2.采购代理机构信息</w:t>
      </w:r>
    </w:p>
    <w:p w14:paraId="4B3AC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称：滁州市城投工程咨询管理有限公司</w:t>
      </w:r>
    </w:p>
    <w:p w14:paraId="43CB6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4" w:name="_Toc35393808"/>
      <w:bookmarkStart w:id="35" w:name="_Toc28359021"/>
      <w:bookmarkStart w:id="36" w:name="_Toc28359098"/>
      <w:bookmarkStart w:id="37" w:name="_Toc35393639"/>
      <w:r>
        <w:rPr>
          <w:rFonts w:hint="eastAsia" w:ascii="宋体" w:hAnsi="宋体" w:eastAsia="宋体" w:cs="宋体"/>
          <w:color w:val="auto"/>
          <w:kern w:val="0"/>
          <w:sz w:val="24"/>
          <w:szCs w:val="24"/>
          <w:highlight w:val="none"/>
          <w:shd w:val="clear" w:color="auto" w:fill="FFFFFF"/>
          <w:lang w:val="en-US" w:eastAsia="zh-CN" w:bidi="ar"/>
        </w:rPr>
        <w:t>地　　址：滁州市龙蟠大道109号房产商务大厦6楼</w:t>
      </w:r>
    </w:p>
    <w:bookmarkEnd w:id="34"/>
    <w:bookmarkEnd w:id="35"/>
    <w:bookmarkEnd w:id="36"/>
    <w:bookmarkEnd w:id="37"/>
    <w:p w14:paraId="1607D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联系电话：杨韦、 0550-3519590/18005501210　　　 </w:t>
      </w:r>
    </w:p>
    <w:p w14:paraId="5DD4E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br w:type="page"/>
      </w:r>
    </w:p>
    <w:p w14:paraId="35DEDDC1">
      <w:pPr>
        <w:pStyle w:val="2"/>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lang w:eastAsia="zh-CN"/>
        </w:rPr>
        <w:t>须知前附表</w:t>
      </w:r>
    </w:p>
    <w:tbl>
      <w:tblPr>
        <w:tblStyle w:val="18"/>
        <w:tblW w:w="10058" w:type="dxa"/>
        <w:tblInd w:w="-617" w:type="dxa"/>
        <w:tblLayout w:type="fixed"/>
        <w:tblCellMar>
          <w:top w:w="0" w:type="dxa"/>
          <w:left w:w="108" w:type="dxa"/>
          <w:bottom w:w="0" w:type="dxa"/>
          <w:right w:w="108" w:type="dxa"/>
        </w:tblCellMar>
      </w:tblPr>
      <w:tblGrid>
        <w:gridCol w:w="735"/>
        <w:gridCol w:w="1420"/>
        <w:gridCol w:w="620"/>
        <w:gridCol w:w="7283"/>
      </w:tblGrid>
      <w:tr w14:paraId="299EC14D">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45DFA03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9B92E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283" w:type="dxa"/>
            <w:tcBorders>
              <w:top w:val="single" w:color="auto" w:sz="4" w:space="0"/>
              <w:left w:val="single" w:color="auto" w:sz="4" w:space="0"/>
              <w:bottom w:val="single" w:color="auto" w:sz="4" w:space="0"/>
              <w:right w:val="single" w:color="auto" w:sz="4" w:space="0"/>
            </w:tcBorders>
            <w:vAlign w:val="center"/>
          </w:tcPr>
          <w:p w14:paraId="3CE661E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7F8AA34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CAF93A1">
            <w:pPr>
              <w:keepNext w:val="0"/>
              <w:keepLines w:val="0"/>
              <w:pageBreakBefore w:val="0"/>
              <w:kinsoku/>
              <w:overflowPunct/>
              <w:topLinePunct w:val="0"/>
              <w:autoSpaceDN/>
              <w:bidi w:val="0"/>
              <w:spacing w:line="560" w:lineRule="exact"/>
              <w:ind w:left="-718" w:leftChars="-342" w:firstLine="718" w:firstLineChars="3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8298D2C">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单位</w:t>
            </w:r>
          </w:p>
        </w:tc>
        <w:tc>
          <w:tcPr>
            <w:tcW w:w="7283" w:type="dxa"/>
            <w:tcBorders>
              <w:top w:val="single" w:color="auto" w:sz="4" w:space="0"/>
              <w:left w:val="single" w:color="auto" w:sz="4" w:space="0"/>
              <w:bottom w:val="single" w:color="auto" w:sz="4" w:space="0"/>
              <w:right w:val="single" w:color="auto" w:sz="4" w:space="0"/>
            </w:tcBorders>
            <w:vAlign w:val="center"/>
          </w:tcPr>
          <w:p w14:paraId="0CD4294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见询价公告</w:t>
            </w:r>
          </w:p>
        </w:tc>
      </w:tr>
      <w:tr w14:paraId="702EF4AF">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983B5F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D0504B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283" w:type="dxa"/>
            <w:tcBorders>
              <w:top w:val="single" w:color="auto" w:sz="4" w:space="0"/>
              <w:left w:val="single" w:color="auto" w:sz="4" w:space="0"/>
              <w:bottom w:val="single" w:color="auto" w:sz="4" w:space="0"/>
              <w:right w:val="single" w:color="auto" w:sz="4" w:space="0"/>
            </w:tcBorders>
            <w:vAlign w:val="center"/>
          </w:tcPr>
          <w:p w14:paraId="5D70438C">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6299BDC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6D40A4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0BE19852">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283" w:type="dxa"/>
            <w:tcBorders>
              <w:top w:val="single" w:color="auto" w:sz="4" w:space="0"/>
              <w:left w:val="single" w:color="auto" w:sz="4" w:space="0"/>
              <w:bottom w:val="single" w:color="auto" w:sz="4" w:space="0"/>
              <w:right w:val="single" w:color="auto" w:sz="4" w:space="0"/>
            </w:tcBorders>
            <w:vAlign w:val="center"/>
          </w:tcPr>
          <w:p w14:paraId="14A76114">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明湖新区2026年地块控制性详细规划编制服务项目</w:t>
            </w:r>
          </w:p>
        </w:tc>
      </w:tr>
      <w:tr w14:paraId="7C7739B3">
        <w:tblPrEx>
          <w:tblCellMar>
            <w:top w:w="0" w:type="dxa"/>
            <w:left w:w="108" w:type="dxa"/>
            <w:bottom w:w="0" w:type="dxa"/>
            <w:right w:w="108" w:type="dxa"/>
          </w:tblCellMar>
        </w:tblPrEx>
        <w:trPr>
          <w:trHeight w:val="510" w:hRule="exact"/>
        </w:trPr>
        <w:tc>
          <w:tcPr>
            <w:tcW w:w="735" w:type="dxa"/>
            <w:tcBorders>
              <w:top w:val="single" w:color="auto" w:sz="4" w:space="0"/>
              <w:left w:val="single" w:color="auto" w:sz="4" w:space="0"/>
              <w:bottom w:val="single" w:color="auto" w:sz="4" w:space="0"/>
              <w:right w:val="single" w:color="auto" w:sz="4" w:space="0"/>
            </w:tcBorders>
            <w:vAlign w:val="center"/>
          </w:tcPr>
          <w:p w14:paraId="3CB075B1">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415486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7283" w:type="dxa"/>
            <w:tcBorders>
              <w:top w:val="single" w:color="auto" w:sz="4" w:space="0"/>
              <w:left w:val="single" w:color="auto" w:sz="4" w:space="0"/>
              <w:bottom w:val="single" w:color="auto" w:sz="4" w:space="0"/>
              <w:right w:val="single" w:color="auto" w:sz="4" w:space="0"/>
            </w:tcBorders>
            <w:vAlign w:val="center"/>
          </w:tcPr>
          <w:p w14:paraId="0B691BD1">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w:t>
            </w:r>
          </w:p>
        </w:tc>
      </w:tr>
      <w:tr w14:paraId="7030CFFE">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E13438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5757FD62">
            <w:pPr>
              <w:keepNext w:val="0"/>
              <w:keepLines w:val="0"/>
              <w:pageBreakBefore w:val="0"/>
              <w:widowControl/>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费用预算</w:t>
            </w:r>
          </w:p>
        </w:tc>
        <w:tc>
          <w:tcPr>
            <w:tcW w:w="7283" w:type="dxa"/>
            <w:tcBorders>
              <w:top w:val="single" w:color="auto" w:sz="4" w:space="0"/>
              <w:left w:val="single" w:color="auto" w:sz="4" w:space="0"/>
              <w:bottom w:val="single" w:color="auto" w:sz="4" w:space="0"/>
              <w:right w:val="single" w:color="auto" w:sz="4" w:space="0"/>
            </w:tcBorders>
            <w:vAlign w:val="center"/>
          </w:tcPr>
          <w:p w14:paraId="589F2332">
            <w:pPr>
              <w:keepNext w:val="0"/>
              <w:keepLines w:val="0"/>
              <w:pageBreakBefore w:val="0"/>
              <w:widowControl/>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200000.00元</w:t>
            </w:r>
          </w:p>
        </w:tc>
      </w:tr>
      <w:tr w14:paraId="684721EF">
        <w:tblPrEx>
          <w:tblCellMar>
            <w:top w:w="0" w:type="dxa"/>
            <w:left w:w="108" w:type="dxa"/>
            <w:bottom w:w="0" w:type="dxa"/>
            <w:right w:w="108" w:type="dxa"/>
          </w:tblCellMar>
        </w:tblPrEx>
        <w:trPr>
          <w:trHeight w:val="1220" w:hRule="exact"/>
        </w:trPr>
        <w:tc>
          <w:tcPr>
            <w:tcW w:w="735" w:type="dxa"/>
            <w:tcBorders>
              <w:top w:val="single" w:color="auto" w:sz="4" w:space="0"/>
              <w:left w:val="single" w:color="auto" w:sz="4" w:space="0"/>
              <w:bottom w:val="single" w:color="auto" w:sz="4" w:space="0"/>
              <w:right w:val="single" w:color="auto" w:sz="4" w:space="0"/>
            </w:tcBorders>
            <w:vAlign w:val="center"/>
          </w:tcPr>
          <w:p w14:paraId="14A9835F">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5A264E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283" w:type="dxa"/>
            <w:tcBorders>
              <w:top w:val="single" w:color="auto" w:sz="4" w:space="0"/>
              <w:left w:val="single" w:color="auto" w:sz="4" w:space="0"/>
              <w:bottom w:val="single" w:color="auto" w:sz="4" w:space="0"/>
              <w:right w:val="single" w:color="auto" w:sz="4" w:space="0"/>
            </w:tcBorders>
            <w:vAlign w:val="center"/>
          </w:tcPr>
          <w:p w14:paraId="53AF7DD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资金来源：财政资金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比例：100%</w:t>
            </w:r>
          </w:p>
        </w:tc>
      </w:tr>
      <w:tr w14:paraId="198B39E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A9E323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E47458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7283" w:type="dxa"/>
            <w:tcBorders>
              <w:top w:val="single" w:color="auto" w:sz="4" w:space="0"/>
              <w:left w:val="single" w:color="auto" w:sz="4" w:space="0"/>
              <w:bottom w:val="single" w:color="auto" w:sz="4" w:space="0"/>
              <w:right w:val="single" w:color="auto" w:sz="4" w:space="0"/>
            </w:tcBorders>
            <w:vAlign w:val="center"/>
          </w:tcPr>
          <w:p w14:paraId="388A3373">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最低评标价法</w:t>
            </w:r>
          </w:p>
        </w:tc>
      </w:tr>
      <w:tr w14:paraId="0AE57F6B">
        <w:tblPrEx>
          <w:tblCellMar>
            <w:top w:w="0" w:type="dxa"/>
            <w:left w:w="108" w:type="dxa"/>
            <w:bottom w:w="0" w:type="dxa"/>
            <w:right w:w="108" w:type="dxa"/>
          </w:tblCellMar>
        </w:tblPrEx>
        <w:trPr>
          <w:trHeight w:val="609" w:hRule="exact"/>
        </w:trPr>
        <w:tc>
          <w:tcPr>
            <w:tcW w:w="735" w:type="dxa"/>
            <w:tcBorders>
              <w:top w:val="single" w:color="auto" w:sz="4" w:space="0"/>
              <w:left w:val="single" w:color="auto" w:sz="4" w:space="0"/>
              <w:bottom w:val="single" w:color="auto" w:sz="4" w:space="0"/>
              <w:right w:val="single" w:color="auto" w:sz="4" w:space="0"/>
            </w:tcBorders>
            <w:vAlign w:val="center"/>
          </w:tcPr>
          <w:p w14:paraId="0E54C3E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63DCEB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资质条件、能力</w:t>
            </w:r>
          </w:p>
        </w:tc>
        <w:tc>
          <w:tcPr>
            <w:tcW w:w="7283" w:type="dxa"/>
            <w:tcBorders>
              <w:top w:val="single" w:color="auto" w:sz="4" w:space="0"/>
              <w:left w:val="single" w:color="auto" w:sz="4" w:space="0"/>
              <w:bottom w:val="single" w:color="auto" w:sz="4" w:space="0"/>
              <w:right w:val="single" w:color="auto" w:sz="4" w:space="0"/>
            </w:tcBorders>
            <w:vAlign w:val="center"/>
          </w:tcPr>
          <w:p w14:paraId="6AF67DDD">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016574D6">
        <w:tblPrEx>
          <w:tblCellMar>
            <w:top w:w="0" w:type="dxa"/>
            <w:left w:w="108" w:type="dxa"/>
            <w:bottom w:w="0" w:type="dxa"/>
            <w:right w:w="108" w:type="dxa"/>
          </w:tblCellMar>
        </w:tblPrEx>
        <w:trPr>
          <w:trHeight w:val="1245" w:hRule="atLeast"/>
        </w:trPr>
        <w:tc>
          <w:tcPr>
            <w:tcW w:w="735" w:type="dxa"/>
            <w:tcBorders>
              <w:top w:val="single" w:color="auto" w:sz="4" w:space="0"/>
              <w:left w:val="single" w:color="auto" w:sz="4" w:space="0"/>
              <w:bottom w:val="single" w:color="auto" w:sz="4" w:space="0"/>
              <w:right w:val="single" w:color="auto" w:sz="4" w:space="0"/>
            </w:tcBorders>
            <w:vAlign w:val="center"/>
          </w:tcPr>
          <w:p w14:paraId="358866C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02574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7283" w:type="dxa"/>
            <w:tcBorders>
              <w:top w:val="single" w:color="auto" w:sz="4" w:space="0"/>
              <w:left w:val="single" w:color="auto" w:sz="4" w:space="0"/>
              <w:bottom w:val="single" w:color="auto" w:sz="4" w:space="0"/>
              <w:right w:val="single" w:color="auto" w:sz="4" w:space="0"/>
            </w:tcBorders>
            <w:vAlign w:val="center"/>
          </w:tcPr>
          <w:p w14:paraId="791C7B40">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2026年全年，</w:t>
            </w:r>
            <w:r>
              <w:rPr>
                <w:rFonts w:hint="eastAsia" w:ascii="宋体" w:hAnsi="宋体" w:eastAsia="宋体" w:cs="宋体"/>
                <w:color w:val="auto"/>
                <w:sz w:val="21"/>
                <w:szCs w:val="21"/>
                <w:highlight w:val="none"/>
              </w:rPr>
              <w:t>自合同签订后</w:t>
            </w:r>
            <w:r>
              <w:rPr>
                <w:rFonts w:hint="eastAsia" w:ascii="宋体" w:hAnsi="宋体" w:eastAsia="宋体" w:cs="宋体"/>
                <w:color w:val="auto"/>
                <w:sz w:val="21"/>
                <w:szCs w:val="21"/>
                <w:highlight w:val="none"/>
                <w:lang w:val="en-US" w:eastAsia="zh-CN"/>
              </w:rPr>
              <w:t>要求每个地块</w:t>
            </w:r>
            <w:r>
              <w:rPr>
                <w:rFonts w:hint="eastAsia" w:ascii="宋体" w:hAnsi="宋体" w:eastAsia="宋体" w:cs="宋体"/>
                <w:color w:val="auto"/>
                <w:sz w:val="21"/>
                <w:szCs w:val="21"/>
                <w:highlight w:val="none"/>
              </w:rPr>
              <w:t>10个日历天内完成地块控制性详细规划编制工作，其他以滁州市明湖建设管理服务中心具体要求为准。</w:t>
            </w:r>
          </w:p>
        </w:tc>
      </w:tr>
      <w:tr w14:paraId="67A88A75">
        <w:tblPrEx>
          <w:tblCellMar>
            <w:top w:w="0" w:type="dxa"/>
            <w:left w:w="108" w:type="dxa"/>
            <w:bottom w:w="0" w:type="dxa"/>
            <w:right w:w="108" w:type="dxa"/>
          </w:tblCellMar>
        </w:tblPrEx>
        <w:trPr>
          <w:trHeight w:val="563" w:hRule="exact"/>
        </w:trPr>
        <w:tc>
          <w:tcPr>
            <w:tcW w:w="735" w:type="dxa"/>
            <w:tcBorders>
              <w:top w:val="single" w:color="auto" w:sz="4" w:space="0"/>
              <w:left w:val="single" w:color="auto" w:sz="4" w:space="0"/>
              <w:bottom w:val="single" w:color="auto" w:sz="4" w:space="0"/>
              <w:right w:val="single" w:color="auto" w:sz="4" w:space="0"/>
            </w:tcBorders>
            <w:vAlign w:val="center"/>
          </w:tcPr>
          <w:p w14:paraId="0D4A5C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510C8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283" w:type="dxa"/>
            <w:tcBorders>
              <w:top w:val="single" w:color="auto" w:sz="4" w:space="0"/>
              <w:left w:val="single" w:color="auto" w:sz="4" w:space="0"/>
              <w:bottom w:val="single" w:color="auto" w:sz="4" w:space="0"/>
              <w:right w:val="single" w:color="auto" w:sz="4" w:space="0"/>
            </w:tcBorders>
            <w:vAlign w:val="center"/>
          </w:tcPr>
          <w:p w14:paraId="7ED55D4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符合相关要求</w:t>
            </w:r>
          </w:p>
        </w:tc>
      </w:tr>
      <w:tr w14:paraId="27930979">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7508FA1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1876B3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283" w:type="dxa"/>
            <w:tcBorders>
              <w:top w:val="single" w:color="auto" w:sz="4" w:space="0"/>
              <w:left w:val="single" w:color="auto" w:sz="4" w:space="0"/>
              <w:bottom w:val="single" w:color="auto" w:sz="4" w:space="0"/>
              <w:right w:val="single" w:color="auto" w:sz="4" w:space="0"/>
            </w:tcBorders>
            <w:vAlign w:val="center"/>
          </w:tcPr>
          <w:p w14:paraId="00616AF1">
            <w:pPr>
              <w:pStyle w:val="7"/>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不组织，响应人自行组织踏勘现场。</w:t>
            </w:r>
          </w:p>
        </w:tc>
      </w:tr>
      <w:tr w14:paraId="2D33938B">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37A8F7EB">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28CB631">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最高限价</w:t>
            </w:r>
          </w:p>
        </w:tc>
        <w:tc>
          <w:tcPr>
            <w:tcW w:w="7283" w:type="dxa"/>
            <w:tcBorders>
              <w:top w:val="single" w:color="auto" w:sz="4" w:space="0"/>
              <w:left w:val="single" w:color="auto" w:sz="4" w:space="0"/>
              <w:bottom w:val="single" w:color="auto" w:sz="4" w:space="0"/>
              <w:right w:val="single" w:color="auto" w:sz="4" w:space="0"/>
            </w:tcBorders>
            <w:vAlign w:val="center"/>
          </w:tcPr>
          <w:p w14:paraId="6E4A0974">
            <w:pPr>
              <w:keepNext w:val="0"/>
              <w:keepLines w:val="0"/>
              <w:pageBreakBefore w:val="0"/>
              <w:numPr>
                <w:ilvl w:val="0"/>
                <w:numId w:val="0"/>
              </w:numPr>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为地块面积50亩以内新编2万元/个，修编、局部调整3万元/个，技术修正1万元/个。以上地块详细规划修改涉及单元详细规划修改的增加1万元/个，地块面积50亩以上的增加1万元/个，需要开展地形图测绘的增加1万元/个；投标报价不得高于最高限价，否则，按无效响应处理。其中，修编、局部调整，技术修正，涉及单元详细规划修改，需要开展地形图测绘的服务内容无面积限制，按个数结算。</w:t>
            </w:r>
          </w:p>
          <w:p w14:paraId="3BC9373C">
            <w:pPr>
              <w:keepNext w:val="0"/>
              <w:keepLines w:val="0"/>
              <w:pageBreakBefore w:val="0"/>
              <w:kinsoku/>
              <w:overflowPunct/>
              <w:topLinePunct w:val="0"/>
              <w:autoSpaceDN/>
              <w:bidi w:val="0"/>
              <w:spacing w:line="560" w:lineRule="exact"/>
              <w:ind w:right="-94" w:rightChars="-4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4"/>
                <w:sz w:val="21"/>
                <w:szCs w:val="21"/>
                <w:highlight w:val="none"/>
                <w:lang w:val="en-US" w:eastAsia="zh-CN"/>
              </w:rPr>
              <w:t>注：以各响应单价之和参与评审。系统中提交文件时填报报价填20万元。</w:t>
            </w:r>
          </w:p>
        </w:tc>
      </w:tr>
      <w:tr w14:paraId="785D0A3F">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05D9C1F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21D822B">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签字或盖章要求</w:t>
            </w:r>
          </w:p>
        </w:tc>
        <w:tc>
          <w:tcPr>
            <w:tcW w:w="7283" w:type="dxa"/>
            <w:tcBorders>
              <w:top w:val="single" w:color="auto" w:sz="4" w:space="0"/>
              <w:left w:val="single" w:color="auto" w:sz="4" w:space="0"/>
              <w:bottom w:val="single" w:color="auto" w:sz="4" w:space="0"/>
              <w:right w:val="single" w:color="auto" w:sz="4" w:space="0"/>
            </w:tcBorders>
            <w:vAlign w:val="center"/>
          </w:tcPr>
          <w:p w14:paraId="5642BD8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w:t>
            </w:r>
          </w:p>
        </w:tc>
      </w:tr>
      <w:tr w14:paraId="07764E5E">
        <w:tblPrEx>
          <w:tblCellMar>
            <w:top w:w="0" w:type="dxa"/>
            <w:left w:w="108" w:type="dxa"/>
            <w:bottom w:w="0" w:type="dxa"/>
            <w:right w:w="108" w:type="dxa"/>
          </w:tblCellMar>
        </w:tblPrEx>
        <w:trPr>
          <w:trHeight w:val="572" w:hRule="atLeast"/>
        </w:trPr>
        <w:tc>
          <w:tcPr>
            <w:tcW w:w="735" w:type="dxa"/>
            <w:tcBorders>
              <w:top w:val="single" w:color="auto" w:sz="4" w:space="0"/>
              <w:left w:val="single" w:color="auto" w:sz="4" w:space="0"/>
              <w:bottom w:val="single" w:color="auto" w:sz="4" w:space="0"/>
              <w:right w:val="single" w:color="auto" w:sz="4" w:space="0"/>
            </w:tcBorders>
            <w:vAlign w:val="center"/>
          </w:tcPr>
          <w:p w14:paraId="2693E4F3">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1FD7AC">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7283" w:type="dxa"/>
            <w:tcBorders>
              <w:top w:val="single" w:color="auto" w:sz="4" w:space="0"/>
              <w:left w:val="single" w:color="auto" w:sz="4" w:space="0"/>
              <w:bottom w:val="single" w:color="auto" w:sz="4" w:space="0"/>
              <w:right w:val="single" w:color="auto" w:sz="4" w:space="0"/>
            </w:tcBorders>
            <w:vAlign w:val="center"/>
          </w:tcPr>
          <w:p w14:paraId="3E8BC17C">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应在投标截止时间前通过新点电子交易平台后在【滁州专区】</w:t>
            </w:r>
          </w:p>
          <w:p w14:paraId="7F3B342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（https://www.etrading.cn/BREpointSSO/login/oauth2login?regioncode=DQ_ChuZhou）交易系统递交电子投标文件。</w:t>
            </w:r>
          </w:p>
          <w:p w14:paraId="72577F1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供应商成交</w:t>
            </w:r>
            <w:r>
              <w:rPr>
                <w:rFonts w:hint="eastAsia" w:ascii="宋体" w:hAnsi="宋体" w:eastAsia="宋体" w:cs="宋体"/>
                <w:color w:val="auto"/>
                <w:sz w:val="21"/>
                <w:szCs w:val="21"/>
                <w:highlight w:val="none"/>
              </w:rPr>
              <w:t>后须递交与网上电子投标文件完全一致的纸质版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文件，并按要求加盖单位章；份数：正本1份，副本1份；成交人领取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通知书时，一并递交给代理机构）</w:t>
            </w:r>
          </w:p>
        </w:tc>
      </w:tr>
      <w:tr w14:paraId="3D2CD47A">
        <w:tblPrEx>
          <w:tblCellMar>
            <w:top w:w="0" w:type="dxa"/>
            <w:left w:w="108" w:type="dxa"/>
            <w:bottom w:w="0" w:type="dxa"/>
            <w:right w:w="108" w:type="dxa"/>
          </w:tblCellMar>
        </w:tblPrEx>
        <w:trPr>
          <w:trHeight w:val="569" w:hRule="atLeast"/>
        </w:trPr>
        <w:tc>
          <w:tcPr>
            <w:tcW w:w="735" w:type="dxa"/>
            <w:vMerge w:val="restart"/>
            <w:tcBorders>
              <w:left w:val="single" w:color="auto" w:sz="4" w:space="0"/>
              <w:right w:val="single" w:color="auto" w:sz="4" w:space="0"/>
            </w:tcBorders>
            <w:vAlign w:val="center"/>
          </w:tcPr>
          <w:p w14:paraId="2A34487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47F40F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7283" w:type="dxa"/>
            <w:tcBorders>
              <w:top w:val="single" w:color="auto" w:sz="4" w:space="0"/>
              <w:left w:val="single" w:color="auto" w:sz="4" w:space="0"/>
              <w:bottom w:val="single" w:color="auto" w:sz="4" w:space="0"/>
              <w:right w:val="single" w:color="auto" w:sz="4" w:space="0"/>
            </w:tcBorders>
            <w:vAlign w:val="center"/>
          </w:tcPr>
          <w:p w14:paraId="63DE7979">
            <w:pPr>
              <w:keepNext w:val="0"/>
              <w:keepLines w:val="0"/>
              <w:pageBreakBefore w:val="0"/>
              <w:kinsoku/>
              <w:overflowPunct/>
              <w:topLinePunct w:val="0"/>
              <w:autoSpaceDN/>
              <w:bidi w:val="0"/>
              <w:spacing w:line="560" w:lineRule="exact"/>
              <w:ind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 xml:space="preserve"> 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tc>
      </w:tr>
      <w:tr w14:paraId="7DF22804">
        <w:tblPrEx>
          <w:tblCellMar>
            <w:top w:w="0" w:type="dxa"/>
            <w:left w:w="108" w:type="dxa"/>
            <w:bottom w:w="0" w:type="dxa"/>
            <w:right w:w="108" w:type="dxa"/>
          </w:tblCellMar>
        </w:tblPrEx>
        <w:trPr>
          <w:trHeight w:val="476" w:hRule="atLeast"/>
        </w:trPr>
        <w:tc>
          <w:tcPr>
            <w:tcW w:w="735" w:type="dxa"/>
            <w:vMerge w:val="continue"/>
            <w:tcBorders>
              <w:left w:val="single" w:color="auto" w:sz="4" w:space="0"/>
              <w:right w:val="single" w:color="auto" w:sz="4" w:space="0"/>
            </w:tcBorders>
            <w:vAlign w:val="center"/>
          </w:tcPr>
          <w:p w14:paraId="4C09725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22A01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文件提交截止时间及地点</w:t>
            </w:r>
          </w:p>
        </w:tc>
        <w:tc>
          <w:tcPr>
            <w:tcW w:w="7283" w:type="dxa"/>
            <w:tcBorders>
              <w:top w:val="single" w:color="auto" w:sz="4" w:space="0"/>
              <w:left w:val="single" w:color="auto" w:sz="4" w:space="0"/>
              <w:bottom w:val="single" w:color="auto" w:sz="4" w:space="0"/>
              <w:right w:val="single" w:color="auto" w:sz="4" w:space="0"/>
            </w:tcBorders>
            <w:vAlign w:val="center"/>
          </w:tcPr>
          <w:p w14:paraId="7A1ABC23">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 xml:space="preserve"> 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p w14:paraId="0869FD86">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地点：本项目仅接受加密电子投标文件，投标人在投标截止时间前通过新点电子交易平台后在【滁州专区】（https://www.etrading.cn/BREpointSSO/login/oauth2login?regioncode=DQ_ChuZhou）交易系统递交电子投标文件。</w:t>
            </w:r>
          </w:p>
        </w:tc>
      </w:tr>
      <w:tr w14:paraId="7B7C4DEA">
        <w:tblPrEx>
          <w:tblCellMar>
            <w:top w:w="0" w:type="dxa"/>
            <w:left w:w="108" w:type="dxa"/>
            <w:bottom w:w="0" w:type="dxa"/>
            <w:right w:w="108" w:type="dxa"/>
          </w:tblCellMar>
        </w:tblPrEx>
        <w:trPr>
          <w:trHeight w:val="90" w:hRule="atLeast"/>
        </w:trPr>
        <w:tc>
          <w:tcPr>
            <w:tcW w:w="735" w:type="dxa"/>
            <w:vMerge w:val="continue"/>
            <w:tcBorders>
              <w:left w:val="single" w:color="auto" w:sz="4" w:space="0"/>
              <w:right w:val="single" w:color="auto" w:sz="4" w:space="0"/>
            </w:tcBorders>
            <w:vAlign w:val="center"/>
          </w:tcPr>
          <w:p w14:paraId="0342D41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63CCF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开启顺序</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16EF561F">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解密完成后，评审小组进行评审。</w:t>
            </w:r>
          </w:p>
          <w:p w14:paraId="70A319D5">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解密时间：解密程序开始后30分钟内，解密时间为2026年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分至2026年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分（以电子交易系统解密倒计时为准）。</w:t>
            </w:r>
          </w:p>
        </w:tc>
      </w:tr>
      <w:tr w14:paraId="0D9CF06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18C261F">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794E99B">
            <w:pPr>
              <w:pStyle w:val="12"/>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委员会的组建</w:t>
            </w:r>
          </w:p>
        </w:tc>
        <w:tc>
          <w:tcPr>
            <w:tcW w:w="7283" w:type="dxa"/>
            <w:tcBorders>
              <w:top w:val="single" w:color="auto" w:sz="4" w:space="0"/>
              <w:left w:val="single" w:color="auto" w:sz="4" w:space="0"/>
              <w:bottom w:val="single" w:color="auto" w:sz="4" w:space="0"/>
              <w:right w:val="single" w:color="auto" w:sz="4" w:space="0"/>
            </w:tcBorders>
            <w:vAlign w:val="top"/>
          </w:tcPr>
          <w:p w14:paraId="2EE8BC84">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委员会构成</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依法组成。</w:t>
            </w:r>
          </w:p>
        </w:tc>
      </w:tr>
      <w:tr w14:paraId="6FD02AA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15F5F25">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1069D">
            <w:pPr>
              <w:pStyle w:val="12"/>
              <w:keepNext w:val="0"/>
              <w:keepLines w:val="0"/>
              <w:pageBreakBefore w:val="0"/>
              <w:kinsoku/>
              <w:wordWrap/>
              <w:overflowPunct/>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是否授权评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委员会确定中标候选人</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3447840D">
            <w:pPr>
              <w:pStyle w:val="12"/>
              <w:keepNext w:val="0"/>
              <w:keepLines w:val="0"/>
              <w:pageBreakBefore w:val="0"/>
              <w:kinsoku/>
              <w:wordWrap/>
              <w:overflowPunct/>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w:t>
            </w:r>
          </w:p>
        </w:tc>
      </w:tr>
      <w:tr w14:paraId="4AC148E4">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40CAF14">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EB8131D">
            <w:pPr>
              <w:pStyle w:val="12"/>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中标结果公示媒介</w:t>
            </w:r>
          </w:p>
        </w:tc>
        <w:tc>
          <w:tcPr>
            <w:tcW w:w="7283" w:type="dxa"/>
            <w:tcBorders>
              <w:top w:val="single" w:color="auto" w:sz="4" w:space="0"/>
              <w:left w:val="single" w:color="auto" w:sz="4" w:space="0"/>
              <w:bottom w:val="single" w:color="auto" w:sz="4" w:space="0"/>
              <w:right w:val="single" w:color="auto" w:sz="4" w:space="0"/>
            </w:tcBorders>
            <w:vAlign w:val="top"/>
          </w:tcPr>
          <w:p w14:paraId="04F186F8">
            <w:pPr>
              <w:pStyle w:val="12"/>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在滁州市城投工程咨询管理有限公司网站（https://www.czctgczx.com/）等网站予以公告。</w:t>
            </w:r>
          </w:p>
        </w:tc>
      </w:tr>
      <w:tr w14:paraId="7DAC27D9">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393F70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F1DF27B">
            <w:pPr>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7283" w:type="dxa"/>
            <w:tcBorders>
              <w:top w:val="single" w:color="auto" w:sz="4" w:space="0"/>
              <w:left w:val="single" w:color="auto" w:sz="4" w:space="0"/>
              <w:bottom w:val="single" w:color="auto" w:sz="4" w:space="0"/>
              <w:right w:val="single" w:color="auto" w:sz="4" w:space="0"/>
            </w:tcBorders>
            <w:vAlign w:val="center"/>
          </w:tcPr>
          <w:p w14:paraId="2F8C8F1A">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pacing w:val="-2"/>
                <w:sz w:val="21"/>
                <w:szCs w:val="21"/>
                <w:highlight w:val="none"/>
              </w:rPr>
              <w:t>标通知书须加盖</w:t>
            </w:r>
            <w:r>
              <w:rPr>
                <w:rFonts w:hint="eastAsia" w:ascii="宋体" w:hAnsi="宋体" w:eastAsia="宋体" w:cs="宋体"/>
                <w:color w:val="auto"/>
                <w:spacing w:val="-2"/>
                <w:sz w:val="21"/>
                <w:szCs w:val="21"/>
                <w:highlight w:val="none"/>
                <w:lang w:val="en-US" w:eastAsia="zh-CN"/>
              </w:rPr>
              <w:t>招标人</w:t>
            </w:r>
            <w:r>
              <w:rPr>
                <w:rFonts w:hint="eastAsia" w:ascii="宋体" w:hAnsi="宋体" w:eastAsia="宋体" w:cs="宋体"/>
                <w:color w:val="auto"/>
                <w:spacing w:val="-2"/>
                <w:sz w:val="21"/>
                <w:szCs w:val="21"/>
                <w:highlight w:val="none"/>
              </w:rPr>
              <w:t>和代理公司公章后方可发出</w:t>
            </w:r>
            <w:r>
              <w:rPr>
                <w:rFonts w:hint="eastAsia" w:ascii="宋体" w:hAnsi="宋体" w:eastAsia="宋体" w:cs="宋体"/>
                <w:color w:val="auto"/>
                <w:sz w:val="21"/>
                <w:szCs w:val="21"/>
                <w:highlight w:val="none"/>
              </w:rPr>
              <w:t>。</w:t>
            </w:r>
          </w:p>
        </w:tc>
      </w:tr>
      <w:tr w14:paraId="6061A8C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1A6971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2E87CB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83" w:type="dxa"/>
            <w:tcBorders>
              <w:top w:val="single" w:color="auto" w:sz="4" w:space="0"/>
              <w:left w:val="single" w:color="auto" w:sz="4" w:space="0"/>
              <w:bottom w:val="single" w:color="auto" w:sz="4" w:space="0"/>
              <w:right w:val="single" w:color="auto" w:sz="4" w:space="0"/>
            </w:tcBorders>
            <w:vAlign w:val="center"/>
          </w:tcPr>
          <w:p w14:paraId="394A5AD4">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pacing w:val="-2"/>
                <w:sz w:val="21"/>
                <w:szCs w:val="21"/>
                <w:highlight w:val="none"/>
                <w:lang w:val="en-US" w:eastAsia="zh-CN"/>
              </w:rPr>
              <w:t>本项目不收履约担保。</w:t>
            </w:r>
          </w:p>
        </w:tc>
      </w:tr>
      <w:tr w14:paraId="62A68006">
        <w:tblPrEx>
          <w:tblCellMar>
            <w:top w:w="0" w:type="dxa"/>
            <w:left w:w="108" w:type="dxa"/>
            <w:bottom w:w="0" w:type="dxa"/>
            <w:right w:w="108" w:type="dxa"/>
          </w:tblCellMar>
        </w:tblPrEx>
        <w:trPr>
          <w:trHeight w:val="444" w:hRule="atLeast"/>
        </w:trPr>
        <w:tc>
          <w:tcPr>
            <w:tcW w:w="10058" w:type="dxa"/>
            <w:gridSpan w:val="4"/>
            <w:tcBorders>
              <w:top w:val="single" w:color="auto" w:sz="4" w:space="0"/>
              <w:left w:val="single" w:color="auto" w:sz="4" w:space="0"/>
              <w:bottom w:val="single" w:color="auto" w:sz="4" w:space="0"/>
              <w:right w:val="single" w:color="auto" w:sz="4" w:space="0"/>
            </w:tcBorders>
            <w:vAlign w:val="center"/>
          </w:tcPr>
          <w:p w14:paraId="4FD118B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1C556FA5">
        <w:tblPrEx>
          <w:tblCellMar>
            <w:top w:w="0" w:type="dxa"/>
            <w:left w:w="108" w:type="dxa"/>
            <w:bottom w:w="0" w:type="dxa"/>
            <w:right w:w="108" w:type="dxa"/>
          </w:tblCellMar>
        </w:tblPrEx>
        <w:trPr>
          <w:trHeight w:val="95"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1BD91085">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0AD6D83">
            <w:pPr>
              <w:keepNext w:val="0"/>
              <w:keepLines w:val="0"/>
              <w:pageBreakBefore w:val="0"/>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本项目的采购代理服务费3000元。采购代理服务费由成交人在领取成交通知书时，一次性支付给代理公司</w:t>
            </w:r>
            <w:r>
              <w:rPr>
                <w:rFonts w:hint="eastAsia" w:ascii="宋体" w:hAnsi="宋体" w:eastAsia="宋体" w:cs="宋体"/>
                <w:color w:val="auto"/>
                <w:kern w:val="0"/>
                <w:sz w:val="21"/>
                <w:szCs w:val="21"/>
                <w:highlight w:val="none"/>
              </w:rPr>
              <w:t>。专家评审费以实际支出为准，由成交人在领取成交通知书时支付。</w:t>
            </w:r>
          </w:p>
        </w:tc>
      </w:tr>
      <w:tr w14:paraId="6026E3E7">
        <w:tblPrEx>
          <w:tblCellMar>
            <w:top w:w="0" w:type="dxa"/>
            <w:left w:w="108" w:type="dxa"/>
            <w:bottom w:w="0" w:type="dxa"/>
            <w:right w:w="108" w:type="dxa"/>
          </w:tblCellMar>
        </w:tblPrEx>
        <w:trPr>
          <w:trHeight w:val="609"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319BF39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61DA6BFD">
            <w:pPr>
              <w:keepNext w:val="0"/>
              <w:keepLines w:val="0"/>
              <w:pageBreakBefore w:val="0"/>
              <w:kinsoku/>
              <w:overflowPunct/>
              <w:topLinePunct w:val="0"/>
              <w:autoSpaceDN/>
              <w:bidi w:val="0"/>
              <w:spacing w:line="5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地块详细规划通过市政府批复后，</w:t>
            </w:r>
            <w:r>
              <w:rPr>
                <w:rFonts w:hint="eastAsia" w:ascii="宋体" w:hAnsi="宋体" w:eastAsia="宋体" w:cs="宋体"/>
                <w:b/>
                <w:bCs/>
                <w:color w:val="auto"/>
                <w:sz w:val="21"/>
                <w:szCs w:val="21"/>
                <w:highlight w:val="none"/>
              </w:rPr>
              <w:t>按项目完成个数结算编制费用。</w:t>
            </w:r>
          </w:p>
        </w:tc>
      </w:tr>
      <w:tr w14:paraId="3B35A621">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1438B2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00AA673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如本文件前后章节、条款、内容规定不一致，以对采购人有利的解释为准。</w:t>
            </w:r>
          </w:p>
          <w:p w14:paraId="66B4DE2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本文件的最终解释权归采购人所有。</w:t>
            </w:r>
          </w:p>
        </w:tc>
      </w:tr>
      <w:tr w14:paraId="6CC67FEA">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20BB9473">
            <w:pPr>
              <w:pStyle w:val="12"/>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w:t>
            </w:r>
            <w:r>
              <w:rPr>
                <w:rFonts w:hint="eastAsia" w:ascii="宋体" w:hAnsi="宋体" w:eastAsia="宋体" w:cs="宋体"/>
                <w:color w:val="auto"/>
                <w:sz w:val="21"/>
                <w:szCs w:val="21"/>
                <w:highlight w:val="none"/>
                <w:u w:val="single"/>
              </w:rPr>
              <w:t>疑问</w:t>
            </w:r>
            <w:r>
              <w:rPr>
                <w:rFonts w:hint="eastAsia" w:ascii="宋体" w:hAnsi="宋体" w:eastAsia="宋体" w:cs="宋体"/>
                <w:color w:val="auto"/>
                <w:sz w:val="21"/>
                <w:szCs w:val="21"/>
                <w:highlight w:val="none"/>
              </w:rPr>
              <w:t>的截止时间及方式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33F4382A">
            <w:pPr>
              <w:pStyle w:val="12"/>
              <w:keepNext w:val="0"/>
              <w:keepLines w:val="0"/>
              <w:pageBreakBefore w:val="0"/>
              <w:widowControl/>
              <w:kinsoku/>
              <w:overflowPunct/>
              <w:topLinePunct w:val="0"/>
              <w:autoSpaceDE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如供应商对询价文件有疑问，请于</w:t>
            </w: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年</w:t>
            </w:r>
            <w:r>
              <w:rPr>
                <w:rFonts w:hint="eastAsia" w:ascii="宋体" w:hAnsi="宋体" w:eastAsia="宋体" w:cs="宋体"/>
                <w:b/>
                <w:bCs/>
                <w:color w:val="auto"/>
                <w:kern w:val="0"/>
                <w:sz w:val="21"/>
                <w:szCs w:val="21"/>
                <w:highlight w:val="none"/>
                <w:u w:val="single"/>
              </w:rPr>
              <w:t xml:space="preserve"> </w:t>
            </w:r>
            <w:r>
              <w:rPr>
                <w:rFonts w:hint="eastAsia" w:ascii="宋体" w:hAnsi="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月</w:t>
            </w:r>
            <w:r>
              <w:rPr>
                <w:rFonts w:hint="eastAsia" w:ascii="宋体" w:hAnsi="宋体" w:eastAsia="宋体" w:cs="宋体"/>
                <w:b/>
                <w:bCs/>
                <w:color w:val="auto"/>
                <w:kern w:val="0"/>
                <w:sz w:val="21"/>
                <w:szCs w:val="21"/>
                <w:highlight w:val="none"/>
                <w:u w:val="single"/>
              </w:rPr>
              <w:t xml:space="preserve"> </w:t>
            </w:r>
            <w:r>
              <w:rPr>
                <w:rFonts w:hint="eastAsia" w:ascii="宋体" w:hAnsi="宋体" w:cs="宋体"/>
                <w:b/>
                <w:bCs/>
                <w:color w:val="auto"/>
                <w:kern w:val="0"/>
                <w:sz w:val="21"/>
                <w:szCs w:val="21"/>
                <w:highlight w:val="none"/>
                <w:u w:val="single"/>
                <w:lang w:val="en-US" w:eastAsia="zh-CN"/>
              </w:rPr>
              <w:t>31</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11</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前将疑问内容通过登录新点电子交易平台【滁州专区】线上提出异议。</w:t>
            </w:r>
          </w:p>
        </w:tc>
      </w:tr>
      <w:tr w14:paraId="4E73A96E">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6A10F13">
            <w:pPr>
              <w:pStyle w:val="12"/>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采购人澄清的时间及方式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2A417903">
            <w:pPr>
              <w:keepNext w:val="0"/>
              <w:keepLines w:val="0"/>
              <w:pageBreakBefore w:val="0"/>
              <w:kinsoku/>
              <w:overflowPunct/>
              <w:topLinePunct w:val="0"/>
              <w:autoSpaceDE w:val="0"/>
              <w:autoSpaceDN/>
              <w:bidi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年</w:t>
            </w:r>
            <w:r>
              <w:rPr>
                <w:rFonts w:hint="eastAsia" w:ascii="宋体" w:hAnsi="宋体" w:eastAsia="宋体" w:cs="宋体"/>
                <w:b/>
                <w:bCs/>
                <w:color w:val="auto"/>
                <w:kern w:val="0"/>
                <w:sz w:val="21"/>
                <w:szCs w:val="21"/>
                <w:highlight w:val="none"/>
                <w:u w:val="single"/>
              </w:rPr>
              <w:t xml:space="preserve"> </w:t>
            </w:r>
            <w:r>
              <w:rPr>
                <w:rFonts w:hint="eastAsia" w:ascii="宋体" w:hAnsi="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rPr>
              <w:t>月</w:t>
            </w:r>
            <w:r>
              <w:rPr>
                <w:rFonts w:hint="eastAsia" w:ascii="宋体" w:hAnsi="宋体" w:eastAsia="宋体" w:cs="宋体"/>
                <w:b/>
                <w:bCs/>
                <w:color w:val="auto"/>
                <w:kern w:val="0"/>
                <w:sz w:val="21"/>
                <w:szCs w:val="21"/>
                <w:highlight w:val="none"/>
                <w:u w:val="single"/>
              </w:rPr>
              <w:t xml:space="preserve"> </w:t>
            </w:r>
            <w:r>
              <w:rPr>
                <w:rFonts w:hint="eastAsia" w:ascii="宋体" w:hAnsi="宋体" w:cs="宋体"/>
                <w:b/>
                <w:bCs/>
                <w:color w:val="auto"/>
                <w:kern w:val="0"/>
                <w:sz w:val="21"/>
                <w:szCs w:val="21"/>
                <w:highlight w:val="none"/>
                <w:u w:val="single"/>
                <w:lang w:val="en-US" w:eastAsia="zh-CN"/>
              </w:rPr>
              <w:t>31</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rPr>
              <w:t xml:space="preserve"> 17 </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w:t>
            </w:r>
            <w:r>
              <w:rPr>
                <w:rFonts w:hint="eastAsia" w:ascii="宋体" w:hAnsi="宋体" w:eastAsia="宋体" w:cs="宋体"/>
                <w:color w:val="auto"/>
                <w:kern w:val="0"/>
                <w:sz w:val="21"/>
                <w:szCs w:val="21"/>
                <w:highlight w:val="none"/>
              </w:rPr>
              <w:t>在滁州市城投工程咨询管理有限公司（https://www.czctgczx.com/）网站予以公告</w:t>
            </w:r>
            <w:r>
              <w:rPr>
                <w:rFonts w:hint="eastAsia" w:ascii="宋体" w:hAnsi="宋体" w:eastAsia="宋体" w:cs="宋体"/>
                <w:color w:val="auto"/>
                <w:sz w:val="21"/>
                <w:szCs w:val="21"/>
                <w:highlight w:val="none"/>
              </w:rPr>
              <w:t>。</w:t>
            </w:r>
          </w:p>
        </w:tc>
      </w:tr>
      <w:tr w14:paraId="7647B1E7">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DC50A02">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投标软件下载</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570B95E">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投标软件制作工具下载：</w:t>
            </w:r>
          </w:p>
          <w:p w14:paraId="0D5E4DC5">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bl>
    <w:p w14:paraId="59C5960E">
      <w:pPr>
        <w:spacing w:line="360" w:lineRule="exact"/>
        <w:rPr>
          <w:b/>
          <w:bCs/>
          <w:color w:val="auto"/>
          <w:sz w:val="36"/>
          <w:highlight w:val="none"/>
        </w:rPr>
      </w:pPr>
    </w:p>
    <w:p w14:paraId="1242CE82">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须知</w:t>
      </w:r>
    </w:p>
    <w:p w14:paraId="1B885797">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1.项目概况</w:t>
      </w:r>
    </w:p>
    <w:p w14:paraId="70BBB4B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eastAsia="宋体" w:cs="宋体"/>
          <w:color w:val="auto"/>
          <w:szCs w:val="21"/>
          <w:highlight w:val="none"/>
          <w:lang w:eastAsia="zh-CN"/>
        </w:rPr>
        <w:t>明湖新区2026年地块控制性详细规划编制服务项目</w:t>
      </w:r>
    </w:p>
    <w:p w14:paraId="4FE5486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1.2项目单位：滁州市明湖建设管理服务中心   </w:t>
      </w:r>
    </w:p>
    <w:p w14:paraId="6EA32D6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1.3项目规模：</w:t>
      </w:r>
      <w:r>
        <w:rPr>
          <w:rFonts w:hint="eastAsia" w:ascii="宋体" w:hAnsi="宋体" w:eastAsia="宋体" w:cs="宋体"/>
          <w:color w:val="auto"/>
          <w:kern w:val="0"/>
          <w:highlight w:val="none"/>
        </w:rPr>
        <w:t>本项目费用约</w:t>
      </w:r>
      <w:r>
        <w:rPr>
          <w:rFonts w:hint="eastAsia" w:ascii="宋体" w:hAnsi="宋体" w:eastAsia="宋体" w:cs="宋体"/>
          <w:color w:val="auto"/>
          <w:kern w:val="0"/>
          <w:highlight w:val="none"/>
          <w:lang w:val="en-US" w:eastAsia="zh-CN"/>
        </w:rPr>
        <w:t>200000.00元</w:t>
      </w:r>
      <w:r>
        <w:rPr>
          <w:rFonts w:hint="eastAsia" w:ascii="宋体" w:hAnsi="宋体" w:eastAsia="宋体" w:cs="宋体"/>
          <w:color w:val="auto"/>
          <w:szCs w:val="21"/>
          <w:highlight w:val="none"/>
        </w:rPr>
        <w:t xml:space="preserve">。 </w:t>
      </w:r>
    </w:p>
    <w:p w14:paraId="558A2FED">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2.项目范围</w:t>
      </w:r>
    </w:p>
    <w:p w14:paraId="2862178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549BE40">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质量要求</w:t>
      </w:r>
    </w:p>
    <w:p w14:paraId="56440D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3.1</w:t>
      </w:r>
      <w:r>
        <w:rPr>
          <w:rFonts w:hint="eastAsia" w:ascii="宋体" w:hAnsi="宋体" w:eastAsia="宋体" w:cs="宋体"/>
          <w:color w:val="auto"/>
          <w:highlight w:val="none"/>
        </w:rPr>
        <w:t>必须符合国家强制性规范、条文、标准和本文件要求。</w:t>
      </w:r>
    </w:p>
    <w:p w14:paraId="1A48152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4.评标办法</w:t>
      </w:r>
    </w:p>
    <w:p w14:paraId="5F50463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4.1本项目评标办法：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最低评标价法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7EF01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5.报价要求 </w:t>
      </w:r>
    </w:p>
    <w:p w14:paraId="117381D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5.1本项目报价包含完成本次询价所确定项目内容的全部费用。</w:t>
      </w:r>
    </w:p>
    <w:p w14:paraId="0618D3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b/>
          <w:bCs/>
          <w:color w:val="auto"/>
          <w:kern w:val="0"/>
          <w:szCs w:val="21"/>
          <w:highlight w:val="none"/>
        </w:rPr>
        <w:t>本项目设置最高限价，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的报价不得高于本项目的最高限价，否则报价无效。</w:t>
      </w:r>
    </w:p>
    <w:p w14:paraId="03B80266">
      <w:pPr>
        <w:keepNext w:val="0"/>
        <w:keepLines w:val="0"/>
        <w:pageBreakBefore w:val="0"/>
        <w:widowControl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本项目采用固定</w:t>
      </w:r>
      <w:r>
        <w:rPr>
          <w:rFonts w:hint="eastAsia" w:ascii="宋体" w:hAnsi="宋体" w:eastAsia="宋体" w:cs="宋体"/>
          <w:color w:val="auto"/>
          <w:szCs w:val="21"/>
          <w:highlight w:val="none"/>
          <w:lang w:val="en-US" w:eastAsia="zh-CN"/>
        </w:rPr>
        <w:t>单价</w:t>
      </w:r>
      <w:r>
        <w:rPr>
          <w:rFonts w:hint="eastAsia" w:ascii="宋体" w:hAnsi="宋体" w:eastAsia="宋体" w:cs="宋体"/>
          <w:color w:val="auto"/>
          <w:szCs w:val="21"/>
          <w:highlight w:val="none"/>
        </w:rPr>
        <w:t>报价，报价包含完成本次采购范围内所需的全部费用及国家征收的各种税费及完成本项目所需的所有的费用，项目单位不在另行支付。</w:t>
      </w:r>
    </w:p>
    <w:p w14:paraId="7EC04C78">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396"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pacing w:val="-6"/>
          <w:szCs w:val="21"/>
          <w:highlight w:val="none"/>
        </w:rPr>
        <w:t>5.3 报价书格式中所有要求签字、盖章的地方，必须由规定的单位和人员签字、盖章。</w:t>
      </w:r>
    </w:p>
    <w:p w14:paraId="7F55070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文件的组成</w:t>
      </w:r>
    </w:p>
    <w:p w14:paraId="6EF0492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6.1报价函、分项报价清单（格式见附件）；</w:t>
      </w:r>
    </w:p>
    <w:p w14:paraId="2132DA5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6.2企业营业执照；</w:t>
      </w:r>
    </w:p>
    <w:p w14:paraId="6081A9F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6.3企业资质证书；</w:t>
      </w:r>
    </w:p>
    <w:p w14:paraId="12B1DF4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6.4供应商诚信响应承诺书；</w:t>
      </w:r>
    </w:p>
    <w:p w14:paraId="43170F2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eastAsia="宋体" w:cs="宋体"/>
          <w:color w:val="auto"/>
          <w:szCs w:val="21"/>
          <w:highlight w:val="none"/>
          <w:lang w:eastAsia="zh-CN"/>
        </w:rPr>
        <w:t>；</w:t>
      </w:r>
    </w:p>
    <w:p w14:paraId="0A51647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6.6项目负责人及技术负责人的有效身份证及对应证书；</w:t>
      </w:r>
    </w:p>
    <w:p w14:paraId="72B26C7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6.7供应商认为需要提交的其他相关资料。</w:t>
      </w:r>
    </w:p>
    <w:p w14:paraId="4C198C2E">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文件的编制</w:t>
      </w:r>
    </w:p>
    <w:p w14:paraId="690F7AC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7.1响应文件组成：详见（五）响应文件格式。</w:t>
      </w:r>
    </w:p>
    <w:p w14:paraId="28AD1CF4">
      <w:pPr>
        <w:pStyle w:val="11"/>
        <w:keepNext w:val="0"/>
        <w:keepLines w:val="0"/>
        <w:pageBreakBefore w:val="0"/>
        <w:widowControl w:val="0"/>
        <w:kinsoku/>
        <w:wordWrap/>
        <w:overflowPunct/>
        <w:topLinePunct w:val="0"/>
        <w:autoSpaceDE/>
        <w:autoSpaceDN/>
        <w:bidi w:val="0"/>
        <w:spacing w:line="56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7.2响应</w:t>
      </w:r>
      <w:r>
        <w:rPr>
          <w:rFonts w:hint="eastAsia" w:ascii="宋体" w:hAnsi="宋体" w:eastAsia="宋体" w:cs="宋体"/>
          <w:color w:val="auto"/>
          <w:szCs w:val="21"/>
          <w:highlight w:val="none"/>
          <w:lang w:val="en-US" w:eastAsia="zh-CN"/>
        </w:rPr>
        <w:t>文件编制</w:t>
      </w:r>
    </w:p>
    <w:p w14:paraId="03ED420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7.2.1响应</w:t>
      </w:r>
      <w:r>
        <w:rPr>
          <w:rFonts w:hint="eastAsia" w:ascii="宋体" w:hAnsi="宋体" w:cs="宋体"/>
          <w:color w:val="auto"/>
          <w:szCs w:val="21"/>
          <w:highlight w:val="none"/>
        </w:rPr>
        <w:t>文件应按</w:t>
      </w:r>
      <w:r>
        <w:rPr>
          <w:rFonts w:hint="eastAsia" w:ascii="宋体" w:hAnsi="宋体" w:cs="宋体"/>
          <w:color w:val="auto"/>
          <w:szCs w:val="21"/>
          <w:highlight w:val="none"/>
          <w:lang w:val="en-US" w:eastAsia="zh-CN"/>
        </w:rPr>
        <w:t>（五）响应文件格式</w:t>
      </w:r>
      <w:r>
        <w:rPr>
          <w:rFonts w:hint="eastAsia" w:ascii="宋体" w:hAnsi="宋体" w:cs="宋体"/>
          <w:color w:val="auto"/>
          <w:szCs w:val="21"/>
          <w:highlight w:val="none"/>
        </w:rPr>
        <w:t>进行编写，如有必要，可以增加附页，作为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文件的组成部分。其中，投标函在满足</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文件实质性要求的基础上，可以提出比</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文件要求更有利于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的承诺。</w:t>
      </w:r>
    </w:p>
    <w:p w14:paraId="796D7F0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7.2.2</w:t>
      </w:r>
      <w:r>
        <w:rPr>
          <w:rFonts w:hint="eastAsia" w:ascii="宋体" w:hAnsi="宋体" w:cs="宋体"/>
          <w:color w:val="auto"/>
          <w:szCs w:val="21"/>
          <w:highlight w:val="none"/>
        </w:rPr>
        <w:t>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不需要提供纸质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应按照电子招标投标的要求，在</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的电子系统中制作、签章、上传加密的电子</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p>
    <w:p w14:paraId="29E0594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7.2.3响应</w:t>
      </w:r>
      <w:r>
        <w:rPr>
          <w:rFonts w:hint="eastAsia" w:ascii="宋体" w:hAnsi="宋体" w:cs="宋体"/>
          <w:color w:val="auto"/>
          <w:szCs w:val="21"/>
          <w:highlight w:val="none"/>
        </w:rPr>
        <w:t>文件应当对</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文件有关工期、质量要求、技术标准和要求、招标范围等实质性内容作出响应。</w:t>
      </w:r>
    </w:p>
    <w:p w14:paraId="03D0EBC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7.2.4供应商</w:t>
      </w:r>
      <w:r>
        <w:rPr>
          <w:rFonts w:hint="eastAsia" w:ascii="宋体" w:hAnsi="宋体" w:cs="宋体"/>
          <w:bCs/>
          <w:snapToGrid w:val="0"/>
          <w:color w:val="auto"/>
          <w:kern w:val="0"/>
          <w:szCs w:val="21"/>
          <w:highlight w:val="none"/>
        </w:rPr>
        <w:t>须知前附表规定接受联合体投标的，资格审查资料应包括联合体各方相关情况。</w:t>
      </w:r>
    </w:p>
    <w:p w14:paraId="7E31DB0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7.2.5供应商</w:t>
      </w:r>
      <w:r>
        <w:rPr>
          <w:rFonts w:hint="eastAsia" w:ascii="宋体" w:hAnsi="宋体" w:cs="宋体"/>
          <w:bCs/>
          <w:snapToGrid w:val="0"/>
          <w:color w:val="auto"/>
          <w:kern w:val="0"/>
          <w:szCs w:val="21"/>
          <w:highlight w:val="none"/>
        </w:rPr>
        <w:t>有权核查</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在</w:t>
      </w:r>
      <w:r>
        <w:rPr>
          <w:rFonts w:hint="eastAsia" w:ascii="宋体" w:hAnsi="宋体" w:cs="宋体"/>
          <w:bCs/>
          <w:snapToGrid w:val="0"/>
          <w:color w:val="auto"/>
          <w:kern w:val="0"/>
          <w:szCs w:val="21"/>
          <w:highlight w:val="none"/>
          <w:lang w:val="en-US" w:eastAsia="zh-CN"/>
        </w:rPr>
        <w:t>响应文件</w:t>
      </w:r>
      <w:r>
        <w:rPr>
          <w:rFonts w:hint="eastAsia" w:ascii="宋体" w:hAnsi="宋体" w:cs="宋体"/>
          <w:bCs/>
          <w:snapToGrid w:val="0"/>
          <w:color w:val="auto"/>
          <w:kern w:val="0"/>
          <w:szCs w:val="21"/>
          <w:highlight w:val="none"/>
        </w:rPr>
        <w:t>中提供的资料，若发现</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以他人名义</w:t>
      </w:r>
      <w:r>
        <w:rPr>
          <w:rFonts w:hint="eastAsia" w:ascii="宋体" w:hAnsi="宋体" w:cs="宋体"/>
          <w:bCs/>
          <w:snapToGrid w:val="0"/>
          <w:color w:val="auto"/>
          <w:kern w:val="0"/>
          <w:szCs w:val="21"/>
          <w:highlight w:val="none"/>
          <w:lang w:val="en-US" w:eastAsia="zh-CN"/>
        </w:rPr>
        <w:t>响应</w:t>
      </w:r>
      <w:r>
        <w:rPr>
          <w:rFonts w:hint="eastAsia" w:ascii="宋体" w:hAnsi="宋体" w:cs="宋体"/>
          <w:bCs/>
          <w:snapToGrid w:val="0"/>
          <w:color w:val="auto"/>
          <w:kern w:val="0"/>
          <w:szCs w:val="21"/>
          <w:highlight w:val="none"/>
        </w:rPr>
        <w:t>或者以其他方式弄虚作假骗取</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的，</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无效；</w:t>
      </w:r>
      <w:r>
        <w:rPr>
          <w:rFonts w:hint="eastAsia" w:ascii="宋体" w:hAnsi="宋体" w:cs="宋体"/>
          <w:b/>
          <w:snapToGrid w:val="0"/>
          <w:color w:val="auto"/>
          <w:kern w:val="0"/>
          <w:szCs w:val="21"/>
          <w:highlight w:val="none"/>
        </w:rPr>
        <w:t>如果签订合同后发现</w:t>
      </w:r>
      <w:r>
        <w:rPr>
          <w:rFonts w:hint="eastAsia" w:ascii="宋体" w:hAnsi="宋体" w:cs="宋体"/>
          <w:b/>
          <w:snapToGrid w:val="0"/>
          <w:color w:val="auto"/>
          <w:kern w:val="0"/>
          <w:szCs w:val="21"/>
          <w:highlight w:val="none"/>
          <w:lang w:val="en-US" w:eastAsia="zh-CN"/>
        </w:rPr>
        <w:t>成交人</w:t>
      </w:r>
      <w:r>
        <w:rPr>
          <w:rFonts w:hint="eastAsia" w:ascii="宋体" w:hAnsi="宋体" w:cs="宋体"/>
          <w:b/>
          <w:snapToGrid w:val="0"/>
          <w:color w:val="auto"/>
          <w:kern w:val="0"/>
          <w:szCs w:val="21"/>
          <w:highlight w:val="none"/>
        </w:rPr>
        <w:t>提供了虚假材料，</w:t>
      </w:r>
      <w:r>
        <w:rPr>
          <w:rFonts w:hint="eastAsia" w:ascii="宋体" w:hAnsi="宋体" w:cs="宋体"/>
          <w:b/>
          <w:snapToGrid w:val="0"/>
          <w:color w:val="auto"/>
          <w:kern w:val="0"/>
          <w:szCs w:val="21"/>
          <w:highlight w:val="none"/>
          <w:lang w:val="en-US" w:eastAsia="zh-CN"/>
        </w:rPr>
        <w:t>采购人</w:t>
      </w:r>
      <w:r>
        <w:rPr>
          <w:rFonts w:hint="eastAsia" w:ascii="宋体" w:hAnsi="宋体" w:cs="宋体"/>
          <w:b/>
          <w:snapToGrid w:val="0"/>
          <w:color w:val="auto"/>
          <w:kern w:val="0"/>
          <w:szCs w:val="21"/>
          <w:highlight w:val="none"/>
        </w:rPr>
        <w:t>有权解除合同</w:t>
      </w:r>
      <w:r>
        <w:rPr>
          <w:rFonts w:hint="eastAsia" w:ascii="宋体" w:hAnsi="宋体" w:cs="宋体"/>
          <w:bCs/>
          <w:snapToGrid w:val="0"/>
          <w:color w:val="auto"/>
          <w:kern w:val="0"/>
          <w:szCs w:val="21"/>
          <w:highlight w:val="none"/>
        </w:rPr>
        <w:t>。</w:t>
      </w:r>
    </w:p>
    <w:p w14:paraId="73A3F9A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7.2.6响应</w:t>
      </w:r>
      <w:r>
        <w:rPr>
          <w:rFonts w:hint="eastAsia" w:ascii="宋体" w:hAnsi="宋体" w:cs="宋体"/>
          <w:color w:val="auto"/>
          <w:szCs w:val="21"/>
          <w:highlight w:val="none"/>
        </w:rPr>
        <w:t>文件的制作应满足以下规定：</w:t>
      </w:r>
    </w:p>
    <w:p w14:paraId="1725803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CAFA9D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lang w:val="en-US" w:eastAsia="zh-CN"/>
        </w:rPr>
        <w:t>询价</w:t>
      </w:r>
      <w:r>
        <w:rPr>
          <w:rFonts w:hint="eastAsia" w:ascii="宋体" w:hAnsi="宋体" w:cs="宋体"/>
          <w:b/>
          <w:color w:val="auto"/>
          <w:szCs w:val="21"/>
          <w:highlight w:val="none"/>
        </w:rPr>
        <w:t>文件中“签章”是指签字或盖章。</w:t>
      </w:r>
      <w:r>
        <w:rPr>
          <w:rFonts w:hint="eastAsia" w:ascii="宋体" w:hAnsi="宋体" w:cs="宋体"/>
          <w:color w:val="auto"/>
          <w:szCs w:val="21"/>
          <w:highlight w:val="none"/>
        </w:rPr>
        <w:t>在（五）响应文件格式中要求签章处，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 xml:space="preserve">单位电子印章和法定代表人的个人电子印章/电子签名章或直接上传加盖投标人单位印章和法定代表人的印章（或签字）的原件彩色扫描件。联合体投标的，除联合体协议书外， </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文件由联合体牵头人按上述规定加盖联合体牵头人单位电子印章和法定代表人的个人电子印章/电子签名章或直接上传加盖联合体牵头人单位印章和法定代表人的印章（或签字）的原件彩色扫描件。</w:t>
      </w:r>
    </w:p>
    <w:p w14:paraId="165D683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文件制作完成后，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应对</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文件进行文件加密，形成加密的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文件。采用CA数字证书加密的，加密时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文件的所有内容均只能使用同一把CA数字证书进行加密，否则引起的解密失败责任由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自行承担。</w:t>
      </w:r>
    </w:p>
    <w:p w14:paraId="261D84C1">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7.2.7</w:t>
      </w:r>
      <w:r>
        <w:rPr>
          <w:rFonts w:hint="eastAsia" w:ascii="宋体" w:hAnsi="宋体" w:cs="宋体"/>
          <w:color w:val="auto"/>
          <w:kern w:val="0"/>
          <w:szCs w:val="21"/>
          <w:highlight w:val="none"/>
        </w:rPr>
        <w:t>因</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自身原因而导致</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文件无法导入电子交易系统电子开标、评标系统，该</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视为无效，</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自行承担由此导致的全部责任。</w:t>
      </w:r>
    </w:p>
    <w:p w14:paraId="2794AA1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color w:val="auto"/>
          <w:highlight w:val="none"/>
          <w:lang w:val="en-US"/>
        </w:rPr>
      </w:pPr>
      <w:r>
        <w:rPr>
          <w:rFonts w:hint="eastAsia" w:ascii="宋体" w:hAnsi="宋体" w:cs="宋体"/>
          <w:color w:val="auto"/>
          <w:kern w:val="0"/>
          <w:szCs w:val="21"/>
          <w:highlight w:val="none"/>
          <w:lang w:val="en-US" w:eastAsia="zh-CN"/>
        </w:rPr>
        <w:t>7.2.7供应商成交</w:t>
      </w:r>
      <w:r>
        <w:rPr>
          <w:rFonts w:hint="eastAsia" w:ascii="宋体" w:hAnsi="宋体" w:cs="宋体"/>
          <w:color w:val="auto"/>
          <w:kern w:val="0"/>
          <w:szCs w:val="21"/>
          <w:highlight w:val="none"/>
        </w:rPr>
        <w:t>后须递交与网上电子投标文件完全一致的纸质版投标文件，在领取</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通知书时，一并递交给代理机构。</w:t>
      </w:r>
    </w:p>
    <w:p w14:paraId="4F551B5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文件的提交</w:t>
      </w:r>
    </w:p>
    <w:p w14:paraId="05012EDA">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2E4C8CC">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9. </w:t>
      </w:r>
      <w:r>
        <w:rPr>
          <w:rFonts w:hint="eastAsia" w:ascii="宋体" w:hAnsi="宋体" w:eastAsia="宋体" w:cs="宋体"/>
          <w:b/>
          <w:bCs/>
          <w:color w:val="auto"/>
          <w:szCs w:val="21"/>
          <w:highlight w:val="none"/>
          <w:lang w:val="en-US" w:eastAsia="zh-CN"/>
        </w:rPr>
        <w:t>开启</w:t>
      </w:r>
      <w:r>
        <w:rPr>
          <w:rFonts w:hint="eastAsia" w:ascii="宋体" w:hAnsi="宋体" w:eastAsia="宋体" w:cs="宋体"/>
          <w:b/>
          <w:bCs/>
          <w:color w:val="auto"/>
          <w:szCs w:val="21"/>
          <w:highlight w:val="none"/>
        </w:rPr>
        <w:t>会议</w:t>
      </w:r>
    </w:p>
    <w:p w14:paraId="71C9C4D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r>
        <w:rPr>
          <w:rFonts w:hint="eastAsia" w:ascii="宋体" w:hAnsi="宋体" w:eastAsia="宋体" w:cs="宋体"/>
          <w:color w:val="auto"/>
          <w:szCs w:val="21"/>
          <w:highlight w:val="none"/>
          <w:lang w:val="en-US" w:eastAsia="zh-CN"/>
        </w:rPr>
        <w:t>开启</w:t>
      </w:r>
      <w:r>
        <w:rPr>
          <w:rFonts w:hint="eastAsia" w:ascii="宋体" w:hAnsi="宋体" w:eastAsia="宋体" w:cs="宋体"/>
          <w:color w:val="auto"/>
          <w:szCs w:val="21"/>
          <w:highlight w:val="none"/>
        </w:rPr>
        <w:t>会议的时间和地点</w:t>
      </w:r>
    </w:p>
    <w:p w14:paraId="215D729F">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B9DC469">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会议程序</w:t>
      </w:r>
    </w:p>
    <w:p w14:paraId="4B6225D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①会议由代理机构滁州市城投工程咨询管理有限公司主持；</w:t>
      </w:r>
    </w:p>
    <w:p w14:paraId="35BC0C1C">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②截止时间后，解密</w:t>
      </w:r>
      <w:r>
        <w:rPr>
          <w:rFonts w:hint="eastAsia" w:ascii="宋体" w:hAnsi="宋体" w:eastAsia="宋体" w:cs="宋体"/>
          <w:color w:val="auto"/>
          <w:szCs w:val="21"/>
          <w:highlight w:val="none"/>
          <w:lang w:val="en-US" w:eastAsia="zh-CN"/>
        </w:rPr>
        <w:t>供应商响应</w:t>
      </w:r>
      <w:r>
        <w:rPr>
          <w:rFonts w:hint="eastAsia" w:ascii="宋体" w:hAnsi="宋体" w:eastAsia="宋体" w:cs="宋体"/>
          <w:color w:val="auto"/>
          <w:szCs w:val="21"/>
          <w:highlight w:val="none"/>
        </w:rPr>
        <w:t>文件并报价；</w:t>
      </w:r>
    </w:p>
    <w:p w14:paraId="28A57AA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③对各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文件进行符合性评审；</w:t>
      </w:r>
    </w:p>
    <w:p w14:paraId="6A9B997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④宣布成交单位；</w:t>
      </w:r>
    </w:p>
    <w:p w14:paraId="098FD3B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⑤会议过程进行记录，并存档备查。</w:t>
      </w:r>
    </w:p>
    <w:p w14:paraId="47878545">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10.无效</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w:t>
      </w:r>
    </w:p>
    <w:p w14:paraId="0A491DD1">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未在开标截止时间前通过网上招标投标系统递交有效电子投标文件的，开标系统不予接收，投标将被拒绝；</w:t>
      </w:r>
    </w:p>
    <w:p w14:paraId="47384E4A">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30分钟，否则投标文件将被拒绝。</w:t>
      </w:r>
    </w:p>
    <w:p w14:paraId="67FA4D3E">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11.评审</w:t>
      </w:r>
    </w:p>
    <w:p w14:paraId="6AB92834">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11.1评审办法</w:t>
      </w:r>
    </w:p>
    <w:p w14:paraId="1553DF8D">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11.1.1本项目采用</w:t>
      </w:r>
      <w:r>
        <w:rPr>
          <w:rFonts w:hint="eastAsia" w:ascii="宋体" w:hAnsi="宋体" w:eastAsia="宋体" w:cs="宋体"/>
          <w:color w:val="auto"/>
          <w:spacing w:val="-4"/>
          <w:szCs w:val="21"/>
          <w:highlight w:val="none"/>
          <w:lang w:val="en-US" w:eastAsia="zh-CN"/>
        </w:rPr>
        <w:t>最低评标价法</w:t>
      </w:r>
      <w:r>
        <w:rPr>
          <w:rFonts w:hint="eastAsia" w:ascii="宋体" w:hAnsi="宋体" w:eastAsia="宋体" w:cs="宋体"/>
          <w:color w:val="auto"/>
          <w:spacing w:val="-4"/>
          <w:szCs w:val="21"/>
          <w:highlight w:val="none"/>
        </w:rPr>
        <w:t>。</w:t>
      </w:r>
    </w:p>
    <w:p w14:paraId="6565FD25">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11.1.2</w:t>
      </w:r>
      <w:r>
        <w:rPr>
          <w:rFonts w:hint="eastAsia" w:ascii="宋体" w:hAnsi="宋体" w:eastAsia="宋体" w:cs="宋体"/>
          <w:color w:val="auto"/>
          <w:spacing w:val="-4"/>
          <w:szCs w:val="21"/>
          <w:highlight w:val="none"/>
        </w:rPr>
        <w:t>采购小组对满足询价文件实质性要求的</w:t>
      </w:r>
      <w:r>
        <w:rPr>
          <w:rFonts w:hint="eastAsia" w:ascii="宋体" w:hAnsi="宋体" w:eastAsia="宋体" w:cs="宋体"/>
          <w:color w:val="auto"/>
          <w:spacing w:val="-4"/>
          <w:szCs w:val="21"/>
          <w:highlight w:val="none"/>
          <w:lang w:val="en-US" w:eastAsia="zh-CN"/>
        </w:rPr>
        <w:t>响应</w:t>
      </w:r>
      <w:r>
        <w:rPr>
          <w:rFonts w:hint="eastAsia" w:ascii="宋体" w:hAnsi="宋体" w:eastAsia="宋体" w:cs="宋体"/>
          <w:color w:val="auto"/>
          <w:spacing w:val="-4"/>
          <w:szCs w:val="21"/>
          <w:highlight w:val="none"/>
        </w:rPr>
        <w:t>文件最终按报价最低原则，推荐</w:t>
      </w:r>
      <w:r>
        <w:rPr>
          <w:rFonts w:hint="eastAsia" w:ascii="宋体" w:hAnsi="宋体" w:eastAsia="宋体" w:cs="宋体"/>
          <w:color w:val="auto"/>
          <w:spacing w:val="-4"/>
          <w:szCs w:val="21"/>
          <w:highlight w:val="none"/>
          <w:lang w:val="en-US" w:eastAsia="zh-CN"/>
        </w:rPr>
        <w:t>有效</w:t>
      </w:r>
      <w:r>
        <w:rPr>
          <w:rFonts w:hint="eastAsia" w:ascii="宋体" w:hAnsi="宋体" w:eastAsia="宋体" w:cs="宋体"/>
          <w:color w:val="auto"/>
          <w:spacing w:val="-4"/>
          <w:szCs w:val="21"/>
          <w:highlight w:val="none"/>
        </w:rPr>
        <w:t>报价最低的为成交单位，但报价低于其成本的除外。报价最低的服务单位有两名或两名以上相同时，由采购小组抽签确定成交单位。</w:t>
      </w:r>
    </w:p>
    <w:p w14:paraId="246F489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文件有下列情形之一的，应按无效</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处理：</w:t>
      </w:r>
    </w:p>
    <w:p w14:paraId="21D0D98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①无单位盖章并无法定代表人或法定代表人授权的代理人签字或盖章的；</w:t>
      </w:r>
    </w:p>
    <w:p w14:paraId="6EAF634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②未按规定的格式填写，内容不全或关键字迹模糊、无法辨认的；</w:t>
      </w:r>
    </w:p>
    <w:p w14:paraId="69DA41E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文件中填报的服务期、质量不符合询价文件要求的；</w:t>
      </w:r>
    </w:p>
    <w:p w14:paraId="7B878C2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报价高于（不含等于）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发布的最高限价的；</w:t>
      </w:r>
    </w:p>
    <w:p w14:paraId="6733ABE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⑤法律、法规、规章和询价文件规定的其他无效响应情形。</w:t>
      </w:r>
    </w:p>
    <w:p w14:paraId="2F5444FF">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12.定标</w:t>
      </w:r>
    </w:p>
    <w:p w14:paraId="543D02F6">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12.1成交单位的确定</w:t>
      </w:r>
    </w:p>
    <w:p w14:paraId="580D1E00">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12.1.1最终按</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报价从低到高的先后顺序排名，响应报价最低的为成交单位。</w:t>
      </w:r>
    </w:p>
    <w:p w14:paraId="03F90B3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成交价</w:t>
      </w:r>
    </w:p>
    <w:p w14:paraId="6A5E0695">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12.2.1经</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确认，在评审中经过修正的报价作为成交价。</w:t>
      </w:r>
    </w:p>
    <w:p w14:paraId="1C300336">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13.合同授予标准</w:t>
      </w:r>
    </w:p>
    <w:p w14:paraId="0057882D">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13.1本项目的合同将授予按本须知第12条规定所确定的成交单位。</w:t>
      </w:r>
    </w:p>
    <w:p w14:paraId="462D25C2">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14.合同协议书的签订</w:t>
      </w:r>
    </w:p>
    <w:p w14:paraId="53B2FDC1">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结束并确定成交单位后3日内</w:t>
      </w:r>
      <w:r>
        <w:rPr>
          <w:rFonts w:hint="eastAsia" w:ascii="宋体" w:hAnsi="宋体" w:eastAsia="宋体" w:cs="宋体"/>
          <w:color w:val="auto"/>
          <w:szCs w:val="21"/>
          <w:highlight w:val="none"/>
        </w:rPr>
        <w:t>按照询价文件和成交人的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文件订立书面合同。发包人和成交单位不得再行订立背离合同实质性内容的其他协议。</w:t>
      </w:r>
    </w:p>
    <w:p w14:paraId="28A2076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如不按本</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须知第14条的规定与成交单位订立合同，或者订立背离合同实质性内容的协议，</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应当按投标保证金的数额对成交单位进行赔偿，给成交单位造成的损失超过投标保证金数额的，还应当对超过部分予以赔偿，同时依法承担相应法律责任。</w:t>
      </w:r>
    </w:p>
    <w:p w14:paraId="6EAE895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14.3成交单位如不按本投标须知第14条的规定与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订立合同，成交单位原因造成合同延期签订的，每延期一天按500元予以处罚，延期签订情节严重的，</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有权取消其成交资格。并承担给发包人造成的损失，同时依法承担相应法律责任。</w:t>
      </w:r>
    </w:p>
    <w:p w14:paraId="7724950B">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14.4成交单位应当按照合同约定履行义务，完成项目，不得将项目转让（转包）给他人。</w:t>
      </w:r>
    </w:p>
    <w:p w14:paraId="2B0A3145">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right="-94" w:rightChars="-45"/>
        <w:jc w:val="center"/>
        <w:textAlignment w:val="auto"/>
        <w:rPr>
          <w:color w:val="auto"/>
          <w:highlight w:val="none"/>
        </w:rPr>
      </w:pPr>
      <w:bookmarkStart w:id="38" w:name="_Toc29569"/>
      <w:bookmarkEnd w:id="38"/>
      <w:bookmarkStart w:id="39" w:name="_Toc35947222"/>
      <w:bookmarkEnd w:id="39"/>
      <w:bookmarkStart w:id="40" w:name="_Toc35424939"/>
      <w:bookmarkEnd w:id="40"/>
      <w:bookmarkStart w:id="41" w:name="_Toc506107317"/>
      <w:bookmarkEnd w:id="41"/>
      <w:bookmarkStart w:id="42" w:name="_Toc324404864"/>
      <w:bookmarkEnd w:id="42"/>
      <w:bookmarkStart w:id="43" w:name="_Toc35425105"/>
      <w:bookmarkEnd w:id="43"/>
      <w:bookmarkStart w:id="44" w:name="_Toc15058902"/>
      <w:bookmarkEnd w:id="44"/>
      <w:r>
        <w:rPr>
          <w:rFonts w:hint="eastAsia" w:ascii="宋体" w:hAnsi="宋体" w:eastAsia="宋体" w:cs="宋体"/>
          <w:color w:val="auto"/>
          <w:sz w:val="28"/>
          <w:szCs w:val="28"/>
          <w:highlight w:val="none"/>
        </w:rPr>
        <w:t>（二）评审办法</w:t>
      </w:r>
    </w:p>
    <w:p w14:paraId="3BD6CB45">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45" w:name="_Toc18543"/>
      <w:bookmarkEnd w:id="45"/>
      <w:bookmarkStart w:id="46" w:name="_Toc506107319"/>
      <w:bookmarkEnd w:id="46"/>
      <w:bookmarkStart w:id="47" w:name="_Toc324404866"/>
      <w:bookmarkEnd w:id="47"/>
      <w:bookmarkStart w:id="48" w:name="_Toc15058904"/>
      <w:bookmarkEnd w:id="48"/>
      <w:bookmarkStart w:id="49" w:name="_Toc35425107"/>
      <w:bookmarkEnd w:id="49"/>
      <w:bookmarkStart w:id="50" w:name="_Toc35947224"/>
      <w:bookmarkEnd w:id="50"/>
      <w:bookmarkStart w:id="51" w:name="_Toc35424941"/>
      <w:bookmarkEnd w:id="51"/>
      <w:r>
        <w:rPr>
          <w:rFonts w:hint="eastAsia" w:ascii="宋体" w:hAnsi="宋体" w:cs="宋体"/>
          <w:b/>
          <w:bCs/>
          <w:color w:val="auto"/>
          <w:szCs w:val="21"/>
          <w:highlight w:val="none"/>
        </w:rPr>
        <w:t>1.审查资料</w:t>
      </w:r>
    </w:p>
    <w:p w14:paraId="6500864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报价函、分项报价清单（格式见附件）；</w:t>
      </w:r>
    </w:p>
    <w:p w14:paraId="279B21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企业营业执照；</w:t>
      </w:r>
    </w:p>
    <w:p w14:paraId="657F108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企业资质证书；</w:t>
      </w:r>
    </w:p>
    <w:p w14:paraId="094C637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（4）供应商诚信响应承诺书；</w:t>
      </w:r>
    </w:p>
    <w:p w14:paraId="5FAAAF9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法定代表人身份证明文件和本人身份证(或法定代表人授权委托书和委托代理人身份证)</w:t>
      </w:r>
      <w:r>
        <w:rPr>
          <w:rFonts w:hint="eastAsia" w:ascii="宋体" w:hAnsi="宋体" w:cs="宋体"/>
          <w:color w:val="auto"/>
          <w:szCs w:val="21"/>
          <w:highlight w:val="none"/>
          <w:lang w:eastAsia="zh-CN"/>
        </w:rPr>
        <w:t>；</w:t>
      </w:r>
    </w:p>
    <w:p w14:paraId="6E8B105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（6）项目负责人及技术负责人的有效身份证及对应证书；</w:t>
      </w:r>
    </w:p>
    <w:p w14:paraId="4D8FE1F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1"/>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（7）供应商认为需要提交的其他相关资料。</w:t>
      </w:r>
    </w:p>
    <w:p w14:paraId="5768CE6F">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r>
        <w:rPr>
          <w:rFonts w:hint="eastAsia" w:ascii="宋体" w:hAnsi="宋体" w:cs="宋体"/>
          <w:b/>
          <w:bCs/>
          <w:color w:val="auto"/>
          <w:szCs w:val="21"/>
          <w:highlight w:val="none"/>
        </w:rPr>
        <w:t>2.审查办法</w:t>
      </w:r>
    </w:p>
    <w:p w14:paraId="27AE40A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由采购小组对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资料进行核验。有下列情形之一的，为不合格：</w:t>
      </w:r>
    </w:p>
    <w:p w14:paraId="2091651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（1）不能按要求提供证明材料或证明材料经审查不合格；</w:t>
      </w:r>
    </w:p>
    <w:p w14:paraId="3169D0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341BE5AE">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2" w:name="_Toc21611172"/>
      <w:bookmarkEnd w:id="52"/>
      <w:bookmarkStart w:id="53" w:name="_Toc324404869"/>
      <w:bookmarkEnd w:id="53"/>
      <w:bookmarkStart w:id="54" w:name="_Toc506107322"/>
      <w:bookmarkEnd w:id="54"/>
      <w:bookmarkStart w:id="55" w:name="_Toc17309"/>
      <w:bookmarkEnd w:id="55"/>
      <w:r>
        <w:rPr>
          <w:rFonts w:hint="eastAsia" w:ascii="宋体" w:hAnsi="宋体" w:cs="宋体"/>
          <w:b/>
          <w:bCs/>
          <w:color w:val="auto"/>
          <w:szCs w:val="21"/>
          <w:highlight w:val="none"/>
        </w:rPr>
        <w:t>3.审查结果</w:t>
      </w:r>
    </w:p>
    <w:p w14:paraId="3360E32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只有通过资格审查的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才能进入下一步的评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程序。</w:t>
      </w:r>
    </w:p>
    <w:p w14:paraId="1CE3AB3A">
      <w:pPr>
        <w:keepNext w:val="0"/>
        <w:keepLines w:val="0"/>
        <w:pageBreakBefore w:val="0"/>
        <w:widowControl w:val="0"/>
        <w:kinsoku/>
        <w:wordWrap/>
        <w:overflowPunct/>
        <w:topLinePunct w:val="0"/>
        <w:autoSpaceDE/>
        <w:autoSpaceDN/>
        <w:bidi w:val="0"/>
        <w:adjustRightInd/>
        <w:snapToGrid/>
        <w:spacing w:line="560" w:lineRule="exact"/>
        <w:ind w:left="420"/>
        <w:textAlignment w:val="auto"/>
        <w:outlineLvl w:val="1"/>
        <w:rPr>
          <w:rFonts w:ascii="宋体" w:hAnsi="宋体" w:cs="宋体"/>
          <w:b/>
          <w:bCs/>
          <w:color w:val="auto"/>
          <w:szCs w:val="21"/>
          <w:highlight w:val="none"/>
        </w:rPr>
      </w:pPr>
      <w:bookmarkStart w:id="56" w:name="_Toc15888"/>
      <w:bookmarkEnd w:id="56"/>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报价</w:t>
      </w:r>
      <w:r>
        <w:rPr>
          <w:rFonts w:hint="eastAsia" w:ascii="宋体" w:hAnsi="宋体" w:cs="宋体"/>
          <w:b/>
          <w:bCs/>
          <w:color w:val="auto"/>
          <w:szCs w:val="21"/>
          <w:highlight w:val="none"/>
        </w:rPr>
        <w:t>评审</w:t>
      </w:r>
    </w:p>
    <w:p w14:paraId="1061C3E3">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ascii="宋体" w:hAnsi="宋体" w:cs="宋体"/>
          <w:color w:val="auto"/>
          <w:szCs w:val="21"/>
          <w:highlight w:val="none"/>
        </w:rPr>
      </w:pPr>
      <w:r>
        <w:rPr>
          <w:rFonts w:hint="eastAsia" w:ascii="宋体" w:hAnsi="宋体" w:cs="宋体"/>
          <w:color w:val="auto"/>
          <w:szCs w:val="21"/>
          <w:highlight w:val="none"/>
        </w:rPr>
        <w:t>4.1评审办法</w:t>
      </w:r>
    </w:p>
    <w:p w14:paraId="326299DE">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default" w:ascii="宋体" w:hAnsi="宋体" w:eastAsia="宋体" w:cs="宋体"/>
          <w:color w:val="auto"/>
          <w:spacing w:val="-4"/>
          <w:szCs w:val="21"/>
          <w:highlight w:val="none"/>
          <w:lang w:val="en-US" w:eastAsia="zh-CN"/>
        </w:rPr>
      </w:pPr>
      <w:r>
        <w:rPr>
          <w:rFonts w:hint="eastAsia" w:ascii="宋体" w:hAnsi="宋体" w:cs="宋体"/>
          <w:color w:val="auto"/>
          <w:spacing w:val="-4"/>
          <w:szCs w:val="21"/>
          <w:highlight w:val="none"/>
        </w:rPr>
        <w:t>4.2本项目采用</w:t>
      </w:r>
      <w:r>
        <w:rPr>
          <w:rFonts w:hint="eastAsia" w:ascii="宋体" w:hAnsi="宋体" w:cs="宋体"/>
          <w:color w:val="auto"/>
          <w:spacing w:val="-4"/>
          <w:szCs w:val="21"/>
          <w:highlight w:val="none"/>
          <w:lang w:val="en-US" w:eastAsia="zh-CN"/>
        </w:rPr>
        <w:t>最低评标价法</w:t>
      </w:r>
    </w:p>
    <w:p w14:paraId="4B724FEC">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3" w:firstLineChars="189"/>
        <w:jc w:val="left"/>
        <w:textAlignment w:val="auto"/>
        <w:rPr>
          <w:rFonts w:hint="default" w:ascii="宋体" w:hAnsi="宋体" w:eastAsia="宋体" w:cs="宋体"/>
          <w:b/>
          <w:bCs/>
          <w:color w:val="auto"/>
          <w:spacing w:val="-4"/>
          <w:szCs w:val="21"/>
          <w:highlight w:val="none"/>
          <w:lang w:val="en-US" w:eastAsia="zh-CN"/>
        </w:rPr>
      </w:pPr>
      <w:r>
        <w:rPr>
          <w:rFonts w:hint="eastAsia" w:ascii="宋体" w:hAnsi="宋体" w:cs="宋体"/>
          <w:b/>
          <w:bCs/>
          <w:color w:val="auto"/>
          <w:spacing w:val="-4"/>
          <w:szCs w:val="21"/>
          <w:highlight w:val="none"/>
          <w:lang w:val="en-US" w:eastAsia="zh-CN"/>
        </w:rPr>
        <w:t>注：以各响应单价之和参与评审。系统中提交文件时填报报价填20万元。</w:t>
      </w:r>
    </w:p>
    <w:p w14:paraId="7F9C22EB">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ascii="宋体" w:hAnsi="宋体" w:cs="宋体"/>
          <w:color w:val="auto"/>
          <w:highlight w:val="none"/>
        </w:rPr>
      </w:pPr>
      <w:r>
        <w:rPr>
          <w:rFonts w:hint="eastAsia" w:ascii="宋体" w:hAnsi="宋体" w:cs="宋体"/>
          <w:color w:val="auto"/>
          <w:szCs w:val="21"/>
          <w:highlight w:val="none"/>
        </w:rPr>
        <w:t>4.3</w:t>
      </w:r>
      <w:r>
        <w:rPr>
          <w:rFonts w:hint="eastAsia" w:ascii="宋体" w:hAnsi="宋体" w:cs="宋体"/>
          <w:color w:val="auto"/>
          <w:spacing w:val="-4"/>
          <w:szCs w:val="21"/>
          <w:highlight w:val="none"/>
        </w:rPr>
        <w:t>采购小组对满足询价文件实质性要求的报价文件最终按报价最低原则，推荐</w:t>
      </w:r>
      <w:r>
        <w:rPr>
          <w:rFonts w:hint="eastAsia" w:ascii="宋体" w:hAnsi="宋体" w:cs="宋体"/>
          <w:color w:val="auto"/>
          <w:spacing w:val="-4"/>
          <w:szCs w:val="21"/>
          <w:highlight w:val="none"/>
          <w:lang w:val="en-US" w:eastAsia="zh-CN"/>
        </w:rPr>
        <w:t>有效</w:t>
      </w:r>
      <w:r>
        <w:rPr>
          <w:rFonts w:hint="eastAsia" w:ascii="宋体" w:hAnsi="宋体" w:cs="宋体"/>
          <w:color w:val="auto"/>
          <w:spacing w:val="-4"/>
          <w:szCs w:val="21"/>
          <w:highlight w:val="none"/>
        </w:rPr>
        <w:t>报价最低的为成交单位，但报价低于其成本的除外。报价最低的单位有两名或两名以上相同时，由采购小组抽签确定成交单位。</w:t>
      </w:r>
    </w:p>
    <w:p w14:paraId="72608661">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7" w:name="_Toc2333"/>
      <w:bookmarkEnd w:id="57"/>
      <w:bookmarkStart w:id="58" w:name="_Toc506107331"/>
      <w:bookmarkEnd w:id="58"/>
      <w:bookmarkStart w:id="59" w:name="_Toc324404879"/>
      <w:bookmarkEnd w:id="59"/>
      <w:bookmarkStart w:id="60" w:name="_Toc21611183"/>
      <w:bookmarkEnd w:id="60"/>
      <w:r>
        <w:rPr>
          <w:rFonts w:hint="eastAsia" w:ascii="宋体" w:hAnsi="宋体" w:cs="宋体"/>
          <w:b/>
          <w:bCs/>
          <w:color w:val="auto"/>
          <w:szCs w:val="21"/>
          <w:highlight w:val="none"/>
        </w:rPr>
        <w:t>6.评审结果</w:t>
      </w:r>
    </w:p>
    <w:p w14:paraId="5D3E7F8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最终按</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报价从低到高的先后顺序排名，</w:t>
      </w:r>
      <w:r>
        <w:rPr>
          <w:rFonts w:hint="eastAsia" w:ascii="宋体" w:hAnsi="宋体" w:cs="宋体"/>
          <w:color w:val="auto"/>
          <w:szCs w:val="21"/>
          <w:highlight w:val="none"/>
          <w:lang w:val="en-US" w:eastAsia="zh-CN"/>
        </w:rPr>
        <w:t>有效报价</w:t>
      </w:r>
      <w:r>
        <w:rPr>
          <w:rFonts w:hint="eastAsia" w:ascii="宋体" w:hAnsi="宋体" w:cs="宋体"/>
          <w:color w:val="auto"/>
          <w:szCs w:val="21"/>
          <w:highlight w:val="none"/>
        </w:rPr>
        <w:t>最低的为成交单位。</w:t>
      </w:r>
    </w:p>
    <w:p w14:paraId="17EECD4C">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61" w:name="_Toc324404880"/>
      <w:bookmarkEnd w:id="61"/>
      <w:bookmarkStart w:id="62" w:name="_Toc21611184"/>
      <w:bookmarkEnd w:id="62"/>
      <w:bookmarkStart w:id="63" w:name="_Toc506107332"/>
      <w:bookmarkEnd w:id="63"/>
      <w:bookmarkStart w:id="64" w:name="_Toc26357"/>
      <w:bookmarkEnd w:id="64"/>
      <w:r>
        <w:rPr>
          <w:rFonts w:hint="eastAsia" w:ascii="宋体" w:hAnsi="宋体" w:cs="宋体"/>
          <w:b/>
          <w:bCs/>
          <w:color w:val="auto"/>
          <w:szCs w:val="21"/>
          <w:highlight w:val="none"/>
        </w:rPr>
        <w:t>7.其他</w:t>
      </w:r>
    </w:p>
    <w:p w14:paraId="5686070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响应人提供的与</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文件有关的各类证书、证明、文件、资料等的真实性、合法性由响应人负全责。</w:t>
      </w:r>
    </w:p>
    <w:p w14:paraId="479B00F7">
      <w:pPr>
        <w:pStyle w:val="17"/>
        <w:ind w:left="0" w:leftChars="0" w:firstLine="0" w:firstLineChars="0"/>
        <w:rPr>
          <w:color w:val="auto"/>
          <w:highlight w:val="none"/>
        </w:rPr>
      </w:pPr>
    </w:p>
    <w:p w14:paraId="5F58D260">
      <w:pPr>
        <w:pStyle w:val="17"/>
        <w:rPr>
          <w:color w:val="auto"/>
          <w:highlight w:val="none"/>
        </w:rPr>
      </w:pPr>
    </w:p>
    <w:p w14:paraId="53A5C8CD">
      <w:pPr>
        <w:pStyle w:val="17"/>
        <w:rPr>
          <w:color w:val="auto"/>
          <w:highlight w:val="none"/>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p>
    <w:p w14:paraId="0BEEF830">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bookmarkStart w:id="65" w:name="_Toc11685"/>
      <w:bookmarkStart w:id="66" w:name="_Toc9592"/>
      <w:bookmarkStart w:id="67" w:name="_Toc9590"/>
      <w:bookmarkStart w:id="68" w:name="_Toc23095"/>
      <w:bookmarkStart w:id="69" w:name="_Toc20678"/>
      <w:r>
        <w:rPr>
          <w:rFonts w:hint="eastAsia" w:ascii="宋体" w:hAnsi="宋体" w:eastAsia="宋体" w:cs="宋体"/>
          <w:color w:val="auto"/>
          <w:sz w:val="28"/>
          <w:szCs w:val="28"/>
          <w:highlight w:val="none"/>
        </w:rPr>
        <w:t>（三）采购需求</w:t>
      </w:r>
    </w:p>
    <w:p w14:paraId="78B12FFB">
      <w:pPr>
        <w:keepNext w:val="0"/>
        <w:keepLines w:val="0"/>
        <w:pageBreakBefore w:val="0"/>
        <w:widowControl w:val="0"/>
        <w:kinsoku/>
        <w:wordWrap/>
        <w:overflowPunct/>
        <w:topLinePunct w:val="0"/>
        <w:autoSpaceDE/>
        <w:autoSpaceDN/>
        <w:bidi w:val="0"/>
        <w:adjustRightInd/>
        <w:snapToGrid/>
        <w:spacing w:line="560" w:lineRule="exact"/>
        <w:ind w:right="-17" w:rightChars="-8"/>
        <w:jc w:val="left"/>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一、采购需求</w:t>
      </w:r>
    </w:p>
    <w:p w14:paraId="658F58E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根据土地出让或划拨需求，编制明湖新区内地块控制性详细规划。规划总用地面积约</w:t>
      </w:r>
      <w:r>
        <w:rPr>
          <w:rFonts w:hint="eastAsia" w:ascii="宋体" w:hAnsi="宋体" w:cs="宋体"/>
          <w:color w:val="auto"/>
          <w:szCs w:val="21"/>
          <w:highlight w:val="none"/>
          <w:lang w:val="en-US" w:eastAsia="zh-CN"/>
        </w:rPr>
        <w:t>60</w:t>
      </w:r>
      <w:r>
        <w:rPr>
          <w:rFonts w:hint="eastAsia" w:ascii="宋体" w:hAnsi="宋体" w:eastAsia="宋体" w:cs="宋体"/>
          <w:color w:val="auto"/>
          <w:szCs w:val="21"/>
          <w:highlight w:val="none"/>
        </w:rPr>
        <w:t>公顷。总价</w:t>
      </w:r>
      <w:r>
        <w:rPr>
          <w:rFonts w:hint="eastAsia" w:ascii="宋体" w:hAnsi="宋体" w:eastAsia="宋体" w:cs="宋体"/>
          <w:color w:val="auto"/>
          <w:szCs w:val="21"/>
          <w:highlight w:val="none"/>
          <w:lang w:val="en-US" w:eastAsia="zh-CN"/>
        </w:rPr>
        <w:t>不超过20</w:t>
      </w:r>
      <w:r>
        <w:rPr>
          <w:rFonts w:hint="eastAsia" w:ascii="宋体" w:hAnsi="宋体" w:eastAsia="宋体" w:cs="宋体"/>
          <w:color w:val="auto"/>
          <w:szCs w:val="21"/>
          <w:highlight w:val="none"/>
        </w:rPr>
        <w:t>万元。编制内容包括但不限于地块新编，修编、局部调整，技术修正，地块详细规划修改涉及单元详细规划修改，地形图测绘等内容。</w:t>
      </w:r>
    </w:p>
    <w:p w14:paraId="39058ABD">
      <w:pPr>
        <w:keepNext w:val="0"/>
        <w:keepLines w:val="0"/>
        <w:pageBreakBefore w:val="0"/>
        <w:widowControl w:val="0"/>
        <w:kinsoku/>
        <w:wordWrap/>
        <w:overflowPunct/>
        <w:topLinePunct w:val="0"/>
        <w:autoSpaceDE/>
        <w:autoSpaceDN/>
        <w:bidi w:val="0"/>
        <w:adjustRightInd/>
        <w:snapToGrid/>
        <w:spacing w:line="560" w:lineRule="exact"/>
        <w:ind w:right="-17" w:rightChars="-8"/>
        <w:jc w:val="left"/>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二、服务要求</w:t>
      </w:r>
    </w:p>
    <w:p w14:paraId="550A54B5">
      <w:pPr>
        <w:keepNext w:val="0"/>
        <w:keepLines w:val="0"/>
        <w:pageBreakBefore w:val="0"/>
        <w:widowControl w:val="0"/>
        <w:kinsoku/>
        <w:wordWrap/>
        <w:overflowPunct/>
        <w:topLinePunct w:val="0"/>
        <w:autoSpaceDE/>
        <w:autoSpaceDN/>
        <w:bidi w:val="0"/>
        <w:adjustRightInd/>
        <w:snapToGrid/>
        <w:spacing w:line="560" w:lineRule="exact"/>
        <w:ind w:right="-17" w:rightChars="-8" w:firstLine="420" w:firstLineChars="200"/>
        <w:jc w:val="left"/>
        <w:textAlignment w:val="auto"/>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采购人</w:t>
      </w:r>
      <w:r>
        <w:rPr>
          <w:rFonts w:hint="eastAsia" w:ascii="宋体" w:hAnsi="宋体" w:eastAsia="宋体" w:cs="宋体"/>
          <w:bCs/>
          <w:color w:val="auto"/>
          <w:szCs w:val="21"/>
          <w:highlight w:val="none"/>
        </w:rPr>
        <w:t>有权对地块面积及要求进行调整，含在报价范围内，不予重新计价</w:t>
      </w:r>
      <w:r>
        <w:rPr>
          <w:rFonts w:hint="eastAsia" w:ascii="宋体" w:hAnsi="宋体" w:eastAsia="宋体" w:cs="宋体"/>
          <w:bCs/>
          <w:color w:val="auto"/>
          <w:szCs w:val="21"/>
          <w:highlight w:val="none"/>
          <w:lang w:eastAsia="zh-CN"/>
        </w:rPr>
        <w:t>。</w:t>
      </w:r>
    </w:p>
    <w:p w14:paraId="1E4EB4D4">
      <w:pPr>
        <w:keepNext w:val="0"/>
        <w:keepLines w:val="0"/>
        <w:pageBreakBefore w:val="0"/>
        <w:widowControl w:val="0"/>
        <w:kinsoku/>
        <w:wordWrap/>
        <w:overflowPunct/>
        <w:topLinePunct w:val="0"/>
        <w:autoSpaceDE/>
        <w:autoSpaceDN/>
        <w:bidi w:val="0"/>
        <w:adjustRightInd/>
        <w:snapToGrid/>
        <w:spacing w:line="560" w:lineRule="exact"/>
        <w:ind w:right="-17" w:rightChars="-8" w:firstLine="420" w:firstLineChars="200"/>
        <w:jc w:val="left"/>
        <w:textAlignment w:val="auto"/>
        <w:outlineLvl w:val="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lang w:val="en-US" w:eastAsia="zh-CN"/>
        </w:rPr>
        <w:t>2.成交人</w:t>
      </w:r>
      <w:r>
        <w:rPr>
          <w:rFonts w:hint="eastAsia" w:ascii="宋体" w:hAnsi="宋体" w:eastAsia="宋体" w:cs="宋体"/>
          <w:bCs/>
          <w:color w:val="auto"/>
          <w:szCs w:val="21"/>
          <w:highlight w:val="none"/>
        </w:rPr>
        <w:t>的规划编制单位应组建好专业团队，项目团队由1名项目负责人、1名技术负责人及若干其他技术人员组成，</w:t>
      </w:r>
      <w:r>
        <w:rPr>
          <w:rFonts w:hint="eastAsia" w:ascii="宋体" w:hAnsi="宋体" w:eastAsia="宋体" w:cs="宋体"/>
          <w:b/>
          <w:bCs/>
          <w:color w:val="auto"/>
          <w:szCs w:val="21"/>
          <w:highlight w:val="none"/>
        </w:rPr>
        <w:t>项目负责人和技术负责人需满足资格要求。</w:t>
      </w:r>
    </w:p>
    <w:p w14:paraId="3FF5CC3E">
      <w:pPr>
        <w:keepNext w:val="0"/>
        <w:keepLines w:val="0"/>
        <w:pageBreakBefore w:val="0"/>
        <w:widowControl w:val="0"/>
        <w:kinsoku/>
        <w:wordWrap/>
        <w:overflowPunct/>
        <w:topLinePunct w:val="0"/>
        <w:autoSpaceDE/>
        <w:autoSpaceDN/>
        <w:bidi w:val="0"/>
        <w:adjustRightInd/>
        <w:snapToGrid/>
        <w:spacing w:line="560" w:lineRule="exact"/>
        <w:ind w:right="-17" w:rightChars="-8" w:firstLine="420" w:firstLineChars="200"/>
        <w:jc w:val="left"/>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明湖新区2026年地块控制性详细规划编制服务项目中每个地块详细规划完成编制并取得批复后，应及时按相关程序完成项目档案整理及矢量数据入库。</w:t>
      </w:r>
    </w:p>
    <w:p w14:paraId="4C6CCB9D">
      <w:pPr>
        <w:keepNext w:val="0"/>
        <w:keepLines w:val="0"/>
        <w:pageBreakBefore w:val="0"/>
        <w:widowControl w:val="0"/>
        <w:kinsoku/>
        <w:wordWrap/>
        <w:overflowPunct/>
        <w:topLinePunct w:val="0"/>
        <w:autoSpaceDE/>
        <w:autoSpaceDN/>
        <w:bidi w:val="0"/>
        <w:adjustRightInd/>
        <w:snapToGrid/>
        <w:spacing w:line="560" w:lineRule="exact"/>
        <w:ind w:right="-17" w:rightChars="-8" w:firstLine="420" w:firstLineChars="200"/>
        <w:jc w:val="left"/>
        <w:textAlignment w:val="auto"/>
        <w:outlineLvl w:val="0"/>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为保障项目的顺利完成，合同履行期内，成交人应建立完善的项目服务保障体系，可根据项目实施需要采取常驻或就近驻点等方式提供服务，独立完成现场勘查工作，并就项目推进中的相关问题主动与各有关部门对接沟通。成交人须建立高效应急响应机制，接到采购人或规划主管部门通知后，及时安排专业技术人员抵达指定地点开展工作，参加各类审查会议；因不可抗力等特殊情况无法按时到场的，应第一时间告知采购人并提交可行解决方案，经采购人确认后执行。</w:t>
      </w:r>
    </w:p>
    <w:p w14:paraId="199A2303">
      <w:pPr>
        <w:keepNext w:val="0"/>
        <w:keepLines w:val="0"/>
        <w:pageBreakBefore w:val="0"/>
        <w:widowControl w:val="0"/>
        <w:kinsoku/>
        <w:wordWrap/>
        <w:overflowPunct/>
        <w:topLinePunct w:val="0"/>
        <w:autoSpaceDE/>
        <w:autoSpaceDN/>
        <w:bidi w:val="0"/>
        <w:adjustRightInd/>
        <w:snapToGrid/>
        <w:spacing w:line="560" w:lineRule="exact"/>
        <w:ind w:right="-17" w:rightChars="-8" w:firstLine="420" w:firstLineChars="200"/>
        <w:jc w:val="left"/>
        <w:textAlignment w:val="auto"/>
        <w:outlineLvl w:val="0"/>
        <w:rPr>
          <w:rFonts w:hint="eastAsia" w:ascii="宋体" w:hAnsi="宋体" w:eastAsia="宋体" w:cs="宋体"/>
          <w:bCs/>
          <w:color w:val="auto"/>
          <w:highlight w:val="none"/>
        </w:rPr>
      </w:pP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.鼓励项目团队增加技术人员数量和专业种类。项目团队人员原则上不得更换，如确需更换须经采购人同意，更换后的人员应达到项目响应时原人员配备标准。更换1名项目负责人或技术负责人，</w:t>
      </w:r>
      <w:r>
        <w:rPr>
          <w:rFonts w:hint="eastAsia" w:ascii="宋体" w:hAnsi="宋体" w:eastAsia="宋体" w:cs="宋体"/>
          <w:bCs/>
          <w:color w:val="auto"/>
          <w:szCs w:val="21"/>
          <w:highlight w:val="none"/>
          <w:lang w:val="en-US" w:eastAsia="zh-CN"/>
        </w:rPr>
        <w:t>在经过采购人同意的情况下更换，并处以5000元/人的违约金</w:t>
      </w:r>
      <w:r>
        <w:rPr>
          <w:rFonts w:hint="eastAsia" w:ascii="宋体" w:hAnsi="宋体" w:eastAsia="宋体" w:cs="宋体"/>
          <w:bCs/>
          <w:color w:val="auto"/>
          <w:szCs w:val="21"/>
          <w:highlight w:val="none"/>
        </w:rPr>
        <w:t>。合</w:t>
      </w:r>
      <w:r>
        <w:rPr>
          <w:rFonts w:hint="eastAsia" w:ascii="宋体" w:hAnsi="宋体" w:eastAsia="宋体" w:cs="宋体"/>
          <w:bCs/>
          <w:color w:val="auto"/>
          <w:highlight w:val="none"/>
        </w:rPr>
        <w:t>同周期内，项目负责人和技术负责人更换总人数超过3人的，或其他各专业技术人员更换人数超过响应时原相应人员数量的，解除规划合同。项目团队人员更换达不到项目响应时原人员配备标准的，或人员更换产生断档期的，解除规划合同。</w:t>
      </w:r>
    </w:p>
    <w:p w14:paraId="37284D1B">
      <w:pPr>
        <w:pStyle w:val="13"/>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.合同期内，规划编制单位资质注销、私自转包、擅自终止合同、消极怠工的，解除规划合同。</w:t>
      </w:r>
    </w:p>
    <w:p w14:paraId="3E3B8C2A">
      <w:pPr>
        <w:keepNext w:val="0"/>
        <w:keepLines w:val="0"/>
        <w:pageBreakBefore w:val="0"/>
        <w:widowControl w:val="0"/>
        <w:kinsoku/>
        <w:wordWrap/>
        <w:overflowPunct/>
        <w:topLinePunct w:val="0"/>
        <w:autoSpaceDE/>
        <w:autoSpaceDN/>
        <w:bidi w:val="0"/>
        <w:adjustRightInd/>
        <w:snapToGrid/>
        <w:spacing w:line="560" w:lineRule="exact"/>
        <w:ind w:right="-17" w:rightChars="-8"/>
        <w:jc w:val="left"/>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三、项目服务期</w:t>
      </w:r>
    </w:p>
    <w:p w14:paraId="69FC1FD1">
      <w:pPr>
        <w:pStyle w:val="13"/>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2026年全年，</w:t>
      </w:r>
      <w:r>
        <w:rPr>
          <w:rFonts w:hint="eastAsia" w:ascii="宋体" w:hAnsi="宋体" w:eastAsia="宋体" w:cs="宋体"/>
          <w:color w:val="auto"/>
          <w:szCs w:val="21"/>
          <w:highlight w:val="none"/>
        </w:rPr>
        <w:t>自合同签订后</w:t>
      </w:r>
      <w:r>
        <w:rPr>
          <w:rFonts w:hint="eastAsia" w:ascii="宋体" w:hAnsi="宋体" w:eastAsia="宋体" w:cs="宋体"/>
          <w:color w:val="auto"/>
          <w:szCs w:val="21"/>
          <w:highlight w:val="none"/>
          <w:lang w:val="en-US" w:eastAsia="zh-CN"/>
        </w:rPr>
        <w:t>每个地块要求</w:t>
      </w:r>
      <w:r>
        <w:rPr>
          <w:rFonts w:hint="eastAsia" w:ascii="宋体" w:hAnsi="宋体" w:eastAsia="宋体" w:cs="宋体"/>
          <w:color w:val="auto"/>
          <w:szCs w:val="21"/>
          <w:highlight w:val="none"/>
        </w:rPr>
        <w:t>10个日历天内完成地块详细规划编制工作，</w:t>
      </w:r>
      <w:r>
        <w:rPr>
          <w:rFonts w:hint="eastAsia" w:ascii="宋体" w:hAnsi="宋体" w:eastAsia="宋体" w:cs="宋体"/>
          <w:color w:val="auto"/>
          <w:highlight w:val="none"/>
        </w:rPr>
        <w:t>以滁州市明湖建设管理服务中心具体要求为准。服务期内若服务内容涉及金额即将到达本项目预算价</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万的，</w:t>
      </w:r>
      <w:r>
        <w:rPr>
          <w:rFonts w:hint="eastAsia" w:ascii="宋体" w:hAnsi="宋体" w:eastAsia="宋体" w:cs="宋体"/>
          <w:color w:val="auto"/>
          <w:highlight w:val="none"/>
          <w:lang w:val="en-US" w:eastAsia="zh-CN"/>
        </w:rPr>
        <w:t>成交人</w:t>
      </w:r>
      <w:r>
        <w:rPr>
          <w:rFonts w:hint="eastAsia" w:ascii="宋体" w:hAnsi="宋体" w:eastAsia="宋体" w:cs="宋体"/>
          <w:color w:val="auto"/>
          <w:highlight w:val="none"/>
        </w:rPr>
        <w:t>及时告知采购人，本项目最终支付金额不超过</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万元，如所计算金额超过</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万元，按</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万元计取。</w:t>
      </w:r>
    </w:p>
    <w:p w14:paraId="738CF150">
      <w:pPr>
        <w:keepNext w:val="0"/>
        <w:keepLines w:val="0"/>
        <w:pageBreakBefore w:val="0"/>
        <w:widowControl w:val="0"/>
        <w:kinsoku/>
        <w:wordWrap/>
        <w:overflowPunct/>
        <w:topLinePunct w:val="0"/>
        <w:autoSpaceDE/>
        <w:autoSpaceDN/>
        <w:bidi w:val="0"/>
        <w:adjustRightInd/>
        <w:snapToGrid/>
        <w:spacing w:line="560" w:lineRule="exact"/>
        <w:ind w:right="-17" w:rightChars="-8"/>
        <w:jc w:val="left"/>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四、报价</w:t>
      </w:r>
    </w:p>
    <w:p w14:paraId="0FEABA9D">
      <w:pPr>
        <w:pStyle w:val="13"/>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供应商的报价应含有服务、利润、税金、政策性文件规定及合同包含的所有风险、责任、义务等，即为完成询价文件要求的服务内容所包含的一切（包括代理服务、方案评审、项目验收、资料装订等）应有费用，采购人后期不再追加费用，供应商自行考虑投标风险。</w:t>
      </w:r>
    </w:p>
    <w:p w14:paraId="790AA38F">
      <w:pPr>
        <w:pStyle w:val="13"/>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最高限价为地块面积50亩以内新编2万元/个，修编、局部调整3万元/个，技术修正1万元/个。以上地块详细规划修改涉及单元详细规划修改的增加1万元/个，地块面积50亩以上的增加1万元/个，需要开展地形图测绘的增加1万元/个；投标报价不得高于最高限价，否则，按无效响应处理。其中，修编、局部调整，技术修正，涉及单元详细规划修改，需要开展地形图测绘的服务内容无面积限制，按个数结算。</w:t>
      </w:r>
    </w:p>
    <w:bookmarkEnd w:id="65"/>
    <w:bookmarkEnd w:id="66"/>
    <w:p w14:paraId="1BE7B30F">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（四）合同条款</w:t>
      </w:r>
    </w:p>
    <w:p w14:paraId="6EAF2E48">
      <w:pPr>
        <w:widowControl/>
        <w:spacing w:line="440" w:lineRule="exact"/>
        <w:ind w:left="360"/>
        <w:jc w:val="center"/>
        <w:outlineLvl w:val="1"/>
        <w:rPr>
          <w:rFonts w:hint="eastAsia" w:ascii="宋体"/>
          <w:b/>
          <w:color w:val="auto"/>
          <w:sz w:val="30"/>
          <w:szCs w:val="30"/>
          <w:highlight w:val="none"/>
        </w:rPr>
      </w:pPr>
    </w:p>
    <w:p w14:paraId="3703E1FB">
      <w:pPr>
        <w:widowControl/>
        <w:spacing w:line="440" w:lineRule="exact"/>
        <w:ind w:left="360"/>
        <w:jc w:val="center"/>
        <w:outlineLvl w:val="1"/>
        <w:rPr>
          <w:rFonts w:ascii="黑体" w:eastAsia="黑体"/>
          <w:b/>
          <w:color w:val="auto"/>
          <w:sz w:val="30"/>
          <w:szCs w:val="30"/>
          <w:highlight w:val="none"/>
        </w:rPr>
      </w:pPr>
      <w:r>
        <w:rPr>
          <w:rFonts w:hint="eastAsia" w:ascii="宋体"/>
          <w:b/>
          <w:color w:val="auto"/>
          <w:sz w:val="30"/>
          <w:szCs w:val="30"/>
          <w:highlight w:val="none"/>
        </w:rPr>
        <w:t>一、合同协议书（格式）</w:t>
      </w:r>
    </w:p>
    <w:p w14:paraId="71F2B1DB">
      <w:pPr>
        <w:widowControl/>
        <w:spacing w:line="400" w:lineRule="exact"/>
        <w:ind w:left="360"/>
        <w:jc w:val="center"/>
        <w:outlineLvl w:val="1"/>
        <w:rPr>
          <w:rFonts w:ascii="宋体"/>
          <w:b/>
          <w:color w:val="auto"/>
          <w:sz w:val="30"/>
          <w:szCs w:val="30"/>
          <w:highlight w:val="none"/>
        </w:rPr>
      </w:pPr>
    </w:p>
    <w:p w14:paraId="281F9278">
      <w:pPr>
        <w:spacing w:before="120" w:line="480" w:lineRule="auto"/>
        <w:ind w:left="960"/>
        <w:rPr>
          <w:rFonts w:ascii="宋体" w:hAnsi="宋体"/>
          <w:color w:val="auto"/>
          <w:sz w:val="24"/>
          <w:highlight w:val="none"/>
        </w:rPr>
      </w:pPr>
    </w:p>
    <w:p w14:paraId="70A1E7ED">
      <w:pPr>
        <w:spacing w:before="120" w:line="480" w:lineRule="auto"/>
        <w:ind w:left="960"/>
        <w:rPr>
          <w:rFonts w:ascii="宋体" w:hAnsi="宋体"/>
          <w:color w:val="auto"/>
          <w:sz w:val="24"/>
          <w:highlight w:val="none"/>
        </w:rPr>
      </w:pPr>
    </w:p>
    <w:p w14:paraId="6A46EA47">
      <w:pPr>
        <w:spacing w:before="120" w:line="480" w:lineRule="auto"/>
        <w:ind w:left="960"/>
        <w:rPr>
          <w:rFonts w:ascii="宋体" w:hAnsi="宋体"/>
          <w:color w:val="auto"/>
          <w:sz w:val="24"/>
          <w:highlight w:val="none"/>
        </w:rPr>
      </w:pPr>
    </w:p>
    <w:p w14:paraId="6152B0F8">
      <w:pPr>
        <w:spacing w:before="120" w:line="480" w:lineRule="auto"/>
        <w:ind w:left="960"/>
        <w:rPr>
          <w:rFonts w:ascii="宋体" w:hAnsi="宋体"/>
          <w:color w:val="auto"/>
          <w:sz w:val="24"/>
          <w:highlight w:val="none"/>
        </w:rPr>
      </w:pPr>
    </w:p>
    <w:p w14:paraId="688B981A">
      <w:pPr>
        <w:spacing w:before="120" w:line="480" w:lineRule="auto"/>
        <w:ind w:left="960"/>
        <w:rPr>
          <w:rFonts w:ascii="宋体" w:hAnsi="宋体"/>
          <w:color w:val="auto"/>
          <w:sz w:val="24"/>
          <w:highlight w:val="none"/>
        </w:rPr>
      </w:pPr>
    </w:p>
    <w:p w14:paraId="58CB7B12">
      <w:pPr>
        <w:spacing w:before="120" w:line="480" w:lineRule="auto"/>
        <w:ind w:left="960"/>
        <w:rPr>
          <w:rFonts w:ascii="宋体" w:hAnsi="宋体"/>
          <w:color w:val="auto"/>
          <w:szCs w:val="21"/>
          <w:highlight w:val="none"/>
        </w:rPr>
      </w:pPr>
      <w:r>
        <w:rPr>
          <w:rFonts w:hint="eastAsia" w:ascii="宋体" w:hAnsi="宋体"/>
          <w:color w:val="auto"/>
          <w:szCs w:val="21"/>
          <w:highlight w:val="none"/>
        </w:rPr>
        <w:t xml:space="preserve">项目名称：    </w:t>
      </w:r>
    </w:p>
    <w:p w14:paraId="4B1B16F4">
      <w:pPr>
        <w:spacing w:before="120" w:line="480" w:lineRule="auto"/>
        <w:ind w:left="960"/>
        <w:rPr>
          <w:rFonts w:ascii="宋体" w:hAnsi="宋体"/>
          <w:color w:val="auto"/>
          <w:szCs w:val="21"/>
          <w:highlight w:val="none"/>
        </w:rPr>
      </w:pPr>
      <w:r>
        <w:rPr>
          <w:rFonts w:hint="eastAsia" w:ascii="宋体" w:hAnsi="宋体"/>
          <w:color w:val="auto"/>
          <w:szCs w:val="21"/>
          <w:highlight w:val="none"/>
        </w:rPr>
        <w:t>项目编号：</w:t>
      </w:r>
    </w:p>
    <w:p w14:paraId="01C0F7D3">
      <w:pPr>
        <w:spacing w:before="120" w:line="480" w:lineRule="auto"/>
        <w:ind w:left="960"/>
        <w:rPr>
          <w:rFonts w:ascii="宋体" w:hAnsi="宋体"/>
          <w:color w:val="auto"/>
          <w:szCs w:val="21"/>
          <w:highlight w:val="none"/>
          <w:u w:val="single"/>
        </w:rPr>
      </w:pPr>
      <w:r>
        <w:rPr>
          <w:rFonts w:hint="eastAsia" w:ascii="宋体" w:hAnsi="宋体"/>
          <w:color w:val="auto"/>
          <w:szCs w:val="21"/>
          <w:highlight w:val="none"/>
        </w:rPr>
        <w:t>甲方（采购人）：</w:t>
      </w:r>
      <w:r>
        <w:rPr>
          <w:rFonts w:hint="eastAsia" w:ascii="宋体" w:hAnsi="宋体"/>
          <w:color w:val="auto"/>
          <w:szCs w:val="21"/>
          <w:highlight w:val="none"/>
          <w:u w:val="single"/>
        </w:rPr>
        <w:t xml:space="preserve">                              </w:t>
      </w:r>
    </w:p>
    <w:p w14:paraId="292F4A6D">
      <w:pPr>
        <w:spacing w:before="120" w:line="480" w:lineRule="auto"/>
        <w:ind w:left="960"/>
        <w:rPr>
          <w:rFonts w:ascii="宋体" w:hAnsi="宋体"/>
          <w:color w:val="auto"/>
          <w:szCs w:val="21"/>
          <w:highlight w:val="none"/>
          <w:u w:val="single"/>
        </w:rPr>
      </w:pPr>
      <w:r>
        <w:rPr>
          <w:rFonts w:hint="eastAsia" w:ascii="宋体" w:hAnsi="宋体"/>
          <w:color w:val="auto"/>
          <w:szCs w:val="21"/>
          <w:highlight w:val="none"/>
        </w:rPr>
        <w:t>乙方（成交人）：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34171FE5">
      <w:pPr>
        <w:spacing w:before="120" w:line="480" w:lineRule="auto"/>
        <w:ind w:firstLine="840" w:firstLineChars="400"/>
        <w:rPr>
          <w:rFonts w:ascii="宋体" w:hAnsi="宋体"/>
          <w:color w:val="auto"/>
          <w:szCs w:val="21"/>
          <w:highlight w:val="none"/>
          <w:u w:val="single"/>
        </w:rPr>
      </w:pPr>
      <w:r>
        <w:rPr>
          <w:rFonts w:hint="eastAsia" w:ascii="宋体" w:hAnsi="宋体"/>
          <w:color w:val="auto"/>
          <w:szCs w:val="21"/>
          <w:highlight w:val="none"/>
        </w:rPr>
        <w:t>签订地：</w:t>
      </w:r>
      <w:r>
        <w:rPr>
          <w:rFonts w:hint="eastAsia" w:ascii="宋体" w:hAnsi="宋体"/>
          <w:color w:val="auto"/>
          <w:szCs w:val="21"/>
          <w:highlight w:val="none"/>
          <w:u w:val="single"/>
        </w:rPr>
        <w:t xml:space="preserve">                                     </w:t>
      </w:r>
    </w:p>
    <w:p w14:paraId="178311A0">
      <w:pPr>
        <w:spacing w:before="120" w:line="480" w:lineRule="auto"/>
        <w:ind w:firstLine="840" w:firstLineChars="400"/>
        <w:rPr>
          <w:rFonts w:ascii="宋体" w:hAnsi="宋体"/>
          <w:color w:val="auto"/>
          <w:szCs w:val="21"/>
          <w:highlight w:val="none"/>
        </w:rPr>
      </w:pPr>
      <w:r>
        <w:rPr>
          <w:rFonts w:hint="eastAsia" w:ascii="宋体" w:hAnsi="宋体"/>
          <w:color w:val="auto"/>
          <w:szCs w:val="21"/>
          <w:highlight w:val="none"/>
        </w:rPr>
        <w:t>签订日期：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1B7C617">
      <w:pPr>
        <w:widowControl/>
        <w:jc w:val="left"/>
        <w:rPr>
          <w:rFonts w:ascii="宋体" w:hAnsi="宋体"/>
          <w:color w:val="auto"/>
          <w:szCs w:val="21"/>
          <w:highlight w:val="none"/>
        </w:rPr>
      </w:pPr>
      <w:r>
        <w:rPr>
          <w:rFonts w:ascii="宋体" w:hAnsi="宋体"/>
          <w:color w:val="auto"/>
          <w:szCs w:val="21"/>
          <w:highlight w:val="none"/>
        </w:rPr>
        <w:br w:type="page"/>
      </w:r>
    </w:p>
    <w:p w14:paraId="600A30BF">
      <w:pPr>
        <w:spacing w:line="360" w:lineRule="auto"/>
        <w:ind w:firstLine="435"/>
        <w:rPr>
          <w:rFonts w:ascii="宋体" w:hAnsi="宋体"/>
          <w:color w:val="auto"/>
          <w:szCs w:val="21"/>
          <w:highlight w:val="none"/>
        </w:rPr>
      </w:pPr>
      <w:r>
        <w:rPr>
          <w:rFonts w:hint="eastAsia" w:ascii="宋体" w:hAnsi="宋体"/>
          <w:i/>
          <w:iCs/>
          <w:color w:val="auto"/>
          <w:szCs w:val="21"/>
          <w:highlight w:val="none"/>
          <w:u w:val="single"/>
        </w:rPr>
        <w:t>（采购人名称）</w:t>
      </w:r>
      <w:r>
        <w:rPr>
          <w:rFonts w:hint="eastAsia" w:ascii="宋体" w:hAnsi="宋体"/>
          <w:color w:val="auto"/>
          <w:szCs w:val="21"/>
          <w:highlight w:val="none"/>
        </w:rPr>
        <w:t>（</w:t>
      </w:r>
      <w:r>
        <w:rPr>
          <w:rFonts w:hint="eastAsia" w:ascii="宋体" w:hAnsi="宋体"/>
          <w:color w:val="auto"/>
          <w:szCs w:val="21"/>
          <w:highlight w:val="none"/>
          <w:lang w:val="zh-CN"/>
        </w:rPr>
        <w:t>以下简称：甲方</w:t>
      </w:r>
      <w:r>
        <w:rPr>
          <w:rFonts w:hint="eastAsia" w:ascii="宋体" w:hAnsi="宋体"/>
          <w:color w:val="auto"/>
          <w:szCs w:val="21"/>
          <w:highlight w:val="none"/>
        </w:rPr>
        <w:t>）通过公开询价，经询价小组评定，确定</w:t>
      </w:r>
      <w:r>
        <w:rPr>
          <w:rFonts w:hint="eastAsia" w:ascii="宋体" w:hAnsi="宋体"/>
          <w:i/>
          <w:iCs/>
          <w:color w:val="auto"/>
          <w:szCs w:val="21"/>
          <w:highlight w:val="none"/>
          <w:u w:val="single"/>
        </w:rPr>
        <w:t>（成交人名称）</w:t>
      </w:r>
      <w:r>
        <w:rPr>
          <w:rFonts w:hint="eastAsia" w:ascii="宋体" w:hAnsi="宋体"/>
          <w:color w:val="auto"/>
          <w:szCs w:val="21"/>
          <w:highlight w:val="none"/>
        </w:rPr>
        <w:t>（</w:t>
      </w:r>
      <w:r>
        <w:rPr>
          <w:rFonts w:hint="eastAsia" w:ascii="宋体" w:hAnsi="宋体"/>
          <w:color w:val="auto"/>
          <w:szCs w:val="21"/>
          <w:highlight w:val="none"/>
          <w:lang w:val="zh-CN"/>
        </w:rPr>
        <w:t>以下简称：乙方</w:t>
      </w:r>
      <w:r>
        <w:rPr>
          <w:rFonts w:hint="eastAsia" w:ascii="宋体" w:hAnsi="宋体"/>
          <w:color w:val="auto"/>
          <w:szCs w:val="21"/>
          <w:highlight w:val="none"/>
        </w:rPr>
        <w:t>）为本项目成交人，现按照采购文件确定的事项签订本合同。</w:t>
      </w:r>
    </w:p>
    <w:p w14:paraId="7CDB9C72">
      <w:pPr>
        <w:spacing w:line="360" w:lineRule="auto"/>
        <w:ind w:firstLine="435"/>
        <w:rPr>
          <w:rFonts w:ascii="宋体" w:hAnsi="宋体"/>
          <w:color w:val="auto"/>
          <w:szCs w:val="21"/>
          <w:highlight w:val="none"/>
          <w:lang w:val="zh-CN"/>
        </w:rPr>
      </w:pPr>
      <w:r>
        <w:rPr>
          <w:rFonts w:hint="eastAsia" w:ascii="宋体" w:hAnsi="宋体"/>
          <w:color w:val="auto"/>
          <w:szCs w:val="21"/>
          <w:highlight w:val="none"/>
        </w:rPr>
        <w:t>根据《中华人民共和国民法典》等相关法律法规之规定，按照平等、自愿、公平和诚实信用的原则，经甲方和乙方协商一致，约定以下合同条款，以兹共同遵守、全面履行。</w:t>
      </w:r>
    </w:p>
    <w:p w14:paraId="42F40894">
      <w:pPr>
        <w:spacing w:line="360" w:lineRule="auto"/>
        <w:ind w:firstLine="437"/>
        <w:outlineLvl w:val="3"/>
        <w:rPr>
          <w:rFonts w:ascii="宋体" w:hAnsi="宋体"/>
          <w:b/>
          <w:bCs/>
          <w:color w:val="auto"/>
          <w:szCs w:val="21"/>
          <w:highlight w:val="none"/>
          <w:lang w:val="zh-CN"/>
        </w:rPr>
      </w:pPr>
      <w:bookmarkStart w:id="70" w:name="_Toc2232"/>
      <w:bookmarkEnd w:id="70"/>
      <w:bookmarkStart w:id="71" w:name="_Toc24059"/>
      <w:bookmarkEnd w:id="71"/>
      <w:bookmarkStart w:id="72" w:name="_Toc3029"/>
      <w:bookmarkEnd w:id="72"/>
      <w:r>
        <w:rPr>
          <w:rFonts w:hint="eastAsia" w:ascii="宋体" w:hAnsi="宋体"/>
          <w:b/>
          <w:bCs/>
          <w:color w:val="auto"/>
          <w:szCs w:val="21"/>
          <w:highlight w:val="none"/>
          <w:lang w:val="zh-CN"/>
        </w:rPr>
        <w:t>1.1</w:t>
      </w:r>
      <w:r>
        <w:rPr>
          <w:rFonts w:ascii="宋体" w:hAnsi="宋体"/>
          <w:b/>
          <w:bCs/>
          <w:color w:val="auto"/>
          <w:szCs w:val="21"/>
          <w:highlight w:val="none"/>
          <w:lang w:val="zh-CN"/>
        </w:rPr>
        <w:t xml:space="preserve"> </w:t>
      </w:r>
      <w:r>
        <w:rPr>
          <w:rFonts w:hint="eastAsia" w:ascii="宋体" w:hAnsi="宋体"/>
          <w:b/>
          <w:bCs/>
          <w:color w:val="auto"/>
          <w:szCs w:val="21"/>
          <w:highlight w:val="none"/>
          <w:lang w:val="zh-CN"/>
        </w:rPr>
        <w:t>合同组成部分</w:t>
      </w:r>
    </w:p>
    <w:p w14:paraId="2A3F959B">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8EB9620">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1.1.1本合同及其补充合同、变更协议；</w:t>
      </w:r>
    </w:p>
    <w:p w14:paraId="170A99DC">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1.1.2</w:t>
      </w:r>
      <w:r>
        <w:rPr>
          <w:rFonts w:hint="eastAsia" w:ascii="宋体" w:hAnsi="宋体"/>
          <w:color w:val="auto"/>
          <w:szCs w:val="21"/>
          <w:highlight w:val="none"/>
          <w:lang w:val="en-US" w:eastAsia="zh-CN"/>
        </w:rPr>
        <w:t>成交</w:t>
      </w:r>
      <w:r>
        <w:rPr>
          <w:rFonts w:hint="eastAsia" w:ascii="宋体" w:hAnsi="宋体"/>
          <w:color w:val="auto"/>
          <w:szCs w:val="21"/>
          <w:highlight w:val="none"/>
          <w:lang w:val="zh-CN"/>
        </w:rPr>
        <w:t>通知书；</w:t>
      </w:r>
    </w:p>
    <w:p w14:paraId="383269F5">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1.1.3</w:t>
      </w:r>
      <w:r>
        <w:rPr>
          <w:rFonts w:hint="eastAsia" w:ascii="宋体" w:hAnsi="宋体"/>
          <w:color w:val="auto"/>
          <w:szCs w:val="21"/>
          <w:highlight w:val="none"/>
          <w:lang w:val="en-US" w:eastAsia="zh-CN"/>
        </w:rPr>
        <w:t>响应</w:t>
      </w:r>
      <w:r>
        <w:rPr>
          <w:rFonts w:hint="eastAsia" w:ascii="宋体" w:hAnsi="宋体"/>
          <w:color w:val="auto"/>
          <w:szCs w:val="21"/>
          <w:highlight w:val="none"/>
          <w:lang w:val="zh-CN"/>
        </w:rPr>
        <w:t>文件（含澄清或者说明文件）；</w:t>
      </w:r>
    </w:p>
    <w:p w14:paraId="7BB972F2">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1.1.4询价文件（含澄清或者修改文件）；</w:t>
      </w:r>
    </w:p>
    <w:p w14:paraId="77532F44">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1.1.5其他相关采购文件。</w:t>
      </w:r>
    </w:p>
    <w:p w14:paraId="15443F9D">
      <w:pPr>
        <w:spacing w:line="360" w:lineRule="auto"/>
        <w:ind w:firstLine="437"/>
        <w:outlineLvl w:val="3"/>
        <w:rPr>
          <w:rFonts w:ascii="宋体" w:hAnsi="宋体"/>
          <w:b/>
          <w:bCs/>
          <w:color w:val="auto"/>
          <w:szCs w:val="21"/>
          <w:highlight w:val="none"/>
          <w:lang w:val="zh-CN"/>
        </w:rPr>
      </w:pPr>
      <w:bookmarkStart w:id="73" w:name="_Toc18585"/>
      <w:bookmarkEnd w:id="73"/>
      <w:bookmarkStart w:id="74" w:name="_Toc6773"/>
      <w:bookmarkEnd w:id="74"/>
      <w:bookmarkStart w:id="75" w:name="_Toc2918"/>
      <w:bookmarkEnd w:id="75"/>
      <w:bookmarkStart w:id="76" w:name="_Toc22185"/>
      <w:bookmarkEnd w:id="76"/>
      <w:bookmarkStart w:id="77" w:name="_Toc6311"/>
      <w:bookmarkEnd w:id="77"/>
      <w:r>
        <w:rPr>
          <w:rFonts w:hint="eastAsia" w:ascii="宋体" w:hAnsi="宋体"/>
          <w:b/>
          <w:bCs/>
          <w:color w:val="auto"/>
          <w:szCs w:val="21"/>
          <w:highlight w:val="none"/>
          <w:lang w:val="zh-CN"/>
        </w:rPr>
        <w:t>1.2 服务</w:t>
      </w:r>
    </w:p>
    <w:p w14:paraId="1C5B2063">
      <w:pPr>
        <w:spacing w:line="360" w:lineRule="auto"/>
        <w:ind w:firstLine="435"/>
        <w:rPr>
          <w:rFonts w:ascii="宋体" w:hAnsi="宋体"/>
          <w:color w:val="auto"/>
          <w:szCs w:val="21"/>
          <w:highlight w:val="none"/>
          <w:u w:val="single"/>
        </w:rPr>
      </w:pPr>
      <w:r>
        <w:rPr>
          <w:rFonts w:hint="eastAsia" w:ascii="宋体" w:hAnsi="宋体"/>
          <w:color w:val="auto"/>
          <w:szCs w:val="21"/>
          <w:highlight w:val="none"/>
        </w:rPr>
        <w:t>1.2.1服务</w:t>
      </w:r>
      <w:r>
        <w:rPr>
          <w:rFonts w:ascii="宋体" w:hAnsi="宋体"/>
          <w:color w:val="auto"/>
          <w:szCs w:val="21"/>
          <w:highlight w:val="none"/>
        </w:rPr>
        <w:t>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54ED17D">
      <w:pPr>
        <w:spacing w:line="360" w:lineRule="auto"/>
        <w:ind w:firstLine="435"/>
        <w:rPr>
          <w:rFonts w:ascii="宋体" w:hAnsi="宋体"/>
          <w:color w:val="auto"/>
          <w:szCs w:val="21"/>
          <w:highlight w:val="none"/>
          <w:u w:val="single"/>
        </w:rPr>
      </w:pPr>
      <w:r>
        <w:rPr>
          <w:rFonts w:hint="eastAsia" w:ascii="宋体" w:hAnsi="宋体"/>
          <w:color w:val="auto"/>
          <w:szCs w:val="21"/>
          <w:highlight w:val="none"/>
        </w:rPr>
        <w:t>1.2.2服务内容</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0C5AA43">
      <w:pPr>
        <w:spacing w:line="360" w:lineRule="auto"/>
        <w:ind w:firstLine="435"/>
        <w:rPr>
          <w:rFonts w:ascii="宋体" w:hAnsi="宋体"/>
          <w:color w:val="auto"/>
          <w:szCs w:val="21"/>
          <w:highlight w:val="none"/>
        </w:rPr>
      </w:pPr>
      <w:r>
        <w:rPr>
          <w:rFonts w:hint="eastAsia" w:ascii="宋体" w:hAnsi="宋体"/>
          <w:color w:val="auto"/>
          <w:szCs w:val="21"/>
          <w:highlight w:val="none"/>
        </w:rPr>
        <w:t>1.2.3服务质量：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0752982">
      <w:pPr>
        <w:spacing w:line="360" w:lineRule="auto"/>
        <w:ind w:firstLine="437"/>
        <w:outlineLvl w:val="3"/>
        <w:rPr>
          <w:rFonts w:ascii="宋体" w:hAnsi="宋体"/>
          <w:b/>
          <w:bCs/>
          <w:color w:val="auto"/>
          <w:szCs w:val="21"/>
          <w:highlight w:val="none"/>
          <w:lang w:val="zh-CN"/>
        </w:rPr>
      </w:pPr>
      <w:bookmarkStart w:id="78" w:name="_Toc21631"/>
      <w:bookmarkEnd w:id="78"/>
      <w:bookmarkStart w:id="79" w:name="_Toc21551"/>
      <w:bookmarkEnd w:id="79"/>
      <w:bookmarkStart w:id="80" w:name="_Toc23292"/>
      <w:bookmarkEnd w:id="80"/>
      <w:r>
        <w:rPr>
          <w:rFonts w:hint="eastAsia" w:ascii="宋体" w:hAnsi="宋体"/>
          <w:b/>
          <w:bCs/>
          <w:color w:val="auto"/>
          <w:szCs w:val="21"/>
          <w:highlight w:val="none"/>
          <w:lang w:val="zh-CN"/>
        </w:rPr>
        <w:t>1.</w:t>
      </w:r>
      <w:r>
        <w:rPr>
          <w:rFonts w:ascii="宋体" w:hAnsi="宋体"/>
          <w:b/>
          <w:bCs/>
          <w:color w:val="auto"/>
          <w:szCs w:val="21"/>
          <w:highlight w:val="none"/>
          <w:lang w:val="zh-CN"/>
        </w:rPr>
        <w:t xml:space="preserve">3 </w:t>
      </w:r>
      <w:r>
        <w:rPr>
          <w:rFonts w:hint="eastAsia" w:ascii="宋体" w:hAnsi="宋体"/>
          <w:b/>
          <w:bCs/>
          <w:color w:val="auto"/>
          <w:szCs w:val="21"/>
          <w:highlight w:val="none"/>
          <w:lang w:val="zh-CN"/>
        </w:rPr>
        <w:t>价款</w:t>
      </w:r>
    </w:p>
    <w:p w14:paraId="270D2F92">
      <w:pPr>
        <w:spacing w:line="360" w:lineRule="auto"/>
        <w:ind w:firstLine="435"/>
        <w:rPr>
          <w:rFonts w:ascii="宋体" w:hAnsi="宋体"/>
          <w:color w:val="auto"/>
          <w:szCs w:val="21"/>
          <w:highlight w:val="none"/>
          <w:u w:val="single"/>
        </w:rPr>
      </w:pPr>
      <w:r>
        <w:rPr>
          <w:rFonts w:ascii="宋体" w:hAnsi="宋体"/>
          <w:color w:val="auto"/>
          <w:szCs w:val="21"/>
          <w:highlight w:val="none"/>
        </w:rPr>
        <w:t>本合同分项价格：</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7"/>
        <w:gridCol w:w="12"/>
        <w:gridCol w:w="3232"/>
        <w:gridCol w:w="12"/>
      </w:tblGrid>
      <w:tr w14:paraId="56AB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vAlign w:val="center"/>
          </w:tcPr>
          <w:p w14:paraId="19397026">
            <w:pPr>
              <w:jc w:val="center"/>
              <w:rPr>
                <w:rFonts w:ascii="宋体" w:hAnsi="宋体"/>
                <w:color w:val="auto"/>
                <w:szCs w:val="21"/>
                <w:highlight w:val="none"/>
                <w:lang w:val="zh-CN"/>
              </w:rPr>
            </w:pPr>
            <w:r>
              <w:rPr>
                <w:rFonts w:ascii="宋体" w:hAnsi="宋体"/>
                <w:color w:val="auto"/>
                <w:szCs w:val="21"/>
                <w:highlight w:val="none"/>
                <w:lang w:val="zh-CN"/>
              </w:rPr>
              <w:t>序号</w:t>
            </w:r>
          </w:p>
        </w:tc>
        <w:tc>
          <w:tcPr>
            <w:tcW w:w="4317" w:type="dxa"/>
            <w:vAlign w:val="center"/>
          </w:tcPr>
          <w:p w14:paraId="6A76CA60">
            <w:pPr>
              <w:ind w:firstLine="200"/>
              <w:jc w:val="center"/>
              <w:rPr>
                <w:rFonts w:ascii="宋体" w:hAnsi="宋体"/>
                <w:color w:val="auto"/>
                <w:szCs w:val="21"/>
                <w:highlight w:val="none"/>
              </w:rPr>
            </w:pPr>
            <w:r>
              <w:rPr>
                <w:rFonts w:hint="eastAsia" w:ascii="宋体" w:hAnsi="宋体"/>
                <w:color w:val="auto"/>
                <w:szCs w:val="21"/>
                <w:highlight w:val="none"/>
              </w:rPr>
              <w:t>分项名称</w:t>
            </w:r>
          </w:p>
        </w:tc>
        <w:tc>
          <w:tcPr>
            <w:tcW w:w="3237" w:type="dxa"/>
            <w:gridSpan w:val="2"/>
            <w:vAlign w:val="center"/>
          </w:tcPr>
          <w:p w14:paraId="654D2693">
            <w:pPr>
              <w:jc w:val="center"/>
              <w:rPr>
                <w:rFonts w:ascii="宋体" w:hAnsi="宋体"/>
                <w:color w:val="auto"/>
                <w:szCs w:val="21"/>
                <w:highlight w:val="none"/>
              </w:rPr>
            </w:pPr>
            <w:r>
              <w:rPr>
                <w:rFonts w:ascii="宋体" w:hAnsi="宋体"/>
                <w:color w:val="auto"/>
                <w:szCs w:val="21"/>
                <w:highlight w:val="none"/>
              </w:rPr>
              <w:t>分项价格</w:t>
            </w:r>
          </w:p>
        </w:tc>
      </w:tr>
      <w:tr w14:paraId="5520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7F06690F">
            <w:pPr>
              <w:jc w:val="center"/>
              <w:rPr>
                <w:rFonts w:ascii="宋体" w:hAnsi="宋体"/>
                <w:color w:val="auto"/>
                <w:szCs w:val="21"/>
                <w:highlight w:val="none"/>
                <w:lang w:val="zh-CN"/>
              </w:rPr>
            </w:pPr>
            <w:r>
              <w:rPr>
                <w:rFonts w:hint="eastAsia" w:ascii="宋体" w:hAnsi="宋体"/>
                <w:color w:val="auto"/>
                <w:szCs w:val="21"/>
                <w:highlight w:val="none"/>
                <w:lang w:val="zh-CN"/>
              </w:rPr>
              <w:t>1</w:t>
            </w:r>
          </w:p>
        </w:tc>
        <w:tc>
          <w:tcPr>
            <w:tcW w:w="4317" w:type="dxa"/>
            <w:vAlign w:val="center"/>
          </w:tcPr>
          <w:p w14:paraId="292416B4">
            <w:pPr>
              <w:ind w:firstLine="200"/>
              <w:jc w:val="center"/>
              <w:rPr>
                <w:rFonts w:ascii="宋体" w:hAnsi="宋体"/>
                <w:color w:val="auto"/>
                <w:szCs w:val="21"/>
                <w:highlight w:val="none"/>
              </w:rPr>
            </w:pPr>
          </w:p>
        </w:tc>
        <w:tc>
          <w:tcPr>
            <w:tcW w:w="3237" w:type="dxa"/>
            <w:gridSpan w:val="2"/>
            <w:vAlign w:val="center"/>
          </w:tcPr>
          <w:p w14:paraId="23CE57DA">
            <w:pPr>
              <w:ind w:firstLine="200"/>
              <w:jc w:val="center"/>
              <w:rPr>
                <w:rFonts w:ascii="宋体" w:hAnsi="宋体"/>
                <w:color w:val="auto"/>
                <w:szCs w:val="21"/>
                <w:highlight w:val="none"/>
              </w:rPr>
            </w:pPr>
          </w:p>
        </w:tc>
      </w:tr>
      <w:tr w14:paraId="2D45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3EE975A8">
            <w:pPr>
              <w:jc w:val="center"/>
              <w:rPr>
                <w:rFonts w:ascii="宋体" w:hAnsi="宋体"/>
                <w:color w:val="auto"/>
                <w:szCs w:val="21"/>
                <w:highlight w:val="none"/>
                <w:lang w:val="zh-CN"/>
              </w:rPr>
            </w:pPr>
            <w:r>
              <w:rPr>
                <w:rFonts w:hint="eastAsia" w:ascii="宋体" w:hAnsi="宋体"/>
                <w:color w:val="auto"/>
                <w:szCs w:val="21"/>
                <w:highlight w:val="none"/>
                <w:lang w:val="zh-CN"/>
              </w:rPr>
              <w:t>2</w:t>
            </w:r>
          </w:p>
        </w:tc>
        <w:tc>
          <w:tcPr>
            <w:tcW w:w="4317" w:type="dxa"/>
            <w:vAlign w:val="center"/>
          </w:tcPr>
          <w:p w14:paraId="19657BF4">
            <w:pPr>
              <w:ind w:firstLine="200"/>
              <w:jc w:val="center"/>
              <w:rPr>
                <w:rFonts w:ascii="宋体" w:hAnsi="宋体"/>
                <w:color w:val="auto"/>
                <w:szCs w:val="21"/>
                <w:highlight w:val="none"/>
              </w:rPr>
            </w:pPr>
          </w:p>
        </w:tc>
        <w:tc>
          <w:tcPr>
            <w:tcW w:w="3237" w:type="dxa"/>
            <w:gridSpan w:val="2"/>
            <w:vAlign w:val="center"/>
          </w:tcPr>
          <w:p w14:paraId="6B87D29D">
            <w:pPr>
              <w:ind w:firstLine="200"/>
              <w:jc w:val="center"/>
              <w:rPr>
                <w:rFonts w:ascii="宋体" w:hAnsi="宋体"/>
                <w:color w:val="auto"/>
                <w:szCs w:val="21"/>
                <w:highlight w:val="none"/>
              </w:rPr>
            </w:pPr>
          </w:p>
        </w:tc>
      </w:tr>
      <w:tr w14:paraId="0968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59B89EE0">
            <w:pPr>
              <w:jc w:val="center"/>
              <w:rPr>
                <w:rFonts w:ascii="宋体" w:hAnsi="宋体"/>
                <w:color w:val="auto"/>
                <w:szCs w:val="21"/>
                <w:highlight w:val="none"/>
                <w:lang w:val="zh-CN"/>
              </w:rPr>
            </w:pPr>
            <w:r>
              <w:rPr>
                <w:rFonts w:ascii="宋体" w:hAnsi="宋体"/>
                <w:color w:val="auto"/>
                <w:szCs w:val="21"/>
                <w:highlight w:val="none"/>
                <w:lang w:val="zh-CN"/>
              </w:rPr>
              <w:t>3</w:t>
            </w:r>
          </w:p>
        </w:tc>
        <w:tc>
          <w:tcPr>
            <w:tcW w:w="4317" w:type="dxa"/>
            <w:vAlign w:val="center"/>
          </w:tcPr>
          <w:p w14:paraId="6AED362F">
            <w:pPr>
              <w:ind w:firstLine="200"/>
              <w:jc w:val="center"/>
              <w:rPr>
                <w:rFonts w:ascii="宋体" w:hAnsi="宋体"/>
                <w:color w:val="auto"/>
                <w:szCs w:val="21"/>
                <w:highlight w:val="none"/>
              </w:rPr>
            </w:pPr>
          </w:p>
        </w:tc>
        <w:tc>
          <w:tcPr>
            <w:tcW w:w="3237" w:type="dxa"/>
            <w:gridSpan w:val="2"/>
            <w:vAlign w:val="center"/>
          </w:tcPr>
          <w:p w14:paraId="6B7561EF">
            <w:pPr>
              <w:ind w:firstLine="200"/>
              <w:jc w:val="center"/>
              <w:rPr>
                <w:rFonts w:ascii="宋体" w:hAnsi="宋体"/>
                <w:color w:val="auto"/>
                <w:szCs w:val="21"/>
                <w:highlight w:val="none"/>
              </w:rPr>
            </w:pPr>
          </w:p>
        </w:tc>
      </w:tr>
      <w:tr w14:paraId="41D1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392B687B">
            <w:pPr>
              <w:jc w:val="center"/>
              <w:rPr>
                <w:rFonts w:ascii="宋体" w:hAnsi="宋体"/>
                <w:color w:val="auto"/>
                <w:szCs w:val="21"/>
                <w:highlight w:val="none"/>
                <w:lang w:val="zh-CN"/>
              </w:rPr>
            </w:pPr>
            <w:r>
              <w:rPr>
                <w:rFonts w:hint="eastAsia" w:ascii="宋体" w:hAnsi="宋体"/>
                <w:color w:val="auto"/>
                <w:szCs w:val="21"/>
                <w:highlight w:val="none"/>
                <w:lang w:val="zh-CN"/>
              </w:rPr>
              <w:t>……</w:t>
            </w:r>
          </w:p>
        </w:tc>
        <w:tc>
          <w:tcPr>
            <w:tcW w:w="4317" w:type="dxa"/>
            <w:vAlign w:val="center"/>
          </w:tcPr>
          <w:p w14:paraId="57A933BF">
            <w:pPr>
              <w:ind w:firstLine="200"/>
              <w:jc w:val="center"/>
              <w:rPr>
                <w:rFonts w:ascii="宋体" w:hAnsi="宋体"/>
                <w:color w:val="auto"/>
                <w:szCs w:val="21"/>
                <w:highlight w:val="none"/>
              </w:rPr>
            </w:pPr>
          </w:p>
        </w:tc>
        <w:tc>
          <w:tcPr>
            <w:tcW w:w="3237" w:type="dxa"/>
            <w:gridSpan w:val="2"/>
            <w:vAlign w:val="center"/>
          </w:tcPr>
          <w:p w14:paraId="529B0F5F">
            <w:pPr>
              <w:ind w:firstLine="200"/>
              <w:jc w:val="center"/>
              <w:rPr>
                <w:rFonts w:ascii="宋体" w:hAnsi="宋体"/>
                <w:color w:val="auto"/>
                <w:szCs w:val="21"/>
                <w:highlight w:val="none"/>
              </w:rPr>
            </w:pPr>
          </w:p>
        </w:tc>
      </w:tr>
      <w:tr w14:paraId="5BE0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2F8F84E">
            <w:pPr>
              <w:ind w:firstLine="200"/>
              <w:jc w:val="center"/>
              <w:rPr>
                <w:rFonts w:ascii="宋体" w:hAnsi="宋体"/>
                <w:color w:val="auto"/>
                <w:szCs w:val="21"/>
                <w:highlight w:val="none"/>
              </w:rPr>
            </w:pPr>
            <w:r>
              <w:rPr>
                <w:rFonts w:hint="eastAsia" w:ascii="宋体" w:hAnsi="宋体"/>
                <w:color w:val="auto"/>
                <w:szCs w:val="21"/>
                <w:highlight w:val="none"/>
              </w:rPr>
              <w:t>总价</w:t>
            </w:r>
          </w:p>
        </w:tc>
        <w:tc>
          <w:tcPr>
            <w:tcW w:w="3237" w:type="dxa"/>
            <w:gridSpan w:val="2"/>
            <w:vAlign w:val="center"/>
          </w:tcPr>
          <w:p w14:paraId="4A931283">
            <w:pPr>
              <w:ind w:firstLine="200"/>
              <w:jc w:val="center"/>
              <w:rPr>
                <w:rFonts w:ascii="宋体" w:hAnsi="宋体"/>
                <w:color w:val="auto"/>
                <w:szCs w:val="21"/>
                <w:highlight w:val="none"/>
              </w:rPr>
            </w:pPr>
          </w:p>
        </w:tc>
      </w:tr>
    </w:tbl>
    <w:p w14:paraId="37B72754">
      <w:pPr>
        <w:spacing w:line="360" w:lineRule="auto"/>
        <w:ind w:firstLine="437"/>
        <w:outlineLvl w:val="3"/>
        <w:rPr>
          <w:rFonts w:ascii="宋体" w:hAnsi="宋体"/>
          <w:b/>
          <w:bCs/>
          <w:color w:val="auto"/>
          <w:szCs w:val="21"/>
          <w:highlight w:val="none"/>
          <w:lang w:val="zh-CN"/>
        </w:rPr>
      </w:pPr>
      <w:bookmarkStart w:id="81" w:name="_Toc1814"/>
      <w:bookmarkEnd w:id="81"/>
      <w:bookmarkStart w:id="82" w:name="_Toc10340"/>
      <w:bookmarkEnd w:id="82"/>
      <w:bookmarkStart w:id="83" w:name="_Toc22618"/>
      <w:bookmarkEnd w:id="83"/>
      <w:r>
        <w:rPr>
          <w:rFonts w:hint="eastAsia" w:ascii="宋体" w:hAnsi="宋体"/>
          <w:b/>
          <w:bCs/>
          <w:color w:val="auto"/>
          <w:szCs w:val="21"/>
          <w:highlight w:val="none"/>
          <w:lang w:val="zh-CN"/>
        </w:rPr>
        <w:t>1.</w:t>
      </w:r>
      <w:r>
        <w:rPr>
          <w:rFonts w:ascii="宋体" w:hAnsi="宋体"/>
          <w:b/>
          <w:bCs/>
          <w:color w:val="auto"/>
          <w:szCs w:val="21"/>
          <w:highlight w:val="none"/>
          <w:lang w:val="zh-CN"/>
        </w:rPr>
        <w:t>4 付款方式和发票开具方式</w:t>
      </w:r>
    </w:p>
    <w:p w14:paraId="2D9E0B34">
      <w:pPr>
        <w:pStyle w:val="38"/>
        <w:spacing w:before="0" w:beforeAutospacing="0" w:after="0" w:afterAutospacing="0" w:line="580" w:lineRule="exact"/>
        <w:ind w:firstLine="420" w:firstLineChars="200"/>
        <w:jc w:val="both"/>
        <w:rPr>
          <w:rFonts w:cs="Times New Roman"/>
          <w:color w:val="auto"/>
          <w:sz w:val="21"/>
          <w:szCs w:val="21"/>
          <w:highlight w:val="none"/>
        </w:rPr>
      </w:pPr>
      <w:r>
        <w:rPr>
          <w:rFonts w:hint="eastAsia" w:cs="Times New Roman"/>
          <w:color w:val="auto"/>
          <w:sz w:val="21"/>
          <w:szCs w:val="21"/>
          <w:highlight w:val="none"/>
        </w:rPr>
        <w:t>1.4.1</w:t>
      </w:r>
      <w:r>
        <w:rPr>
          <w:rFonts w:cs="Times New Roman"/>
          <w:color w:val="auto"/>
          <w:sz w:val="21"/>
          <w:szCs w:val="21"/>
          <w:highlight w:val="none"/>
        </w:rPr>
        <w:t>付款方式：</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14:paraId="7007EA43">
      <w:pPr>
        <w:spacing w:line="360" w:lineRule="auto"/>
        <w:ind w:firstLine="435"/>
        <w:rPr>
          <w:rFonts w:ascii="宋体" w:hAnsi="宋体"/>
          <w:color w:val="auto"/>
          <w:szCs w:val="21"/>
          <w:highlight w:val="none"/>
        </w:rPr>
      </w:pPr>
      <w:r>
        <w:rPr>
          <w:rFonts w:hint="eastAsia" w:ascii="宋体" w:hAnsi="宋体"/>
          <w:color w:val="auto"/>
          <w:szCs w:val="21"/>
          <w:highlight w:val="none"/>
        </w:rPr>
        <w:t>1.4.2发票开具方式：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D9E318C">
      <w:pPr>
        <w:spacing w:line="360" w:lineRule="auto"/>
        <w:ind w:firstLine="437"/>
        <w:outlineLvl w:val="3"/>
        <w:rPr>
          <w:rFonts w:ascii="宋体" w:hAnsi="宋体"/>
          <w:b/>
          <w:bCs/>
          <w:color w:val="auto"/>
          <w:szCs w:val="21"/>
          <w:highlight w:val="none"/>
          <w:lang w:val="zh-CN"/>
        </w:rPr>
      </w:pPr>
      <w:bookmarkStart w:id="84" w:name="_Toc19304"/>
      <w:bookmarkEnd w:id="84"/>
      <w:bookmarkStart w:id="85" w:name="_Toc2846"/>
      <w:bookmarkEnd w:id="85"/>
      <w:bookmarkStart w:id="86" w:name="_Toc32071"/>
      <w:bookmarkEnd w:id="86"/>
      <w:r>
        <w:rPr>
          <w:rFonts w:hint="eastAsia" w:ascii="宋体" w:hAnsi="宋体"/>
          <w:b/>
          <w:bCs/>
          <w:color w:val="auto"/>
          <w:szCs w:val="21"/>
          <w:highlight w:val="none"/>
          <w:lang w:val="zh-CN"/>
        </w:rPr>
        <w:t>1.</w:t>
      </w:r>
      <w:r>
        <w:rPr>
          <w:rFonts w:ascii="宋体" w:hAnsi="宋体"/>
          <w:b/>
          <w:bCs/>
          <w:color w:val="auto"/>
          <w:szCs w:val="21"/>
          <w:highlight w:val="none"/>
          <w:lang w:val="zh-CN"/>
        </w:rPr>
        <w:t xml:space="preserve">5 </w:t>
      </w:r>
      <w:r>
        <w:rPr>
          <w:rFonts w:hint="eastAsia" w:ascii="宋体" w:hAnsi="宋体"/>
          <w:b/>
          <w:bCs/>
          <w:color w:val="auto"/>
          <w:szCs w:val="21"/>
          <w:highlight w:val="none"/>
          <w:lang w:val="zh-CN"/>
        </w:rPr>
        <w:t>服务</w:t>
      </w:r>
      <w:r>
        <w:rPr>
          <w:rFonts w:ascii="宋体" w:hAnsi="宋体"/>
          <w:b/>
          <w:bCs/>
          <w:color w:val="auto"/>
          <w:szCs w:val="21"/>
          <w:highlight w:val="none"/>
          <w:lang w:val="zh-CN"/>
        </w:rPr>
        <w:t>期限</w:t>
      </w:r>
      <w:r>
        <w:rPr>
          <w:rFonts w:hint="eastAsia" w:ascii="宋体" w:hAnsi="宋体"/>
          <w:b/>
          <w:bCs/>
          <w:color w:val="auto"/>
          <w:szCs w:val="21"/>
          <w:highlight w:val="none"/>
          <w:lang w:val="zh-CN"/>
        </w:rPr>
        <w:t>、地点和方式</w:t>
      </w:r>
    </w:p>
    <w:p w14:paraId="5B25D4BB">
      <w:pPr>
        <w:spacing w:line="360" w:lineRule="auto"/>
        <w:ind w:firstLine="435"/>
        <w:rPr>
          <w:rFonts w:ascii="宋体" w:hAnsi="宋体"/>
          <w:color w:val="auto"/>
          <w:szCs w:val="21"/>
          <w:highlight w:val="none"/>
          <w:u w:val="single"/>
        </w:rPr>
      </w:pPr>
      <w:r>
        <w:rPr>
          <w:rFonts w:hint="eastAsia" w:ascii="宋体" w:hAnsi="宋体"/>
          <w:color w:val="auto"/>
          <w:szCs w:val="21"/>
          <w:highlight w:val="none"/>
        </w:rPr>
        <w:t>1.5.1服务期限</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9FFA9B8">
      <w:pPr>
        <w:spacing w:line="360" w:lineRule="auto"/>
        <w:ind w:firstLine="435"/>
        <w:rPr>
          <w:rFonts w:ascii="宋体" w:hAnsi="宋体"/>
          <w:color w:val="auto"/>
          <w:szCs w:val="21"/>
          <w:highlight w:val="none"/>
        </w:rPr>
      </w:pPr>
      <w:r>
        <w:rPr>
          <w:rFonts w:hint="eastAsia" w:ascii="宋体" w:hAnsi="宋体"/>
          <w:color w:val="auto"/>
          <w:szCs w:val="21"/>
          <w:highlight w:val="none"/>
        </w:rPr>
        <w:t>1.5.2服务地点</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89FD306">
      <w:pPr>
        <w:spacing w:line="360" w:lineRule="auto"/>
        <w:ind w:firstLine="435"/>
        <w:rPr>
          <w:rFonts w:ascii="宋体" w:hAnsi="宋体"/>
          <w:color w:val="auto"/>
          <w:szCs w:val="21"/>
          <w:highlight w:val="none"/>
        </w:rPr>
      </w:pPr>
      <w:r>
        <w:rPr>
          <w:rFonts w:hint="eastAsia" w:ascii="宋体" w:hAnsi="宋体"/>
          <w:color w:val="auto"/>
          <w:szCs w:val="21"/>
          <w:highlight w:val="none"/>
        </w:rPr>
        <w:t>1.5.3服务方式：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723A0EE">
      <w:pPr>
        <w:spacing w:line="360" w:lineRule="auto"/>
        <w:ind w:firstLine="437"/>
        <w:outlineLvl w:val="3"/>
        <w:rPr>
          <w:rFonts w:ascii="宋体" w:hAnsi="宋体"/>
          <w:b/>
          <w:bCs/>
          <w:color w:val="auto"/>
          <w:szCs w:val="21"/>
          <w:highlight w:val="none"/>
          <w:lang w:val="zh-CN"/>
        </w:rPr>
      </w:pPr>
      <w:bookmarkStart w:id="87" w:name="_Toc21423"/>
      <w:bookmarkEnd w:id="87"/>
      <w:bookmarkStart w:id="88" w:name="_Toc27250"/>
      <w:bookmarkEnd w:id="88"/>
      <w:bookmarkStart w:id="89" w:name="_Toc19554"/>
      <w:bookmarkEnd w:id="89"/>
      <w:r>
        <w:rPr>
          <w:rFonts w:hint="eastAsia" w:ascii="宋体" w:hAnsi="宋体"/>
          <w:b/>
          <w:bCs/>
          <w:color w:val="auto"/>
          <w:szCs w:val="21"/>
          <w:highlight w:val="none"/>
          <w:lang w:val="zh-CN"/>
        </w:rPr>
        <w:t>1.6 违约责任</w:t>
      </w:r>
    </w:p>
    <w:p w14:paraId="2A983F6B">
      <w:pPr>
        <w:spacing w:line="360" w:lineRule="auto"/>
        <w:ind w:firstLine="435"/>
        <w:rPr>
          <w:rFonts w:ascii="宋体" w:hAnsi="宋体"/>
          <w:color w:val="auto"/>
          <w:szCs w:val="21"/>
          <w:highlight w:val="none"/>
        </w:rPr>
      </w:pPr>
      <w:r>
        <w:rPr>
          <w:rFonts w:hint="eastAsia" w:ascii="宋体" w:hAnsi="宋体"/>
          <w:color w:val="auto"/>
          <w:szCs w:val="21"/>
          <w:highlight w:val="none"/>
        </w:rPr>
        <w:t>1.6.1</w:t>
      </w:r>
      <w:r>
        <w:rPr>
          <w:rFonts w:ascii="宋体" w:hAnsi="宋体"/>
          <w:color w:val="auto"/>
          <w:szCs w:val="21"/>
          <w:highlight w:val="none"/>
        </w:rPr>
        <w:t>除不可抗力外，如果乙方没有按照本合同约定的期限</w:t>
      </w:r>
      <w:r>
        <w:rPr>
          <w:rFonts w:hint="eastAsia" w:ascii="宋体" w:hAnsi="宋体"/>
          <w:color w:val="auto"/>
          <w:szCs w:val="21"/>
          <w:highlight w:val="none"/>
        </w:rPr>
        <w:t>、</w:t>
      </w:r>
      <w:r>
        <w:rPr>
          <w:rFonts w:ascii="宋体" w:hAnsi="宋体"/>
          <w:color w:val="auto"/>
          <w:szCs w:val="21"/>
          <w:highlight w:val="none"/>
        </w:rPr>
        <w:t>地点和方式</w:t>
      </w:r>
      <w:r>
        <w:rPr>
          <w:rFonts w:hint="eastAsia" w:ascii="宋体" w:hAnsi="宋体"/>
          <w:color w:val="auto"/>
          <w:szCs w:val="21"/>
          <w:highlight w:val="none"/>
        </w:rPr>
        <w:t>履行</w:t>
      </w:r>
      <w:r>
        <w:rPr>
          <w:rFonts w:ascii="宋体" w:hAnsi="宋体"/>
          <w:color w:val="auto"/>
          <w:szCs w:val="21"/>
          <w:highlight w:val="none"/>
        </w:rPr>
        <w:t>，那么甲方可要求乙方支付违约金</w:t>
      </w:r>
      <w:r>
        <w:rPr>
          <w:rFonts w:hint="eastAsia" w:ascii="宋体" w:hAnsi="宋体"/>
          <w:color w:val="auto"/>
          <w:szCs w:val="21"/>
          <w:highlight w:val="none"/>
        </w:rPr>
        <w:t>，</w:t>
      </w:r>
      <w:r>
        <w:rPr>
          <w:rFonts w:ascii="宋体" w:hAnsi="宋体"/>
          <w:color w:val="auto"/>
          <w:szCs w:val="21"/>
          <w:highlight w:val="none"/>
        </w:rPr>
        <w:t>违约金按每迟延</w:t>
      </w:r>
      <w:r>
        <w:rPr>
          <w:rFonts w:hint="eastAsia" w:ascii="宋体" w:hAnsi="宋体"/>
          <w:color w:val="auto"/>
          <w:szCs w:val="21"/>
          <w:highlight w:val="none"/>
        </w:rPr>
        <w:t>履行</w:t>
      </w:r>
      <w:r>
        <w:rPr>
          <w:rFonts w:ascii="宋体" w:hAnsi="宋体"/>
          <w:color w:val="auto"/>
          <w:szCs w:val="21"/>
          <w:highlight w:val="none"/>
        </w:rPr>
        <w:t>一日的应提供而未</w:t>
      </w:r>
      <w:r>
        <w:rPr>
          <w:rFonts w:hint="eastAsia" w:ascii="宋体" w:hAnsi="宋体"/>
          <w:color w:val="auto"/>
          <w:szCs w:val="21"/>
          <w:highlight w:val="none"/>
        </w:rPr>
        <w:t>提供</w:t>
      </w:r>
      <w:r>
        <w:rPr>
          <w:rFonts w:ascii="宋体" w:hAnsi="宋体"/>
          <w:color w:val="auto"/>
          <w:szCs w:val="21"/>
          <w:highlight w:val="none"/>
        </w:rPr>
        <w:t>服务价格的</w:t>
      </w:r>
      <w:r>
        <w:rPr>
          <w:rFonts w:hint="eastAsia" w:ascii="宋体" w:hAnsi="宋体"/>
          <w:color w:val="auto"/>
          <w:szCs w:val="21"/>
          <w:highlight w:val="none"/>
          <w:u w:val="single"/>
        </w:rPr>
        <w:t xml:space="preserve">    </w:t>
      </w:r>
      <w:r>
        <w:rPr>
          <w:rFonts w:ascii="宋体" w:hAnsi="宋体"/>
          <w:color w:val="auto"/>
          <w:szCs w:val="21"/>
          <w:highlight w:val="none"/>
        </w:rPr>
        <w:t>%计算</w:t>
      </w:r>
      <w:r>
        <w:rPr>
          <w:rFonts w:hint="eastAsia" w:ascii="宋体" w:hAnsi="宋体"/>
          <w:color w:val="auto"/>
          <w:szCs w:val="21"/>
          <w:highlight w:val="none"/>
        </w:rPr>
        <w:t>，</w:t>
      </w:r>
      <w:r>
        <w:rPr>
          <w:rFonts w:ascii="宋体" w:hAnsi="宋体"/>
          <w:color w:val="auto"/>
          <w:szCs w:val="21"/>
          <w:highlight w:val="none"/>
        </w:rPr>
        <w:t>最高限额为</w:t>
      </w:r>
      <w:r>
        <w:rPr>
          <w:rFonts w:hint="eastAsia" w:ascii="宋体" w:hAnsi="宋体"/>
          <w:color w:val="auto"/>
          <w:szCs w:val="21"/>
          <w:highlight w:val="none"/>
        </w:rPr>
        <w:t>本</w:t>
      </w:r>
      <w:r>
        <w:rPr>
          <w:rFonts w:ascii="宋体" w:hAnsi="宋体"/>
          <w:color w:val="auto"/>
          <w:szCs w:val="21"/>
          <w:highlight w:val="none"/>
        </w:rPr>
        <w:t>合同总价的</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迟延</w:t>
      </w:r>
      <w:r>
        <w:rPr>
          <w:rFonts w:hint="eastAsia" w:ascii="宋体" w:hAnsi="宋体"/>
          <w:color w:val="auto"/>
          <w:szCs w:val="21"/>
          <w:highlight w:val="none"/>
        </w:rPr>
        <w:t>履行</w:t>
      </w:r>
      <w:r>
        <w:rPr>
          <w:rFonts w:ascii="宋体" w:hAnsi="宋体"/>
          <w:color w:val="auto"/>
          <w:szCs w:val="21"/>
          <w:highlight w:val="none"/>
        </w:rPr>
        <w:t>的违约金计算数额达到前述最高限额之日起</w:t>
      </w:r>
      <w:r>
        <w:rPr>
          <w:rFonts w:hint="eastAsia" w:ascii="宋体" w:hAnsi="宋体"/>
          <w:color w:val="auto"/>
          <w:szCs w:val="21"/>
          <w:highlight w:val="none"/>
        </w:rPr>
        <w:t>，</w:t>
      </w:r>
      <w:r>
        <w:rPr>
          <w:rFonts w:ascii="宋体" w:hAnsi="宋体"/>
          <w:color w:val="auto"/>
          <w:szCs w:val="21"/>
          <w:highlight w:val="none"/>
        </w:rPr>
        <w:t>甲方有权在要求乙方支付违约金的同时</w:t>
      </w:r>
      <w:r>
        <w:rPr>
          <w:rFonts w:hint="eastAsia" w:ascii="宋体" w:hAnsi="宋体"/>
          <w:color w:val="auto"/>
          <w:szCs w:val="21"/>
          <w:highlight w:val="none"/>
        </w:rPr>
        <w:t>，书面通知乙方</w:t>
      </w:r>
      <w:r>
        <w:rPr>
          <w:rFonts w:ascii="宋体" w:hAnsi="宋体"/>
          <w:color w:val="auto"/>
          <w:szCs w:val="21"/>
          <w:highlight w:val="none"/>
        </w:rPr>
        <w:t>解除本合同</w:t>
      </w:r>
      <w:r>
        <w:rPr>
          <w:rFonts w:hint="eastAsia" w:ascii="宋体" w:hAnsi="宋体"/>
          <w:color w:val="auto"/>
          <w:szCs w:val="21"/>
          <w:highlight w:val="none"/>
        </w:rPr>
        <w:t>；</w:t>
      </w:r>
    </w:p>
    <w:p w14:paraId="31C22BE8">
      <w:pPr>
        <w:spacing w:line="360" w:lineRule="auto"/>
        <w:ind w:firstLine="435"/>
        <w:rPr>
          <w:rFonts w:ascii="宋体" w:hAnsi="宋体"/>
          <w:color w:val="auto"/>
          <w:szCs w:val="21"/>
          <w:highlight w:val="none"/>
        </w:rPr>
      </w:pPr>
      <w:r>
        <w:rPr>
          <w:rFonts w:hint="eastAsia" w:ascii="宋体" w:hAnsi="宋体"/>
          <w:color w:val="auto"/>
          <w:szCs w:val="21"/>
          <w:highlight w:val="none"/>
        </w:rPr>
        <w:t>1.6.2</w:t>
      </w:r>
      <w:r>
        <w:rPr>
          <w:rFonts w:ascii="宋体" w:hAnsi="宋体"/>
          <w:color w:val="auto"/>
          <w:szCs w:val="21"/>
          <w:highlight w:val="none"/>
        </w:rPr>
        <w:t>除不可抗力外，如果甲方没有按照本合同约定的付款方式付款，那么乙方可要求甲方支付违约金</w:t>
      </w:r>
      <w:r>
        <w:rPr>
          <w:rFonts w:hint="eastAsia" w:ascii="宋体" w:hAnsi="宋体"/>
          <w:color w:val="auto"/>
          <w:szCs w:val="21"/>
          <w:highlight w:val="none"/>
        </w:rPr>
        <w:t>，</w:t>
      </w:r>
      <w:r>
        <w:rPr>
          <w:rFonts w:ascii="宋体" w:hAnsi="宋体"/>
          <w:color w:val="auto"/>
          <w:szCs w:val="21"/>
          <w:highlight w:val="none"/>
        </w:rPr>
        <w:t>违约金按每迟延</w:t>
      </w:r>
      <w:r>
        <w:rPr>
          <w:rFonts w:hint="eastAsia" w:ascii="宋体" w:hAnsi="宋体"/>
          <w:color w:val="auto"/>
          <w:szCs w:val="21"/>
          <w:highlight w:val="none"/>
        </w:rPr>
        <w:t>付款</w:t>
      </w:r>
      <w:r>
        <w:rPr>
          <w:rFonts w:ascii="宋体" w:hAnsi="宋体"/>
          <w:color w:val="auto"/>
          <w:szCs w:val="21"/>
          <w:highlight w:val="none"/>
        </w:rPr>
        <w:t>一日的应付而未付款的</w:t>
      </w:r>
      <w:r>
        <w:rPr>
          <w:rFonts w:hint="eastAsia" w:ascii="宋体" w:hAnsi="宋体"/>
          <w:color w:val="auto"/>
          <w:szCs w:val="21"/>
          <w:highlight w:val="none"/>
          <w:u w:val="single"/>
        </w:rPr>
        <w:t xml:space="preserve">    </w:t>
      </w:r>
      <w:r>
        <w:rPr>
          <w:rFonts w:ascii="宋体" w:hAnsi="宋体"/>
          <w:color w:val="auto"/>
          <w:szCs w:val="21"/>
          <w:highlight w:val="none"/>
        </w:rPr>
        <w:t>%计算</w:t>
      </w:r>
      <w:r>
        <w:rPr>
          <w:rFonts w:hint="eastAsia" w:ascii="宋体" w:hAnsi="宋体"/>
          <w:color w:val="auto"/>
          <w:szCs w:val="21"/>
          <w:highlight w:val="none"/>
        </w:rPr>
        <w:t>，</w:t>
      </w:r>
      <w:r>
        <w:rPr>
          <w:rFonts w:ascii="宋体" w:hAnsi="宋体"/>
          <w:color w:val="auto"/>
          <w:szCs w:val="21"/>
          <w:highlight w:val="none"/>
        </w:rPr>
        <w:t>最高限额为</w:t>
      </w:r>
      <w:r>
        <w:rPr>
          <w:rFonts w:hint="eastAsia" w:ascii="宋体" w:hAnsi="宋体"/>
          <w:color w:val="auto"/>
          <w:szCs w:val="21"/>
          <w:highlight w:val="none"/>
        </w:rPr>
        <w:t>本</w:t>
      </w:r>
      <w:r>
        <w:rPr>
          <w:rFonts w:ascii="宋体" w:hAnsi="宋体"/>
          <w:color w:val="auto"/>
          <w:szCs w:val="21"/>
          <w:highlight w:val="none"/>
        </w:rPr>
        <w:t>合同总价的</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迟延</w:t>
      </w:r>
      <w:r>
        <w:rPr>
          <w:rFonts w:hint="eastAsia" w:ascii="宋体" w:hAnsi="宋体"/>
          <w:color w:val="auto"/>
          <w:szCs w:val="21"/>
          <w:highlight w:val="none"/>
        </w:rPr>
        <w:t>付款</w:t>
      </w:r>
      <w:r>
        <w:rPr>
          <w:rFonts w:ascii="宋体" w:hAnsi="宋体"/>
          <w:color w:val="auto"/>
          <w:szCs w:val="21"/>
          <w:highlight w:val="none"/>
        </w:rPr>
        <w:t>的违约金计算数额达到前述最高限额之日起</w:t>
      </w:r>
      <w:r>
        <w:rPr>
          <w:rFonts w:hint="eastAsia" w:ascii="宋体" w:hAnsi="宋体"/>
          <w:color w:val="auto"/>
          <w:szCs w:val="21"/>
          <w:highlight w:val="none"/>
        </w:rPr>
        <w:t>，乙</w:t>
      </w:r>
      <w:r>
        <w:rPr>
          <w:rFonts w:ascii="宋体" w:hAnsi="宋体"/>
          <w:color w:val="auto"/>
          <w:szCs w:val="21"/>
          <w:highlight w:val="none"/>
        </w:rPr>
        <w:t>方有权在要求甲方支付违约金的同时</w:t>
      </w:r>
      <w:r>
        <w:rPr>
          <w:rFonts w:hint="eastAsia" w:ascii="宋体" w:hAnsi="宋体"/>
          <w:color w:val="auto"/>
          <w:szCs w:val="21"/>
          <w:highlight w:val="none"/>
        </w:rPr>
        <w:t>，书面通知甲方</w:t>
      </w:r>
      <w:r>
        <w:rPr>
          <w:rFonts w:ascii="宋体" w:hAnsi="宋体"/>
          <w:color w:val="auto"/>
          <w:szCs w:val="21"/>
          <w:highlight w:val="none"/>
        </w:rPr>
        <w:t>解除本合同</w:t>
      </w:r>
      <w:r>
        <w:rPr>
          <w:rFonts w:hint="eastAsia" w:ascii="宋体" w:hAnsi="宋体"/>
          <w:color w:val="auto"/>
          <w:szCs w:val="21"/>
          <w:highlight w:val="none"/>
        </w:rPr>
        <w:t>；</w:t>
      </w:r>
    </w:p>
    <w:p w14:paraId="7278D550">
      <w:pPr>
        <w:spacing w:line="360" w:lineRule="auto"/>
        <w:ind w:firstLine="435"/>
        <w:rPr>
          <w:rFonts w:ascii="宋体" w:hAnsi="宋体"/>
          <w:color w:val="auto"/>
          <w:szCs w:val="21"/>
          <w:highlight w:val="none"/>
        </w:rPr>
      </w:pPr>
      <w:r>
        <w:rPr>
          <w:rFonts w:hint="eastAsia" w:ascii="宋体" w:hAnsi="宋体"/>
          <w:color w:val="auto"/>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571D211">
      <w:pPr>
        <w:spacing w:line="360" w:lineRule="auto"/>
        <w:ind w:firstLine="435"/>
        <w:rPr>
          <w:rFonts w:ascii="宋体" w:hAnsi="宋体"/>
          <w:color w:val="auto"/>
          <w:szCs w:val="21"/>
          <w:highlight w:val="none"/>
        </w:rPr>
      </w:pPr>
      <w:r>
        <w:rPr>
          <w:rFonts w:hint="eastAsia" w:ascii="宋体" w:hAnsi="宋体"/>
          <w:color w:val="auto"/>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7646C7C">
      <w:pPr>
        <w:spacing w:line="360" w:lineRule="auto"/>
        <w:ind w:firstLine="435"/>
        <w:rPr>
          <w:rFonts w:ascii="宋体" w:hAnsi="宋体"/>
          <w:color w:val="auto"/>
          <w:szCs w:val="21"/>
          <w:highlight w:val="none"/>
        </w:rPr>
      </w:pPr>
      <w:r>
        <w:rPr>
          <w:rFonts w:hint="eastAsia" w:ascii="宋体" w:hAnsi="宋体"/>
          <w:color w:val="auto"/>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4D43E5B">
      <w:pPr>
        <w:spacing w:line="360" w:lineRule="auto"/>
        <w:ind w:firstLine="435"/>
        <w:rPr>
          <w:rFonts w:ascii="宋体" w:hAnsi="宋体"/>
          <w:color w:val="auto"/>
          <w:szCs w:val="21"/>
          <w:highlight w:val="none"/>
        </w:rPr>
      </w:pPr>
      <w:r>
        <w:rPr>
          <w:rFonts w:hint="eastAsia" w:ascii="宋体" w:hAnsi="宋体"/>
          <w:color w:val="auto"/>
          <w:szCs w:val="21"/>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101C971">
      <w:pPr>
        <w:spacing w:line="360" w:lineRule="auto"/>
        <w:ind w:firstLine="437"/>
        <w:outlineLvl w:val="3"/>
        <w:rPr>
          <w:rFonts w:ascii="宋体" w:hAnsi="宋体"/>
          <w:b/>
          <w:bCs/>
          <w:color w:val="auto"/>
          <w:szCs w:val="21"/>
          <w:highlight w:val="none"/>
          <w:lang w:val="zh-CN"/>
        </w:rPr>
      </w:pPr>
      <w:bookmarkStart w:id="90" w:name="_Toc16021"/>
      <w:bookmarkEnd w:id="90"/>
      <w:bookmarkStart w:id="91" w:name="_Toc28375"/>
      <w:bookmarkEnd w:id="91"/>
      <w:bookmarkStart w:id="92" w:name="_Toc15583"/>
      <w:bookmarkEnd w:id="92"/>
      <w:r>
        <w:rPr>
          <w:rFonts w:hint="eastAsia" w:ascii="宋体" w:hAnsi="宋体"/>
          <w:b/>
          <w:bCs/>
          <w:color w:val="auto"/>
          <w:szCs w:val="21"/>
          <w:highlight w:val="none"/>
          <w:lang w:val="zh-CN"/>
        </w:rPr>
        <w:t>1.7</w:t>
      </w:r>
      <w:r>
        <w:rPr>
          <w:rFonts w:ascii="宋体" w:hAnsi="宋体"/>
          <w:b/>
          <w:bCs/>
          <w:color w:val="auto"/>
          <w:szCs w:val="21"/>
          <w:highlight w:val="none"/>
          <w:lang w:val="zh-CN"/>
        </w:rPr>
        <w:t xml:space="preserve"> </w:t>
      </w:r>
      <w:r>
        <w:rPr>
          <w:rFonts w:hint="eastAsia" w:ascii="宋体" w:hAnsi="宋体"/>
          <w:b/>
          <w:bCs/>
          <w:color w:val="auto"/>
          <w:szCs w:val="21"/>
          <w:highlight w:val="none"/>
          <w:lang w:val="zh-CN"/>
        </w:rPr>
        <w:t>合同</w:t>
      </w:r>
      <w:r>
        <w:rPr>
          <w:rFonts w:ascii="宋体" w:hAnsi="宋体"/>
          <w:b/>
          <w:bCs/>
          <w:color w:val="auto"/>
          <w:szCs w:val="21"/>
          <w:highlight w:val="none"/>
          <w:lang w:val="zh-CN"/>
        </w:rPr>
        <w:t>争议的解决</w:t>
      </w:r>
    </w:p>
    <w:p w14:paraId="6FFCA929">
      <w:pPr>
        <w:spacing w:line="360" w:lineRule="auto"/>
        <w:ind w:firstLine="435"/>
        <w:rPr>
          <w:rFonts w:ascii="宋体" w:hAnsi="宋体"/>
          <w:color w:val="auto"/>
          <w:szCs w:val="21"/>
          <w:highlight w:val="none"/>
        </w:rPr>
      </w:pPr>
      <w:r>
        <w:rPr>
          <w:rFonts w:hint="eastAsia" w:ascii="宋体" w:hAnsi="宋体"/>
          <w:color w:val="auto"/>
          <w:szCs w:val="21"/>
          <w:highlight w:val="none"/>
        </w:rPr>
        <w:t>本合</w:t>
      </w:r>
      <w:r>
        <w:rPr>
          <w:rFonts w:ascii="宋体" w:hAnsi="宋体"/>
          <w:color w:val="auto"/>
          <w:szCs w:val="21"/>
          <w:highlight w:val="none"/>
        </w:rPr>
        <w:t>同履行过程中发生的任何争议，双方当事人均可</w:t>
      </w:r>
      <w:r>
        <w:rPr>
          <w:rFonts w:hint="eastAsia" w:ascii="宋体" w:hAnsi="宋体"/>
          <w:color w:val="auto"/>
          <w:szCs w:val="21"/>
          <w:highlight w:val="none"/>
        </w:rPr>
        <w:t>通过和解或者调解解决；不愿和解、调解或者和解、调解不成的，可以选择下列第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1.7.1</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0CF5B8C6">
      <w:pPr>
        <w:spacing w:line="360" w:lineRule="auto"/>
        <w:ind w:firstLine="435"/>
        <w:rPr>
          <w:rFonts w:ascii="宋体" w:hAnsi="宋体"/>
          <w:color w:val="auto"/>
          <w:szCs w:val="21"/>
          <w:highlight w:val="none"/>
        </w:rPr>
      </w:pPr>
      <w:r>
        <w:rPr>
          <w:rFonts w:hint="eastAsia" w:ascii="宋体" w:hAnsi="宋体"/>
          <w:color w:val="auto"/>
          <w:szCs w:val="21"/>
          <w:highlight w:val="none"/>
        </w:rPr>
        <w:t>1.7.1将争议提交滁州仲裁委员会依申请仲裁时其现行有效的仲裁规则裁决；</w:t>
      </w:r>
    </w:p>
    <w:p w14:paraId="394D6AB2">
      <w:pPr>
        <w:spacing w:line="360" w:lineRule="auto"/>
        <w:ind w:firstLine="435"/>
        <w:rPr>
          <w:rFonts w:ascii="宋体" w:hAnsi="宋体"/>
          <w:color w:val="auto"/>
          <w:szCs w:val="21"/>
          <w:highlight w:val="none"/>
        </w:rPr>
      </w:pPr>
      <w:r>
        <w:rPr>
          <w:rFonts w:hint="eastAsia" w:ascii="宋体" w:hAnsi="宋体"/>
          <w:color w:val="auto"/>
          <w:szCs w:val="21"/>
          <w:highlight w:val="none"/>
        </w:rPr>
        <w:t>1.7.2向甲方（采购人）</w:t>
      </w:r>
      <w:r>
        <w:rPr>
          <w:rFonts w:hint="eastAsia" w:ascii="宋体" w:cs="宋体"/>
          <w:color w:val="auto"/>
          <w:szCs w:val="21"/>
          <w:highlight w:val="none"/>
          <w:u w:color="000000"/>
        </w:rPr>
        <w:t>所在地</w:t>
      </w:r>
      <w:r>
        <w:rPr>
          <w:rFonts w:hint="eastAsia" w:ascii="宋体" w:hAnsi="宋体"/>
          <w:color w:val="auto"/>
          <w:szCs w:val="21"/>
          <w:highlight w:val="none"/>
        </w:rPr>
        <w:t>人民法院起诉。</w:t>
      </w:r>
    </w:p>
    <w:p w14:paraId="6011BC8F">
      <w:pPr>
        <w:spacing w:line="360" w:lineRule="auto"/>
        <w:ind w:firstLine="437"/>
        <w:outlineLvl w:val="3"/>
        <w:rPr>
          <w:rFonts w:ascii="宋体" w:hAnsi="宋体"/>
          <w:b/>
          <w:bCs/>
          <w:color w:val="auto"/>
          <w:szCs w:val="21"/>
          <w:highlight w:val="none"/>
          <w:lang w:val="zh-CN"/>
        </w:rPr>
      </w:pPr>
      <w:bookmarkStart w:id="93" w:name="_Toc11173"/>
      <w:bookmarkEnd w:id="93"/>
      <w:bookmarkStart w:id="94" w:name="_Toc15322"/>
      <w:bookmarkEnd w:id="94"/>
      <w:bookmarkStart w:id="95" w:name="_Toc7245"/>
      <w:bookmarkEnd w:id="95"/>
      <w:r>
        <w:rPr>
          <w:rFonts w:hint="eastAsia" w:ascii="宋体" w:hAnsi="宋体"/>
          <w:b/>
          <w:bCs/>
          <w:color w:val="auto"/>
          <w:szCs w:val="21"/>
          <w:highlight w:val="none"/>
          <w:lang w:val="zh-CN"/>
        </w:rPr>
        <w:t>1.8</w:t>
      </w:r>
      <w:r>
        <w:rPr>
          <w:rFonts w:ascii="宋体" w:hAnsi="宋体"/>
          <w:b/>
          <w:bCs/>
          <w:color w:val="auto"/>
          <w:szCs w:val="21"/>
          <w:highlight w:val="none"/>
          <w:lang w:val="zh-CN"/>
        </w:rPr>
        <w:t xml:space="preserve"> 合同生效</w:t>
      </w:r>
    </w:p>
    <w:p w14:paraId="0E2F27B9">
      <w:pPr>
        <w:spacing w:line="360" w:lineRule="auto"/>
        <w:ind w:firstLine="435"/>
        <w:rPr>
          <w:rFonts w:ascii="宋体" w:hAnsi="宋体"/>
          <w:color w:val="auto"/>
          <w:szCs w:val="21"/>
          <w:highlight w:val="none"/>
        </w:rPr>
      </w:pPr>
      <w:r>
        <w:rPr>
          <w:rFonts w:ascii="宋体" w:hAnsi="宋体"/>
          <w:color w:val="auto"/>
          <w:szCs w:val="21"/>
          <w:highlight w:val="none"/>
        </w:rPr>
        <w:t>本合同自</w:t>
      </w:r>
      <w:r>
        <w:rPr>
          <w:rFonts w:hint="eastAsia" w:ascii="宋体" w:hAnsi="宋体"/>
          <w:color w:val="auto"/>
          <w:szCs w:val="21"/>
          <w:highlight w:val="none"/>
        </w:rPr>
        <w:t>双方当事人盖章时</w:t>
      </w:r>
      <w:r>
        <w:rPr>
          <w:rFonts w:ascii="宋体" w:hAnsi="宋体"/>
          <w:color w:val="auto"/>
          <w:szCs w:val="21"/>
          <w:highlight w:val="none"/>
        </w:rPr>
        <w:t>生效。</w:t>
      </w:r>
    </w:p>
    <w:p w14:paraId="4E4AB368">
      <w:pPr>
        <w:autoSpaceDE w:val="0"/>
        <w:autoSpaceDN w:val="0"/>
        <w:adjustRightInd w:val="0"/>
        <w:spacing w:line="560" w:lineRule="exact"/>
        <w:rPr>
          <w:rFonts w:ascii="宋体" w:hAnsi="宋体"/>
          <w:color w:val="auto"/>
          <w:szCs w:val="21"/>
          <w:highlight w:val="none"/>
          <w:lang w:val="zh-CN"/>
        </w:rPr>
      </w:pPr>
    </w:p>
    <w:p w14:paraId="3507E494">
      <w:pPr>
        <w:autoSpaceDE w:val="0"/>
        <w:autoSpaceDN w:val="0"/>
        <w:adjustRightInd w:val="0"/>
        <w:spacing w:line="560" w:lineRule="exact"/>
        <w:rPr>
          <w:rFonts w:ascii="宋体" w:hAnsi="宋体"/>
          <w:color w:val="auto"/>
          <w:szCs w:val="21"/>
          <w:highlight w:val="none"/>
          <w:lang w:val="zh-CN"/>
        </w:rPr>
      </w:pPr>
    </w:p>
    <w:p w14:paraId="6CAE1B58">
      <w:pPr>
        <w:autoSpaceDE w:val="0"/>
        <w:autoSpaceDN w:val="0"/>
        <w:adjustRightInd w:val="0"/>
        <w:spacing w:line="560" w:lineRule="exact"/>
        <w:rPr>
          <w:rFonts w:ascii="宋体" w:hAnsi="宋体"/>
          <w:bCs/>
          <w:color w:val="auto"/>
          <w:szCs w:val="21"/>
          <w:highlight w:val="none"/>
          <w:lang w:val="zh-CN"/>
        </w:rPr>
      </w:pPr>
      <w:r>
        <w:rPr>
          <w:rFonts w:hint="eastAsia" w:ascii="宋体" w:hAnsi="宋体"/>
          <w:bCs/>
          <w:color w:val="auto"/>
          <w:szCs w:val="21"/>
          <w:highlight w:val="none"/>
          <w:lang w:val="zh-CN"/>
        </w:rPr>
        <w:t xml:space="preserve">甲 </w:t>
      </w:r>
      <w:r>
        <w:rPr>
          <w:rFonts w:ascii="宋体" w:hAnsi="宋体"/>
          <w:bCs/>
          <w:color w:val="auto"/>
          <w:szCs w:val="21"/>
          <w:highlight w:val="none"/>
          <w:lang w:val="zh-CN"/>
        </w:rPr>
        <w:t xml:space="preserve">   </w:t>
      </w:r>
      <w:r>
        <w:rPr>
          <w:rFonts w:hint="eastAsia" w:ascii="宋体" w:hAnsi="宋体"/>
          <w:bCs/>
          <w:color w:val="auto"/>
          <w:szCs w:val="21"/>
          <w:highlight w:val="none"/>
          <w:lang w:val="zh-CN"/>
        </w:rPr>
        <w:t>方：</w:t>
      </w:r>
      <w:r>
        <w:rPr>
          <w:rFonts w:hint="eastAsia" w:ascii="宋体" w:hAnsi="宋体"/>
          <w:bCs/>
          <w:color w:val="auto"/>
          <w:szCs w:val="21"/>
          <w:highlight w:val="none"/>
          <w:u w:val="single"/>
          <w:lang w:val="zh-CN"/>
        </w:rPr>
        <w:t xml:space="preserve">    （单位盖章）     </w:t>
      </w:r>
      <w:r>
        <w:rPr>
          <w:rFonts w:hint="eastAsia" w:ascii="宋体" w:hAnsi="宋体"/>
          <w:bCs/>
          <w:color w:val="auto"/>
          <w:szCs w:val="21"/>
          <w:highlight w:val="none"/>
          <w:lang w:val="zh-CN"/>
        </w:rPr>
        <w:t xml:space="preserve">          乙</w:t>
      </w:r>
      <w:r>
        <w:rPr>
          <w:rFonts w:hint="eastAsia" w:ascii="宋体" w:hAnsi="宋体"/>
          <w:bCs/>
          <w:color w:val="auto"/>
          <w:szCs w:val="21"/>
          <w:highlight w:val="none"/>
        </w:rPr>
        <w:t xml:space="preserve">    </w:t>
      </w:r>
      <w:r>
        <w:rPr>
          <w:rFonts w:hint="eastAsia" w:ascii="宋体" w:hAnsi="宋体"/>
          <w:bCs/>
          <w:color w:val="auto"/>
          <w:szCs w:val="21"/>
          <w:highlight w:val="none"/>
          <w:lang w:val="zh-CN"/>
        </w:rPr>
        <w:t>方：</w:t>
      </w:r>
      <w:r>
        <w:rPr>
          <w:rFonts w:hint="eastAsia" w:ascii="宋体" w:hAnsi="宋体"/>
          <w:bCs/>
          <w:color w:val="auto"/>
          <w:szCs w:val="21"/>
          <w:highlight w:val="none"/>
          <w:u w:val="single"/>
          <w:lang w:val="zh-CN"/>
        </w:rPr>
        <w:t xml:space="preserve">    （单位盖章）     </w:t>
      </w:r>
    </w:p>
    <w:p w14:paraId="235C9282">
      <w:pPr>
        <w:autoSpaceDE w:val="0"/>
        <w:autoSpaceDN w:val="0"/>
        <w:adjustRightInd w:val="0"/>
        <w:spacing w:line="560" w:lineRule="exact"/>
        <w:rPr>
          <w:rFonts w:ascii="宋体" w:hAnsi="宋体"/>
          <w:color w:val="auto"/>
          <w:szCs w:val="21"/>
          <w:highlight w:val="none"/>
          <w:lang w:val="zh-CN"/>
        </w:rPr>
      </w:pPr>
      <w:r>
        <w:rPr>
          <w:rFonts w:hint="eastAsia" w:ascii="宋体" w:hAnsi="宋体"/>
          <w:color w:val="auto"/>
          <w:szCs w:val="21"/>
          <w:highlight w:val="none"/>
          <w:lang w:val="zh-CN"/>
        </w:rPr>
        <w:t xml:space="preserve">法定代表人                             </w:t>
      </w:r>
      <w:r>
        <w:rPr>
          <w:rFonts w:ascii="宋体" w:hAnsi="宋体"/>
          <w:color w:val="auto"/>
          <w:szCs w:val="21"/>
          <w:highlight w:val="none"/>
          <w:lang w:val="zh-CN"/>
        </w:rPr>
        <w:t xml:space="preserve">  </w:t>
      </w:r>
      <w:r>
        <w:rPr>
          <w:rFonts w:hint="eastAsia" w:ascii="宋体" w:hAnsi="宋体"/>
          <w:color w:val="auto"/>
          <w:szCs w:val="21"/>
          <w:highlight w:val="none"/>
          <w:lang w:val="zh-CN"/>
        </w:rPr>
        <w:t>法定代表人</w:t>
      </w:r>
    </w:p>
    <w:p w14:paraId="2FDBEFEB">
      <w:pPr>
        <w:autoSpaceDE w:val="0"/>
        <w:autoSpaceDN w:val="0"/>
        <w:adjustRightInd w:val="0"/>
        <w:spacing w:line="560" w:lineRule="exact"/>
        <w:rPr>
          <w:rFonts w:ascii="宋体" w:hAnsi="宋体"/>
          <w:color w:val="auto"/>
          <w:szCs w:val="21"/>
          <w:highlight w:val="none"/>
          <w:lang w:val="zh-CN"/>
        </w:rPr>
      </w:pPr>
      <w:r>
        <w:rPr>
          <w:rFonts w:hint="eastAsia" w:ascii="宋体" w:hAnsi="宋体"/>
          <w:color w:val="auto"/>
          <w:szCs w:val="21"/>
          <w:highlight w:val="none"/>
          <w:lang w:val="zh-CN"/>
        </w:rPr>
        <w:t>或授权代表（签字）：                     或授权代表（签字）：</w:t>
      </w:r>
    </w:p>
    <w:p w14:paraId="4EBE3308">
      <w:pPr>
        <w:widowControl/>
        <w:spacing w:line="560" w:lineRule="exact"/>
        <w:jc w:val="left"/>
        <w:rPr>
          <w:rFonts w:ascii="宋体" w:hAnsi="宋体"/>
          <w:bCs/>
          <w:color w:val="auto"/>
          <w:szCs w:val="21"/>
          <w:highlight w:val="none"/>
        </w:rPr>
      </w:pPr>
      <w:bookmarkStart w:id="96" w:name="_Toc331685783"/>
      <w:r>
        <w:rPr>
          <w:rFonts w:hint="eastAsia" w:ascii="宋体" w:hAnsi="宋体"/>
          <w:bCs/>
          <w:color w:val="auto"/>
          <w:szCs w:val="21"/>
          <w:highlight w:val="none"/>
        </w:rPr>
        <w:t>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               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1029949D">
      <w:pPr>
        <w:widowControl/>
        <w:jc w:val="left"/>
        <w:rPr>
          <w:rFonts w:ascii="宋体" w:hAnsi="宋体"/>
          <w:b/>
          <w:color w:val="auto"/>
          <w:szCs w:val="21"/>
          <w:highlight w:val="none"/>
        </w:rPr>
      </w:pPr>
      <w:r>
        <w:rPr>
          <w:rFonts w:ascii="宋体" w:hAnsi="宋体"/>
          <w:b/>
          <w:color w:val="auto"/>
          <w:szCs w:val="21"/>
          <w:highlight w:val="none"/>
        </w:rPr>
        <w:br w:type="page"/>
      </w:r>
    </w:p>
    <w:bookmarkEnd w:id="96"/>
    <w:p w14:paraId="185C5AB4">
      <w:pPr>
        <w:spacing w:line="360" w:lineRule="auto"/>
        <w:jc w:val="center"/>
        <w:outlineLvl w:val="2"/>
        <w:rPr>
          <w:rFonts w:ascii="宋体" w:hAnsi="宋体"/>
          <w:b/>
          <w:color w:val="auto"/>
          <w:szCs w:val="21"/>
          <w:highlight w:val="none"/>
        </w:rPr>
      </w:pPr>
      <w:r>
        <w:rPr>
          <w:rFonts w:hint="eastAsia" w:ascii="宋体" w:hAnsi="宋体"/>
          <w:b/>
          <w:color w:val="auto"/>
          <w:szCs w:val="21"/>
          <w:highlight w:val="none"/>
        </w:rPr>
        <w:t>第二部分</w:t>
      </w:r>
      <w:r>
        <w:rPr>
          <w:rFonts w:ascii="宋体" w:hAnsi="宋体"/>
          <w:b/>
          <w:color w:val="auto"/>
          <w:szCs w:val="21"/>
          <w:highlight w:val="none"/>
        </w:rPr>
        <w:t xml:space="preserve"> </w:t>
      </w:r>
      <w:r>
        <w:rPr>
          <w:rFonts w:hint="eastAsia" w:ascii="宋体" w:hAnsi="宋体"/>
          <w:b/>
          <w:color w:val="auto"/>
          <w:szCs w:val="21"/>
          <w:highlight w:val="none"/>
        </w:rPr>
        <w:t>合同一般条款</w:t>
      </w:r>
    </w:p>
    <w:p w14:paraId="1D684738">
      <w:pPr>
        <w:spacing w:line="360" w:lineRule="auto"/>
        <w:ind w:firstLine="437"/>
        <w:outlineLvl w:val="3"/>
        <w:rPr>
          <w:rFonts w:ascii="宋体" w:hAnsi="宋体"/>
          <w:b/>
          <w:bCs/>
          <w:color w:val="auto"/>
          <w:szCs w:val="21"/>
          <w:highlight w:val="none"/>
          <w:lang w:val="zh-CN"/>
        </w:rPr>
      </w:pPr>
      <w:bookmarkStart w:id="97" w:name="_Toc19614"/>
      <w:bookmarkEnd w:id="97"/>
      <w:bookmarkStart w:id="98" w:name="_Ref467379109"/>
      <w:bookmarkEnd w:id="98"/>
      <w:bookmarkStart w:id="99" w:name="_Ref467379214"/>
      <w:bookmarkEnd w:id="99"/>
      <w:bookmarkStart w:id="100" w:name="_Ref467378499"/>
      <w:bookmarkEnd w:id="100"/>
      <w:bookmarkStart w:id="101" w:name="_Ref467379225"/>
      <w:bookmarkEnd w:id="101"/>
      <w:bookmarkStart w:id="102" w:name="_Ref467378463"/>
      <w:bookmarkEnd w:id="102"/>
      <w:bookmarkStart w:id="103" w:name="_Toc16917"/>
      <w:bookmarkEnd w:id="103"/>
      <w:bookmarkStart w:id="104" w:name="_Ref467379195"/>
      <w:bookmarkEnd w:id="104"/>
      <w:bookmarkStart w:id="105" w:name="_Toc279701240"/>
      <w:bookmarkEnd w:id="105"/>
      <w:bookmarkStart w:id="106" w:name="_Toc28763"/>
      <w:bookmarkEnd w:id="106"/>
      <w:bookmarkStart w:id="107" w:name="_Ref467379205"/>
      <w:bookmarkEnd w:id="107"/>
      <w:bookmarkStart w:id="108" w:name="_Toc259093669"/>
      <w:bookmarkEnd w:id="108"/>
      <w:bookmarkStart w:id="109" w:name="_Toc487900349"/>
      <w:bookmarkEnd w:id="109"/>
      <w:bookmarkStart w:id="110" w:name="_Ref467378404"/>
      <w:bookmarkEnd w:id="110"/>
      <w:bookmarkStart w:id="111" w:name="_Ref467379094"/>
      <w:bookmarkEnd w:id="111"/>
      <w:bookmarkStart w:id="112" w:name="_Ref467379101"/>
      <w:bookmarkEnd w:id="112"/>
      <w:r>
        <w:rPr>
          <w:rFonts w:hint="eastAsia" w:ascii="宋体" w:hAnsi="宋体"/>
          <w:b/>
          <w:bCs/>
          <w:color w:val="auto"/>
          <w:szCs w:val="21"/>
          <w:highlight w:val="none"/>
          <w:lang w:val="zh-CN"/>
        </w:rPr>
        <w:t>2.1</w:t>
      </w:r>
      <w:r>
        <w:rPr>
          <w:rFonts w:ascii="宋体" w:hAnsi="宋体"/>
          <w:b/>
          <w:bCs/>
          <w:color w:val="auto"/>
          <w:szCs w:val="21"/>
          <w:highlight w:val="none"/>
          <w:lang w:val="zh-CN"/>
        </w:rPr>
        <w:t xml:space="preserve"> 定义</w:t>
      </w:r>
    </w:p>
    <w:p w14:paraId="037193D8">
      <w:pPr>
        <w:spacing w:line="360" w:lineRule="auto"/>
        <w:ind w:firstLine="435"/>
        <w:rPr>
          <w:rFonts w:ascii="宋体" w:hAnsi="宋体"/>
          <w:color w:val="auto"/>
          <w:szCs w:val="21"/>
          <w:highlight w:val="none"/>
        </w:rPr>
      </w:pPr>
      <w:r>
        <w:rPr>
          <w:rFonts w:ascii="宋体" w:hAnsi="宋体"/>
          <w:color w:val="auto"/>
          <w:szCs w:val="21"/>
          <w:highlight w:val="none"/>
        </w:rPr>
        <w:t>本合同中的下列</w:t>
      </w:r>
      <w:r>
        <w:rPr>
          <w:rFonts w:hint="eastAsia" w:ascii="宋体" w:hAnsi="宋体"/>
          <w:color w:val="auto"/>
          <w:szCs w:val="21"/>
          <w:highlight w:val="none"/>
        </w:rPr>
        <w:t>词</w:t>
      </w:r>
      <w:r>
        <w:rPr>
          <w:rFonts w:ascii="宋体" w:hAnsi="宋体"/>
          <w:color w:val="auto"/>
          <w:szCs w:val="21"/>
          <w:highlight w:val="none"/>
        </w:rPr>
        <w:t>语应</w:t>
      </w:r>
      <w:r>
        <w:rPr>
          <w:rFonts w:hint="eastAsia" w:ascii="宋体" w:hAnsi="宋体"/>
          <w:color w:val="auto"/>
          <w:szCs w:val="21"/>
          <w:highlight w:val="none"/>
        </w:rPr>
        <w:t>按以下内容进行</w:t>
      </w:r>
      <w:r>
        <w:rPr>
          <w:rFonts w:ascii="宋体" w:hAnsi="宋体"/>
          <w:color w:val="auto"/>
          <w:szCs w:val="21"/>
          <w:highlight w:val="none"/>
        </w:rPr>
        <w:t>解释：</w:t>
      </w:r>
    </w:p>
    <w:p w14:paraId="0CCDC628">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“合同”系指采购人和</w:t>
      </w:r>
      <w:r>
        <w:rPr>
          <w:rFonts w:hint="eastAsia" w:ascii="宋体" w:hAnsi="宋体"/>
          <w:color w:val="auto"/>
          <w:szCs w:val="21"/>
          <w:highlight w:val="none"/>
        </w:rPr>
        <w:t>成交人</w:t>
      </w:r>
      <w:r>
        <w:rPr>
          <w:rFonts w:ascii="宋体" w:hAnsi="宋体"/>
          <w:color w:val="auto"/>
          <w:szCs w:val="21"/>
          <w:highlight w:val="none"/>
        </w:rPr>
        <w:t>签订的载明双方当事人所达成的协议，并包括所有的附件、附录和构成合同的其他文件。</w:t>
      </w:r>
    </w:p>
    <w:p w14:paraId="3E0FF8C9">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1.2“合同价”系指根据合同约定，</w:t>
      </w:r>
      <w:r>
        <w:rPr>
          <w:rFonts w:hint="eastAsia" w:ascii="宋体" w:hAnsi="宋体"/>
          <w:color w:val="auto"/>
          <w:szCs w:val="21"/>
          <w:highlight w:val="none"/>
        </w:rPr>
        <w:t>成交人</w:t>
      </w:r>
      <w:r>
        <w:rPr>
          <w:rFonts w:ascii="宋体" w:hAnsi="宋体"/>
          <w:color w:val="auto"/>
          <w:szCs w:val="21"/>
          <w:highlight w:val="none"/>
        </w:rPr>
        <w:t>在完全履行合同义务后</w:t>
      </w:r>
      <w:r>
        <w:rPr>
          <w:rFonts w:hint="eastAsia" w:ascii="宋体" w:hAnsi="宋体"/>
          <w:color w:val="auto"/>
          <w:szCs w:val="21"/>
          <w:highlight w:val="none"/>
        </w:rPr>
        <w:t>，</w:t>
      </w:r>
      <w:r>
        <w:rPr>
          <w:rFonts w:ascii="宋体" w:hAnsi="宋体"/>
          <w:color w:val="auto"/>
          <w:szCs w:val="21"/>
          <w:highlight w:val="none"/>
        </w:rPr>
        <w:t>采购人应支付给</w:t>
      </w:r>
      <w:r>
        <w:rPr>
          <w:rFonts w:hint="eastAsia" w:ascii="宋体" w:hAnsi="宋体"/>
          <w:color w:val="auto"/>
          <w:szCs w:val="21"/>
          <w:highlight w:val="none"/>
        </w:rPr>
        <w:t>成交人</w:t>
      </w:r>
      <w:r>
        <w:rPr>
          <w:rFonts w:ascii="宋体" w:hAnsi="宋体"/>
          <w:color w:val="auto"/>
          <w:szCs w:val="21"/>
          <w:highlight w:val="none"/>
        </w:rPr>
        <w:t>的价格。</w:t>
      </w:r>
    </w:p>
    <w:p w14:paraId="1CB679AB">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1.3“</w:t>
      </w:r>
      <w:r>
        <w:rPr>
          <w:rFonts w:hint="eastAsia" w:ascii="宋体" w:hAnsi="宋体"/>
          <w:color w:val="auto"/>
          <w:szCs w:val="21"/>
          <w:highlight w:val="none"/>
        </w:rPr>
        <w:t>服务</w:t>
      </w:r>
      <w:r>
        <w:rPr>
          <w:rFonts w:ascii="宋体" w:hAnsi="宋体"/>
          <w:color w:val="auto"/>
          <w:szCs w:val="21"/>
          <w:highlight w:val="none"/>
        </w:rPr>
        <w:t>”系指</w:t>
      </w:r>
      <w:r>
        <w:rPr>
          <w:rFonts w:hint="eastAsia" w:ascii="宋体" w:hAnsi="宋体"/>
          <w:color w:val="auto"/>
          <w:szCs w:val="21"/>
          <w:highlight w:val="none"/>
        </w:rPr>
        <w:t>成交人</w:t>
      </w:r>
      <w:r>
        <w:rPr>
          <w:rFonts w:ascii="宋体" w:hAnsi="宋体"/>
          <w:color w:val="auto"/>
          <w:szCs w:val="21"/>
          <w:highlight w:val="none"/>
        </w:rPr>
        <w:t>根据合同约定应向采购人</w:t>
      </w:r>
      <w:r>
        <w:rPr>
          <w:rFonts w:hint="eastAsia" w:ascii="宋体" w:hAnsi="宋体"/>
          <w:color w:val="auto"/>
          <w:szCs w:val="21"/>
          <w:highlight w:val="none"/>
        </w:rPr>
        <w:t>履行</w:t>
      </w:r>
      <w:r>
        <w:rPr>
          <w:rFonts w:ascii="宋体" w:hAnsi="宋体"/>
          <w:color w:val="auto"/>
          <w:szCs w:val="21"/>
          <w:highlight w:val="none"/>
        </w:rPr>
        <w:t>的</w:t>
      </w:r>
      <w:r>
        <w:rPr>
          <w:rFonts w:hint="eastAsia" w:ascii="宋体" w:hAnsi="宋体"/>
          <w:color w:val="auto"/>
          <w:szCs w:val="21"/>
          <w:highlight w:val="none"/>
        </w:rPr>
        <w:t>除货物和工程以外的其他政府采购对象，包括采购人自身需要的服务和向社会公众提供的公共服务。</w:t>
      </w:r>
    </w:p>
    <w:p w14:paraId="08E92975">
      <w:pPr>
        <w:spacing w:line="360" w:lineRule="auto"/>
        <w:ind w:firstLine="435"/>
        <w:rPr>
          <w:rFonts w:ascii="宋体" w:hAnsi="宋体"/>
          <w:color w:val="auto"/>
          <w:szCs w:val="21"/>
          <w:highlight w:val="none"/>
        </w:rPr>
      </w:pPr>
      <w:bookmarkStart w:id="113" w:name="_Ref467378840"/>
      <w:bookmarkEnd w:id="113"/>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甲方</w:t>
      </w:r>
      <w:r>
        <w:rPr>
          <w:rFonts w:ascii="宋体" w:hAnsi="宋体"/>
          <w:color w:val="auto"/>
          <w:szCs w:val="21"/>
          <w:highlight w:val="none"/>
        </w:rPr>
        <w:t>”系指与</w:t>
      </w:r>
      <w:r>
        <w:rPr>
          <w:rFonts w:hint="eastAsia" w:ascii="宋体" w:hAnsi="宋体"/>
          <w:color w:val="auto"/>
          <w:szCs w:val="21"/>
          <w:highlight w:val="none"/>
        </w:rPr>
        <w:t>成交人</w:t>
      </w:r>
      <w:r>
        <w:rPr>
          <w:rFonts w:ascii="宋体" w:hAnsi="宋体"/>
          <w:color w:val="auto"/>
          <w:szCs w:val="21"/>
          <w:highlight w:val="none"/>
        </w:rPr>
        <w:t>签署合同的采购人</w:t>
      </w:r>
      <w:r>
        <w:rPr>
          <w:rFonts w:hint="eastAsia" w:ascii="宋体" w:hAnsi="宋体"/>
          <w:color w:val="auto"/>
          <w:szCs w:val="21"/>
          <w:highlight w:val="none"/>
        </w:rPr>
        <w:t>；采购人委托采购代理机构代表其与乙方签订合同的，采购人的授权委托书作为合同附件。</w:t>
      </w:r>
    </w:p>
    <w:p w14:paraId="549E059B">
      <w:pPr>
        <w:spacing w:line="360" w:lineRule="auto"/>
        <w:ind w:firstLine="435"/>
        <w:rPr>
          <w:rFonts w:ascii="宋体" w:hAnsi="宋体"/>
          <w:color w:val="auto"/>
          <w:szCs w:val="21"/>
          <w:highlight w:val="none"/>
        </w:rPr>
      </w:pPr>
      <w:bookmarkStart w:id="114" w:name="_Ref467379400"/>
      <w:bookmarkEnd w:id="114"/>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“乙方”系指根据合同约定</w:t>
      </w:r>
      <w:r>
        <w:rPr>
          <w:rFonts w:hint="eastAsia" w:ascii="宋体" w:hAnsi="宋体"/>
          <w:color w:val="auto"/>
          <w:szCs w:val="21"/>
          <w:highlight w:val="none"/>
        </w:rPr>
        <w:t>提供服务</w:t>
      </w:r>
      <w:r>
        <w:rPr>
          <w:rFonts w:ascii="宋体" w:hAnsi="宋体"/>
          <w:color w:val="auto"/>
          <w:szCs w:val="21"/>
          <w:highlight w:val="none"/>
        </w:rPr>
        <w:t>的</w:t>
      </w:r>
      <w:r>
        <w:rPr>
          <w:rFonts w:hint="eastAsia" w:ascii="宋体" w:hAnsi="宋体"/>
          <w:color w:val="auto"/>
          <w:szCs w:val="21"/>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325F04F8">
      <w:pPr>
        <w:spacing w:line="360" w:lineRule="auto"/>
        <w:ind w:firstLine="435"/>
        <w:rPr>
          <w:rFonts w:ascii="宋体" w:hAnsi="宋体"/>
          <w:color w:val="auto"/>
          <w:szCs w:val="21"/>
          <w:highlight w:val="none"/>
        </w:rPr>
      </w:pPr>
      <w:bookmarkStart w:id="115" w:name="_Ref467379436"/>
      <w:bookmarkEnd w:id="115"/>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6</w:t>
      </w:r>
      <w:r>
        <w:rPr>
          <w:rFonts w:ascii="宋体" w:hAnsi="宋体"/>
          <w:color w:val="auto"/>
          <w:szCs w:val="21"/>
          <w:highlight w:val="none"/>
        </w:rPr>
        <w:t>“现场”系指合同约定</w:t>
      </w:r>
      <w:r>
        <w:rPr>
          <w:rFonts w:hint="eastAsia" w:ascii="宋体" w:hAnsi="宋体"/>
          <w:color w:val="auto"/>
          <w:szCs w:val="21"/>
          <w:highlight w:val="none"/>
        </w:rPr>
        <w:t>提供服务</w:t>
      </w:r>
      <w:r>
        <w:rPr>
          <w:rFonts w:ascii="宋体" w:hAnsi="宋体"/>
          <w:color w:val="auto"/>
          <w:szCs w:val="21"/>
          <w:highlight w:val="none"/>
        </w:rPr>
        <w:t>的地点。</w:t>
      </w:r>
    </w:p>
    <w:p w14:paraId="5748CE41">
      <w:pPr>
        <w:spacing w:line="360" w:lineRule="auto"/>
        <w:ind w:firstLine="437"/>
        <w:outlineLvl w:val="3"/>
        <w:rPr>
          <w:rFonts w:ascii="宋体" w:hAnsi="宋体"/>
          <w:b/>
          <w:bCs/>
          <w:color w:val="auto"/>
          <w:szCs w:val="21"/>
          <w:highlight w:val="none"/>
          <w:lang w:val="zh-CN"/>
        </w:rPr>
      </w:pPr>
      <w:bookmarkStart w:id="116" w:name="_Toc27635"/>
      <w:bookmarkEnd w:id="116"/>
      <w:bookmarkStart w:id="117" w:name="_Toc487900350"/>
      <w:bookmarkEnd w:id="117"/>
      <w:bookmarkStart w:id="118" w:name="_Toc259093670"/>
      <w:bookmarkEnd w:id="118"/>
      <w:bookmarkStart w:id="119" w:name="_Toc32504"/>
      <w:bookmarkEnd w:id="119"/>
      <w:bookmarkStart w:id="120" w:name="_Toc279701241"/>
      <w:bookmarkEnd w:id="120"/>
      <w:bookmarkStart w:id="121" w:name="_Toc13336"/>
      <w:bookmarkEnd w:id="121"/>
      <w:r>
        <w:rPr>
          <w:rFonts w:hint="eastAsia" w:ascii="宋体" w:hAnsi="宋体"/>
          <w:b/>
          <w:bCs/>
          <w:color w:val="auto"/>
          <w:szCs w:val="21"/>
          <w:highlight w:val="none"/>
          <w:lang w:val="zh-CN"/>
        </w:rPr>
        <w:t>2.</w:t>
      </w:r>
      <w:r>
        <w:rPr>
          <w:rFonts w:ascii="宋体" w:hAnsi="宋体"/>
          <w:b/>
          <w:bCs/>
          <w:color w:val="auto"/>
          <w:szCs w:val="21"/>
          <w:highlight w:val="none"/>
          <w:lang w:val="zh-CN"/>
        </w:rPr>
        <w:t>2 技术规范</w:t>
      </w:r>
    </w:p>
    <w:p w14:paraId="2894C0A9">
      <w:pPr>
        <w:spacing w:line="360" w:lineRule="auto"/>
        <w:ind w:firstLine="435"/>
        <w:rPr>
          <w:rFonts w:ascii="宋体" w:hAnsi="宋体"/>
          <w:color w:val="auto"/>
          <w:szCs w:val="21"/>
          <w:highlight w:val="none"/>
        </w:rPr>
      </w:pPr>
      <w:r>
        <w:rPr>
          <w:rFonts w:ascii="宋体" w:hAnsi="宋体"/>
          <w:color w:val="auto"/>
          <w:szCs w:val="21"/>
          <w:highlight w:val="none"/>
        </w:rPr>
        <w:t>货物所应遵守的技术规范应与采购文件规定的技术规范和技术规范附件(如果有的话)及其技术规范偏差表(如果被甲方接受的话)相一致</w:t>
      </w:r>
      <w:r>
        <w:rPr>
          <w:rFonts w:hint="eastAsia" w:ascii="宋体" w:hAnsi="宋体"/>
          <w:color w:val="auto"/>
          <w:szCs w:val="21"/>
          <w:highlight w:val="none"/>
        </w:rPr>
        <w:t>；</w:t>
      </w:r>
      <w:r>
        <w:rPr>
          <w:rFonts w:ascii="宋体" w:hAnsi="宋体"/>
          <w:color w:val="auto"/>
          <w:szCs w:val="21"/>
          <w:highlight w:val="none"/>
        </w:rPr>
        <w:t>如果采购文件中没有技术规范的相应说明，那么应以国家有关部门最新颁布的相应标准</w:t>
      </w:r>
      <w:r>
        <w:rPr>
          <w:rFonts w:hint="eastAsia" w:ascii="宋体" w:hAnsi="宋体"/>
          <w:color w:val="auto"/>
          <w:szCs w:val="21"/>
          <w:highlight w:val="none"/>
        </w:rPr>
        <w:t>和</w:t>
      </w:r>
      <w:r>
        <w:rPr>
          <w:rFonts w:ascii="宋体" w:hAnsi="宋体"/>
          <w:color w:val="auto"/>
          <w:szCs w:val="21"/>
          <w:highlight w:val="none"/>
        </w:rPr>
        <w:t>规范为准。</w:t>
      </w:r>
    </w:p>
    <w:p w14:paraId="021D016F">
      <w:pPr>
        <w:spacing w:line="360" w:lineRule="auto"/>
        <w:ind w:firstLine="437"/>
        <w:outlineLvl w:val="3"/>
        <w:rPr>
          <w:rFonts w:ascii="宋体" w:hAnsi="宋体"/>
          <w:b/>
          <w:bCs/>
          <w:color w:val="auto"/>
          <w:szCs w:val="21"/>
          <w:highlight w:val="none"/>
          <w:lang w:val="zh-CN"/>
        </w:rPr>
      </w:pPr>
      <w:bookmarkStart w:id="122" w:name="_Toc487900351"/>
      <w:bookmarkEnd w:id="122"/>
      <w:bookmarkStart w:id="123" w:name="_Toc9829"/>
      <w:bookmarkEnd w:id="123"/>
      <w:bookmarkStart w:id="124" w:name="_Toc27853"/>
      <w:bookmarkEnd w:id="124"/>
      <w:bookmarkStart w:id="125" w:name="_Toc31634"/>
      <w:bookmarkEnd w:id="125"/>
      <w:bookmarkStart w:id="126" w:name="_Toc279701242"/>
      <w:bookmarkEnd w:id="126"/>
      <w:bookmarkStart w:id="127" w:name="_Toc259093671"/>
      <w:bookmarkEnd w:id="127"/>
      <w:r>
        <w:rPr>
          <w:rFonts w:hint="eastAsia" w:ascii="宋体" w:hAnsi="宋体"/>
          <w:b/>
          <w:bCs/>
          <w:color w:val="auto"/>
          <w:szCs w:val="21"/>
          <w:highlight w:val="none"/>
          <w:lang w:val="zh-CN"/>
        </w:rPr>
        <w:t>2.</w:t>
      </w:r>
      <w:r>
        <w:rPr>
          <w:rFonts w:ascii="宋体" w:hAnsi="宋体"/>
          <w:b/>
          <w:bCs/>
          <w:color w:val="auto"/>
          <w:szCs w:val="21"/>
          <w:highlight w:val="none"/>
          <w:lang w:val="zh-CN"/>
        </w:rPr>
        <w:t>3 知识产权</w:t>
      </w:r>
    </w:p>
    <w:p w14:paraId="0FA2C0B2">
      <w:pPr>
        <w:spacing w:line="360" w:lineRule="auto"/>
        <w:ind w:firstLine="435"/>
        <w:rPr>
          <w:rFonts w:ascii="宋体" w:hAnsi="宋体"/>
          <w:color w:val="auto"/>
          <w:szCs w:val="21"/>
          <w:highlight w:val="none"/>
        </w:rPr>
      </w:pPr>
      <w:r>
        <w:rPr>
          <w:rFonts w:hint="eastAsia" w:ascii="宋体" w:hAnsi="宋体"/>
          <w:color w:val="auto"/>
          <w:szCs w:val="21"/>
          <w:highlight w:val="none"/>
        </w:rPr>
        <w:t>2.3.1乙</w:t>
      </w:r>
      <w:r>
        <w:rPr>
          <w:rFonts w:ascii="宋体" w:hAnsi="宋体"/>
          <w:color w:val="auto"/>
          <w:szCs w:val="21"/>
          <w:highlight w:val="none"/>
        </w:rPr>
        <w:t>方应保证</w:t>
      </w:r>
      <w:r>
        <w:rPr>
          <w:rFonts w:hint="eastAsia" w:ascii="宋体" w:hAnsi="宋体"/>
          <w:color w:val="auto"/>
          <w:szCs w:val="21"/>
          <w:highlight w:val="none"/>
        </w:rPr>
        <w:t>其提供的服务</w:t>
      </w:r>
      <w:r>
        <w:rPr>
          <w:rFonts w:ascii="宋体" w:hAnsi="宋体"/>
          <w:color w:val="auto"/>
          <w:szCs w:val="21"/>
          <w:highlight w:val="none"/>
        </w:rPr>
        <w:t>不受任何第三方提出的侵犯其著作权、商标权、专利权等知识产权方面的起诉</w:t>
      </w:r>
      <w:r>
        <w:rPr>
          <w:rFonts w:hint="eastAsia" w:ascii="宋体" w:hAnsi="宋体"/>
          <w:color w:val="auto"/>
          <w:szCs w:val="21"/>
          <w:highlight w:val="none"/>
        </w:rPr>
        <w:t>；</w:t>
      </w:r>
      <w:r>
        <w:rPr>
          <w:rFonts w:ascii="宋体" w:hAnsi="宋体"/>
          <w:color w:val="auto"/>
          <w:szCs w:val="21"/>
          <w:highlight w:val="none"/>
        </w:rPr>
        <w:t>如果任何第三方提出侵权</w:t>
      </w:r>
      <w:r>
        <w:rPr>
          <w:rFonts w:hint="eastAsia" w:ascii="宋体" w:hAnsi="宋体"/>
          <w:color w:val="auto"/>
          <w:szCs w:val="21"/>
          <w:highlight w:val="none"/>
        </w:rPr>
        <w:t>指控</w:t>
      </w:r>
      <w:r>
        <w:rPr>
          <w:rFonts w:ascii="宋体" w:hAnsi="宋体"/>
          <w:color w:val="auto"/>
          <w:szCs w:val="21"/>
          <w:highlight w:val="none"/>
        </w:rPr>
        <w:t>，那么乙方须与该第三方交涉并承担由此发生的一切责任、费用和赔偿</w:t>
      </w:r>
      <w:r>
        <w:rPr>
          <w:rFonts w:hint="eastAsia" w:ascii="宋体" w:hAnsi="宋体"/>
          <w:color w:val="auto"/>
          <w:szCs w:val="21"/>
          <w:highlight w:val="none"/>
        </w:rPr>
        <w:t>；</w:t>
      </w:r>
    </w:p>
    <w:p w14:paraId="3606FEF3">
      <w:pPr>
        <w:spacing w:line="360" w:lineRule="auto"/>
        <w:ind w:firstLine="435"/>
        <w:rPr>
          <w:rFonts w:ascii="宋体" w:hAnsi="宋体"/>
          <w:color w:val="auto"/>
          <w:szCs w:val="21"/>
          <w:highlight w:val="none"/>
        </w:rPr>
      </w:pPr>
      <w:r>
        <w:rPr>
          <w:rFonts w:hint="eastAsia" w:ascii="宋体" w:hAnsi="宋体"/>
          <w:color w:val="auto"/>
          <w:szCs w:val="21"/>
          <w:highlight w:val="none"/>
        </w:rPr>
        <w:t>2.3.2具有知识产权的计算机软件等货物的知识产权归属，</w:t>
      </w:r>
      <w:r>
        <w:rPr>
          <w:rFonts w:ascii="宋体" w:hAnsi="宋体"/>
          <w:color w:val="auto"/>
          <w:szCs w:val="21"/>
          <w:highlight w:val="none"/>
        </w:rPr>
        <w:t>详见</w:t>
      </w:r>
      <w:r>
        <w:rPr>
          <w:rFonts w:ascii="宋体" w:hAnsi="宋体"/>
          <w:b/>
          <w:i/>
          <w:color w:val="auto"/>
          <w:szCs w:val="21"/>
          <w:highlight w:val="none"/>
          <w:u w:val="single"/>
        </w:rPr>
        <w:t>合同专用条款</w:t>
      </w:r>
      <w:r>
        <w:rPr>
          <w:rFonts w:ascii="宋体" w:hAnsi="宋体"/>
          <w:color w:val="auto"/>
          <w:szCs w:val="21"/>
          <w:highlight w:val="none"/>
        </w:rPr>
        <w:t>。</w:t>
      </w:r>
    </w:p>
    <w:p w14:paraId="5886E64A">
      <w:pPr>
        <w:spacing w:line="360" w:lineRule="auto"/>
        <w:ind w:firstLine="437"/>
        <w:outlineLvl w:val="3"/>
        <w:rPr>
          <w:rFonts w:ascii="宋体" w:hAnsi="宋体"/>
          <w:b/>
          <w:bCs/>
          <w:color w:val="auto"/>
          <w:szCs w:val="21"/>
          <w:highlight w:val="none"/>
          <w:lang w:val="zh-CN"/>
        </w:rPr>
      </w:pPr>
      <w:bookmarkStart w:id="128" w:name="_Ref467378541"/>
      <w:bookmarkEnd w:id="128"/>
      <w:bookmarkStart w:id="129" w:name="_Toc30272"/>
      <w:bookmarkEnd w:id="129"/>
      <w:bookmarkStart w:id="130" w:name="_Toc26182"/>
      <w:bookmarkEnd w:id="130"/>
      <w:bookmarkStart w:id="131" w:name="_Ref467379542"/>
      <w:bookmarkEnd w:id="131"/>
      <w:bookmarkStart w:id="132" w:name="_Toc259093674"/>
      <w:bookmarkEnd w:id="132"/>
      <w:bookmarkStart w:id="133" w:name="_Ref467379536"/>
      <w:bookmarkEnd w:id="133"/>
      <w:bookmarkStart w:id="134" w:name="_Ref467378591"/>
      <w:bookmarkEnd w:id="134"/>
      <w:bookmarkStart w:id="135" w:name="_Toc19074"/>
      <w:bookmarkEnd w:id="135"/>
      <w:bookmarkStart w:id="136" w:name="_Toc487900354"/>
      <w:bookmarkEnd w:id="136"/>
      <w:bookmarkStart w:id="137" w:name="_Toc279701245"/>
      <w:bookmarkEnd w:id="137"/>
      <w:bookmarkStart w:id="138" w:name="_Ref467379527"/>
      <w:bookmarkEnd w:id="138"/>
      <w:r>
        <w:rPr>
          <w:rFonts w:hint="eastAsia" w:ascii="宋体" w:hAnsi="宋体"/>
          <w:b/>
          <w:bCs/>
          <w:color w:val="auto"/>
          <w:szCs w:val="21"/>
          <w:highlight w:val="none"/>
          <w:lang w:val="zh-CN"/>
        </w:rPr>
        <w:t>2.</w:t>
      </w:r>
      <w:r>
        <w:rPr>
          <w:rFonts w:ascii="宋体" w:hAnsi="宋体"/>
          <w:b/>
          <w:bCs/>
          <w:color w:val="auto"/>
          <w:szCs w:val="21"/>
          <w:highlight w:val="none"/>
          <w:lang w:val="zh-CN"/>
        </w:rPr>
        <w:t xml:space="preserve">4 </w:t>
      </w:r>
      <w:r>
        <w:rPr>
          <w:rFonts w:hint="eastAsia" w:ascii="宋体" w:hAnsi="宋体"/>
          <w:b/>
          <w:bCs/>
          <w:color w:val="auto"/>
          <w:szCs w:val="21"/>
          <w:highlight w:val="none"/>
          <w:lang w:val="zh-CN"/>
        </w:rPr>
        <w:t>履约检查和问题反馈</w:t>
      </w:r>
    </w:p>
    <w:p w14:paraId="7CF1535B">
      <w:pPr>
        <w:spacing w:line="360" w:lineRule="auto"/>
        <w:ind w:firstLine="435"/>
        <w:rPr>
          <w:rFonts w:ascii="宋体" w:hAnsi="宋体"/>
          <w:color w:val="auto"/>
          <w:szCs w:val="21"/>
          <w:highlight w:val="none"/>
        </w:rPr>
      </w:pPr>
      <w:bookmarkStart w:id="139" w:name="_Toc186431854"/>
      <w:bookmarkStart w:id="140" w:name="_Toc259093676"/>
      <w:bookmarkStart w:id="141" w:name="_Toc487900357"/>
      <w:bookmarkStart w:id="142" w:name="_Ref467379793"/>
      <w:bookmarkStart w:id="143" w:name="_Ref467379807"/>
      <w:bookmarkStart w:id="144" w:name="_Toc279701247"/>
      <w:r>
        <w:rPr>
          <w:rFonts w:hint="eastAsia" w:ascii="宋体" w:hAnsi="宋体"/>
          <w:color w:val="auto"/>
          <w:szCs w:val="21"/>
          <w:highlight w:val="none"/>
        </w:rPr>
        <w:t>2.4</w:t>
      </w:r>
      <w:r>
        <w:rPr>
          <w:rFonts w:ascii="宋体" w:hAnsi="宋体"/>
          <w:color w:val="auto"/>
          <w:szCs w:val="21"/>
          <w:highlight w:val="none"/>
        </w:rPr>
        <w:t>.1甲方</w:t>
      </w:r>
      <w:r>
        <w:rPr>
          <w:rFonts w:hint="eastAsia" w:ascii="宋体" w:hAnsi="宋体"/>
          <w:color w:val="auto"/>
          <w:szCs w:val="21"/>
          <w:highlight w:val="none"/>
        </w:rPr>
        <w:t>有权</w:t>
      </w:r>
      <w:r>
        <w:rPr>
          <w:rFonts w:ascii="宋体" w:hAnsi="宋体"/>
          <w:color w:val="auto"/>
          <w:szCs w:val="21"/>
          <w:highlight w:val="none"/>
        </w:rPr>
        <w:t>在其认为必要时</w:t>
      </w:r>
      <w:r>
        <w:rPr>
          <w:rFonts w:hint="eastAsia" w:ascii="宋体" w:hAnsi="宋体"/>
          <w:color w:val="auto"/>
          <w:szCs w:val="21"/>
          <w:highlight w:val="none"/>
        </w:rPr>
        <w:t>，对乙方是否能够按照合同约定提供服务进行履约检查，以确保乙方所提供的服务能够依约满足甲方项目需求，但不得因履约检查妨碍乙方的正常工作，乙方应予积极配合；</w:t>
      </w:r>
    </w:p>
    <w:bookmarkEnd w:id="139"/>
    <w:p w14:paraId="3A0187AA">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4</w:t>
      </w:r>
      <w:r>
        <w:rPr>
          <w:rFonts w:hint="eastAsia" w:ascii="宋体" w:hAnsi="宋体"/>
          <w:color w:val="auto"/>
          <w:szCs w:val="21"/>
          <w:highlight w:val="none"/>
        </w:rPr>
        <w:t>.2合同履行期间，甲方有权将履行过程中出现的问题反馈给乙方，双方当事人应以书面形式约定需要完善和改进的内容。</w:t>
      </w:r>
    </w:p>
    <w:bookmarkEnd w:id="140"/>
    <w:bookmarkEnd w:id="141"/>
    <w:bookmarkEnd w:id="142"/>
    <w:bookmarkEnd w:id="143"/>
    <w:bookmarkEnd w:id="144"/>
    <w:p w14:paraId="2BA40A26">
      <w:pPr>
        <w:spacing w:line="360" w:lineRule="auto"/>
        <w:ind w:firstLine="437"/>
        <w:outlineLvl w:val="3"/>
        <w:rPr>
          <w:rFonts w:ascii="宋体" w:hAnsi="宋体"/>
          <w:b/>
          <w:bCs/>
          <w:color w:val="auto"/>
          <w:szCs w:val="21"/>
          <w:highlight w:val="none"/>
          <w:lang w:val="zh-CN"/>
        </w:rPr>
      </w:pPr>
      <w:bookmarkStart w:id="145" w:name="_Toc19219"/>
      <w:bookmarkEnd w:id="145"/>
      <w:bookmarkStart w:id="146" w:name="_Toc7836"/>
      <w:bookmarkEnd w:id="146"/>
      <w:bookmarkStart w:id="147" w:name="_Toc28451"/>
      <w:bookmarkEnd w:id="147"/>
      <w:r>
        <w:rPr>
          <w:rFonts w:hint="eastAsia" w:ascii="宋体" w:hAnsi="宋体"/>
          <w:b/>
          <w:bCs/>
          <w:color w:val="auto"/>
          <w:szCs w:val="21"/>
          <w:highlight w:val="none"/>
          <w:lang w:val="zh-CN"/>
        </w:rPr>
        <w:t>2.</w:t>
      </w:r>
      <w:r>
        <w:rPr>
          <w:rFonts w:ascii="宋体" w:hAnsi="宋体"/>
          <w:b/>
          <w:bCs/>
          <w:color w:val="auto"/>
          <w:szCs w:val="21"/>
          <w:highlight w:val="none"/>
          <w:lang w:val="zh-CN"/>
        </w:rPr>
        <w:t>5</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结算方式和付款条件</w:t>
      </w:r>
    </w:p>
    <w:p w14:paraId="3F916C45">
      <w:pPr>
        <w:spacing w:line="360" w:lineRule="auto"/>
        <w:ind w:firstLine="435"/>
        <w:rPr>
          <w:rFonts w:ascii="宋体" w:hAnsi="宋体"/>
          <w:color w:val="auto"/>
          <w:szCs w:val="21"/>
          <w:highlight w:val="none"/>
        </w:rPr>
      </w:pPr>
      <w:r>
        <w:rPr>
          <w:rFonts w:ascii="宋体" w:hAnsi="宋体"/>
          <w:color w:val="auto"/>
          <w:szCs w:val="21"/>
          <w:highlight w:val="none"/>
        </w:rPr>
        <w:t>详见</w:t>
      </w:r>
      <w:r>
        <w:rPr>
          <w:rFonts w:ascii="宋体" w:hAnsi="宋体"/>
          <w:b/>
          <w:i/>
          <w:color w:val="auto"/>
          <w:szCs w:val="21"/>
          <w:highlight w:val="none"/>
          <w:u w:val="single"/>
        </w:rPr>
        <w:t>合同专用条款</w:t>
      </w:r>
      <w:r>
        <w:rPr>
          <w:rFonts w:ascii="宋体" w:hAnsi="宋体"/>
          <w:color w:val="auto"/>
          <w:szCs w:val="21"/>
          <w:highlight w:val="none"/>
        </w:rPr>
        <w:t>。</w:t>
      </w:r>
    </w:p>
    <w:p w14:paraId="7C5F591A">
      <w:pPr>
        <w:spacing w:line="360" w:lineRule="auto"/>
        <w:ind w:firstLine="437"/>
        <w:outlineLvl w:val="3"/>
        <w:rPr>
          <w:rFonts w:ascii="宋体" w:hAnsi="宋体"/>
          <w:b/>
          <w:bCs/>
          <w:color w:val="auto"/>
          <w:szCs w:val="21"/>
          <w:highlight w:val="none"/>
          <w:lang w:val="zh-CN"/>
        </w:rPr>
      </w:pPr>
      <w:bookmarkStart w:id="148" w:name="_Toc3225"/>
      <w:bookmarkEnd w:id="148"/>
      <w:bookmarkStart w:id="149" w:name="_Toc774"/>
      <w:bookmarkEnd w:id="149"/>
      <w:bookmarkStart w:id="150" w:name="_Ref467379923"/>
      <w:bookmarkEnd w:id="150"/>
      <w:bookmarkStart w:id="151" w:name="_Toc16110"/>
      <w:bookmarkEnd w:id="151"/>
      <w:bookmarkStart w:id="152" w:name="_Toc487900358"/>
      <w:bookmarkEnd w:id="152"/>
      <w:bookmarkStart w:id="153" w:name="_Ref467379863"/>
      <w:bookmarkEnd w:id="153"/>
      <w:bookmarkStart w:id="154" w:name="_Toc279701248"/>
      <w:bookmarkEnd w:id="154"/>
      <w:bookmarkStart w:id="155" w:name="_Ref467379852"/>
      <w:bookmarkEnd w:id="155"/>
      <w:bookmarkStart w:id="156" w:name="_Toc259093677"/>
      <w:bookmarkEnd w:id="156"/>
      <w:r>
        <w:rPr>
          <w:rFonts w:hint="eastAsia" w:ascii="宋体" w:hAnsi="宋体"/>
          <w:b/>
          <w:bCs/>
          <w:color w:val="auto"/>
          <w:szCs w:val="21"/>
          <w:highlight w:val="none"/>
          <w:lang w:val="zh-CN"/>
        </w:rPr>
        <w:t>2.</w:t>
      </w:r>
      <w:r>
        <w:rPr>
          <w:rFonts w:ascii="宋体" w:hAnsi="宋体"/>
          <w:b/>
          <w:bCs/>
          <w:color w:val="auto"/>
          <w:szCs w:val="21"/>
          <w:highlight w:val="none"/>
          <w:lang w:val="zh-CN"/>
        </w:rPr>
        <w:t>6</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技术资料和保密义务</w:t>
      </w:r>
    </w:p>
    <w:p w14:paraId="3C97C01C">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6.1</w:t>
      </w:r>
      <w:r>
        <w:rPr>
          <w:rFonts w:hint="eastAsia" w:ascii="宋体" w:hAnsi="宋体"/>
          <w:color w:val="auto"/>
          <w:szCs w:val="21"/>
          <w:highlight w:val="none"/>
        </w:rPr>
        <w:t>乙方有权依据合同约定和项目需要，向甲方了解有关情况，调阅有关资料等，甲方应予积极配合；</w:t>
      </w:r>
    </w:p>
    <w:p w14:paraId="407993B8">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.2乙方有义务妥善保管和保护由甲方提供的前款信息和资料等；</w:t>
      </w:r>
    </w:p>
    <w:p w14:paraId="527F0C86">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Cs w:val="21"/>
          <w:highlight w:val="none"/>
        </w:rPr>
        <w:t>技术情报</w:t>
      </w:r>
      <w:r>
        <w:rPr>
          <w:rFonts w:hint="eastAsia" w:ascii="宋体" w:hAnsi="宋体"/>
          <w:color w:val="auto"/>
          <w:szCs w:val="21"/>
          <w:highlight w:val="none"/>
        </w:rPr>
        <w:t>、</w:t>
      </w:r>
      <w:r>
        <w:rPr>
          <w:rFonts w:ascii="宋体" w:hAnsi="宋体"/>
          <w:color w:val="auto"/>
          <w:szCs w:val="21"/>
          <w:highlight w:val="none"/>
        </w:rPr>
        <w:t>技术资料</w:t>
      </w:r>
      <w:r>
        <w:rPr>
          <w:rFonts w:hint="eastAsia" w:ascii="宋体" w:hAnsi="宋体"/>
          <w:color w:val="auto"/>
          <w:szCs w:val="21"/>
          <w:highlight w:val="none"/>
        </w:rPr>
        <w:t>、商业秘密和商业信息等，并采取一切合理和必要措施和方式防止任何第三方接触到对方当事人的上述保密信息和资料。</w:t>
      </w:r>
    </w:p>
    <w:p w14:paraId="299BF282">
      <w:pPr>
        <w:spacing w:line="360" w:lineRule="auto"/>
        <w:ind w:firstLine="437"/>
        <w:outlineLvl w:val="3"/>
        <w:rPr>
          <w:rFonts w:ascii="宋体" w:hAnsi="宋体"/>
          <w:b/>
          <w:bCs/>
          <w:color w:val="auto"/>
          <w:szCs w:val="21"/>
          <w:highlight w:val="none"/>
          <w:lang w:val="zh-CN"/>
        </w:rPr>
      </w:pPr>
      <w:bookmarkStart w:id="157" w:name="_Toc7860"/>
      <w:bookmarkEnd w:id="157"/>
      <w:r>
        <w:rPr>
          <w:rFonts w:ascii="宋体" w:hAnsi="宋体"/>
          <w:b/>
          <w:bCs/>
          <w:color w:val="auto"/>
          <w:szCs w:val="21"/>
          <w:highlight w:val="none"/>
          <w:lang w:val="zh-CN"/>
        </w:rPr>
        <w:t>2.7 质量保证</w:t>
      </w:r>
    </w:p>
    <w:p w14:paraId="52CBFF75">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7</w:t>
      </w:r>
      <w:r>
        <w:rPr>
          <w:rFonts w:hint="eastAsia" w:ascii="宋体" w:hAnsi="宋体"/>
          <w:color w:val="auto"/>
          <w:szCs w:val="21"/>
          <w:highlight w:val="none"/>
        </w:rPr>
        <w:t>.1乙方应建立和完善履行合同的内部质量保证体系，并提供相关内部规章制度给甲方，以便甲方进行监督检查；</w:t>
      </w:r>
    </w:p>
    <w:p w14:paraId="6AE0B834">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7</w:t>
      </w:r>
      <w:r>
        <w:rPr>
          <w:rFonts w:hint="eastAsia" w:ascii="宋体" w:hAnsi="宋体"/>
          <w:color w:val="auto"/>
          <w:szCs w:val="21"/>
          <w:highlight w:val="none"/>
        </w:rPr>
        <w:t>.2乙方应保证履行合同的人员数量和素质、软件和硬件设备的配置、场地、环境和设施等满足全面履行合同的要求，并应接受甲方的监督检查。</w:t>
      </w:r>
    </w:p>
    <w:p w14:paraId="03E3AD4E">
      <w:pPr>
        <w:spacing w:line="360" w:lineRule="auto"/>
        <w:ind w:firstLine="437"/>
        <w:outlineLvl w:val="3"/>
        <w:rPr>
          <w:rFonts w:ascii="宋体" w:hAnsi="宋体"/>
          <w:b/>
          <w:color w:val="auto"/>
          <w:szCs w:val="21"/>
          <w:highlight w:val="none"/>
        </w:rPr>
      </w:pPr>
      <w:bookmarkStart w:id="158" w:name="_Toc22267"/>
      <w:bookmarkEnd w:id="158"/>
      <w:r>
        <w:rPr>
          <w:rFonts w:hint="eastAsia" w:ascii="宋体" w:hAnsi="宋体"/>
          <w:b/>
          <w:color w:val="auto"/>
          <w:szCs w:val="21"/>
          <w:highlight w:val="none"/>
        </w:rPr>
        <w:t>2.8 延迟履行</w:t>
      </w:r>
    </w:p>
    <w:p w14:paraId="741803A8">
      <w:pPr>
        <w:spacing w:line="360" w:lineRule="auto"/>
        <w:ind w:firstLine="435"/>
        <w:rPr>
          <w:rFonts w:ascii="宋体" w:hAnsi="宋体"/>
          <w:color w:val="auto"/>
          <w:szCs w:val="21"/>
          <w:highlight w:val="none"/>
        </w:rPr>
      </w:pPr>
      <w:r>
        <w:rPr>
          <w:rFonts w:ascii="宋体" w:hAnsi="宋体"/>
          <w:color w:val="auto"/>
          <w:szCs w:val="21"/>
          <w:highlight w:val="none"/>
        </w:rPr>
        <w:t>在合同履行过程中，如果乙方遇到不能按时</w:t>
      </w:r>
      <w:r>
        <w:rPr>
          <w:rFonts w:hint="eastAsia" w:ascii="宋体" w:hAnsi="宋体"/>
          <w:color w:val="auto"/>
          <w:szCs w:val="21"/>
          <w:highlight w:val="none"/>
        </w:rPr>
        <w:t>提供服务</w:t>
      </w:r>
      <w:r>
        <w:rPr>
          <w:rFonts w:ascii="宋体" w:hAnsi="宋体"/>
          <w:color w:val="auto"/>
          <w:szCs w:val="21"/>
          <w:highlight w:val="none"/>
        </w:rPr>
        <w:t>的情况，应及时以书面形式将不能按时</w:t>
      </w:r>
      <w:r>
        <w:rPr>
          <w:rFonts w:hint="eastAsia" w:ascii="宋体" w:hAnsi="宋体"/>
          <w:color w:val="auto"/>
          <w:szCs w:val="21"/>
          <w:highlight w:val="none"/>
        </w:rPr>
        <w:t>提供服务</w:t>
      </w:r>
      <w:r>
        <w:rPr>
          <w:rFonts w:ascii="宋体" w:hAnsi="宋体"/>
          <w:color w:val="auto"/>
          <w:szCs w:val="21"/>
          <w:highlight w:val="none"/>
        </w:rPr>
        <w:t>的理由、预期延误时间通知甲方</w:t>
      </w:r>
      <w:r>
        <w:rPr>
          <w:rFonts w:hint="eastAsia" w:ascii="宋体" w:hAnsi="宋体"/>
          <w:color w:val="auto"/>
          <w:szCs w:val="21"/>
          <w:highlight w:val="none"/>
        </w:rPr>
        <w:t>；甲</w:t>
      </w:r>
      <w:r>
        <w:rPr>
          <w:rFonts w:ascii="宋体" w:hAnsi="宋体"/>
          <w:color w:val="auto"/>
          <w:szCs w:val="21"/>
          <w:highlight w:val="none"/>
        </w:rPr>
        <w:t>方收到乙方通知后，认为其理由正当的，可以书面形式酌情同意乙方可以延长</w:t>
      </w:r>
      <w:r>
        <w:rPr>
          <w:rFonts w:hint="eastAsia" w:ascii="宋体" w:hAnsi="宋体"/>
          <w:color w:val="auto"/>
          <w:szCs w:val="21"/>
          <w:highlight w:val="none"/>
        </w:rPr>
        <w:t>履行</w:t>
      </w:r>
      <w:r>
        <w:rPr>
          <w:rFonts w:ascii="宋体" w:hAnsi="宋体"/>
          <w:color w:val="auto"/>
          <w:szCs w:val="21"/>
          <w:highlight w:val="none"/>
        </w:rPr>
        <w:t>的具体时间。</w:t>
      </w:r>
    </w:p>
    <w:p w14:paraId="063573F8">
      <w:pPr>
        <w:spacing w:line="360" w:lineRule="auto"/>
        <w:ind w:firstLine="437"/>
        <w:outlineLvl w:val="3"/>
        <w:rPr>
          <w:rFonts w:ascii="宋体" w:hAnsi="宋体"/>
          <w:b/>
          <w:bCs/>
          <w:color w:val="auto"/>
          <w:szCs w:val="21"/>
          <w:highlight w:val="none"/>
          <w:lang w:val="zh-CN"/>
        </w:rPr>
      </w:pPr>
      <w:bookmarkStart w:id="159" w:name="_Toc7502"/>
      <w:bookmarkEnd w:id="159"/>
      <w:r>
        <w:rPr>
          <w:rFonts w:ascii="宋体" w:hAnsi="宋体"/>
          <w:b/>
          <w:bCs/>
          <w:color w:val="auto"/>
          <w:szCs w:val="21"/>
          <w:highlight w:val="none"/>
          <w:lang w:val="zh-CN"/>
        </w:rPr>
        <w:t>2.9 合同变更</w:t>
      </w:r>
    </w:p>
    <w:p w14:paraId="0B84F19E">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w:t>
      </w:r>
      <w:r>
        <w:rPr>
          <w:rFonts w:hint="eastAsia" w:ascii="宋体" w:hAnsi="宋体"/>
          <w:color w:val="auto"/>
          <w:szCs w:val="21"/>
          <w:highlight w:val="none"/>
        </w:rPr>
        <w:t>.1双方当事人协商一致，可以签订书面补充合同的形式变更合同，但不得违背采购文件确定的事项；</w:t>
      </w:r>
    </w:p>
    <w:p w14:paraId="6D0F9E3E">
      <w:pPr>
        <w:spacing w:line="360" w:lineRule="auto"/>
        <w:ind w:firstLine="435"/>
        <w:rPr>
          <w:rFonts w:ascii="宋体" w:hAnsi="宋体"/>
          <w:color w:val="auto"/>
          <w:szCs w:val="21"/>
          <w:highlight w:val="none"/>
        </w:rPr>
      </w:pPr>
      <w:bookmarkStart w:id="160" w:name="_Toc279701259"/>
      <w:bookmarkStart w:id="161" w:name="_Toc259093688"/>
      <w:bookmarkStart w:id="162" w:name="_Toc487900369"/>
      <w:r>
        <w:rPr>
          <w:rFonts w:hint="eastAsia" w:ascii="宋体" w:hAnsi="宋体"/>
          <w:color w:val="auto"/>
          <w:szCs w:val="21"/>
          <w:highlight w:val="none"/>
        </w:rPr>
        <w:t>2.</w:t>
      </w:r>
      <w:r>
        <w:rPr>
          <w:rFonts w:ascii="宋体" w:hAnsi="宋体"/>
          <w:color w:val="auto"/>
          <w:szCs w:val="21"/>
          <w:highlight w:val="none"/>
        </w:rPr>
        <w:t>9</w:t>
      </w:r>
      <w:r>
        <w:rPr>
          <w:rFonts w:hint="eastAsia" w:ascii="宋体" w:hAnsi="宋体"/>
          <w:color w:val="auto"/>
          <w:szCs w:val="21"/>
          <w:highlight w:val="none"/>
        </w:rPr>
        <w:t>.2合同继续履行将损害国家利益和社会公共利益的，双方当事人应当以书面形式变更合同。有过错的一方应当承担赔偿责任，双方当事人都有过错的，各自承担相应的责任。</w:t>
      </w:r>
    </w:p>
    <w:bookmarkEnd w:id="160"/>
    <w:bookmarkEnd w:id="161"/>
    <w:bookmarkEnd w:id="162"/>
    <w:p w14:paraId="142E0711">
      <w:pPr>
        <w:spacing w:line="360" w:lineRule="auto"/>
        <w:ind w:firstLine="437"/>
        <w:outlineLvl w:val="3"/>
        <w:rPr>
          <w:rFonts w:ascii="宋体" w:hAnsi="宋体"/>
          <w:b/>
          <w:bCs/>
          <w:color w:val="auto"/>
          <w:szCs w:val="21"/>
          <w:highlight w:val="none"/>
          <w:lang w:val="zh-CN"/>
        </w:rPr>
      </w:pPr>
      <w:bookmarkStart w:id="163" w:name="_Toc22955"/>
      <w:bookmarkEnd w:id="163"/>
      <w:bookmarkStart w:id="164" w:name="_Toc10366"/>
      <w:bookmarkEnd w:id="164"/>
      <w:bookmarkStart w:id="165" w:name="_Toc15237"/>
      <w:bookmarkEnd w:id="165"/>
      <w:r>
        <w:rPr>
          <w:rFonts w:hint="eastAsia" w:ascii="宋体" w:hAnsi="宋体"/>
          <w:b/>
          <w:bCs/>
          <w:color w:val="auto"/>
          <w:szCs w:val="21"/>
          <w:highlight w:val="none"/>
          <w:lang w:val="zh-CN"/>
        </w:rPr>
        <w:t>2.1</w:t>
      </w:r>
      <w:r>
        <w:rPr>
          <w:rFonts w:ascii="宋体" w:hAnsi="宋体"/>
          <w:b/>
          <w:bCs/>
          <w:color w:val="auto"/>
          <w:szCs w:val="21"/>
          <w:highlight w:val="none"/>
          <w:lang w:val="zh-CN"/>
        </w:rPr>
        <w:t>0</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合同转让和分包</w:t>
      </w:r>
    </w:p>
    <w:p w14:paraId="0D996263">
      <w:pPr>
        <w:spacing w:line="360" w:lineRule="auto"/>
        <w:ind w:firstLine="435"/>
        <w:rPr>
          <w:rFonts w:ascii="宋体" w:hAnsi="宋体"/>
          <w:color w:val="auto"/>
          <w:szCs w:val="21"/>
          <w:highlight w:val="none"/>
        </w:rPr>
      </w:pPr>
      <w:r>
        <w:rPr>
          <w:rFonts w:ascii="宋体" w:hAnsi="宋体"/>
          <w:color w:val="auto"/>
          <w:szCs w:val="21"/>
          <w:highlight w:val="none"/>
        </w:rPr>
        <w:t>合同的权利义务依法不</w:t>
      </w:r>
      <w:r>
        <w:rPr>
          <w:rFonts w:hint="eastAsia" w:ascii="宋体" w:hAnsi="宋体"/>
          <w:color w:val="auto"/>
          <w:szCs w:val="21"/>
          <w:highlight w:val="none"/>
        </w:rPr>
        <w:t>得</w:t>
      </w:r>
      <w:r>
        <w:rPr>
          <w:rFonts w:ascii="宋体" w:hAnsi="宋体"/>
          <w:color w:val="auto"/>
          <w:szCs w:val="21"/>
          <w:highlight w:val="none"/>
        </w:rPr>
        <w:t>转让</w:t>
      </w:r>
      <w:r>
        <w:rPr>
          <w:rFonts w:hint="eastAsia" w:ascii="宋体" w:hAnsi="宋体"/>
          <w:color w:val="auto"/>
          <w:szCs w:val="21"/>
          <w:highlight w:val="none"/>
        </w:rPr>
        <w:t>，</w:t>
      </w:r>
      <w:r>
        <w:rPr>
          <w:rFonts w:ascii="宋体" w:hAnsi="宋体"/>
          <w:color w:val="auto"/>
          <w:szCs w:val="21"/>
          <w:highlight w:val="none"/>
        </w:rPr>
        <w:t>但经甲方</w:t>
      </w:r>
      <w:r>
        <w:rPr>
          <w:rFonts w:hint="eastAsia" w:ascii="宋体" w:hAnsi="宋体"/>
          <w:color w:val="auto"/>
          <w:szCs w:val="21"/>
          <w:highlight w:val="none"/>
        </w:rPr>
        <w:t>同意，乙方可以依法采取分包方式履行合同，即：依法可以</w:t>
      </w:r>
      <w:r>
        <w:rPr>
          <w:rFonts w:ascii="宋体" w:hAnsi="宋体"/>
          <w:color w:val="auto"/>
          <w:szCs w:val="21"/>
          <w:highlight w:val="none"/>
        </w:rPr>
        <w:t>将合同项下的部分非主体、非关键性工作分包给他人完成</w:t>
      </w:r>
      <w:r>
        <w:rPr>
          <w:rFonts w:hint="eastAsia" w:ascii="宋体" w:hAnsi="宋体"/>
          <w:color w:val="auto"/>
          <w:szCs w:val="21"/>
          <w:highlight w:val="none"/>
        </w:rPr>
        <w:t>，</w:t>
      </w:r>
      <w:r>
        <w:rPr>
          <w:rFonts w:ascii="宋体" w:hAnsi="宋体"/>
          <w:color w:val="auto"/>
          <w:szCs w:val="21"/>
          <w:highlight w:val="none"/>
        </w:rPr>
        <w:t>接受分包的人应当具备相应的资格条件，并不得再次分包</w:t>
      </w:r>
      <w:r>
        <w:rPr>
          <w:rFonts w:hint="eastAsia" w:ascii="宋体" w:hAnsi="宋体"/>
          <w:color w:val="auto"/>
          <w:szCs w:val="21"/>
          <w:highlight w:val="none"/>
        </w:rPr>
        <w:t>，</w:t>
      </w:r>
      <w:r>
        <w:rPr>
          <w:rFonts w:ascii="宋体" w:hAnsi="宋体"/>
          <w:color w:val="auto"/>
          <w:szCs w:val="21"/>
          <w:highlight w:val="none"/>
        </w:rPr>
        <w:t>且乙方应就分包项目向甲方负责</w:t>
      </w:r>
      <w:r>
        <w:rPr>
          <w:rFonts w:hint="eastAsia" w:ascii="宋体" w:hAnsi="宋体"/>
          <w:color w:val="auto"/>
          <w:szCs w:val="21"/>
          <w:highlight w:val="none"/>
        </w:rPr>
        <w:t>，</w:t>
      </w:r>
      <w:r>
        <w:rPr>
          <w:rFonts w:ascii="宋体" w:hAnsi="宋体"/>
          <w:color w:val="auto"/>
          <w:szCs w:val="21"/>
          <w:highlight w:val="none"/>
        </w:rPr>
        <w:t>并</w:t>
      </w:r>
      <w:r>
        <w:rPr>
          <w:rFonts w:hint="eastAsia" w:ascii="宋体" w:hAnsi="宋体"/>
          <w:color w:val="auto"/>
          <w:szCs w:val="21"/>
          <w:highlight w:val="none"/>
        </w:rPr>
        <w:t>与分包供应商就分包项目向甲方承担连带责任。</w:t>
      </w:r>
    </w:p>
    <w:p w14:paraId="132E7896">
      <w:pPr>
        <w:spacing w:line="360" w:lineRule="auto"/>
        <w:ind w:firstLine="437"/>
        <w:outlineLvl w:val="3"/>
        <w:rPr>
          <w:rFonts w:ascii="宋体" w:hAnsi="宋体"/>
          <w:b/>
          <w:bCs/>
          <w:color w:val="auto"/>
          <w:szCs w:val="21"/>
          <w:highlight w:val="none"/>
          <w:lang w:val="zh-CN"/>
        </w:rPr>
      </w:pPr>
      <w:bookmarkStart w:id="166" w:name="_Toc16508"/>
      <w:bookmarkEnd w:id="166"/>
      <w:bookmarkStart w:id="167" w:name="_Toc13566"/>
      <w:bookmarkEnd w:id="167"/>
      <w:bookmarkStart w:id="168" w:name="_Toc14066"/>
      <w:bookmarkEnd w:id="168"/>
      <w:r>
        <w:rPr>
          <w:rFonts w:hint="eastAsia" w:ascii="宋体" w:hAnsi="宋体"/>
          <w:b/>
          <w:bCs/>
          <w:color w:val="auto"/>
          <w:szCs w:val="21"/>
          <w:highlight w:val="none"/>
          <w:lang w:val="zh-CN"/>
        </w:rPr>
        <w:t>2.1</w:t>
      </w:r>
      <w:r>
        <w:rPr>
          <w:rFonts w:ascii="宋体" w:hAnsi="宋体"/>
          <w:b/>
          <w:bCs/>
          <w:color w:val="auto"/>
          <w:szCs w:val="21"/>
          <w:highlight w:val="none"/>
          <w:lang w:val="zh-CN"/>
        </w:rPr>
        <w:t>1 不可抗力</w:t>
      </w:r>
    </w:p>
    <w:p w14:paraId="553948B3">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1.1如果任何一方遭遇法律规定的不可抗力，致使合同履行受阻时，履行合同的期限应予延长，延长的期限应相当于不可抗力所影响的时间</w:t>
      </w:r>
      <w:r>
        <w:rPr>
          <w:rFonts w:hint="eastAsia" w:ascii="宋体" w:hAnsi="宋体"/>
          <w:color w:val="auto"/>
          <w:szCs w:val="21"/>
          <w:highlight w:val="none"/>
        </w:rPr>
        <w:t>；</w:t>
      </w:r>
    </w:p>
    <w:p w14:paraId="04079457">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olor w:val="auto"/>
          <w:szCs w:val="21"/>
          <w:highlight w:val="none"/>
        </w:rPr>
        <w:t>.2因不可抗力致使不能实现合同目的的，当事人可以解除合同；</w:t>
      </w:r>
    </w:p>
    <w:p w14:paraId="770722E8">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olor w:val="auto"/>
          <w:szCs w:val="21"/>
          <w:highlight w:val="none"/>
        </w:rPr>
        <w:t>.3因</w:t>
      </w:r>
      <w:r>
        <w:rPr>
          <w:rFonts w:ascii="宋体" w:hAnsi="宋体"/>
          <w:color w:val="auto"/>
          <w:szCs w:val="21"/>
          <w:highlight w:val="none"/>
        </w:rPr>
        <w:t>不可抗力致使合同有变更必要的，双方当事人应在</w:t>
      </w:r>
      <w:r>
        <w:rPr>
          <w:rFonts w:ascii="宋体" w:hAnsi="宋体"/>
          <w:b/>
          <w:i/>
          <w:color w:val="auto"/>
          <w:szCs w:val="21"/>
          <w:highlight w:val="none"/>
          <w:u w:val="single"/>
        </w:rPr>
        <w:t>合同专用条款</w:t>
      </w:r>
      <w:r>
        <w:rPr>
          <w:rFonts w:ascii="宋体" w:hAnsi="宋体"/>
          <w:color w:val="auto"/>
          <w:szCs w:val="21"/>
          <w:highlight w:val="none"/>
        </w:rPr>
        <w:t>约定时间内以书面形式变更合同</w:t>
      </w:r>
      <w:r>
        <w:rPr>
          <w:rFonts w:hint="eastAsia" w:ascii="宋体" w:hAnsi="宋体"/>
          <w:color w:val="auto"/>
          <w:szCs w:val="21"/>
          <w:highlight w:val="none"/>
        </w:rPr>
        <w:t>；</w:t>
      </w:r>
    </w:p>
    <w:p w14:paraId="7F570675">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受</w:t>
      </w:r>
      <w:r>
        <w:rPr>
          <w:rFonts w:hint="eastAsia" w:ascii="宋体" w:hAnsi="宋体"/>
          <w:color w:val="auto"/>
          <w:szCs w:val="21"/>
          <w:highlight w:val="none"/>
        </w:rPr>
        <w:t>不可抗力</w:t>
      </w:r>
      <w:r>
        <w:rPr>
          <w:rFonts w:ascii="宋体" w:hAnsi="宋体"/>
          <w:color w:val="auto"/>
          <w:szCs w:val="21"/>
          <w:highlight w:val="none"/>
        </w:rPr>
        <w:t>影响的一方在不可抗力发生后</w:t>
      </w:r>
      <w:r>
        <w:rPr>
          <w:rFonts w:hint="eastAsia" w:ascii="宋体" w:hAnsi="宋体"/>
          <w:color w:val="auto"/>
          <w:szCs w:val="21"/>
          <w:highlight w:val="none"/>
        </w:rPr>
        <w:t>，</w:t>
      </w:r>
      <w:r>
        <w:rPr>
          <w:rFonts w:ascii="宋体" w:hAnsi="宋体"/>
          <w:color w:val="auto"/>
          <w:szCs w:val="21"/>
          <w:highlight w:val="none"/>
        </w:rPr>
        <w:t>应在</w:t>
      </w:r>
      <w:r>
        <w:rPr>
          <w:rFonts w:ascii="宋体" w:hAnsi="宋体"/>
          <w:b/>
          <w:i/>
          <w:color w:val="auto"/>
          <w:szCs w:val="21"/>
          <w:highlight w:val="none"/>
          <w:u w:val="single"/>
        </w:rPr>
        <w:t>合同专用条款</w:t>
      </w:r>
      <w:r>
        <w:rPr>
          <w:rFonts w:ascii="宋体" w:hAnsi="宋体"/>
          <w:color w:val="auto"/>
          <w:szCs w:val="21"/>
          <w:highlight w:val="none"/>
        </w:rPr>
        <w:t>约定时间内以书面形式通知</w:t>
      </w:r>
      <w:r>
        <w:rPr>
          <w:rFonts w:hint="eastAsia" w:ascii="宋体" w:hAnsi="宋体"/>
          <w:color w:val="auto"/>
          <w:szCs w:val="21"/>
          <w:highlight w:val="none"/>
        </w:rPr>
        <w:t>对</w:t>
      </w:r>
      <w:r>
        <w:rPr>
          <w:rFonts w:ascii="宋体" w:hAnsi="宋体"/>
          <w:color w:val="auto"/>
          <w:szCs w:val="21"/>
          <w:highlight w:val="none"/>
        </w:rPr>
        <w:t>方当事人，并在</w:t>
      </w:r>
      <w:r>
        <w:rPr>
          <w:rFonts w:ascii="宋体" w:hAnsi="宋体"/>
          <w:b/>
          <w:i/>
          <w:color w:val="auto"/>
          <w:szCs w:val="21"/>
          <w:highlight w:val="none"/>
          <w:u w:val="single"/>
        </w:rPr>
        <w:t>合同专用条款</w:t>
      </w:r>
      <w:r>
        <w:rPr>
          <w:rFonts w:ascii="宋体" w:hAnsi="宋体"/>
          <w:color w:val="auto"/>
          <w:szCs w:val="21"/>
          <w:highlight w:val="none"/>
        </w:rPr>
        <w:t>约定时间内，将有关部门出具的证明文件送达</w:t>
      </w:r>
      <w:r>
        <w:rPr>
          <w:rFonts w:hint="eastAsia" w:ascii="宋体" w:hAnsi="宋体"/>
          <w:color w:val="auto"/>
          <w:szCs w:val="21"/>
          <w:highlight w:val="none"/>
        </w:rPr>
        <w:t>对方当事人</w:t>
      </w:r>
      <w:r>
        <w:rPr>
          <w:rFonts w:ascii="宋体" w:hAnsi="宋体"/>
          <w:color w:val="auto"/>
          <w:szCs w:val="21"/>
          <w:highlight w:val="none"/>
        </w:rPr>
        <w:t>。</w:t>
      </w:r>
    </w:p>
    <w:p w14:paraId="133AEA0E">
      <w:pPr>
        <w:spacing w:line="360" w:lineRule="auto"/>
        <w:ind w:firstLine="437"/>
        <w:outlineLvl w:val="3"/>
        <w:rPr>
          <w:rFonts w:ascii="宋体" w:hAnsi="宋体"/>
          <w:b/>
          <w:bCs/>
          <w:color w:val="auto"/>
          <w:szCs w:val="21"/>
          <w:highlight w:val="none"/>
          <w:lang w:val="zh-CN"/>
        </w:rPr>
      </w:pPr>
      <w:bookmarkStart w:id="169" w:name="_Toc279701255"/>
      <w:bookmarkEnd w:id="169"/>
      <w:bookmarkStart w:id="170" w:name="_Toc6969"/>
      <w:bookmarkEnd w:id="170"/>
      <w:bookmarkStart w:id="171" w:name="_Toc30676"/>
      <w:bookmarkEnd w:id="171"/>
      <w:bookmarkStart w:id="172" w:name="_Toc689"/>
      <w:bookmarkEnd w:id="172"/>
      <w:bookmarkStart w:id="173" w:name="_Toc487900365"/>
      <w:bookmarkEnd w:id="173"/>
      <w:bookmarkStart w:id="174" w:name="_Toc259093684"/>
      <w:bookmarkEnd w:id="174"/>
      <w:r>
        <w:rPr>
          <w:rFonts w:hint="eastAsia" w:ascii="宋体" w:hAnsi="宋体"/>
          <w:b/>
          <w:bCs/>
          <w:color w:val="auto"/>
          <w:szCs w:val="21"/>
          <w:highlight w:val="none"/>
          <w:lang w:val="zh-CN"/>
        </w:rPr>
        <w:t>2.</w:t>
      </w:r>
      <w:r>
        <w:rPr>
          <w:rFonts w:ascii="宋体" w:hAnsi="宋体"/>
          <w:b/>
          <w:bCs/>
          <w:color w:val="auto"/>
          <w:szCs w:val="21"/>
          <w:highlight w:val="none"/>
          <w:lang w:val="zh-CN"/>
        </w:rPr>
        <w:t>12</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税费</w:t>
      </w:r>
    </w:p>
    <w:p w14:paraId="30C2A05B">
      <w:pPr>
        <w:spacing w:line="360" w:lineRule="auto"/>
        <w:ind w:firstLine="435"/>
        <w:rPr>
          <w:rFonts w:ascii="宋体" w:hAnsi="宋体"/>
          <w:color w:val="auto"/>
          <w:szCs w:val="21"/>
          <w:highlight w:val="none"/>
        </w:rPr>
      </w:pPr>
      <w:r>
        <w:rPr>
          <w:rFonts w:ascii="宋体" w:hAnsi="宋体"/>
          <w:color w:val="auto"/>
          <w:szCs w:val="21"/>
          <w:highlight w:val="none"/>
        </w:rPr>
        <w:t>与合同有关的一切税费</w:t>
      </w:r>
      <w:r>
        <w:rPr>
          <w:rFonts w:hint="eastAsia" w:ascii="宋体" w:hAnsi="宋体"/>
          <w:color w:val="auto"/>
          <w:szCs w:val="21"/>
          <w:highlight w:val="none"/>
        </w:rPr>
        <w:t>，</w:t>
      </w:r>
      <w:r>
        <w:rPr>
          <w:rFonts w:ascii="宋体" w:hAnsi="宋体"/>
          <w:color w:val="auto"/>
          <w:szCs w:val="21"/>
          <w:highlight w:val="none"/>
        </w:rPr>
        <w:t>均按照中华人民共和国法律的相关规定</w:t>
      </w:r>
      <w:r>
        <w:rPr>
          <w:rFonts w:hint="eastAsia" w:ascii="宋体" w:hAnsi="宋体"/>
          <w:color w:val="auto"/>
          <w:szCs w:val="21"/>
          <w:highlight w:val="none"/>
        </w:rPr>
        <w:t>缴纳</w:t>
      </w:r>
      <w:r>
        <w:rPr>
          <w:rFonts w:ascii="宋体" w:hAnsi="宋体"/>
          <w:color w:val="auto"/>
          <w:szCs w:val="21"/>
          <w:highlight w:val="none"/>
        </w:rPr>
        <w:t>。</w:t>
      </w:r>
    </w:p>
    <w:p w14:paraId="1D611B01">
      <w:pPr>
        <w:spacing w:line="360" w:lineRule="auto"/>
        <w:ind w:firstLine="437"/>
        <w:outlineLvl w:val="3"/>
        <w:rPr>
          <w:rFonts w:ascii="宋体" w:hAnsi="宋体"/>
          <w:b/>
          <w:bCs/>
          <w:color w:val="auto"/>
          <w:szCs w:val="21"/>
          <w:highlight w:val="none"/>
          <w:lang w:val="zh-CN"/>
        </w:rPr>
      </w:pPr>
      <w:bookmarkStart w:id="175" w:name="_Toc487900368"/>
      <w:bookmarkEnd w:id="175"/>
      <w:bookmarkStart w:id="176" w:name="_Toc8298"/>
      <w:bookmarkEnd w:id="176"/>
      <w:bookmarkStart w:id="177" w:name="_Toc259093687"/>
      <w:bookmarkEnd w:id="177"/>
      <w:bookmarkStart w:id="178" w:name="_Toc16959"/>
      <w:bookmarkEnd w:id="178"/>
      <w:bookmarkStart w:id="179" w:name="_Toc279701258"/>
      <w:bookmarkEnd w:id="179"/>
      <w:bookmarkStart w:id="180" w:name="_Toc7102"/>
      <w:bookmarkEnd w:id="180"/>
      <w:r>
        <w:rPr>
          <w:rFonts w:hint="eastAsia" w:ascii="宋体" w:hAnsi="宋体"/>
          <w:b/>
          <w:bCs/>
          <w:color w:val="auto"/>
          <w:szCs w:val="21"/>
          <w:highlight w:val="none"/>
          <w:lang w:val="zh-CN"/>
        </w:rPr>
        <w:t>2.</w:t>
      </w:r>
      <w:r>
        <w:rPr>
          <w:rFonts w:ascii="宋体" w:hAnsi="宋体"/>
          <w:b/>
          <w:bCs/>
          <w:color w:val="auto"/>
          <w:szCs w:val="21"/>
          <w:highlight w:val="none"/>
          <w:lang w:val="zh-CN"/>
        </w:rPr>
        <w:t>13</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乙方破产</w:t>
      </w:r>
    </w:p>
    <w:p w14:paraId="3C345E42">
      <w:pPr>
        <w:spacing w:line="360" w:lineRule="auto"/>
        <w:ind w:firstLine="435"/>
        <w:rPr>
          <w:rFonts w:ascii="宋体" w:hAnsi="宋体"/>
          <w:color w:val="auto"/>
          <w:szCs w:val="21"/>
          <w:highlight w:val="none"/>
        </w:rPr>
      </w:pPr>
      <w:r>
        <w:rPr>
          <w:rFonts w:ascii="宋体" w:hAnsi="宋体"/>
          <w:color w:val="auto"/>
          <w:szCs w:val="21"/>
          <w:highlight w:val="none"/>
        </w:rPr>
        <w:t>如果乙方破产导致合同无法履行时，甲方可以书面形式通知乙方终止合同且不给予乙方任何补偿和赔偿</w:t>
      </w:r>
      <w:r>
        <w:rPr>
          <w:rFonts w:hint="eastAsia" w:ascii="宋体" w:hAnsi="宋体"/>
          <w:color w:val="auto"/>
          <w:szCs w:val="21"/>
          <w:highlight w:val="none"/>
        </w:rPr>
        <w:t>，但合同的</w:t>
      </w:r>
      <w:r>
        <w:rPr>
          <w:rFonts w:ascii="宋体" w:hAnsi="宋体"/>
          <w:color w:val="auto"/>
          <w:szCs w:val="21"/>
          <w:highlight w:val="none"/>
        </w:rPr>
        <w:t>终止不损害或不影响甲方已经采取或将要采取的任何要求乙方支付违约金</w:t>
      </w:r>
      <w:r>
        <w:rPr>
          <w:rFonts w:hint="eastAsia" w:ascii="宋体" w:hAnsi="宋体"/>
          <w:color w:val="auto"/>
          <w:szCs w:val="21"/>
          <w:highlight w:val="none"/>
        </w:rPr>
        <w:t>、</w:t>
      </w:r>
      <w:r>
        <w:rPr>
          <w:rFonts w:ascii="宋体" w:hAnsi="宋体"/>
          <w:color w:val="auto"/>
          <w:szCs w:val="21"/>
          <w:highlight w:val="none"/>
        </w:rPr>
        <w:t>赔偿损失等的行动或补救措施的权利</w:t>
      </w:r>
      <w:r>
        <w:rPr>
          <w:rFonts w:hint="eastAsia" w:ascii="宋体" w:hAnsi="宋体"/>
          <w:color w:val="auto"/>
          <w:szCs w:val="21"/>
          <w:highlight w:val="none"/>
        </w:rPr>
        <w:t>。</w:t>
      </w:r>
    </w:p>
    <w:p w14:paraId="0BB8F511">
      <w:pPr>
        <w:spacing w:line="360" w:lineRule="auto"/>
        <w:ind w:firstLine="437"/>
        <w:outlineLvl w:val="3"/>
        <w:rPr>
          <w:rFonts w:ascii="宋体" w:hAnsi="宋体"/>
          <w:b/>
          <w:color w:val="auto"/>
          <w:szCs w:val="21"/>
          <w:highlight w:val="none"/>
        </w:rPr>
      </w:pPr>
      <w:bookmarkStart w:id="181" w:name="_Toc15387"/>
      <w:bookmarkEnd w:id="181"/>
      <w:bookmarkStart w:id="182" w:name="_Toc29333"/>
      <w:bookmarkEnd w:id="182"/>
      <w:bookmarkStart w:id="183" w:name="_Toc6134"/>
      <w:bookmarkEnd w:id="183"/>
      <w:r>
        <w:rPr>
          <w:rFonts w:hint="eastAsia" w:ascii="宋体" w:hAnsi="宋体"/>
          <w:b/>
          <w:bCs/>
          <w:color w:val="auto"/>
          <w:szCs w:val="21"/>
          <w:highlight w:val="none"/>
          <w:lang w:val="zh-CN"/>
        </w:rPr>
        <w:t>2.1</w:t>
      </w:r>
      <w:r>
        <w:rPr>
          <w:rFonts w:ascii="宋体" w:hAnsi="宋体"/>
          <w:b/>
          <w:bCs/>
          <w:color w:val="auto"/>
          <w:szCs w:val="21"/>
          <w:highlight w:val="none"/>
          <w:lang w:val="zh-CN"/>
        </w:rPr>
        <w:t>4</w:t>
      </w:r>
      <w:r>
        <w:rPr>
          <w:rFonts w:hint="eastAsia" w:ascii="宋体" w:hAnsi="宋体"/>
          <w:b/>
          <w:bCs/>
          <w:color w:val="auto"/>
          <w:szCs w:val="21"/>
          <w:highlight w:val="none"/>
          <w:lang w:val="zh-CN"/>
        </w:rPr>
        <w:t xml:space="preserve"> 合同中止、终止</w:t>
      </w:r>
    </w:p>
    <w:p w14:paraId="692EFF40">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4</w:t>
      </w:r>
      <w:r>
        <w:rPr>
          <w:rFonts w:hint="eastAsia" w:ascii="宋体" w:hAnsi="宋体"/>
          <w:color w:val="auto"/>
          <w:szCs w:val="21"/>
          <w:highlight w:val="none"/>
        </w:rPr>
        <w:t>.1双方当事人不得擅自中止或者终止合同；</w:t>
      </w:r>
    </w:p>
    <w:p w14:paraId="08A172B5">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4</w:t>
      </w:r>
      <w:r>
        <w:rPr>
          <w:rFonts w:hint="eastAsia" w:ascii="宋体" w:hAnsi="宋体"/>
          <w:color w:val="auto"/>
          <w:szCs w:val="21"/>
          <w:highlight w:val="none"/>
        </w:rPr>
        <w:t>.2合同继续履行将损害国家利益和社会公共利益的，双方当事人应当中止或者终止合同。有过错的一方应当承担赔偿责任，双方当事人都有过错的，各自承担相应的责任。</w:t>
      </w:r>
    </w:p>
    <w:p w14:paraId="757EF1EB">
      <w:pPr>
        <w:spacing w:line="360" w:lineRule="auto"/>
        <w:ind w:firstLine="437"/>
        <w:outlineLvl w:val="3"/>
        <w:rPr>
          <w:rFonts w:ascii="宋体" w:hAnsi="宋体"/>
          <w:b/>
          <w:bCs/>
          <w:color w:val="auto"/>
          <w:szCs w:val="21"/>
          <w:highlight w:val="none"/>
          <w:lang w:val="zh-CN"/>
        </w:rPr>
      </w:pPr>
      <w:bookmarkStart w:id="184" w:name="_Toc6596"/>
      <w:bookmarkEnd w:id="184"/>
      <w:bookmarkStart w:id="185" w:name="_Toc1125"/>
      <w:bookmarkEnd w:id="185"/>
      <w:bookmarkStart w:id="186" w:name="_Toc14563"/>
      <w:bookmarkEnd w:id="186"/>
      <w:r>
        <w:rPr>
          <w:rFonts w:hint="eastAsia" w:ascii="宋体" w:hAnsi="宋体"/>
          <w:b/>
          <w:bCs/>
          <w:color w:val="auto"/>
          <w:szCs w:val="21"/>
          <w:highlight w:val="none"/>
          <w:lang w:val="zh-CN"/>
        </w:rPr>
        <w:t>2.1</w:t>
      </w:r>
      <w:r>
        <w:rPr>
          <w:rFonts w:ascii="宋体" w:hAnsi="宋体"/>
          <w:b/>
          <w:bCs/>
          <w:color w:val="auto"/>
          <w:szCs w:val="21"/>
          <w:highlight w:val="none"/>
          <w:lang w:val="zh-CN"/>
        </w:rPr>
        <w:t>5</w:t>
      </w:r>
      <w:r>
        <w:rPr>
          <w:rFonts w:hint="eastAsia" w:ascii="宋体" w:hAnsi="宋体"/>
          <w:b/>
          <w:bCs/>
          <w:color w:val="auto"/>
          <w:szCs w:val="21"/>
          <w:highlight w:val="none"/>
          <w:lang w:val="zh-CN"/>
        </w:rPr>
        <w:t xml:space="preserve"> 检验和验收</w:t>
      </w:r>
    </w:p>
    <w:p w14:paraId="62822E51">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1乙方按照</w:t>
      </w:r>
      <w:r>
        <w:rPr>
          <w:rFonts w:ascii="宋体" w:hAnsi="宋体"/>
          <w:b/>
          <w:i/>
          <w:color w:val="auto"/>
          <w:szCs w:val="21"/>
          <w:highlight w:val="none"/>
          <w:u w:val="single"/>
        </w:rPr>
        <w:t>合同专用条款</w:t>
      </w:r>
      <w:r>
        <w:rPr>
          <w:rFonts w:ascii="宋体" w:hAnsi="宋体"/>
          <w:color w:val="auto"/>
          <w:szCs w:val="21"/>
          <w:highlight w:val="none"/>
        </w:rPr>
        <w:t>的约定</w:t>
      </w:r>
      <w:r>
        <w:rPr>
          <w:rFonts w:hint="eastAsia" w:ascii="宋体" w:hAnsi="宋体"/>
          <w:color w:val="auto"/>
          <w:szCs w:val="21"/>
          <w:highlight w:val="none"/>
        </w:rPr>
        <w:t>，</w:t>
      </w:r>
      <w:r>
        <w:rPr>
          <w:rFonts w:ascii="宋体" w:hAnsi="宋体"/>
          <w:color w:val="auto"/>
          <w:szCs w:val="21"/>
          <w:highlight w:val="none"/>
        </w:rPr>
        <w:t>定期提交服务报告</w:t>
      </w:r>
      <w:r>
        <w:rPr>
          <w:rFonts w:hint="eastAsia" w:ascii="宋体" w:hAnsi="宋体"/>
          <w:color w:val="auto"/>
          <w:szCs w:val="21"/>
          <w:highlight w:val="none"/>
        </w:rPr>
        <w:t>，甲方按照</w:t>
      </w:r>
      <w:r>
        <w:rPr>
          <w:rFonts w:ascii="宋体" w:hAnsi="宋体"/>
          <w:b/>
          <w:i/>
          <w:color w:val="auto"/>
          <w:szCs w:val="21"/>
          <w:highlight w:val="none"/>
          <w:u w:val="single"/>
        </w:rPr>
        <w:t>合同专用条款</w:t>
      </w:r>
      <w:r>
        <w:rPr>
          <w:rFonts w:ascii="宋体" w:hAnsi="宋体"/>
          <w:color w:val="auto"/>
          <w:szCs w:val="21"/>
          <w:highlight w:val="none"/>
        </w:rPr>
        <w:t>的约定进行定期验收</w:t>
      </w:r>
      <w:r>
        <w:rPr>
          <w:rFonts w:hint="eastAsia" w:ascii="宋体" w:hAnsi="宋体"/>
          <w:color w:val="auto"/>
          <w:szCs w:val="21"/>
          <w:highlight w:val="none"/>
        </w:rPr>
        <w:t>；</w:t>
      </w:r>
    </w:p>
    <w:p w14:paraId="186231D6">
      <w:pPr>
        <w:spacing w:line="360" w:lineRule="auto"/>
        <w:ind w:firstLine="435"/>
        <w:rPr>
          <w:rFonts w:ascii="宋体" w:hAnsi="宋体"/>
          <w:color w:val="auto"/>
          <w:szCs w:val="21"/>
          <w:highlight w:val="none"/>
        </w:rPr>
      </w:pPr>
      <w:r>
        <w:rPr>
          <w:rFonts w:hint="eastAsia" w:ascii="宋体" w:hAnsi="宋体"/>
          <w:color w:val="auto"/>
          <w:szCs w:val="21"/>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6DA6C81">
      <w:pPr>
        <w:spacing w:line="360" w:lineRule="auto"/>
        <w:ind w:firstLine="435"/>
        <w:rPr>
          <w:rFonts w:ascii="宋体" w:hAnsi="宋体"/>
          <w:color w:val="auto"/>
          <w:szCs w:val="21"/>
          <w:highlight w:val="none"/>
        </w:rPr>
      </w:pPr>
      <w:r>
        <w:rPr>
          <w:rFonts w:hint="eastAsia" w:ascii="宋体" w:hAnsi="宋体"/>
          <w:color w:val="auto"/>
          <w:szCs w:val="21"/>
          <w:highlight w:val="none"/>
        </w:rPr>
        <w:t>2.15.3检验和验收标准、程序等具体内容以及前述验收书的效力详见</w:t>
      </w:r>
      <w:r>
        <w:rPr>
          <w:rFonts w:ascii="宋体" w:hAnsi="宋体"/>
          <w:b/>
          <w:i/>
          <w:color w:val="auto"/>
          <w:szCs w:val="21"/>
          <w:highlight w:val="none"/>
          <w:u w:val="single"/>
        </w:rPr>
        <w:t>合同专用条款</w:t>
      </w:r>
      <w:r>
        <w:rPr>
          <w:rFonts w:hint="eastAsia" w:ascii="宋体" w:hAnsi="宋体"/>
          <w:i/>
          <w:color w:val="auto"/>
          <w:szCs w:val="21"/>
          <w:highlight w:val="none"/>
        </w:rPr>
        <w:t>。</w:t>
      </w:r>
    </w:p>
    <w:p w14:paraId="3D4110EE">
      <w:pPr>
        <w:spacing w:line="360" w:lineRule="auto"/>
        <w:ind w:firstLine="437"/>
        <w:outlineLvl w:val="3"/>
        <w:rPr>
          <w:rFonts w:ascii="宋体" w:hAnsi="宋体"/>
          <w:b/>
          <w:bCs/>
          <w:color w:val="auto"/>
          <w:szCs w:val="21"/>
          <w:highlight w:val="none"/>
        </w:rPr>
      </w:pPr>
      <w:bookmarkStart w:id="187" w:name="_Toc487900373"/>
      <w:bookmarkEnd w:id="187"/>
      <w:bookmarkStart w:id="188" w:name="_Toc12773"/>
      <w:bookmarkEnd w:id="188"/>
      <w:bookmarkStart w:id="189" w:name="_Toc10330"/>
      <w:bookmarkEnd w:id="189"/>
      <w:bookmarkStart w:id="190" w:name="_Toc18567"/>
      <w:bookmarkEnd w:id="190"/>
      <w:bookmarkStart w:id="191" w:name="_Toc279701263"/>
      <w:bookmarkEnd w:id="191"/>
      <w:bookmarkStart w:id="192" w:name="_Toc259093692"/>
      <w:bookmarkEnd w:id="192"/>
      <w:r>
        <w:rPr>
          <w:rFonts w:hint="eastAsia" w:ascii="宋体" w:hAnsi="宋体"/>
          <w:b/>
          <w:bCs/>
          <w:color w:val="auto"/>
          <w:szCs w:val="21"/>
          <w:highlight w:val="none"/>
        </w:rPr>
        <w:t>2.</w:t>
      </w:r>
      <w:r>
        <w:rPr>
          <w:rFonts w:ascii="宋体" w:hAnsi="宋体"/>
          <w:b/>
          <w:bCs/>
          <w:color w:val="auto"/>
          <w:szCs w:val="21"/>
          <w:highlight w:val="none"/>
        </w:rPr>
        <w:t>16</w:t>
      </w:r>
      <w:r>
        <w:rPr>
          <w:rFonts w:hint="eastAsia" w:ascii="宋体" w:hAnsi="宋体"/>
          <w:b/>
          <w:bCs/>
          <w:color w:val="auto"/>
          <w:szCs w:val="21"/>
          <w:highlight w:val="none"/>
        </w:rPr>
        <w:t xml:space="preserve"> </w:t>
      </w:r>
      <w:r>
        <w:rPr>
          <w:rFonts w:hint="eastAsia" w:ascii="宋体" w:hAnsi="宋体"/>
          <w:b/>
          <w:bCs/>
          <w:color w:val="auto"/>
          <w:szCs w:val="21"/>
          <w:highlight w:val="none"/>
          <w:lang w:val="zh-CN"/>
        </w:rPr>
        <w:t>合同使用的文字和</w:t>
      </w:r>
      <w:r>
        <w:rPr>
          <w:rFonts w:ascii="宋体" w:hAnsi="宋体"/>
          <w:b/>
          <w:bCs/>
          <w:color w:val="auto"/>
          <w:szCs w:val="21"/>
          <w:highlight w:val="none"/>
          <w:lang w:val="zh-CN"/>
        </w:rPr>
        <w:t>适用的法律</w:t>
      </w:r>
    </w:p>
    <w:p w14:paraId="2C3C428C">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16.1合同使用汉语</w:t>
      </w:r>
      <w:r>
        <w:rPr>
          <w:rFonts w:hint="eastAsia" w:ascii="宋体" w:hAnsi="宋体"/>
          <w:color w:val="auto"/>
          <w:szCs w:val="21"/>
          <w:highlight w:val="none"/>
        </w:rPr>
        <w:t>进行</w:t>
      </w:r>
      <w:r>
        <w:rPr>
          <w:rFonts w:ascii="宋体" w:hAnsi="宋体"/>
          <w:color w:val="auto"/>
          <w:szCs w:val="21"/>
          <w:highlight w:val="none"/>
        </w:rPr>
        <w:t>书</w:t>
      </w:r>
      <w:r>
        <w:rPr>
          <w:rFonts w:hint="eastAsia" w:ascii="宋体" w:hAnsi="宋体"/>
          <w:color w:val="auto"/>
          <w:szCs w:val="21"/>
          <w:highlight w:val="none"/>
        </w:rPr>
        <w:t>写、</w:t>
      </w:r>
      <w:r>
        <w:rPr>
          <w:rFonts w:ascii="宋体" w:hAnsi="宋体"/>
          <w:color w:val="auto"/>
          <w:szCs w:val="21"/>
          <w:highlight w:val="none"/>
        </w:rPr>
        <w:t>变更和解释</w:t>
      </w:r>
      <w:r>
        <w:rPr>
          <w:rFonts w:hint="eastAsia" w:ascii="宋体" w:hAnsi="宋体"/>
          <w:color w:val="auto"/>
          <w:szCs w:val="21"/>
          <w:highlight w:val="none"/>
        </w:rPr>
        <w:t>；</w:t>
      </w:r>
    </w:p>
    <w:p w14:paraId="27DAB5E5">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16</w:t>
      </w:r>
      <w:r>
        <w:rPr>
          <w:rFonts w:hint="eastAsia" w:ascii="宋体" w:hAnsi="宋体"/>
          <w:color w:val="auto"/>
          <w:szCs w:val="21"/>
          <w:highlight w:val="none"/>
        </w:rPr>
        <w:t>.2合同适用</w:t>
      </w:r>
      <w:r>
        <w:rPr>
          <w:rFonts w:ascii="宋体" w:hAnsi="宋体"/>
          <w:color w:val="auto"/>
          <w:szCs w:val="21"/>
          <w:highlight w:val="none"/>
        </w:rPr>
        <w:t>中华人民共和国法律。</w:t>
      </w:r>
    </w:p>
    <w:p w14:paraId="6FD31BBB">
      <w:pPr>
        <w:spacing w:line="360" w:lineRule="auto"/>
        <w:ind w:firstLine="437"/>
        <w:outlineLvl w:val="3"/>
        <w:rPr>
          <w:rFonts w:ascii="宋体" w:hAnsi="宋体"/>
          <w:b/>
          <w:color w:val="auto"/>
          <w:szCs w:val="21"/>
          <w:highlight w:val="none"/>
        </w:rPr>
      </w:pPr>
      <w:bookmarkStart w:id="193" w:name="_Toc14001"/>
      <w:bookmarkEnd w:id="193"/>
      <w:bookmarkStart w:id="194" w:name="_Toc19890"/>
      <w:bookmarkEnd w:id="194"/>
      <w:bookmarkStart w:id="195" w:name="_Toc6885"/>
      <w:bookmarkEnd w:id="195"/>
      <w:r>
        <w:rPr>
          <w:rFonts w:hint="eastAsia" w:ascii="宋体" w:hAnsi="宋体"/>
          <w:b/>
          <w:bCs/>
          <w:color w:val="auto"/>
          <w:szCs w:val="21"/>
          <w:highlight w:val="none"/>
          <w:lang w:val="zh-CN"/>
        </w:rPr>
        <w:t>2.</w:t>
      </w:r>
      <w:r>
        <w:rPr>
          <w:rFonts w:ascii="宋体" w:hAnsi="宋体"/>
          <w:b/>
          <w:bCs/>
          <w:color w:val="auto"/>
          <w:szCs w:val="21"/>
          <w:highlight w:val="none"/>
          <w:lang w:val="zh-CN"/>
        </w:rPr>
        <w:t>1</w:t>
      </w:r>
      <w:r>
        <w:rPr>
          <w:rFonts w:hint="eastAsia" w:ascii="宋体" w:hAnsi="宋体"/>
          <w:b/>
          <w:bCs/>
          <w:color w:val="auto"/>
          <w:szCs w:val="21"/>
          <w:highlight w:val="none"/>
        </w:rPr>
        <w:t>7</w:t>
      </w:r>
      <w:r>
        <w:rPr>
          <w:rFonts w:hint="eastAsia" w:ascii="宋体" w:hAnsi="宋体"/>
          <w:b/>
          <w:bCs/>
          <w:color w:val="auto"/>
          <w:szCs w:val="21"/>
          <w:highlight w:val="none"/>
          <w:lang w:val="zh-CN"/>
        </w:rPr>
        <w:t xml:space="preserve"> 合同份数</w:t>
      </w:r>
    </w:p>
    <w:p w14:paraId="2E95D17A">
      <w:pPr>
        <w:spacing w:line="360" w:lineRule="auto"/>
        <w:ind w:firstLine="435"/>
        <w:rPr>
          <w:rFonts w:ascii="宋体" w:hAnsi="宋体"/>
          <w:color w:val="auto"/>
          <w:szCs w:val="21"/>
          <w:highlight w:val="none"/>
        </w:rPr>
      </w:pPr>
      <w:r>
        <w:rPr>
          <w:rFonts w:ascii="宋体" w:hAnsi="宋体"/>
          <w:color w:val="auto"/>
          <w:szCs w:val="21"/>
          <w:highlight w:val="none"/>
        </w:rPr>
        <w:t>合同份数按</w:t>
      </w:r>
      <w:r>
        <w:rPr>
          <w:rFonts w:ascii="宋体" w:hAnsi="宋体"/>
          <w:b/>
          <w:i/>
          <w:color w:val="auto"/>
          <w:szCs w:val="21"/>
          <w:highlight w:val="none"/>
          <w:u w:val="single"/>
        </w:rPr>
        <w:t>合同专用条款</w:t>
      </w:r>
      <w:r>
        <w:rPr>
          <w:rFonts w:ascii="宋体" w:hAnsi="宋体"/>
          <w:color w:val="auto"/>
          <w:szCs w:val="21"/>
          <w:highlight w:val="none"/>
        </w:rPr>
        <w:t>规定</w:t>
      </w:r>
      <w:r>
        <w:rPr>
          <w:rFonts w:hint="eastAsia" w:ascii="宋体" w:hAnsi="宋体"/>
          <w:color w:val="auto"/>
          <w:szCs w:val="21"/>
          <w:highlight w:val="none"/>
        </w:rPr>
        <w:t>，</w:t>
      </w:r>
      <w:r>
        <w:rPr>
          <w:rFonts w:ascii="宋体" w:hAnsi="宋体"/>
          <w:color w:val="auto"/>
          <w:szCs w:val="21"/>
          <w:highlight w:val="none"/>
        </w:rPr>
        <w:t>每份均具有同等法律效力</w:t>
      </w:r>
      <w:r>
        <w:rPr>
          <w:rFonts w:hint="eastAsia" w:ascii="宋体" w:hAnsi="宋体"/>
          <w:color w:val="auto"/>
          <w:szCs w:val="21"/>
          <w:highlight w:val="none"/>
        </w:rPr>
        <w:t>。</w:t>
      </w:r>
    </w:p>
    <w:p w14:paraId="3C040E8D">
      <w:pPr>
        <w:rPr>
          <w:rFonts w:hint="eastAsia" w:ascii="宋体" w:hAnsi="宋体"/>
          <w:b/>
          <w:color w:val="auto"/>
          <w:szCs w:val="21"/>
          <w:highlight w:val="none"/>
        </w:rPr>
      </w:pPr>
      <w:bookmarkStart w:id="196" w:name="_Toc331685784"/>
      <w:bookmarkEnd w:id="196"/>
      <w:r>
        <w:rPr>
          <w:rFonts w:hint="eastAsia" w:ascii="宋体" w:hAnsi="宋体"/>
          <w:b/>
          <w:color w:val="auto"/>
          <w:szCs w:val="21"/>
          <w:highlight w:val="none"/>
        </w:rPr>
        <w:br w:type="page"/>
      </w:r>
    </w:p>
    <w:p w14:paraId="7D306E16">
      <w:pPr>
        <w:spacing w:line="360" w:lineRule="auto"/>
        <w:jc w:val="center"/>
        <w:outlineLvl w:val="2"/>
        <w:rPr>
          <w:rFonts w:ascii="宋体" w:hAnsi="宋体"/>
          <w:b/>
          <w:color w:val="auto"/>
          <w:szCs w:val="21"/>
          <w:highlight w:val="none"/>
        </w:rPr>
      </w:pPr>
      <w:r>
        <w:rPr>
          <w:rFonts w:hint="eastAsia" w:ascii="宋体" w:hAnsi="宋体"/>
          <w:b/>
          <w:color w:val="auto"/>
          <w:szCs w:val="21"/>
          <w:highlight w:val="none"/>
        </w:rPr>
        <w:t>第三部分</w:t>
      </w:r>
      <w:r>
        <w:rPr>
          <w:rFonts w:ascii="宋体" w:hAnsi="宋体"/>
          <w:b/>
          <w:color w:val="auto"/>
          <w:szCs w:val="21"/>
          <w:highlight w:val="none"/>
        </w:rPr>
        <w:t xml:space="preserve"> </w:t>
      </w:r>
      <w:r>
        <w:rPr>
          <w:rFonts w:hint="eastAsia" w:ascii="宋体" w:hAnsi="宋体"/>
          <w:b/>
          <w:color w:val="auto"/>
          <w:szCs w:val="21"/>
          <w:highlight w:val="none"/>
        </w:rPr>
        <w:t>合同专用条款</w:t>
      </w:r>
    </w:p>
    <w:p w14:paraId="6002E427">
      <w:pPr>
        <w:spacing w:line="360" w:lineRule="auto"/>
        <w:ind w:firstLine="435"/>
        <w:rPr>
          <w:rFonts w:ascii="宋体" w:hAnsi="宋体"/>
          <w:color w:val="auto"/>
          <w:szCs w:val="21"/>
          <w:highlight w:val="none"/>
        </w:rPr>
      </w:pPr>
      <w:r>
        <w:rPr>
          <w:rFonts w:hint="eastAsia" w:ascii="宋体" w:hAnsi="宋体"/>
          <w:color w:val="auto"/>
          <w:szCs w:val="21"/>
          <w:highlight w:val="none"/>
        </w:rPr>
        <w:t>本部分</w:t>
      </w:r>
      <w:r>
        <w:rPr>
          <w:rFonts w:ascii="宋体" w:hAnsi="宋体"/>
          <w:color w:val="auto"/>
          <w:szCs w:val="21"/>
          <w:highlight w:val="none"/>
        </w:rPr>
        <w:t>是对</w:t>
      </w:r>
      <w:r>
        <w:rPr>
          <w:rFonts w:hint="eastAsia" w:ascii="宋体" w:hAnsi="宋体"/>
          <w:color w:val="auto"/>
          <w:szCs w:val="21"/>
          <w:highlight w:val="none"/>
        </w:rPr>
        <w:t>前两</w:t>
      </w:r>
      <w:r>
        <w:rPr>
          <w:rFonts w:ascii="宋体" w:hAnsi="宋体"/>
          <w:color w:val="auto"/>
          <w:szCs w:val="21"/>
          <w:highlight w:val="none"/>
        </w:rPr>
        <w:t>部分的补充和修改</w:t>
      </w:r>
      <w:r>
        <w:rPr>
          <w:rFonts w:hint="eastAsia" w:ascii="宋体" w:hAnsi="宋体"/>
          <w:color w:val="auto"/>
          <w:szCs w:val="21"/>
          <w:highlight w:val="none"/>
        </w:rPr>
        <w:t>，</w:t>
      </w:r>
      <w:r>
        <w:rPr>
          <w:rFonts w:ascii="宋体" w:hAnsi="宋体"/>
          <w:color w:val="auto"/>
          <w:szCs w:val="21"/>
          <w:highlight w:val="none"/>
        </w:rPr>
        <w:t>如果</w:t>
      </w:r>
      <w:r>
        <w:rPr>
          <w:rFonts w:hint="eastAsia" w:ascii="宋体" w:hAnsi="宋体"/>
          <w:color w:val="auto"/>
          <w:szCs w:val="21"/>
          <w:highlight w:val="none"/>
        </w:rPr>
        <w:t>前两</w:t>
      </w:r>
      <w:r>
        <w:rPr>
          <w:rFonts w:ascii="宋体" w:hAnsi="宋体"/>
          <w:color w:val="auto"/>
          <w:szCs w:val="21"/>
          <w:highlight w:val="none"/>
        </w:rPr>
        <w:t>部分和本部分的约定不一致</w:t>
      </w:r>
      <w:r>
        <w:rPr>
          <w:rFonts w:hint="eastAsia" w:ascii="宋体" w:hAnsi="宋体"/>
          <w:color w:val="auto"/>
          <w:szCs w:val="21"/>
          <w:highlight w:val="none"/>
        </w:rPr>
        <w:t>，</w:t>
      </w:r>
      <w:r>
        <w:rPr>
          <w:rFonts w:ascii="宋体" w:hAnsi="宋体"/>
          <w:color w:val="auto"/>
          <w:szCs w:val="21"/>
          <w:highlight w:val="none"/>
        </w:rPr>
        <w:t>应以本部分的约定为准</w:t>
      </w:r>
      <w:r>
        <w:rPr>
          <w:rFonts w:hint="eastAsia" w:ascii="宋体" w:hAnsi="宋体"/>
          <w:color w:val="auto"/>
          <w:szCs w:val="21"/>
          <w:highlight w:val="none"/>
        </w:rPr>
        <w:t>。</w:t>
      </w:r>
      <w:r>
        <w:rPr>
          <w:rFonts w:ascii="宋体" w:hAnsi="宋体"/>
          <w:color w:val="auto"/>
          <w:szCs w:val="21"/>
          <w:highlight w:val="none"/>
        </w:rPr>
        <w:t>本部分的条款号应与</w:t>
      </w:r>
      <w:r>
        <w:rPr>
          <w:rFonts w:hint="eastAsia" w:ascii="宋体" w:hAnsi="宋体"/>
          <w:color w:val="auto"/>
          <w:szCs w:val="21"/>
          <w:highlight w:val="none"/>
        </w:rPr>
        <w:t>前两部分</w:t>
      </w:r>
      <w:r>
        <w:rPr>
          <w:rFonts w:ascii="宋体" w:hAnsi="宋体"/>
          <w:color w:val="auto"/>
          <w:szCs w:val="21"/>
          <w:highlight w:val="none"/>
        </w:rPr>
        <w:t>的条款号保持对应</w:t>
      </w:r>
      <w:r>
        <w:rPr>
          <w:rFonts w:hint="eastAsia" w:ascii="宋体" w:hAnsi="宋体"/>
          <w:color w:val="auto"/>
          <w:szCs w:val="21"/>
          <w:highlight w:val="none"/>
        </w:rPr>
        <w:t>；与前两部分</w:t>
      </w:r>
      <w:r>
        <w:rPr>
          <w:rFonts w:ascii="宋体" w:hAnsi="宋体"/>
          <w:color w:val="auto"/>
          <w:szCs w:val="21"/>
          <w:highlight w:val="none"/>
        </w:rPr>
        <w:t>无对应关系的内容可另行编制条款号</w:t>
      </w:r>
      <w:r>
        <w:rPr>
          <w:rFonts w:hint="eastAsia" w:ascii="宋体" w:hAnsi="宋体"/>
          <w:color w:val="auto"/>
          <w:szCs w:val="21"/>
          <w:highlight w:val="none"/>
        </w:rPr>
        <w:t>。</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36B8D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vAlign w:val="center"/>
          </w:tcPr>
          <w:p w14:paraId="576893E2">
            <w:pPr>
              <w:jc w:val="center"/>
              <w:rPr>
                <w:rFonts w:ascii="宋体" w:hAnsi="宋体"/>
                <w:b/>
                <w:color w:val="auto"/>
                <w:szCs w:val="21"/>
                <w:highlight w:val="none"/>
              </w:rPr>
            </w:pPr>
            <w:r>
              <w:rPr>
                <w:rFonts w:ascii="宋体" w:hAnsi="宋体"/>
                <w:b/>
                <w:color w:val="auto"/>
                <w:szCs w:val="21"/>
                <w:highlight w:val="none"/>
              </w:rPr>
              <w:t>条款号</w:t>
            </w:r>
          </w:p>
        </w:tc>
        <w:tc>
          <w:tcPr>
            <w:tcW w:w="7569" w:type="dxa"/>
            <w:vAlign w:val="center"/>
          </w:tcPr>
          <w:p w14:paraId="13126232">
            <w:pPr>
              <w:jc w:val="center"/>
              <w:rPr>
                <w:rFonts w:ascii="宋体" w:hAnsi="宋体"/>
                <w:b/>
                <w:color w:val="auto"/>
                <w:szCs w:val="21"/>
                <w:highlight w:val="none"/>
              </w:rPr>
            </w:pPr>
            <w:r>
              <w:rPr>
                <w:rFonts w:ascii="宋体" w:hAnsi="宋体"/>
                <w:b/>
                <w:color w:val="auto"/>
                <w:szCs w:val="21"/>
                <w:highlight w:val="none"/>
              </w:rPr>
              <w:t>约定内容</w:t>
            </w:r>
          </w:p>
        </w:tc>
      </w:tr>
      <w:tr w14:paraId="0A7B2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vAlign w:val="center"/>
          </w:tcPr>
          <w:p w14:paraId="4920C1EB">
            <w:pPr>
              <w:spacing w:line="560" w:lineRule="exact"/>
              <w:rPr>
                <w:rFonts w:ascii="宋体" w:hAnsi="宋体"/>
                <w:color w:val="auto"/>
                <w:szCs w:val="21"/>
                <w:highlight w:val="none"/>
              </w:rPr>
            </w:pPr>
          </w:p>
        </w:tc>
        <w:tc>
          <w:tcPr>
            <w:tcW w:w="7569" w:type="dxa"/>
            <w:vAlign w:val="center"/>
          </w:tcPr>
          <w:p w14:paraId="2B4D2F4C">
            <w:pPr>
              <w:spacing w:line="560" w:lineRule="exact"/>
              <w:rPr>
                <w:rFonts w:ascii="宋体" w:hAnsi="宋体"/>
                <w:color w:val="auto"/>
                <w:szCs w:val="21"/>
                <w:highlight w:val="none"/>
              </w:rPr>
            </w:pPr>
          </w:p>
        </w:tc>
      </w:tr>
      <w:tr w14:paraId="36E9F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0FAEB125">
            <w:pPr>
              <w:spacing w:line="560" w:lineRule="exact"/>
              <w:rPr>
                <w:rFonts w:ascii="宋体" w:hAnsi="宋体"/>
                <w:color w:val="auto"/>
                <w:szCs w:val="21"/>
                <w:highlight w:val="none"/>
              </w:rPr>
            </w:pPr>
          </w:p>
        </w:tc>
        <w:tc>
          <w:tcPr>
            <w:tcW w:w="7569" w:type="dxa"/>
            <w:vAlign w:val="center"/>
          </w:tcPr>
          <w:p w14:paraId="7BE066D9">
            <w:pPr>
              <w:spacing w:line="560" w:lineRule="exact"/>
              <w:rPr>
                <w:rFonts w:ascii="宋体" w:hAnsi="宋体"/>
                <w:color w:val="auto"/>
                <w:szCs w:val="21"/>
                <w:highlight w:val="none"/>
              </w:rPr>
            </w:pPr>
          </w:p>
        </w:tc>
      </w:tr>
      <w:tr w14:paraId="333E9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7AEB5E82">
            <w:pPr>
              <w:spacing w:line="560" w:lineRule="exact"/>
              <w:rPr>
                <w:rFonts w:ascii="宋体" w:hAnsi="宋体"/>
                <w:color w:val="auto"/>
                <w:szCs w:val="21"/>
                <w:highlight w:val="none"/>
              </w:rPr>
            </w:pPr>
          </w:p>
        </w:tc>
        <w:tc>
          <w:tcPr>
            <w:tcW w:w="7569" w:type="dxa"/>
            <w:vAlign w:val="center"/>
          </w:tcPr>
          <w:p w14:paraId="1A5EF83B">
            <w:pPr>
              <w:spacing w:line="560" w:lineRule="exact"/>
              <w:rPr>
                <w:rFonts w:ascii="宋体" w:hAnsi="宋体"/>
                <w:color w:val="auto"/>
                <w:szCs w:val="21"/>
                <w:highlight w:val="none"/>
              </w:rPr>
            </w:pPr>
          </w:p>
        </w:tc>
      </w:tr>
      <w:tr w14:paraId="08E25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748AA236">
            <w:pPr>
              <w:spacing w:line="560" w:lineRule="exact"/>
              <w:rPr>
                <w:rFonts w:ascii="宋体" w:hAnsi="宋体"/>
                <w:color w:val="auto"/>
                <w:szCs w:val="21"/>
                <w:highlight w:val="none"/>
              </w:rPr>
            </w:pPr>
          </w:p>
        </w:tc>
        <w:tc>
          <w:tcPr>
            <w:tcW w:w="7569" w:type="dxa"/>
            <w:vAlign w:val="center"/>
          </w:tcPr>
          <w:p w14:paraId="42D0A2EC">
            <w:pPr>
              <w:spacing w:line="560" w:lineRule="exact"/>
              <w:rPr>
                <w:rFonts w:ascii="宋体" w:hAnsi="宋体"/>
                <w:color w:val="auto"/>
                <w:szCs w:val="21"/>
                <w:highlight w:val="none"/>
              </w:rPr>
            </w:pPr>
          </w:p>
        </w:tc>
      </w:tr>
      <w:tr w14:paraId="48D3E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65BC73A6">
            <w:pPr>
              <w:spacing w:line="560" w:lineRule="exact"/>
              <w:rPr>
                <w:rFonts w:ascii="宋体" w:hAnsi="宋体"/>
                <w:color w:val="auto"/>
                <w:szCs w:val="21"/>
                <w:highlight w:val="none"/>
              </w:rPr>
            </w:pPr>
          </w:p>
        </w:tc>
        <w:tc>
          <w:tcPr>
            <w:tcW w:w="7569" w:type="dxa"/>
            <w:vAlign w:val="center"/>
          </w:tcPr>
          <w:p w14:paraId="0990D9F6">
            <w:pPr>
              <w:spacing w:line="560" w:lineRule="exact"/>
              <w:rPr>
                <w:rFonts w:ascii="宋体" w:hAnsi="宋体"/>
                <w:color w:val="auto"/>
                <w:szCs w:val="21"/>
                <w:highlight w:val="none"/>
                <w:u w:val="single"/>
              </w:rPr>
            </w:pPr>
          </w:p>
        </w:tc>
      </w:tr>
      <w:tr w14:paraId="291E8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2C5C4373">
            <w:pPr>
              <w:spacing w:line="560" w:lineRule="exact"/>
              <w:rPr>
                <w:rFonts w:ascii="宋体" w:hAnsi="宋体"/>
                <w:color w:val="auto"/>
                <w:szCs w:val="21"/>
                <w:highlight w:val="none"/>
              </w:rPr>
            </w:pPr>
          </w:p>
        </w:tc>
        <w:tc>
          <w:tcPr>
            <w:tcW w:w="7569" w:type="dxa"/>
            <w:vAlign w:val="center"/>
          </w:tcPr>
          <w:p w14:paraId="6651B189">
            <w:pPr>
              <w:spacing w:line="560" w:lineRule="exact"/>
              <w:rPr>
                <w:rFonts w:ascii="宋体" w:hAnsi="宋体"/>
                <w:color w:val="auto"/>
                <w:szCs w:val="21"/>
                <w:highlight w:val="none"/>
              </w:rPr>
            </w:pPr>
          </w:p>
        </w:tc>
      </w:tr>
      <w:tr w14:paraId="4F103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4F884150">
            <w:pPr>
              <w:spacing w:line="560" w:lineRule="exact"/>
              <w:rPr>
                <w:rFonts w:ascii="宋体" w:hAnsi="宋体"/>
                <w:color w:val="auto"/>
                <w:szCs w:val="21"/>
                <w:highlight w:val="none"/>
              </w:rPr>
            </w:pPr>
          </w:p>
        </w:tc>
        <w:tc>
          <w:tcPr>
            <w:tcW w:w="7569" w:type="dxa"/>
            <w:vAlign w:val="center"/>
          </w:tcPr>
          <w:p w14:paraId="32C5BCDD">
            <w:pPr>
              <w:spacing w:line="560" w:lineRule="exact"/>
              <w:rPr>
                <w:rFonts w:ascii="宋体" w:hAnsi="宋体"/>
                <w:color w:val="auto"/>
                <w:szCs w:val="21"/>
                <w:highlight w:val="none"/>
                <w:u w:val="single"/>
              </w:rPr>
            </w:pPr>
          </w:p>
        </w:tc>
      </w:tr>
      <w:tr w14:paraId="0C397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0A35B325">
            <w:pPr>
              <w:spacing w:line="560" w:lineRule="exact"/>
              <w:rPr>
                <w:rFonts w:ascii="宋体" w:hAnsi="宋体"/>
                <w:color w:val="auto"/>
                <w:szCs w:val="21"/>
                <w:highlight w:val="none"/>
              </w:rPr>
            </w:pPr>
          </w:p>
        </w:tc>
        <w:tc>
          <w:tcPr>
            <w:tcW w:w="7569" w:type="dxa"/>
            <w:vAlign w:val="center"/>
          </w:tcPr>
          <w:p w14:paraId="674FD464">
            <w:pPr>
              <w:spacing w:line="560" w:lineRule="exact"/>
              <w:rPr>
                <w:rFonts w:ascii="宋体" w:hAnsi="宋体"/>
                <w:color w:val="auto"/>
                <w:szCs w:val="21"/>
                <w:highlight w:val="none"/>
              </w:rPr>
            </w:pPr>
          </w:p>
        </w:tc>
      </w:tr>
      <w:tr w14:paraId="2B5CA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64E2D00C">
            <w:pPr>
              <w:spacing w:line="560" w:lineRule="exact"/>
              <w:rPr>
                <w:rFonts w:ascii="宋体" w:hAnsi="宋体"/>
                <w:color w:val="auto"/>
                <w:szCs w:val="21"/>
                <w:highlight w:val="none"/>
              </w:rPr>
            </w:pPr>
          </w:p>
        </w:tc>
        <w:tc>
          <w:tcPr>
            <w:tcW w:w="7569" w:type="dxa"/>
            <w:vAlign w:val="center"/>
          </w:tcPr>
          <w:p w14:paraId="4123033D">
            <w:pPr>
              <w:spacing w:line="560" w:lineRule="exact"/>
              <w:rPr>
                <w:rFonts w:ascii="宋体" w:hAnsi="宋体"/>
                <w:color w:val="auto"/>
                <w:szCs w:val="21"/>
                <w:highlight w:val="none"/>
              </w:rPr>
            </w:pPr>
          </w:p>
        </w:tc>
      </w:tr>
      <w:tr w14:paraId="26D9F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7ECD3C5F">
            <w:pPr>
              <w:spacing w:line="560" w:lineRule="exact"/>
              <w:rPr>
                <w:rFonts w:ascii="宋体" w:hAnsi="宋体"/>
                <w:color w:val="auto"/>
                <w:szCs w:val="21"/>
                <w:highlight w:val="none"/>
              </w:rPr>
            </w:pPr>
          </w:p>
        </w:tc>
        <w:tc>
          <w:tcPr>
            <w:tcW w:w="7569" w:type="dxa"/>
            <w:vAlign w:val="center"/>
          </w:tcPr>
          <w:p w14:paraId="42D58FE9">
            <w:pPr>
              <w:spacing w:line="560" w:lineRule="exact"/>
              <w:rPr>
                <w:rFonts w:ascii="宋体" w:hAnsi="宋体"/>
                <w:color w:val="auto"/>
                <w:szCs w:val="21"/>
                <w:highlight w:val="none"/>
              </w:rPr>
            </w:pPr>
          </w:p>
        </w:tc>
      </w:tr>
      <w:tr w14:paraId="41A38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30BA7629">
            <w:pPr>
              <w:spacing w:line="560" w:lineRule="exact"/>
              <w:rPr>
                <w:rFonts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vAlign w:val="center"/>
          </w:tcPr>
          <w:p w14:paraId="26807E77">
            <w:pPr>
              <w:spacing w:line="560" w:lineRule="exact"/>
              <w:rPr>
                <w:rFonts w:ascii="宋体" w:hAnsi="宋体"/>
                <w:color w:val="auto"/>
                <w:szCs w:val="21"/>
                <w:highlight w:val="none"/>
              </w:rPr>
            </w:pPr>
          </w:p>
        </w:tc>
      </w:tr>
      <w:tr w14:paraId="791DD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1A4E7288">
            <w:pPr>
              <w:spacing w:line="560" w:lineRule="exact"/>
              <w:rPr>
                <w:rFonts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vAlign w:val="center"/>
          </w:tcPr>
          <w:p w14:paraId="17E520E5">
            <w:pPr>
              <w:spacing w:line="560" w:lineRule="exact"/>
              <w:rPr>
                <w:rFonts w:ascii="宋体" w:hAnsi="宋体"/>
                <w:color w:val="auto"/>
                <w:szCs w:val="21"/>
                <w:highlight w:val="none"/>
              </w:rPr>
            </w:pPr>
          </w:p>
        </w:tc>
      </w:tr>
    </w:tbl>
    <w:p w14:paraId="4B0DB2F6">
      <w:pPr>
        <w:widowControl/>
        <w:jc w:val="left"/>
        <w:rPr>
          <w:rFonts w:ascii="宋体" w:hAnsi="宋体"/>
          <w:color w:val="auto"/>
          <w:szCs w:val="21"/>
          <w:highlight w:val="none"/>
        </w:rPr>
      </w:pPr>
    </w:p>
    <w:p w14:paraId="0004CF91">
      <w:pPr>
        <w:spacing w:before="156" w:beforeLines="50" w:after="156" w:afterLines="50"/>
        <w:jc w:val="center"/>
        <w:outlineLvl w:val="0"/>
        <w:rPr>
          <w:rFonts w:ascii="宋体"/>
          <w:b/>
          <w:color w:val="auto"/>
          <w:sz w:val="32"/>
          <w:szCs w:val="32"/>
          <w:highlight w:val="none"/>
        </w:rPr>
      </w:pPr>
    </w:p>
    <w:p w14:paraId="5A0A3363">
      <w:pPr>
        <w:rPr>
          <w:color w:val="auto"/>
          <w:highlight w:val="none"/>
        </w:rPr>
      </w:pPr>
    </w:p>
    <w:bookmarkEnd w:id="67"/>
    <w:bookmarkEnd w:id="68"/>
    <w:bookmarkEnd w:id="69"/>
    <w:p w14:paraId="4725DE7A">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p>
    <w:p w14:paraId="517D15B2">
      <w:pPr>
        <w:jc w:val="center"/>
        <w:rPr>
          <w:rFonts w:eastAsia="黑体"/>
          <w:color w:val="auto"/>
          <w:sz w:val="20"/>
          <w:highlight w:val="none"/>
        </w:rPr>
      </w:pPr>
    </w:p>
    <w:p w14:paraId="35A86A26">
      <w:pPr>
        <w:ind w:firstLine="2240" w:firstLineChars="700"/>
        <w:rPr>
          <w:rFonts w:ascii="宋体"/>
          <w:color w:val="auto"/>
          <w:sz w:val="32"/>
          <w:szCs w:val="32"/>
          <w:highlight w:val="none"/>
          <w:u w:val="single"/>
        </w:rPr>
      </w:pPr>
    </w:p>
    <w:p w14:paraId="5FC71DEB">
      <w:pPr>
        <w:ind w:firstLine="2240" w:firstLineChars="700"/>
        <w:rPr>
          <w:rFonts w:ascii="宋体"/>
          <w:color w:val="auto"/>
          <w:sz w:val="32"/>
          <w:szCs w:val="32"/>
          <w:highlight w:val="none"/>
          <w:u w:val="single"/>
        </w:rPr>
      </w:pPr>
    </w:p>
    <w:p w14:paraId="0BFDDE80">
      <w:pPr>
        <w:jc w:val="center"/>
        <w:rPr>
          <w:rFonts w:hint="eastAsia" w:ascii="仿宋_GB2312" w:hAnsi="宋体" w:eastAsia="仿宋_GB2312" w:cs="宋体"/>
          <w:color w:val="auto"/>
          <w:sz w:val="40"/>
          <w:szCs w:val="40"/>
          <w:highlight w:val="none"/>
          <w:lang w:eastAsia="zh-CN"/>
        </w:rPr>
      </w:pPr>
      <w:r>
        <w:rPr>
          <w:rFonts w:hint="eastAsia" w:ascii="宋体" w:eastAsia="仿宋_GB2312"/>
          <w:color w:val="auto"/>
          <w:sz w:val="36"/>
          <w:szCs w:val="36"/>
          <w:highlight w:val="none"/>
          <w:lang w:eastAsia="zh-CN"/>
        </w:rPr>
        <w:t>明湖新区2026年地块控制性详细规划编制服务项目</w:t>
      </w:r>
    </w:p>
    <w:p w14:paraId="56ECF446">
      <w:pPr>
        <w:spacing w:line="1200" w:lineRule="exact"/>
        <w:jc w:val="center"/>
        <w:rPr>
          <w:rFonts w:ascii="宋体"/>
          <w:color w:val="auto"/>
          <w:sz w:val="44"/>
          <w:szCs w:val="44"/>
          <w:highlight w:val="none"/>
        </w:rPr>
      </w:pPr>
    </w:p>
    <w:p w14:paraId="25487D4A">
      <w:pPr>
        <w:jc w:val="center"/>
        <w:rPr>
          <w:rFonts w:eastAsia="黑体"/>
          <w:color w:val="auto"/>
          <w:sz w:val="20"/>
          <w:highlight w:val="none"/>
        </w:rPr>
      </w:pPr>
    </w:p>
    <w:p w14:paraId="1C004E50">
      <w:pPr>
        <w:rPr>
          <w:rFonts w:eastAsia="黑体"/>
          <w:color w:val="auto"/>
          <w:sz w:val="20"/>
          <w:highlight w:val="none"/>
        </w:rPr>
      </w:pPr>
    </w:p>
    <w:p w14:paraId="7A70BE71">
      <w:pPr>
        <w:jc w:val="center"/>
        <w:rPr>
          <w:rFonts w:eastAsia="黑体"/>
          <w:color w:val="auto"/>
          <w:sz w:val="44"/>
          <w:szCs w:val="44"/>
          <w:highlight w:val="none"/>
        </w:rPr>
      </w:pPr>
    </w:p>
    <w:p w14:paraId="0F03B9F9">
      <w:pPr>
        <w:jc w:val="center"/>
        <w:rPr>
          <w:rFonts w:eastAsia="黑体"/>
          <w:color w:val="auto"/>
          <w:sz w:val="44"/>
          <w:szCs w:val="44"/>
          <w:highlight w:val="none"/>
        </w:rPr>
      </w:pPr>
      <w:r>
        <w:rPr>
          <w:rFonts w:hint="eastAsia" w:eastAsia="黑体"/>
          <w:color w:val="auto"/>
          <w:sz w:val="44"/>
          <w:szCs w:val="44"/>
          <w:highlight w:val="none"/>
          <w:lang w:val="en-US" w:eastAsia="zh-CN"/>
        </w:rPr>
        <w:t>响 应</w:t>
      </w:r>
      <w:r>
        <w:rPr>
          <w:rFonts w:hint="eastAsia" w:eastAsia="黑体"/>
          <w:color w:val="auto"/>
          <w:sz w:val="44"/>
          <w:szCs w:val="44"/>
          <w:highlight w:val="none"/>
        </w:rPr>
        <w:t xml:space="preserve"> 文 件</w:t>
      </w:r>
    </w:p>
    <w:p w14:paraId="7357827F">
      <w:pPr>
        <w:jc w:val="center"/>
        <w:rPr>
          <w:rFonts w:eastAsia="黑体"/>
          <w:color w:val="auto"/>
          <w:sz w:val="44"/>
          <w:szCs w:val="44"/>
          <w:highlight w:val="none"/>
        </w:rPr>
      </w:pPr>
    </w:p>
    <w:p w14:paraId="1FC1A84D">
      <w:pPr>
        <w:rPr>
          <w:rFonts w:ascii="宋体"/>
          <w:color w:val="auto"/>
          <w:sz w:val="28"/>
          <w:szCs w:val="28"/>
          <w:highlight w:val="none"/>
        </w:rPr>
      </w:pPr>
    </w:p>
    <w:p w14:paraId="01227617">
      <w:pPr>
        <w:rPr>
          <w:rFonts w:ascii="宋体"/>
          <w:color w:val="auto"/>
          <w:sz w:val="28"/>
          <w:szCs w:val="28"/>
          <w:highlight w:val="none"/>
        </w:rPr>
      </w:pPr>
    </w:p>
    <w:p w14:paraId="2E4FA7E5">
      <w:pPr>
        <w:rPr>
          <w:rFonts w:ascii="宋体"/>
          <w:color w:val="auto"/>
          <w:sz w:val="28"/>
          <w:szCs w:val="28"/>
          <w:highlight w:val="none"/>
        </w:rPr>
      </w:pPr>
    </w:p>
    <w:p w14:paraId="3B5BE1C0">
      <w:pPr>
        <w:rPr>
          <w:rFonts w:ascii="宋体"/>
          <w:color w:val="auto"/>
          <w:sz w:val="28"/>
          <w:szCs w:val="28"/>
          <w:highlight w:val="none"/>
        </w:rPr>
      </w:pPr>
    </w:p>
    <w:p w14:paraId="7103A20A">
      <w:pPr>
        <w:rPr>
          <w:rFonts w:ascii="宋体"/>
          <w:color w:val="auto"/>
          <w:sz w:val="28"/>
          <w:szCs w:val="28"/>
          <w:highlight w:val="none"/>
        </w:rPr>
      </w:pPr>
    </w:p>
    <w:p w14:paraId="0518C5A7">
      <w:pPr>
        <w:rPr>
          <w:rFonts w:ascii="宋体"/>
          <w:color w:val="auto"/>
          <w:sz w:val="28"/>
          <w:szCs w:val="28"/>
          <w:highlight w:val="none"/>
        </w:rPr>
      </w:pPr>
    </w:p>
    <w:p w14:paraId="7E3AB335">
      <w:pPr>
        <w:ind w:firstLine="1120" w:firstLineChars="400"/>
        <w:rPr>
          <w:rFonts w:ascii="宋体"/>
          <w:color w:val="auto"/>
          <w:sz w:val="28"/>
          <w:szCs w:val="28"/>
          <w:highlight w:val="none"/>
          <w:u w:val="single"/>
        </w:rPr>
      </w:pPr>
      <w:r>
        <w:rPr>
          <w:rFonts w:hint="eastAsia" w:ascii="宋体"/>
          <w:color w:val="auto"/>
          <w:sz w:val="28"/>
          <w:szCs w:val="28"/>
          <w:highlight w:val="none"/>
          <w:lang w:val="en-US" w:eastAsia="zh-CN"/>
        </w:rPr>
        <w:t>供应商</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1F219A73">
      <w:pPr>
        <w:jc w:val="center"/>
        <w:rPr>
          <w:rFonts w:ascii="宋体"/>
          <w:color w:val="auto"/>
          <w:sz w:val="28"/>
          <w:szCs w:val="28"/>
          <w:highlight w:val="none"/>
        </w:rPr>
      </w:pPr>
      <w:r>
        <w:rPr>
          <w:rFonts w:hint="eastAsia" w:ascii="宋体"/>
          <w:color w:val="auto"/>
          <w:sz w:val="28"/>
          <w:szCs w:val="28"/>
          <w:highlight w:val="none"/>
        </w:rPr>
        <w:t>法定代表人或授权委托代理人：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3FF9391">
      <w:pPr>
        <w:spacing w:line="540" w:lineRule="exact"/>
        <w:jc w:val="center"/>
        <w:rPr>
          <w:color w:val="auto"/>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1D85DBD">
      <w:pPr>
        <w:pStyle w:val="17"/>
        <w:rPr>
          <w:color w:val="auto"/>
          <w:highlight w:val="none"/>
        </w:rPr>
      </w:pPr>
    </w:p>
    <w:p w14:paraId="4125F654">
      <w:pPr>
        <w:pStyle w:val="17"/>
        <w:rPr>
          <w:color w:val="auto"/>
          <w:highlight w:val="none"/>
        </w:rPr>
      </w:pPr>
    </w:p>
    <w:p w14:paraId="55B8D6FE">
      <w:pPr>
        <w:spacing w:line="400" w:lineRule="exact"/>
        <w:rPr>
          <w:b/>
          <w:color w:val="auto"/>
          <w:sz w:val="28"/>
          <w:szCs w:val="28"/>
          <w:highlight w:val="none"/>
        </w:rPr>
      </w:pPr>
    </w:p>
    <w:p w14:paraId="6EA3F735">
      <w:pPr>
        <w:spacing w:line="400" w:lineRule="exact"/>
        <w:ind w:firstLine="562" w:firstLineChars="200"/>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目    录</w:t>
      </w:r>
    </w:p>
    <w:p w14:paraId="6509CAA0">
      <w:pPr>
        <w:spacing w:line="400" w:lineRule="exact"/>
        <w:ind w:firstLine="420" w:firstLineChars="200"/>
        <w:rPr>
          <w:rFonts w:ascii="宋体" w:hAnsi="宋体"/>
          <w:color w:val="auto"/>
          <w:highlight w:val="none"/>
        </w:rPr>
      </w:pPr>
    </w:p>
    <w:p w14:paraId="3EA44156">
      <w:pPr>
        <w:spacing w:line="440" w:lineRule="exact"/>
        <w:rPr>
          <w:rFonts w:eastAsia="黑体"/>
          <w:color w:val="auto"/>
          <w:sz w:val="20"/>
          <w:szCs w:val="20"/>
          <w:highlight w:val="none"/>
        </w:rPr>
      </w:pPr>
    </w:p>
    <w:p w14:paraId="3138DD19">
      <w:pPr>
        <w:spacing w:line="336" w:lineRule="auto"/>
        <w:ind w:firstLine="420" w:firstLineChars="200"/>
        <w:rPr>
          <w:rFonts w:hint="eastAsia" w:ascii="宋体" w:hAnsi="宋体" w:cs="宋体"/>
          <w:color w:val="auto"/>
          <w:szCs w:val="21"/>
          <w:highlight w:val="none"/>
        </w:rPr>
      </w:pPr>
      <w:bookmarkStart w:id="197" w:name="_Toc56962913"/>
      <w:bookmarkStart w:id="198" w:name="_Toc15300917"/>
      <w:bookmarkStart w:id="199" w:name="_Toc488780208"/>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报价函、分项报价清单（格式见附件）；</w:t>
      </w:r>
    </w:p>
    <w:p w14:paraId="6AD5EA4D">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企业营业执照；</w:t>
      </w:r>
    </w:p>
    <w:p w14:paraId="6B8BA67E">
      <w:pPr>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企业资质证书；</w:t>
      </w:r>
    </w:p>
    <w:p w14:paraId="01BFFF19">
      <w:pPr>
        <w:spacing w:line="336"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（4）供应商诚信响应承诺书；</w:t>
      </w:r>
    </w:p>
    <w:p w14:paraId="54D5B464">
      <w:pPr>
        <w:spacing w:line="336"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法定代表人身份证明文件和本人身份证(或法定代表人授权委托书和委托代理人身份证)</w:t>
      </w:r>
      <w:r>
        <w:rPr>
          <w:rFonts w:hint="eastAsia" w:ascii="宋体" w:hAnsi="宋体" w:cs="宋体"/>
          <w:color w:val="auto"/>
          <w:szCs w:val="21"/>
          <w:highlight w:val="none"/>
          <w:lang w:eastAsia="zh-CN"/>
        </w:rPr>
        <w:t>；</w:t>
      </w:r>
    </w:p>
    <w:p w14:paraId="64226E1E">
      <w:pPr>
        <w:spacing w:line="336"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（6）项目负责人及技术负责人的有效身份证及对应证书；</w:t>
      </w:r>
    </w:p>
    <w:p w14:paraId="48F90F9B">
      <w:pPr>
        <w:spacing w:line="336" w:lineRule="auto"/>
        <w:ind w:firstLine="420" w:firstLineChars="200"/>
        <w:outlineLvl w:val="1"/>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（7）供应商认为需要提交的其他相关资料。</w:t>
      </w:r>
    </w:p>
    <w:p w14:paraId="3EF18F8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b/>
          <w:color w:val="auto"/>
          <w:sz w:val="32"/>
          <w:szCs w:val="32"/>
          <w:highlight w:val="none"/>
        </w:rPr>
      </w:pPr>
      <w:r>
        <w:rPr>
          <w:rFonts w:hint="eastAsia" w:eastAsia="黑体"/>
          <w:color w:val="auto"/>
          <w:sz w:val="20"/>
          <w:szCs w:val="20"/>
          <w:highlight w:val="none"/>
        </w:rPr>
        <w:br w:type="page"/>
      </w:r>
      <w:r>
        <w:rPr>
          <w:rFonts w:hint="eastAsia" w:ascii="宋体" w:hAnsi="宋体" w:eastAsia="宋体" w:cs="宋体"/>
          <w:b/>
          <w:color w:val="auto"/>
          <w:sz w:val="32"/>
          <w:szCs w:val="32"/>
          <w:highlight w:val="none"/>
        </w:rPr>
        <w:t>（1）报 价 函</w:t>
      </w:r>
    </w:p>
    <w:p w14:paraId="5B3F91FF">
      <w:pPr>
        <w:spacing w:line="600" w:lineRule="exact"/>
        <w:jc w:val="left"/>
        <w:rPr>
          <w:rFonts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（询价单位）</w:t>
      </w:r>
      <w:r>
        <w:rPr>
          <w:rFonts w:hint="eastAsia" w:ascii="宋体" w:hAnsi="宋体" w:cs="宋体"/>
          <w:b/>
          <w:color w:val="auto"/>
          <w:szCs w:val="21"/>
          <w:highlight w:val="none"/>
        </w:rPr>
        <w:t>：</w:t>
      </w:r>
    </w:p>
    <w:p w14:paraId="101F014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我们决定参加贵单位组织的“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的采购。我方授权</w:t>
      </w:r>
      <w:r>
        <w:rPr>
          <w:rFonts w:hint="eastAsia" w:ascii="宋体" w:hAnsi="宋体" w:cs="宋体"/>
          <w:color w:val="auto"/>
          <w:szCs w:val="21"/>
          <w:highlight w:val="none"/>
          <w:u w:val="single"/>
        </w:rPr>
        <w:t>(姓名和职务)</w:t>
      </w:r>
      <w:r>
        <w:rPr>
          <w:rFonts w:hint="eastAsia" w:ascii="宋体" w:hAnsi="宋体" w:cs="宋体"/>
          <w:color w:val="auto"/>
          <w:szCs w:val="21"/>
          <w:highlight w:val="none"/>
        </w:rPr>
        <w:t>代表我方全权处理本项目响应的有关事宜。</w:t>
      </w:r>
    </w:p>
    <w:p w14:paraId="32301D3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我方愿意按照采购文件规定的各项要求，向招标人提供“</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”项目的服务，其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报价为地块面积50亩以内新编</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万元/个，修编、局部调整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万元/个，技术修正</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万元/个。以上地块详细规划修改涉及单元详细规划修改的增加</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万元/个，地块面积50亩以上的增加</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万元/个，需要开展地形图测绘的增加</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万元/个。服务期满足采购人要求。</w:t>
      </w:r>
    </w:p>
    <w:p w14:paraId="400F243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一旦我方成为合同签字人，我方将严格履行合同规定的责任和义务。</w:t>
      </w:r>
    </w:p>
    <w:p w14:paraId="43897EE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我方同意按照采购文件的要求，递交金额为人民币</w:t>
      </w:r>
      <w:r>
        <w:rPr>
          <w:rFonts w:hint="eastAsia" w:ascii="宋体" w:hAnsi="宋体" w:cs="宋体"/>
          <w:color w:val="auto"/>
          <w:szCs w:val="21"/>
          <w:highlight w:val="none"/>
          <w:u w:val="single"/>
        </w:rPr>
        <w:t xml:space="preserve">  /（大写）</w:t>
      </w:r>
      <w:r>
        <w:rPr>
          <w:rFonts w:hint="eastAsia" w:ascii="宋体" w:hAnsi="宋体" w:cs="宋体"/>
          <w:color w:val="auto"/>
          <w:szCs w:val="21"/>
          <w:highlight w:val="none"/>
        </w:rPr>
        <w:t>的投标保证金。并且承诺，在投标有效期内如果我方撤回采购投标书或成为合同签字人后拒绝签订合同，我方将放弃要求退还该保证金的</w:t>
      </w:r>
      <w:r>
        <w:rPr>
          <w:rFonts w:hint="eastAsia" w:ascii="宋体" w:hAnsi="宋体" w:cs="宋体"/>
          <w:color w:val="auto"/>
          <w:szCs w:val="21"/>
          <w:highlight w:val="none"/>
          <w:lang w:val="en-US" w:eastAsia="zh-CN"/>
        </w:rPr>
        <w:t>权利</w:t>
      </w:r>
      <w:r>
        <w:rPr>
          <w:rFonts w:hint="eastAsia" w:ascii="宋体" w:hAnsi="宋体" w:cs="宋体"/>
          <w:color w:val="auto"/>
          <w:szCs w:val="21"/>
          <w:highlight w:val="none"/>
        </w:rPr>
        <w:t>。</w:t>
      </w:r>
    </w:p>
    <w:p w14:paraId="20F1DD8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我方愿意提供可能另外要求的、与采购有关的文件资料，并保证我方已提供和将要提供的文件是真实的、准确的。</w:t>
      </w:r>
    </w:p>
    <w:p w14:paraId="097368B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我单位提供如下通讯地址：</w:t>
      </w:r>
      <w:r>
        <w:rPr>
          <w:rFonts w:hint="eastAsia" w:ascii="宋体" w:hAnsi="宋体" w:cs="宋体"/>
          <w:color w:val="auto"/>
          <w:szCs w:val="21"/>
          <w:highlight w:val="none"/>
          <w:u w:val="single"/>
        </w:rPr>
        <w:t xml:space="preserve">                电子邮箱（地址），</w:t>
      </w:r>
      <w:r>
        <w:rPr>
          <w:rFonts w:hint="eastAsia" w:ascii="宋体" w:hAnsi="宋体" w:cs="宋体"/>
          <w:color w:val="auto"/>
          <w:szCs w:val="21"/>
          <w:highlight w:val="none"/>
        </w:rPr>
        <w:t>确认本项目相关法律文书均通过提供的以上地址送达，相关文书只要发送至以上电子邮箱（地址）即视为送达，响应人愿意承担一切法律后果。</w:t>
      </w:r>
    </w:p>
    <w:p w14:paraId="3D51EF97">
      <w:pPr>
        <w:spacing w:line="600" w:lineRule="exact"/>
        <w:ind w:firstLine="2293" w:firstLineChars="1092"/>
        <w:jc w:val="left"/>
        <w:rPr>
          <w:rFonts w:ascii="宋体" w:hAnsi="宋体" w:cs="宋体"/>
          <w:color w:val="auto"/>
          <w:szCs w:val="21"/>
          <w:highlight w:val="none"/>
        </w:rPr>
      </w:pPr>
    </w:p>
    <w:p w14:paraId="52B6D427">
      <w:pPr>
        <w:spacing w:line="600" w:lineRule="exact"/>
        <w:ind w:firstLine="2293" w:firstLineChars="1092"/>
        <w:jc w:val="left"/>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（公章）   </w:t>
      </w:r>
    </w:p>
    <w:p w14:paraId="47358928">
      <w:pPr>
        <w:spacing w:line="600" w:lineRule="exact"/>
        <w:ind w:firstLine="2293" w:firstLineChars="1092"/>
        <w:jc w:val="left"/>
        <w:rPr>
          <w:rFonts w:ascii="宋体" w:hAnsi="宋体" w:cs="宋体"/>
          <w:color w:val="auto"/>
          <w:szCs w:val="21"/>
          <w:highlight w:val="none"/>
          <w:u w:val="single"/>
        </w:rPr>
      </w:pPr>
      <w:r>
        <w:rPr>
          <w:rFonts w:hint="eastAsia" w:ascii="宋体" w:hAnsi="宋体" w:cs="宋体"/>
          <w:bCs/>
          <w:color w:val="auto"/>
          <w:szCs w:val="21"/>
          <w:highlight w:val="none"/>
        </w:rPr>
        <w:t>法定代表人或其委托代理人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（签字或盖章）</w:t>
      </w:r>
    </w:p>
    <w:p w14:paraId="29F2A3A3">
      <w:pPr>
        <w:spacing w:line="6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p w14:paraId="5DD1B82C">
      <w:pPr>
        <w:spacing w:line="6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p>
    <w:p w14:paraId="4358C7C9">
      <w:pPr>
        <w:spacing w:line="7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   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34D8F31B">
      <w:pPr>
        <w:rPr>
          <w:b/>
          <w:color w:val="auto"/>
          <w:sz w:val="28"/>
          <w:szCs w:val="28"/>
          <w:highlight w:val="none"/>
        </w:rPr>
      </w:pPr>
      <w:r>
        <w:rPr>
          <w:rFonts w:hint="eastAsia"/>
          <w:b/>
          <w:color w:val="auto"/>
          <w:sz w:val="28"/>
          <w:szCs w:val="28"/>
          <w:highlight w:val="none"/>
        </w:rPr>
        <w:br w:type="page"/>
      </w:r>
    </w:p>
    <w:p w14:paraId="1327780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（2）分项报价清单 </w:t>
      </w:r>
    </w:p>
    <w:tbl>
      <w:tblPr>
        <w:tblStyle w:val="18"/>
        <w:tblW w:w="0" w:type="auto"/>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0"/>
        <w:gridCol w:w="5325"/>
        <w:gridCol w:w="1035"/>
        <w:gridCol w:w="1605"/>
        <w:gridCol w:w="855"/>
      </w:tblGrid>
      <w:tr w14:paraId="1EA60B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820" w:type="dxa"/>
            <w:vAlign w:val="center"/>
          </w:tcPr>
          <w:p w14:paraId="28D8572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325" w:type="dxa"/>
            <w:tcBorders>
              <w:right w:val="single" w:color="auto" w:sz="4" w:space="0"/>
            </w:tcBorders>
            <w:vAlign w:val="center"/>
          </w:tcPr>
          <w:p w14:paraId="7EE392A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035" w:type="dxa"/>
            <w:vAlign w:val="center"/>
          </w:tcPr>
          <w:p w14:paraId="052C88A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605" w:type="dxa"/>
            <w:tcBorders>
              <w:left w:val="single" w:color="auto" w:sz="4" w:space="0"/>
            </w:tcBorders>
            <w:vAlign w:val="center"/>
          </w:tcPr>
          <w:p w14:paraId="129B678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价（元）</w:t>
            </w:r>
          </w:p>
        </w:tc>
        <w:tc>
          <w:tcPr>
            <w:tcW w:w="855" w:type="dxa"/>
            <w:vAlign w:val="center"/>
          </w:tcPr>
          <w:p w14:paraId="6F090EEC">
            <w:pPr>
              <w:keepNext w:val="0"/>
              <w:keepLines w:val="0"/>
              <w:pageBreakBefore w:val="0"/>
              <w:widowControl w:val="0"/>
              <w:kinsoku/>
              <w:wordWrap/>
              <w:overflowPunct/>
              <w:topLinePunct w:val="0"/>
              <w:autoSpaceDE/>
              <w:autoSpaceDN/>
              <w:bidi w:val="0"/>
              <w:adjustRightInd/>
              <w:snapToGrid/>
              <w:spacing w:line="720" w:lineRule="exact"/>
              <w:ind w:left="-80" w:leftChars="-38" w:right="-94" w:rightChars="-4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E922B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20" w:type="dxa"/>
            <w:shd w:val="clear" w:color="auto" w:fill="auto"/>
            <w:vAlign w:val="center"/>
          </w:tcPr>
          <w:p w14:paraId="4A850C6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325" w:type="dxa"/>
            <w:tcBorders>
              <w:right w:val="single" w:color="auto" w:sz="4" w:space="0"/>
            </w:tcBorders>
            <w:shd w:val="clear" w:color="auto" w:fill="FFFFFF"/>
            <w:vAlign w:val="center"/>
          </w:tcPr>
          <w:p w14:paraId="41AC9D6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地块面积50亩以内新编</w:t>
            </w:r>
          </w:p>
        </w:tc>
        <w:tc>
          <w:tcPr>
            <w:tcW w:w="1035" w:type="dxa"/>
            <w:shd w:val="clear" w:color="auto" w:fill="FFFFFF"/>
            <w:vAlign w:val="center"/>
          </w:tcPr>
          <w:p w14:paraId="59D272E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605" w:type="dxa"/>
            <w:tcBorders>
              <w:left w:val="single" w:color="auto" w:sz="4" w:space="0"/>
            </w:tcBorders>
            <w:vAlign w:val="center"/>
          </w:tcPr>
          <w:p w14:paraId="1AE6D42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p>
        </w:tc>
        <w:tc>
          <w:tcPr>
            <w:tcW w:w="855" w:type="dxa"/>
            <w:vAlign w:val="center"/>
          </w:tcPr>
          <w:p w14:paraId="188AC94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p>
        </w:tc>
      </w:tr>
      <w:tr w14:paraId="35050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20" w:type="dxa"/>
            <w:shd w:val="clear" w:color="auto" w:fill="auto"/>
            <w:vAlign w:val="center"/>
          </w:tcPr>
          <w:p w14:paraId="6B15077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325" w:type="dxa"/>
            <w:tcBorders>
              <w:right w:val="single" w:color="auto" w:sz="4" w:space="0"/>
            </w:tcBorders>
            <w:shd w:val="clear" w:color="auto" w:fill="FFFFFF"/>
            <w:vAlign w:val="center"/>
          </w:tcPr>
          <w:p w14:paraId="1D636B9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修编、局部调整</w:t>
            </w:r>
          </w:p>
        </w:tc>
        <w:tc>
          <w:tcPr>
            <w:tcW w:w="1035" w:type="dxa"/>
            <w:shd w:val="clear" w:color="auto" w:fill="FFFFFF"/>
            <w:vAlign w:val="center"/>
          </w:tcPr>
          <w:p w14:paraId="345166E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605" w:type="dxa"/>
            <w:tcBorders>
              <w:left w:val="single" w:color="auto" w:sz="4" w:space="0"/>
            </w:tcBorders>
            <w:vAlign w:val="center"/>
          </w:tcPr>
          <w:p w14:paraId="267188D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p>
        </w:tc>
        <w:tc>
          <w:tcPr>
            <w:tcW w:w="855" w:type="dxa"/>
            <w:vAlign w:val="center"/>
          </w:tcPr>
          <w:p w14:paraId="6D2B254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p>
        </w:tc>
      </w:tr>
      <w:tr w14:paraId="2A84E9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20" w:type="dxa"/>
            <w:shd w:val="clear" w:color="auto" w:fill="auto"/>
            <w:vAlign w:val="center"/>
          </w:tcPr>
          <w:p w14:paraId="3B7CEAD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5325" w:type="dxa"/>
            <w:tcBorders>
              <w:right w:val="single" w:color="auto" w:sz="4" w:space="0"/>
            </w:tcBorders>
            <w:shd w:val="clear" w:color="auto" w:fill="FFFFFF"/>
            <w:vAlign w:val="center"/>
          </w:tcPr>
          <w:p w14:paraId="6D8EDB4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技术修正</w:t>
            </w:r>
          </w:p>
        </w:tc>
        <w:tc>
          <w:tcPr>
            <w:tcW w:w="1035" w:type="dxa"/>
            <w:shd w:val="clear" w:color="auto" w:fill="FFFFFF"/>
            <w:vAlign w:val="center"/>
          </w:tcPr>
          <w:p w14:paraId="736B4FA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605" w:type="dxa"/>
            <w:tcBorders>
              <w:left w:val="single" w:color="auto" w:sz="4" w:space="0"/>
            </w:tcBorders>
            <w:vAlign w:val="center"/>
          </w:tcPr>
          <w:p w14:paraId="0E46EF3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p>
        </w:tc>
        <w:tc>
          <w:tcPr>
            <w:tcW w:w="855" w:type="dxa"/>
            <w:vAlign w:val="center"/>
          </w:tcPr>
          <w:p w14:paraId="1F894B5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p>
        </w:tc>
      </w:tr>
      <w:tr w14:paraId="5CAE68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20" w:type="dxa"/>
            <w:shd w:val="clear" w:color="auto" w:fill="auto"/>
            <w:vAlign w:val="center"/>
          </w:tcPr>
          <w:p w14:paraId="5005AFA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5325" w:type="dxa"/>
            <w:tcBorders>
              <w:right w:val="single" w:color="auto" w:sz="4" w:space="0"/>
            </w:tcBorders>
            <w:shd w:val="clear" w:color="auto" w:fill="FFFFFF"/>
            <w:vAlign w:val="center"/>
          </w:tcPr>
          <w:p w14:paraId="31F93A4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以上地块详细规划修改涉及单元详细规划修改的增加</w:t>
            </w:r>
          </w:p>
        </w:tc>
        <w:tc>
          <w:tcPr>
            <w:tcW w:w="1035" w:type="dxa"/>
            <w:shd w:val="clear" w:color="auto" w:fill="FFFFFF"/>
            <w:vAlign w:val="center"/>
          </w:tcPr>
          <w:p w14:paraId="0F95696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605" w:type="dxa"/>
            <w:tcBorders>
              <w:left w:val="single" w:color="auto" w:sz="4" w:space="0"/>
            </w:tcBorders>
            <w:vAlign w:val="center"/>
          </w:tcPr>
          <w:p w14:paraId="60CBC3B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p>
        </w:tc>
        <w:tc>
          <w:tcPr>
            <w:tcW w:w="855" w:type="dxa"/>
            <w:vAlign w:val="center"/>
          </w:tcPr>
          <w:p w14:paraId="2966244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p>
        </w:tc>
      </w:tr>
      <w:tr w14:paraId="5C59D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20" w:type="dxa"/>
            <w:shd w:val="clear" w:color="auto" w:fill="auto"/>
            <w:vAlign w:val="center"/>
          </w:tcPr>
          <w:p w14:paraId="2CA7667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5325" w:type="dxa"/>
            <w:tcBorders>
              <w:right w:val="single" w:color="auto" w:sz="4" w:space="0"/>
            </w:tcBorders>
            <w:shd w:val="clear" w:color="auto" w:fill="FFFFFF"/>
            <w:vAlign w:val="center"/>
          </w:tcPr>
          <w:p w14:paraId="6C40DE6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地块面积50亩以上的增加</w:t>
            </w:r>
          </w:p>
        </w:tc>
        <w:tc>
          <w:tcPr>
            <w:tcW w:w="1035" w:type="dxa"/>
            <w:shd w:val="clear" w:color="auto" w:fill="FFFFFF"/>
            <w:vAlign w:val="center"/>
          </w:tcPr>
          <w:p w14:paraId="057922C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605" w:type="dxa"/>
            <w:tcBorders>
              <w:left w:val="single" w:color="auto" w:sz="4" w:space="0"/>
            </w:tcBorders>
            <w:vAlign w:val="center"/>
          </w:tcPr>
          <w:p w14:paraId="74D1FF4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p>
        </w:tc>
        <w:tc>
          <w:tcPr>
            <w:tcW w:w="855" w:type="dxa"/>
            <w:vAlign w:val="center"/>
          </w:tcPr>
          <w:p w14:paraId="21282AE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p>
        </w:tc>
      </w:tr>
      <w:tr w14:paraId="0CD33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20" w:type="dxa"/>
            <w:shd w:val="clear" w:color="auto" w:fill="auto"/>
            <w:vAlign w:val="center"/>
          </w:tcPr>
          <w:p w14:paraId="3ECC6E1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5325" w:type="dxa"/>
            <w:tcBorders>
              <w:right w:val="single" w:color="auto" w:sz="4" w:space="0"/>
            </w:tcBorders>
            <w:shd w:val="clear" w:color="auto" w:fill="FFFFFF"/>
            <w:vAlign w:val="center"/>
          </w:tcPr>
          <w:p w14:paraId="2D86C20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需要开展地形图测绘的增加</w:t>
            </w:r>
          </w:p>
        </w:tc>
        <w:tc>
          <w:tcPr>
            <w:tcW w:w="1035" w:type="dxa"/>
            <w:shd w:val="clear" w:color="auto" w:fill="FFFFFF"/>
            <w:vAlign w:val="center"/>
          </w:tcPr>
          <w:p w14:paraId="0541C1B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605" w:type="dxa"/>
            <w:tcBorders>
              <w:left w:val="single" w:color="auto" w:sz="4" w:space="0"/>
            </w:tcBorders>
            <w:vAlign w:val="center"/>
          </w:tcPr>
          <w:p w14:paraId="4F83C51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p>
        </w:tc>
        <w:tc>
          <w:tcPr>
            <w:tcW w:w="855" w:type="dxa"/>
            <w:vAlign w:val="center"/>
          </w:tcPr>
          <w:p w14:paraId="72A4EF7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1"/>
                <w:szCs w:val="21"/>
                <w:highlight w:val="none"/>
              </w:rPr>
            </w:pPr>
          </w:p>
        </w:tc>
      </w:tr>
    </w:tbl>
    <w:p w14:paraId="69ECB67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宋体" w:eastAsia="宋体"/>
          <w:b/>
          <w:color w:val="auto"/>
          <w:szCs w:val="21"/>
          <w:highlight w:val="none"/>
          <w:lang w:val="en-US" w:eastAsia="zh-CN"/>
        </w:rPr>
      </w:pPr>
      <w:r>
        <w:rPr>
          <w:rFonts w:hint="eastAsia" w:ascii="宋体" w:hAnsi="宋体" w:cs="宋体"/>
          <w:color w:val="auto"/>
          <w:szCs w:val="21"/>
          <w:highlight w:val="none"/>
          <w:lang w:val="zh-CN"/>
        </w:rPr>
        <w:t>注：1.所有投标只能选择一种方案，单价和合价的报价只能是唯一，且须列出详细的分项报价。</w:t>
      </w:r>
      <w:r>
        <w:rPr>
          <w:rFonts w:hint="eastAsia" w:ascii="宋体"/>
          <w:b/>
          <w:color w:val="auto"/>
          <w:szCs w:val="21"/>
          <w:highlight w:val="none"/>
        </w:rPr>
        <w:t>（与采购清单项相一致，不得缺项，否则</w:t>
      </w:r>
      <w:r>
        <w:rPr>
          <w:rFonts w:hint="eastAsia" w:ascii="宋体" w:hAnsi="宋体"/>
          <w:b/>
          <w:color w:val="auto"/>
          <w:szCs w:val="21"/>
          <w:highlight w:val="none"/>
        </w:rPr>
        <w:t>视同包含在其他项目</w:t>
      </w:r>
      <w:r>
        <w:rPr>
          <w:rFonts w:hint="eastAsia" w:ascii="宋体"/>
          <w:b/>
          <w:color w:val="auto"/>
          <w:szCs w:val="21"/>
          <w:highlight w:val="none"/>
        </w:rPr>
        <w:t>。）</w:t>
      </w:r>
      <w:r>
        <w:rPr>
          <w:rFonts w:hint="eastAsia" w:ascii="宋体"/>
          <w:b/>
          <w:color w:val="auto"/>
          <w:szCs w:val="21"/>
          <w:highlight w:val="none"/>
          <w:lang w:val="en-US" w:eastAsia="zh-CN"/>
        </w:rPr>
        <w:t>评审时以各单价之和进行评审。</w:t>
      </w:r>
    </w:p>
    <w:p w14:paraId="144C68D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cs="宋体"/>
          <w:color w:val="auto"/>
          <w:szCs w:val="21"/>
          <w:highlight w:val="none"/>
        </w:rPr>
        <w:t>响应</w:t>
      </w:r>
      <w:r>
        <w:rPr>
          <w:rFonts w:hint="eastAsia" w:ascii="宋体" w:hAnsi="宋体" w:cs="宋体"/>
          <w:color w:val="auto"/>
          <w:szCs w:val="21"/>
          <w:highlight w:val="none"/>
          <w:lang w:val="zh-CN"/>
        </w:rPr>
        <w:t>报价采用综合单价法，综合单价包括：</w:t>
      </w:r>
      <w:r>
        <w:rPr>
          <w:rFonts w:hint="eastAsia" w:ascii="宋体" w:hAnsi="宋体" w:cs="宋体"/>
          <w:color w:val="auto"/>
          <w:szCs w:val="21"/>
          <w:highlight w:val="none"/>
        </w:rPr>
        <w:t>全部</w:t>
      </w:r>
      <w:r>
        <w:rPr>
          <w:rFonts w:hint="eastAsia" w:ascii="宋体"/>
          <w:color w:val="auto"/>
          <w:szCs w:val="21"/>
          <w:highlight w:val="none"/>
        </w:rPr>
        <w:t>服务、利润、税金、政策性文件规定及合同包含的所有风险、责任、义务等，即为完成询价文件要求的内容所包含的一切应有费用</w:t>
      </w:r>
      <w:r>
        <w:rPr>
          <w:rFonts w:hint="eastAsia" w:ascii="宋体" w:hAnsi="宋体" w:cs="宋体"/>
          <w:color w:val="auto"/>
          <w:szCs w:val="21"/>
          <w:highlight w:val="none"/>
          <w:lang w:val="zh-CN"/>
        </w:rPr>
        <w:t>及后期服务及国家对</w:t>
      </w:r>
      <w:r>
        <w:rPr>
          <w:rFonts w:hint="eastAsia" w:ascii="宋体" w:hAnsi="宋体" w:cs="宋体"/>
          <w:color w:val="auto"/>
          <w:szCs w:val="21"/>
          <w:highlight w:val="none"/>
        </w:rPr>
        <w:t>成交</w:t>
      </w:r>
      <w:r>
        <w:rPr>
          <w:rFonts w:hint="eastAsia" w:ascii="宋体" w:hAnsi="宋体" w:cs="宋体"/>
          <w:color w:val="auto"/>
          <w:szCs w:val="21"/>
          <w:highlight w:val="none"/>
          <w:lang w:val="zh-CN"/>
        </w:rPr>
        <w:t>单位征收的各种税费等所有一切费用，综合单价今后将不作任何调整。</w:t>
      </w:r>
    </w:p>
    <w:p w14:paraId="13733ECF">
      <w:pPr>
        <w:spacing w:line="360" w:lineRule="auto"/>
        <w:rPr>
          <w:rFonts w:hint="eastAsia" w:ascii="宋体"/>
          <w:color w:val="auto"/>
          <w:sz w:val="24"/>
          <w:highlight w:val="none"/>
          <w:lang w:eastAsia="zh-CN"/>
        </w:rPr>
      </w:pPr>
    </w:p>
    <w:p w14:paraId="2B55593C">
      <w:pPr>
        <w:spacing w:line="360" w:lineRule="auto"/>
        <w:rPr>
          <w:rFonts w:hint="eastAsia" w:ascii="宋体"/>
          <w:color w:val="auto"/>
          <w:sz w:val="24"/>
          <w:highlight w:val="none"/>
          <w:lang w:eastAsia="zh-CN"/>
        </w:rPr>
      </w:pPr>
    </w:p>
    <w:p w14:paraId="1D8D7849">
      <w:pPr>
        <w:spacing w:line="360" w:lineRule="auto"/>
        <w:rPr>
          <w:rFonts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名称（盖单位章）：</w:t>
      </w:r>
      <w:r>
        <w:rPr>
          <w:rFonts w:hint="eastAsia" w:ascii="宋体"/>
          <w:color w:val="auto"/>
          <w:sz w:val="24"/>
          <w:highlight w:val="none"/>
          <w:u w:val="single"/>
        </w:rPr>
        <w:t xml:space="preserve">                                </w:t>
      </w:r>
    </w:p>
    <w:p w14:paraId="7E7D6FDF">
      <w:pPr>
        <w:spacing w:line="360" w:lineRule="auto"/>
        <w:rPr>
          <w:rFonts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6811FC54">
      <w:pPr>
        <w:spacing w:line="360" w:lineRule="auto"/>
        <w:ind w:left="720"/>
        <w:jc w:val="center"/>
        <w:rPr>
          <w:color w:val="auto"/>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A457F85">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DB94E7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（3）法定代表人身份证明或授权委托书</w:t>
      </w:r>
    </w:p>
    <w:p w14:paraId="21F63CD1">
      <w:pPr>
        <w:pStyle w:val="35"/>
        <w:spacing w:before="312" w:beforeLines="100" w:after="312" w:afterLines="100" w:line="480" w:lineRule="exact"/>
        <w:rPr>
          <w:rFonts w:ascii="宋体"/>
          <w:b/>
          <w:color w:val="auto"/>
          <w:sz w:val="24"/>
          <w:szCs w:val="24"/>
          <w:highlight w:val="none"/>
        </w:rPr>
      </w:pPr>
      <w:r>
        <w:rPr>
          <w:rFonts w:hint="eastAsia" w:ascii="宋体"/>
          <w:color w:val="auto"/>
          <w:sz w:val="24"/>
          <w:szCs w:val="24"/>
          <w:highlight w:val="none"/>
        </w:rPr>
        <w:t>1、法定代表人身份证明</w:t>
      </w:r>
    </w:p>
    <w:p w14:paraId="59AD5365">
      <w:pPr>
        <w:spacing w:line="460" w:lineRule="exact"/>
        <w:ind w:firstLine="480" w:firstLineChars="200"/>
        <w:rPr>
          <w:rFonts w:ascii="宋体"/>
          <w:color w:val="auto"/>
          <w:sz w:val="24"/>
          <w:highlight w:val="none"/>
        </w:rPr>
      </w:pPr>
      <w:r>
        <w:rPr>
          <w:rFonts w:hint="eastAsia" w:ascii="宋体"/>
          <w:color w:val="auto"/>
          <w:sz w:val="24"/>
          <w:highlight w:val="none"/>
        </w:rPr>
        <w:t>响应人名称：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90F2539">
      <w:pPr>
        <w:spacing w:line="46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B3B516A">
      <w:pPr>
        <w:spacing w:line="46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44FCE90">
      <w:pPr>
        <w:spacing w:line="46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D4CEA84">
      <w:pPr>
        <w:spacing w:line="460" w:lineRule="exact"/>
        <w:ind w:firstLine="480" w:firstLineChars="200"/>
        <w:rPr>
          <w:rFonts w:ascii="宋体"/>
          <w:color w:val="auto"/>
          <w:sz w:val="24"/>
          <w:highlight w:val="none"/>
          <w:u w:val="single"/>
        </w:rPr>
      </w:pPr>
      <w:r>
        <w:rPr>
          <w:rFonts w:hint="eastAsia" w:ascii="宋体"/>
          <w:color w:val="auto"/>
          <w:sz w:val="24"/>
          <w:highlight w:val="none"/>
        </w:rPr>
        <w:t>经营期限：</w:t>
      </w:r>
      <w:r>
        <w:rPr>
          <w:rFonts w:hint="eastAsia" w:ascii="宋体"/>
          <w:color w:val="auto"/>
          <w:sz w:val="24"/>
          <w:highlight w:val="none"/>
          <w:u w:val="single"/>
        </w:rPr>
        <w:t xml:space="preserve">                                </w:t>
      </w:r>
    </w:p>
    <w:p w14:paraId="3743670F">
      <w:pPr>
        <w:spacing w:line="460" w:lineRule="exact"/>
        <w:ind w:firstLine="480" w:firstLineChars="200"/>
        <w:rPr>
          <w:rFonts w:ascii="宋体"/>
          <w:color w:val="auto"/>
          <w:sz w:val="24"/>
          <w:highlight w:val="none"/>
        </w:rPr>
      </w:pPr>
      <w:r>
        <w:rPr>
          <w:rFonts w:hint="eastAsia" w:ascii="宋体"/>
          <w:color w:val="auto"/>
          <w:sz w:val="24"/>
          <w:highlight w:val="none"/>
        </w:rPr>
        <w:t>姓名：</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r>
        <w:rPr>
          <w:rFonts w:hint="eastAsia" w:ascii="宋体"/>
          <w:color w:val="auto"/>
          <w:sz w:val="24"/>
          <w:highlight w:val="none"/>
        </w:rPr>
        <w:t xml:space="preserve"> 年龄：</w:t>
      </w:r>
      <w:r>
        <w:rPr>
          <w:rFonts w:hint="eastAsia" w:ascii="宋体"/>
          <w:color w:val="auto"/>
          <w:sz w:val="24"/>
          <w:highlight w:val="none"/>
          <w:u w:val="single"/>
        </w:rPr>
        <w:t xml:space="preserve">      </w:t>
      </w:r>
      <w:r>
        <w:rPr>
          <w:rFonts w:hint="eastAsia" w:ascii="宋体"/>
          <w:color w:val="auto"/>
          <w:sz w:val="24"/>
          <w:highlight w:val="none"/>
        </w:rPr>
        <w:t xml:space="preserve"> 职务：</w:t>
      </w:r>
      <w:r>
        <w:rPr>
          <w:rFonts w:hint="eastAsia" w:ascii="宋体"/>
          <w:color w:val="auto"/>
          <w:sz w:val="24"/>
          <w:highlight w:val="none"/>
          <w:u w:val="single"/>
        </w:rPr>
        <w:t xml:space="preserve">      </w:t>
      </w:r>
      <w:r>
        <w:rPr>
          <w:rFonts w:hint="eastAsia" w:ascii="宋体"/>
          <w:color w:val="auto"/>
          <w:sz w:val="24"/>
          <w:highlight w:val="none"/>
        </w:rPr>
        <w:t xml:space="preserve"> </w:t>
      </w:r>
    </w:p>
    <w:p w14:paraId="4086B8EC">
      <w:pPr>
        <w:spacing w:line="46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（响应人名称）的法定代表人。</w:t>
      </w:r>
    </w:p>
    <w:p w14:paraId="6622C474">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8B9FBC7">
      <w:pPr>
        <w:pStyle w:val="17"/>
        <w:ind w:firstLine="480"/>
        <w:rPr>
          <w:color w:val="auto"/>
          <w:highlight w:val="none"/>
        </w:rPr>
      </w:pPr>
      <w:r>
        <w:rPr>
          <w:rFonts w:hint="eastAsia"/>
          <w:color w:val="auto"/>
          <w:sz w:val="24"/>
          <w:highlight w:val="none"/>
        </w:rPr>
        <w:t>附：</w:t>
      </w:r>
      <w:r>
        <w:rPr>
          <w:rFonts w:hint="eastAsia"/>
          <w:b/>
          <w:color w:val="auto"/>
          <w:sz w:val="24"/>
          <w:highlight w:val="none"/>
        </w:rPr>
        <w:t>法定代表人身份证复印件</w:t>
      </w:r>
    </w:p>
    <w:p w14:paraId="14F329C4">
      <w:pPr>
        <w:spacing w:line="360" w:lineRule="auto"/>
        <w:ind w:firstLine="3480" w:firstLineChars="1450"/>
        <w:rPr>
          <w:rFonts w:ascii="宋体"/>
          <w:color w:val="auto"/>
          <w:sz w:val="24"/>
          <w:highlight w:val="none"/>
        </w:rPr>
      </w:pPr>
      <w:r>
        <w:rPr>
          <w:rFonts w:hint="eastAsia" w:ascii="宋体"/>
          <w:color w:val="auto"/>
          <w:sz w:val="24"/>
          <w:highlight w:val="none"/>
        </w:rPr>
        <w:t>响应人：</w:t>
      </w:r>
      <w:r>
        <w:rPr>
          <w:rFonts w:hint="eastAsia" w:ascii="宋体"/>
          <w:color w:val="auto"/>
          <w:sz w:val="24"/>
          <w:highlight w:val="none"/>
          <w:u w:val="single"/>
        </w:rPr>
        <w:t xml:space="preserve">                 </w:t>
      </w:r>
      <w:r>
        <w:rPr>
          <w:rFonts w:hint="eastAsia" w:ascii="宋体"/>
          <w:color w:val="auto"/>
          <w:sz w:val="24"/>
          <w:highlight w:val="none"/>
        </w:rPr>
        <w:t>（盖章）</w:t>
      </w:r>
    </w:p>
    <w:p w14:paraId="2910D01F">
      <w:pPr>
        <w:spacing w:line="360" w:lineRule="auto"/>
        <w:rPr>
          <w:rFonts w:ascii="宋体"/>
          <w:color w:val="auto"/>
          <w:sz w:val="24"/>
          <w:highlight w:val="none"/>
        </w:rPr>
      </w:pPr>
      <w:r>
        <w:rPr>
          <w:rFonts w:hint="eastAsia" w:ascii="宋体"/>
          <w:color w:val="auto"/>
          <w:sz w:val="24"/>
          <w:highlight w:val="none"/>
        </w:rPr>
        <w:t xml:space="preserve">                                        年    月     日</w:t>
      </w:r>
    </w:p>
    <w:p w14:paraId="4B16132A">
      <w:pPr>
        <w:spacing w:line="360" w:lineRule="auto"/>
        <w:jc w:val="center"/>
        <w:rPr>
          <w:rFonts w:ascii="宋体"/>
          <w:color w:val="auto"/>
          <w:kern w:val="0"/>
          <w:sz w:val="24"/>
          <w:highlight w:val="none"/>
          <w:u w:color="000000"/>
        </w:rPr>
      </w:pPr>
    </w:p>
    <w:p w14:paraId="5CA5AD1F">
      <w:pPr>
        <w:spacing w:line="360" w:lineRule="auto"/>
        <w:jc w:val="center"/>
        <w:rPr>
          <w:rFonts w:ascii="宋体"/>
          <w:color w:val="auto"/>
          <w:kern w:val="0"/>
          <w:sz w:val="24"/>
          <w:highlight w:val="none"/>
          <w:u w:color="000000"/>
        </w:rPr>
      </w:pPr>
      <w:r>
        <w:rPr>
          <w:rFonts w:hint="eastAsia" w:ascii="宋体"/>
          <w:color w:val="auto"/>
          <w:kern w:val="0"/>
          <w:sz w:val="24"/>
          <w:highlight w:val="none"/>
          <w:u w:color="000000"/>
        </w:rPr>
        <w:t>2、授权委托书</w:t>
      </w:r>
    </w:p>
    <w:p w14:paraId="2AEB68AF">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”(项目名称）报价文件，全权处理与该项目响应、评审答疑、签订合同以及与合同执行有关的一切事务，其法律后果由我方承担。</w:t>
      </w:r>
    </w:p>
    <w:p w14:paraId="43F1FDA3">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olor w:val="auto"/>
          <w:sz w:val="24"/>
          <w:highlight w:val="none"/>
        </w:rPr>
        <w:t xml:space="preserve">     </w:t>
      </w:r>
    </w:p>
    <w:p w14:paraId="67FD096E">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884535E">
      <w:pPr>
        <w:spacing w:line="440" w:lineRule="exact"/>
        <w:ind w:firstLine="480" w:firstLineChars="200"/>
        <w:rPr>
          <w:rFonts w:ascii="宋体"/>
          <w:color w:val="auto"/>
          <w:sz w:val="24"/>
          <w:highlight w:val="none"/>
        </w:rPr>
      </w:pPr>
      <w:r>
        <w:rPr>
          <w:rFonts w:hint="eastAsia" w:ascii="宋体"/>
          <w:color w:val="auto"/>
          <w:sz w:val="24"/>
          <w:highlight w:val="none"/>
        </w:rPr>
        <w:t>附：①法定代表人身份证复印件</w:t>
      </w:r>
    </w:p>
    <w:p w14:paraId="553A66A5">
      <w:pPr>
        <w:spacing w:line="440" w:lineRule="exact"/>
        <w:ind w:firstLine="960" w:firstLineChars="400"/>
        <w:rPr>
          <w:rFonts w:ascii="宋体"/>
          <w:color w:val="auto"/>
          <w:sz w:val="24"/>
          <w:highlight w:val="none"/>
        </w:rPr>
      </w:pPr>
      <w:r>
        <w:rPr>
          <w:rFonts w:hint="eastAsia" w:ascii="宋体"/>
          <w:color w:val="auto"/>
          <w:sz w:val="24"/>
          <w:highlight w:val="none"/>
        </w:rPr>
        <w:t>②委托代理人身份证复印件</w:t>
      </w:r>
    </w:p>
    <w:p w14:paraId="0F88A15D">
      <w:pPr>
        <w:spacing w:line="440" w:lineRule="exact"/>
        <w:ind w:firstLine="960" w:firstLineChars="400"/>
        <w:rPr>
          <w:rFonts w:ascii="宋体"/>
          <w:color w:val="auto"/>
          <w:sz w:val="24"/>
          <w:highlight w:val="none"/>
        </w:rPr>
      </w:pPr>
      <w:r>
        <w:rPr>
          <w:rFonts w:hint="eastAsia" w:ascii="宋体"/>
          <w:color w:val="auto"/>
          <w:sz w:val="24"/>
          <w:highlight w:val="none"/>
        </w:rPr>
        <w:t xml:space="preserve"> </w:t>
      </w:r>
    </w:p>
    <w:p w14:paraId="1D128033">
      <w:pPr>
        <w:spacing w:line="480" w:lineRule="exact"/>
        <w:ind w:firstLine="3000" w:firstLineChars="1250"/>
        <w:rPr>
          <w:rFonts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（盖单位章）：</w:t>
      </w:r>
    </w:p>
    <w:p w14:paraId="52AB9910">
      <w:pPr>
        <w:spacing w:line="480" w:lineRule="exact"/>
        <w:ind w:firstLine="2280" w:firstLineChars="950"/>
        <w:rPr>
          <w:rFonts w:ascii="宋体"/>
          <w:color w:val="auto"/>
          <w:sz w:val="24"/>
          <w:highlight w:val="none"/>
        </w:rPr>
      </w:pPr>
      <w:r>
        <w:rPr>
          <w:rFonts w:hint="eastAsia" w:ascii="宋体"/>
          <w:color w:val="auto"/>
          <w:sz w:val="24"/>
          <w:highlight w:val="none"/>
        </w:rPr>
        <w:t>法定代表人：          （签字或盖章）</w:t>
      </w:r>
    </w:p>
    <w:p w14:paraId="57919FB3">
      <w:pPr>
        <w:spacing w:line="480" w:lineRule="exact"/>
        <w:ind w:firstLine="2280" w:firstLineChars="950"/>
        <w:rPr>
          <w:rFonts w:ascii="宋体"/>
          <w:color w:val="auto"/>
          <w:sz w:val="24"/>
          <w:highlight w:val="none"/>
        </w:rPr>
      </w:pPr>
      <w:r>
        <w:rPr>
          <w:rFonts w:hint="eastAsia" w:ascii="宋体"/>
          <w:color w:val="auto"/>
          <w:sz w:val="24"/>
          <w:highlight w:val="none"/>
        </w:rPr>
        <w:t>委托代理人：          （签字或盖章）</w:t>
      </w:r>
    </w:p>
    <w:p w14:paraId="01248B9E">
      <w:pPr>
        <w:spacing w:line="480" w:lineRule="exact"/>
        <w:ind w:firstLine="2280" w:firstLineChars="950"/>
        <w:rPr>
          <w:rFonts w:ascii="宋体"/>
          <w:color w:val="auto"/>
          <w:sz w:val="24"/>
          <w:highlight w:val="none"/>
        </w:rPr>
      </w:pPr>
      <w:r>
        <w:rPr>
          <w:rFonts w:hint="eastAsia" w:ascii="宋体"/>
          <w:color w:val="auto"/>
          <w:sz w:val="24"/>
          <w:highlight w:val="none"/>
        </w:rPr>
        <w:t xml:space="preserve">                  年    月    日</w:t>
      </w:r>
    </w:p>
    <w:bookmarkEnd w:id="197"/>
    <w:bookmarkEnd w:id="198"/>
    <w:bookmarkEnd w:id="199"/>
    <w:p w14:paraId="67AE1910">
      <w:pPr>
        <w:rPr>
          <w:rFonts w:ascii="宋体"/>
          <w:color w:val="auto"/>
          <w:sz w:val="24"/>
          <w:highlight w:val="none"/>
        </w:rPr>
      </w:pPr>
      <w:r>
        <w:rPr>
          <w:rFonts w:ascii="宋体"/>
          <w:color w:val="auto"/>
          <w:sz w:val="24"/>
          <w:highlight w:val="none"/>
        </w:rPr>
        <w:br w:type="page"/>
      </w:r>
    </w:p>
    <w:p w14:paraId="6CCDBAA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（4）诚信响应承诺书</w:t>
      </w:r>
    </w:p>
    <w:p w14:paraId="133C51A1">
      <w:pPr>
        <w:spacing w:line="500" w:lineRule="exact"/>
        <w:rPr>
          <w:rFonts w:ascii="宋体" w:hAnsi="宋体" w:eastAsia="宋体" w:cs="宋体"/>
          <w:color w:val="auto"/>
          <w:szCs w:val="21"/>
        </w:rPr>
      </w:pPr>
      <w:r>
        <w:rPr>
          <w:rFonts w:hint="eastAsia" w:ascii="宋体" w:hAnsi="宋体" w:eastAsia="宋体" w:cs="宋体"/>
          <w:color w:val="auto"/>
          <w:szCs w:val="21"/>
        </w:rPr>
        <w:t>本人以企业法定代表人的身份郑重承诺：</w:t>
      </w:r>
    </w:p>
    <w:p w14:paraId="2F8BFB59">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一、将遵循公开、公正和诚实信用的原则自愿参加项目的投标，所提供的一切材料都是真实、有效、合法的；</w:t>
      </w:r>
    </w:p>
    <w:p w14:paraId="64116E9E">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EA30DD9">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三、不出借、转让资质证书，不让他人挂靠投标，不以他人名义投标或者以其他方式弄虚作假，骗取中标；</w:t>
      </w:r>
    </w:p>
    <w:p w14:paraId="1FB144CC">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四、不与其他投标人相互串通投标报价，不排挤其他投标人的公平竞争、损害招标人的合法权益；</w:t>
      </w:r>
    </w:p>
    <w:p w14:paraId="595665E5">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五、不与招标人、招标代理机构或其他投标人串通投标，损害国家利益、社会公共利益或者他人的合法权益；</w:t>
      </w:r>
    </w:p>
    <w:p w14:paraId="50843CCE">
      <w:pPr>
        <w:spacing w:line="500" w:lineRule="exact"/>
        <w:ind w:firstLine="420" w:firstLineChars="200"/>
        <w:rPr>
          <w:rFonts w:ascii="宋体" w:hAnsi="宋体" w:eastAsia="宋体" w:cs="宋体"/>
          <w:color w:val="auto"/>
          <w:szCs w:val="21"/>
          <w:highlight w:val="yellow"/>
        </w:rPr>
      </w:pPr>
      <w:r>
        <w:rPr>
          <w:rFonts w:hint="eastAsia" w:ascii="宋体" w:hAnsi="宋体" w:eastAsia="宋体" w:cs="宋体"/>
          <w:color w:val="auto"/>
          <w:szCs w:val="21"/>
        </w:rPr>
        <w:t>六、</w:t>
      </w:r>
      <w:r>
        <w:rPr>
          <w:rFonts w:hint="eastAsia" w:ascii="宋体" w:hAnsi="宋体" w:eastAsia="宋体" w:cs="宋体"/>
          <w:color w:val="auto"/>
          <w:szCs w:val="21"/>
          <w:u w:val="single"/>
        </w:rPr>
        <w:t xml:space="preserve">      （企业名称） 或 （企业名称）  法定代表人或拟派项目</w:t>
      </w:r>
      <w:r>
        <w:rPr>
          <w:rFonts w:hint="eastAsia" w:ascii="宋体" w:hAnsi="宋体" w:eastAsia="宋体" w:cs="宋体"/>
          <w:color w:val="auto"/>
          <w:szCs w:val="21"/>
          <w:u w:val="single"/>
          <w:lang w:val="en-US" w:eastAsia="zh-CN"/>
        </w:rPr>
        <w:t xml:space="preserve">负责人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没有下列情形：①被列入“信用中国”网站“失信被执行人”的；②被列入“信用中国”网站“重大税 收违法失信主体”的；③被列入“信用中国”网站 “严重失信主体名单”的；④在“信用中国” 网站上披露的仍在公示期的严重失信行为(具体行为类别及判定依据见“信用中国”查询的严重失 信行为类别及判定依据)的。⑤被列入国家企业信用信息公示系统网站“经营异常名录”或者“严 重违法失信名单”的。⑥被列入中国政府采购网站“政府采购严重违法失信行为信息记录”的。⑦ 前三年有行贿犯罪行为的单位和个人。（若采购文件对投标人所属分公司、办事处等分支机构有上 述1-7项信誉要求，在此一并承诺我公司所属分公司、办事处等分支机构没有上述1-7项情形）</w:t>
      </w:r>
    </w:p>
    <w:p w14:paraId="777B235D">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七、严格遵守开标现场纪律，服从监管人员管理；</w:t>
      </w:r>
    </w:p>
    <w:p w14:paraId="12A682D3">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八、保证</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后不转包，若有分包征得采购人同意；</w:t>
      </w:r>
    </w:p>
    <w:p w14:paraId="4677358C">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九、保证</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之后，按照</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文件要求提供相关后续服务；</w:t>
      </w:r>
    </w:p>
    <w:p w14:paraId="7BCFD3CE">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十、保证企业及所属相关人员在本次</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中无行贿等犯罪行为；</w:t>
      </w:r>
    </w:p>
    <w:p w14:paraId="679C0E9D">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十一、如在</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8C3CCE8">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以上内容我已仔细阅读，本公司若有违反承诺内容的行为，自愿接受取消投标或者中标资格、记入不良行为记录等有关处理，愿意承担法律责任，给</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造成损失的，依法承担赔偿责任。</w:t>
      </w:r>
    </w:p>
    <w:p w14:paraId="594A841D">
      <w:pPr>
        <w:spacing w:line="500" w:lineRule="exact"/>
        <w:ind w:firstLine="420" w:firstLineChars="200"/>
        <w:rPr>
          <w:rFonts w:ascii="宋体" w:hAnsi="宋体" w:eastAsia="宋体" w:cs="宋体"/>
          <w:color w:val="auto"/>
          <w:szCs w:val="21"/>
        </w:rPr>
      </w:pPr>
    </w:p>
    <w:p w14:paraId="3A21077B">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开户银行：                      基本账户：</w:t>
      </w:r>
    </w:p>
    <w:p w14:paraId="617ABFAC">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（签章）：              法定代表人（签章）：</w:t>
      </w:r>
    </w:p>
    <w:p w14:paraId="378F57E4">
      <w:pPr>
        <w:spacing w:line="500" w:lineRule="exact"/>
        <w:ind w:firstLine="420" w:firstLineChars="200"/>
        <w:rPr>
          <w:rFonts w:ascii="宋体" w:hAnsi="宋体" w:eastAsia="宋体" w:cs="宋体"/>
          <w:color w:val="auto"/>
          <w:szCs w:val="21"/>
        </w:rPr>
      </w:pPr>
    </w:p>
    <w:p w14:paraId="065207C2">
      <w:pPr>
        <w:spacing w:line="560" w:lineRule="exact"/>
        <w:jc w:val="right"/>
        <w:rPr>
          <w:rFonts w:hint="eastAsia" w:ascii="宋体" w:hAnsi="宋体" w:eastAsia="宋体" w:cs="宋体"/>
          <w:color w:val="auto"/>
          <w:szCs w:val="21"/>
        </w:rPr>
      </w:pPr>
      <w:r>
        <w:rPr>
          <w:rFonts w:hint="eastAsia" w:ascii="宋体" w:hAnsi="宋体" w:eastAsia="宋体" w:cs="宋体"/>
          <w:color w:val="auto"/>
          <w:szCs w:val="21"/>
        </w:rPr>
        <w:t>日期：年 月 日</w:t>
      </w:r>
    </w:p>
    <w:p w14:paraId="4FEC35A9">
      <w:pPr>
        <w:rPr>
          <w:rFonts w:hint="eastAsia" w:ascii="宋体" w:hAnsi="宋体" w:eastAsia="宋体" w:cs="宋体"/>
          <w:color w:val="auto"/>
          <w:szCs w:val="21"/>
        </w:rPr>
      </w:pPr>
      <w:r>
        <w:rPr>
          <w:rFonts w:hint="eastAsia" w:ascii="宋体" w:hAnsi="宋体" w:eastAsia="宋体" w:cs="宋体"/>
          <w:color w:val="auto"/>
          <w:szCs w:val="21"/>
        </w:rPr>
        <w:br w:type="page"/>
      </w:r>
    </w:p>
    <w:p w14:paraId="1A1DBEA0">
      <w:pPr>
        <w:keepNext/>
        <w:keepLines/>
        <w:spacing w:before="200" w:after="200" w:line="600" w:lineRule="exact"/>
        <w:outlineLvl w:val="0"/>
        <w:rPr>
          <w:rFonts w:ascii="黑体" w:hAnsi="黑体" w:eastAsia="黑体"/>
          <w:b/>
          <w:bCs/>
          <w:color w:val="auto"/>
          <w:kern w:val="44"/>
          <w:sz w:val="28"/>
          <w:szCs w:val="28"/>
        </w:rPr>
      </w:pPr>
      <w:bookmarkStart w:id="200" w:name="OLE_LINK7"/>
      <w:bookmarkStart w:id="201" w:name="OLE_LINK25"/>
      <w:bookmarkStart w:id="202" w:name="OLE_LINK24"/>
      <w:r>
        <w:rPr>
          <w:rFonts w:hint="eastAsia" w:ascii="黑体" w:hAnsi="黑体" w:eastAsia="黑体"/>
          <w:b/>
          <w:bCs/>
          <w:color w:val="auto"/>
          <w:kern w:val="44"/>
          <w:sz w:val="36"/>
          <w:szCs w:val="28"/>
        </w:rPr>
        <w:t>附件1 关于联合惩戒失信行为加强信用查询管理的通知</w:t>
      </w:r>
    </w:p>
    <w:bookmarkEnd w:id="200"/>
    <w:p w14:paraId="79079448">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一、失信行为联合惩戒的范围和查询渠道</w:t>
      </w:r>
    </w:p>
    <w:p w14:paraId="2B2E9BD8">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在我市公共资源交易活动中对存在下列失信行为的投标人、法定代表人及其项目经理（建造师）实施联合惩戒，禁止参与我市公共资源交易活动。</w:t>
      </w:r>
    </w:p>
    <w:p w14:paraId="2CD681D0">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（一）工程建设项目</w:t>
      </w:r>
    </w:p>
    <w:bookmarkEnd w:id="201"/>
    <w:bookmarkEnd w:id="202"/>
    <w:p w14:paraId="56A555F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1、“信用中国”网站（www.creditchina.gov.cn）查询</w:t>
      </w:r>
      <w:bookmarkStart w:id="203" w:name="OLE_LINK92"/>
      <w:bookmarkStart w:id="204" w:name="OLE_LINK91"/>
      <w:bookmarkStart w:id="205" w:name="OLE_LINK93"/>
      <w:bookmarkStart w:id="206" w:name="OLE_LINK103"/>
      <w:r>
        <w:rPr>
          <w:rFonts w:hint="eastAsia" w:ascii="仿宋_GB2312" w:hAnsi="宋体" w:eastAsia="仿宋_GB2312"/>
          <w:color w:val="auto"/>
          <w:sz w:val="28"/>
          <w:szCs w:val="28"/>
        </w:rPr>
        <w:t>投标人、法定代表人及其项目经理(建造师)</w:t>
      </w:r>
      <w:bookmarkEnd w:id="203"/>
      <w:bookmarkEnd w:id="204"/>
      <w:bookmarkEnd w:id="205"/>
      <w:bookmarkEnd w:id="206"/>
      <w:r>
        <w:rPr>
          <w:rFonts w:hint="eastAsia" w:ascii="仿宋_GB2312" w:hAnsi="宋体" w:eastAsia="仿宋_GB2312"/>
          <w:color w:val="auto"/>
          <w:sz w:val="28"/>
          <w:szCs w:val="28"/>
        </w:rPr>
        <w:t>以下失信行为：</w:t>
      </w:r>
    </w:p>
    <w:p w14:paraId="7633E232">
      <w:pPr>
        <w:adjustRightInd w:val="0"/>
        <w:snapToGrid w:val="0"/>
        <w:spacing w:line="560" w:lineRule="exact"/>
        <w:ind w:firstLine="560" w:firstLineChars="200"/>
        <w:rPr>
          <w:rFonts w:ascii="仿宋_GB2312" w:hAnsi="宋体" w:eastAsia="仿宋_GB2312"/>
          <w:color w:val="auto"/>
          <w:sz w:val="28"/>
          <w:szCs w:val="28"/>
        </w:rPr>
      </w:pPr>
      <w:bookmarkStart w:id="207" w:name="OLE_LINK86"/>
      <w:bookmarkStart w:id="208" w:name="OLE_LINK119"/>
      <w:bookmarkStart w:id="209" w:name="OLE_LINK87"/>
      <w:bookmarkStart w:id="210" w:name="OLE_LINK94"/>
      <w:r>
        <w:rPr>
          <w:rFonts w:hint="eastAsia" w:ascii="仿宋_GB2312" w:hAnsi="宋体" w:eastAsia="仿宋_GB2312"/>
          <w:color w:val="auto"/>
          <w:sz w:val="28"/>
          <w:szCs w:val="28"/>
        </w:rPr>
        <w:t>①被列入“失信被执行人”的;</w:t>
      </w:r>
    </w:p>
    <w:p w14:paraId="13CB4AD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②被列入</w:t>
      </w:r>
      <w:bookmarkStart w:id="211" w:name="OLE_LINK116"/>
      <w:bookmarkStart w:id="212" w:name="OLE_LINK118"/>
      <w:bookmarkStart w:id="213" w:name="OLE_LINK117"/>
      <w:bookmarkStart w:id="214" w:name="OLE_LINK115"/>
      <w:r>
        <w:rPr>
          <w:rFonts w:hint="eastAsia" w:ascii="仿宋_GB2312" w:hAnsi="宋体" w:eastAsia="仿宋_GB2312"/>
          <w:color w:val="auto"/>
          <w:sz w:val="28"/>
          <w:szCs w:val="28"/>
        </w:rPr>
        <w:t>“重大税收违法失信主体”</w:t>
      </w:r>
      <w:bookmarkEnd w:id="211"/>
      <w:bookmarkEnd w:id="212"/>
      <w:bookmarkEnd w:id="213"/>
      <w:bookmarkEnd w:id="214"/>
      <w:r>
        <w:rPr>
          <w:rFonts w:hint="eastAsia" w:ascii="仿宋_GB2312" w:hAnsi="宋体" w:eastAsia="仿宋_GB2312"/>
          <w:color w:val="auto"/>
          <w:sz w:val="28"/>
          <w:szCs w:val="28"/>
        </w:rPr>
        <w:t>的；</w:t>
      </w:r>
    </w:p>
    <w:p w14:paraId="59E6B5C1">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③被列入“拖欠</w:t>
      </w:r>
      <w:bookmarkStart w:id="215" w:name="OLE_LINK85"/>
      <w:bookmarkStart w:id="216" w:name="OLE_LINK84"/>
      <w:r>
        <w:rPr>
          <w:rFonts w:hint="eastAsia" w:ascii="仿宋_GB2312" w:hAnsi="宋体" w:eastAsia="仿宋_GB2312"/>
          <w:color w:val="auto"/>
          <w:sz w:val="28"/>
          <w:szCs w:val="28"/>
        </w:rPr>
        <w:t>农民工工资失信联合惩戒对象</w:t>
      </w:r>
      <w:bookmarkEnd w:id="215"/>
      <w:bookmarkEnd w:id="216"/>
      <w:r>
        <w:rPr>
          <w:rFonts w:hint="eastAsia" w:ascii="仿宋_GB2312" w:hAnsi="宋体" w:eastAsia="仿宋_GB2312"/>
          <w:color w:val="auto"/>
          <w:sz w:val="28"/>
          <w:szCs w:val="28"/>
        </w:rPr>
        <w:t>名单”的；</w:t>
      </w:r>
    </w:p>
    <w:p w14:paraId="12689B2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④被列入 “严重失信主体名单”的；</w:t>
      </w:r>
    </w:p>
    <w:p w14:paraId="2416808F">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⑤在“信用中国”网站上披露的仍在公示期的严重失信行为(具体行为类别及判定依据见附件2)的。</w:t>
      </w:r>
    </w:p>
    <w:bookmarkEnd w:id="207"/>
    <w:bookmarkEnd w:id="208"/>
    <w:bookmarkEnd w:id="209"/>
    <w:bookmarkEnd w:id="210"/>
    <w:p w14:paraId="61AD0BA8">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w:t>
      </w:r>
      <w:bookmarkStart w:id="217" w:name="OLE_LINK130"/>
      <w:r>
        <w:rPr>
          <w:rFonts w:hint="eastAsia" w:ascii="仿宋_GB2312" w:hAnsi="宋体" w:eastAsia="仿宋_GB2312"/>
          <w:color w:val="auto"/>
          <w:sz w:val="28"/>
          <w:szCs w:val="28"/>
        </w:rPr>
        <w:t>国家企业信用信息公示系统网站</w:t>
      </w:r>
      <w:bookmarkEnd w:id="217"/>
      <w:r>
        <w:rPr>
          <w:rFonts w:hint="eastAsia" w:ascii="仿宋_GB2312" w:hAnsi="宋体" w:eastAsia="仿宋_GB2312"/>
          <w:color w:val="auto"/>
          <w:sz w:val="28"/>
          <w:szCs w:val="28"/>
        </w:rPr>
        <w:t>（</w:t>
      </w:r>
      <w:r>
        <w:rPr>
          <w:color w:val="auto"/>
        </w:rPr>
        <w:fldChar w:fldCharType="begin"/>
      </w:r>
      <w:r>
        <w:rPr>
          <w:color w:val="auto"/>
        </w:rPr>
        <w:instrText xml:space="preserve"> HYPERLINK "http://www.gsxt.gov.cn）查询" </w:instrText>
      </w:r>
      <w:r>
        <w:rPr>
          <w:color w:val="auto"/>
        </w:rPr>
        <w:fldChar w:fldCharType="separate"/>
      </w:r>
      <w:bookmarkStart w:id="218" w:name="OLE_LINK89"/>
      <w:bookmarkStart w:id="219" w:name="OLE_LINK90"/>
      <w:r>
        <w:rPr>
          <w:rStyle w:val="29"/>
          <w:rFonts w:hint="eastAsia" w:ascii="仿宋_GB2312" w:hAnsi="宋体" w:eastAsia="仿宋_GB2312"/>
          <w:color w:val="auto"/>
          <w:sz w:val="28"/>
          <w:szCs w:val="28"/>
        </w:rPr>
        <w:t>www.gsxt.gov.cn</w:t>
      </w:r>
      <w:bookmarkEnd w:id="218"/>
      <w:bookmarkEnd w:id="219"/>
      <w:r>
        <w:rPr>
          <w:rStyle w:val="29"/>
          <w:rFonts w:hint="eastAsia" w:ascii="仿宋_GB2312" w:hAnsi="宋体" w:eastAsia="仿宋_GB2312"/>
          <w:color w:val="auto"/>
          <w:sz w:val="28"/>
          <w:szCs w:val="28"/>
        </w:rPr>
        <w:t>）</w:t>
      </w:r>
      <w:r>
        <w:rPr>
          <w:rStyle w:val="29"/>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查询投标人以下失信行为：</w:t>
      </w:r>
    </w:p>
    <w:p w14:paraId="792AA7A2">
      <w:pPr>
        <w:adjustRightInd w:val="0"/>
        <w:snapToGrid w:val="0"/>
        <w:spacing w:line="560" w:lineRule="exact"/>
        <w:ind w:firstLine="560" w:firstLineChars="200"/>
        <w:rPr>
          <w:rFonts w:ascii="仿宋_GB2312" w:hAnsi="宋体" w:eastAsia="仿宋_GB2312"/>
          <w:color w:val="auto"/>
          <w:sz w:val="28"/>
          <w:szCs w:val="28"/>
        </w:rPr>
      </w:pPr>
      <w:bookmarkStart w:id="220" w:name="OLE_LINK122"/>
      <w:bookmarkStart w:id="221" w:name="OLE_LINK121"/>
      <w:bookmarkStart w:id="222" w:name="OLE_LINK120"/>
      <w:r>
        <w:rPr>
          <w:rFonts w:hint="eastAsia" w:ascii="仿宋_GB2312" w:hAnsi="宋体" w:eastAsia="仿宋_GB2312"/>
          <w:color w:val="auto"/>
          <w:sz w:val="28"/>
          <w:szCs w:val="28"/>
        </w:rPr>
        <w:t>①被列入“经营异常名录”或者“严重违法失信名单”的。</w:t>
      </w:r>
      <w:bookmarkEnd w:id="220"/>
      <w:bookmarkEnd w:id="221"/>
      <w:bookmarkEnd w:id="222"/>
    </w:p>
    <w:p w14:paraId="35D52221">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3、由</w:t>
      </w:r>
      <w:r>
        <w:rPr>
          <w:rFonts w:hint="eastAsia" w:ascii="仿宋_GB2312" w:hAnsi="宋体" w:eastAsia="仿宋_GB2312"/>
          <w:color w:val="auto"/>
          <w:kern w:val="0"/>
          <w:sz w:val="28"/>
          <w:szCs w:val="28"/>
        </w:rPr>
        <w:t>投标人、法定代表人及其项目经理(建造师)</w:t>
      </w:r>
      <w:r>
        <w:rPr>
          <w:rFonts w:hint="eastAsia" w:ascii="仿宋_GB2312" w:hAnsi="宋体" w:eastAsia="仿宋_GB2312"/>
          <w:color w:val="auto"/>
          <w:sz w:val="28"/>
          <w:szCs w:val="28"/>
        </w:rPr>
        <w:t>进行承诺，不进行现场网上信用查询的失信行为：</w:t>
      </w:r>
    </w:p>
    <w:p w14:paraId="16F95C3C">
      <w:pPr>
        <w:adjustRightInd w:val="0"/>
        <w:snapToGrid w:val="0"/>
        <w:spacing w:line="560" w:lineRule="exact"/>
        <w:ind w:firstLine="560" w:firstLineChars="200"/>
        <w:rPr>
          <w:rFonts w:ascii="仿宋_GB2312" w:hAnsi="宋体" w:eastAsia="仿宋_GB2312" w:cs="楷体"/>
          <w:color w:val="auto"/>
          <w:sz w:val="28"/>
          <w:szCs w:val="28"/>
        </w:rPr>
      </w:pPr>
      <w:bookmarkStart w:id="223" w:name="OLE_LINK124"/>
      <w:bookmarkStart w:id="224" w:name="OLE_LINK123"/>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前三年有行贿犯罪行为的单位和个人；</w:t>
      </w:r>
    </w:p>
    <w:p w14:paraId="331604B8">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②被滁州市县两级公管部门取消在一定期限内的投标资格且在取消期限内的；</w:t>
      </w:r>
    </w:p>
    <w:p w14:paraId="1602603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③被滁州市县两级各行业主管部门取消在一定期限内的投标资格且在取消期限内的；</w:t>
      </w:r>
    </w:p>
    <w:p w14:paraId="695ACB8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④因拖欠农民工工资被</w:t>
      </w:r>
      <w:bookmarkStart w:id="225" w:name="OLE_LINK107"/>
      <w:bookmarkStart w:id="226" w:name="OLE_LINK108"/>
      <w:r>
        <w:rPr>
          <w:rFonts w:hint="eastAsia" w:ascii="仿宋_GB2312" w:hAnsi="宋体" w:eastAsia="仿宋_GB2312"/>
          <w:color w:val="auto"/>
          <w:sz w:val="28"/>
          <w:szCs w:val="28"/>
        </w:rPr>
        <w:t>县级及以上有关行政主管部门限制投标资格且在限制期限内的</w:t>
      </w:r>
      <w:bookmarkEnd w:id="225"/>
      <w:bookmarkEnd w:id="226"/>
      <w:r>
        <w:rPr>
          <w:rFonts w:hint="eastAsia" w:ascii="仿宋_GB2312" w:hAnsi="宋体" w:eastAsia="仿宋_GB2312"/>
          <w:color w:val="auto"/>
          <w:sz w:val="28"/>
          <w:szCs w:val="28"/>
        </w:rPr>
        <w:t>；</w:t>
      </w:r>
    </w:p>
    <w:p w14:paraId="4932424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23"/>
    <w:bookmarkEnd w:id="224"/>
    <w:p w14:paraId="3786E21C">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（二）政府采购项目</w:t>
      </w:r>
    </w:p>
    <w:p w14:paraId="283470D4">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1、“信用中国”网站</w:t>
      </w:r>
      <w:r>
        <w:rPr>
          <w:rFonts w:hint="eastAsia" w:ascii="仿宋" w:hAnsi="仿宋" w:eastAsia="仿宋"/>
          <w:color w:val="auto"/>
          <w:sz w:val="28"/>
          <w:szCs w:val="28"/>
        </w:rPr>
        <w:t>（</w:t>
      </w:r>
      <w:r>
        <w:rPr>
          <w:rStyle w:val="29"/>
          <w:rFonts w:hint="eastAsia" w:ascii="仿宋" w:hAnsi="仿宋" w:eastAsia="仿宋"/>
          <w:color w:val="auto"/>
          <w:sz w:val="28"/>
          <w:szCs w:val="28"/>
        </w:rPr>
        <w:t>www.creditchina.gov.cn</w:t>
      </w:r>
      <w:r>
        <w:rPr>
          <w:rFonts w:hint="eastAsia" w:ascii="仿宋" w:hAnsi="仿宋" w:eastAsia="仿宋"/>
          <w:color w:val="auto"/>
          <w:sz w:val="28"/>
          <w:szCs w:val="28"/>
        </w:rPr>
        <w:t>）</w:t>
      </w:r>
      <w:r>
        <w:rPr>
          <w:rFonts w:hint="eastAsia" w:ascii="仿宋_GB2312" w:hAnsi="宋体" w:eastAsia="仿宋_GB2312"/>
          <w:color w:val="auto"/>
          <w:sz w:val="28"/>
          <w:szCs w:val="28"/>
        </w:rPr>
        <w:t>查询供应商、法定代表人及其项目负责人以下失信行为：</w:t>
      </w:r>
    </w:p>
    <w:p w14:paraId="1B235C72">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①被列入“失信被执行人”的;</w:t>
      </w:r>
    </w:p>
    <w:p w14:paraId="374B6D7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②被列入“重大税收违法失信主体”的；</w:t>
      </w:r>
    </w:p>
    <w:p w14:paraId="03E38D16">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③被列入 “严重失信主体名单”的；</w:t>
      </w:r>
    </w:p>
    <w:p w14:paraId="1AB0F926">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④在“信用中国”网站上披露的仍在公示期的严重失信行为(具体行为类别及判定依据见附件2)的。</w:t>
      </w:r>
    </w:p>
    <w:p w14:paraId="7240A63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2、国家企业信用信息公示系统网站</w:t>
      </w:r>
      <w:r>
        <w:rPr>
          <w:rFonts w:hint="eastAsia" w:ascii="仿宋" w:hAnsi="仿宋" w:eastAsia="仿宋"/>
          <w:color w:val="auto"/>
          <w:sz w:val="28"/>
          <w:szCs w:val="28"/>
        </w:rPr>
        <w:t>（</w:t>
      </w:r>
      <w:r>
        <w:rPr>
          <w:color w:val="auto"/>
        </w:rPr>
        <w:fldChar w:fldCharType="begin"/>
      </w:r>
      <w:r>
        <w:rPr>
          <w:color w:val="auto"/>
        </w:rPr>
        <w:instrText xml:space="preserve"> HYPERLINK "http://www.gsxt.gov.cn）查询" </w:instrText>
      </w:r>
      <w:r>
        <w:rPr>
          <w:color w:val="auto"/>
        </w:rPr>
        <w:fldChar w:fldCharType="separate"/>
      </w:r>
      <w:r>
        <w:rPr>
          <w:rStyle w:val="29"/>
          <w:rFonts w:hint="eastAsia" w:ascii="仿宋" w:hAnsi="仿宋" w:eastAsia="仿宋"/>
          <w:color w:val="auto"/>
          <w:sz w:val="28"/>
          <w:szCs w:val="28"/>
        </w:rPr>
        <w:t>www.gsxt.gov.cn）</w:t>
      </w:r>
      <w:r>
        <w:rPr>
          <w:rStyle w:val="29"/>
          <w:rFonts w:hint="eastAsia" w:ascii="仿宋" w:hAnsi="仿宋" w:eastAsia="仿宋"/>
          <w:color w:val="auto"/>
          <w:sz w:val="28"/>
          <w:szCs w:val="28"/>
        </w:rPr>
        <w:fldChar w:fldCharType="end"/>
      </w:r>
      <w:r>
        <w:rPr>
          <w:rFonts w:hint="eastAsia" w:ascii="仿宋_GB2312" w:hAnsi="宋体" w:eastAsia="仿宋_GB2312"/>
          <w:color w:val="auto"/>
          <w:sz w:val="28"/>
          <w:szCs w:val="28"/>
        </w:rPr>
        <w:t>查询供应商以下失信行为：</w:t>
      </w:r>
    </w:p>
    <w:p w14:paraId="2FC6BEC9">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w:t>
      </w:r>
      <w:bookmarkStart w:id="227" w:name="OLE_LINK102"/>
      <w:bookmarkStart w:id="228" w:name="OLE_LINK101"/>
      <w:bookmarkStart w:id="229" w:name="OLE_LINK100"/>
      <w:r>
        <w:rPr>
          <w:rFonts w:hint="eastAsia" w:ascii="仿宋_GB2312" w:hAnsi="宋体" w:eastAsia="仿宋_GB2312"/>
          <w:color w:val="auto"/>
          <w:sz w:val="28"/>
          <w:szCs w:val="28"/>
        </w:rPr>
        <w:t>被列入“经营异常名录”或者“严重违法失信名单”的</w:t>
      </w:r>
      <w:bookmarkEnd w:id="227"/>
      <w:bookmarkEnd w:id="228"/>
      <w:bookmarkEnd w:id="229"/>
      <w:r>
        <w:rPr>
          <w:rFonts w:hint="eastAsia" w:ascii="仿宋_GB2312" w:hAnsi="宋体" w:eastAsia="仿宋_GB2312"/>
          <w:color w:val="auto"/>
          <w:sz w:val="28"/>
          <w:szCs w:val="28"/>
        </w:rPr>
        <w:t>。</w:t>
      </w:r>
    </w:p>
    <w:p w14:paraId="6C3FC3F7">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3、中国政府采购网站</w:t>
      </w:r>
      <w:r>
        <w:rPr>
          <w:rFonts w:hint="eastAsia" w:ascii="仿宋" w:hAnsi="仿宋" w:eastAsia="仿宋"/>
          <w:color w:val="auto"/>
          <w:sz w:val="28"/>
          <w:szCs w:val="28"/>
        </w:rPr>
        <w:t>（</w:t>
      </w:r>
      <w:bookmarkStart w:id="230" w:name="OLE_LINK95"/>
      <w:bookmarkStart w:id="231" w:name="OLE_LINK96"/>
      <w:r>
        <w:rPr>
          <w:rFonts w:ascii="仿宋" w:hAnsi="仿宋" w:eastAsia="仿宋"/>
          <w:color w:val="auto"/>
          <w:sz w:val="28"/>
          <w:szCs w:val="28"/>
        </w:rPr>
        <w:fldChar w:fldCharType="begin"/>
      </w:r>
      <w:r>
        <w:rPr>
          <w:rFonts w:ascii="仿宋" w:hAnsi="仿宋" w:eastAsia="仿宋"/>
          <w:color w:val="auto"/>
          <w:sz w:val="28"/>
          <w:szCs w:val="28"/>
        </w:rPr>
        <w:instrText xml:space="preserve"> HYPERLINK "http://www.ccgp.gov.cn"</w:instrText>
      </w:r>
      <w:r>
        <w:rPr>
          <w:rFonts w:ascii="仿宋" w:hAnsi="仿宋" w:eastAsia="仿宋"/>
          <w:color w:val="auto"/>
          <w:sz w:val="28"/>
          <w:szCs w:val="28"/>
        </w:rPr>
        <w:fldChar w:fldCharType="separate"/>
      </w:r>
      <w:r>
        <w:rPr>
          <w:rStyle w:val="29"/>
          <w:rFonts w:hint="eastAsia" w:ascii="仿宋" w:hAnsi="仿宋" w:eastAsia="仿宋"/>
          <w:color w:val="auto"/>
          <w:sz w:val="28"/>
          <w:szCs w:val="28"/>
        </w:rPr>
        <w:t>www.ccgp.gov.cn</w:t>
      </w:r>
      <w:r>
        <w:rPr>
          <w:rFonts w:ascii="仿宋" w:hAnsi="仿宋" w:eastAsia="仿宋"/>
          <w:color w:val="auto"/>
          <w:sz w:val="28"/>
          <w:szCs w:val="28"/>
        </w:rPr>
        <w:fldChar w:fldCharType="end"/>
      </w:r>
      <w:bookmarkEnd w:id="230"/>
      <w:bookmarkEnd w:id="231"/>
      <w:r>
        <w:rPr>
          <w:rFonts w:hint="eastAsia" w:ascii="仿宋" w:hAnsi="仿宋" w:eastAsia="仿宋"/>
          <w:color w:val="auto"/>
          <w:sz w:val="28"/>
          <w:szCs w:val="28"/>
        </w:rPr>
        <w:t>）</w:t>
      </w:r>
      <w:r>
        <w:rPr>
          <w:rFonts w:hint="eastAsia" w:ascii="仿宋_GB2312" w:hAnsi="宋体" w:eastAsia="仿宋_GB2312"/>
          <w:color w:val="auto"/>
          <w:sz w:val="28"/>
          <w:szCs w:val="28"/>
        </w:rPr>
        <w:t>查询以下失信行为：</w:t>
      </w:r>
    </w:p>
    <w:p w14:paraId="4F29D337">
      <w:pPr>
        <w:adjustRightInd w:val="0"/>
        <w:snapToGrid w:val="0"/>
        <w:spacing w:line="560" w:lineRule="exact"/>
        <w:ind w:firstLine="560" w:firstLineChars="200"/>
        <w:rPr>
          <w:rFonts w:ascii="仿宋_GB2312" w:hAnsi="宋体" w:eastAsia="仿宋_GB2312" w:cs="楷体"/>
          <w:color w:val="auto"/>
          <w:sz w:val="28"/>
          <w:szCs w:val="28"/>
        </w:rPr>
      </w:pPr>
      <w:r>
        <w:rPr>
          <w:rFonts w:hint="eastAsia" w:ascii="仿宋_GB2312" w:hAnsi="宋体" w:eastAsia="仿宋_GB2312"/>
          <w:color w:val="auto"/>
          <w:sz w:val="28"/>
          <w:szCs w:val="28"/>
        </w:rPr>
        <w:t>①</w:t>
      </w:r>
      <w:bookmarkStart w:id="232" w:name="OLE_LINK105"/>
      <w:bookmarkStart w:id="233" w:name="OLE_LINK104"/>
      <w:bookmarkStart w:id="234" w:name="OLE_LINK106"/>
      <w:r>
        <w:rPr>
          <w:rFonts w:hint="eastAsia" w:ascii="仿宋_GB2312" w:hAnsi="宋体" w:eastAsia="仿宋_GB2312"/>
          <w:color w:val="auto"/>
          <w:sz w:val="28"/>
          <w:szCs w:val="28"/>
        </w:rPr>
        <w:t>被列入“政府采购严重违法失信行为信息记录”的</w:t>
      </w:r>
      <w:bookmarkEnd w:id="232"/>
      <w:bookmarkEnd w:id="233"/>
      <w:bookmarkEnd w:id="234"/>
      <w:r>
        <w:rPr>
          <w:rFonts w:hint="eastAsia" w:ascii="仿宋_GB2312" w:hAnsi="宋体" w:eastAsia="仿宋_GB2312" w:cs="楷体"/>
          <w:color w:val="auto"/>
          <w:sz w:val="28"/>
          <w:szCs w:val="28"/>
        </w:rPr>
        <w:t>。</w:t>
      </w:r>
    </w:p>
    <w:p w14:paraId="55A59D15">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4、由竞争主体进行承诺，不进行现场网上信用查询的失信行为：</w:t>
      </w:r>
    </w:p>
    <w:p w14:paraId="04EC492A">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前三年有行贿犯罪行为的单位和个人</w:t>
      </w:r>
      <w:r>
        <w:rPr>
          <w:rFonts w:hint="eastAsia" w:ascii="仿宋_GB2312" w:hAnsi="宋体" w:eastAsia="仿宋_GB2312"/>
          <w:color w:val="auto"/>
          <w:sz w:val="28"/>
          <w:szCs w:val="28"/>
        </w:rPr>
        <w:t>。</w:t>
      </w:r>
    </w:p>
    <w:p w14:paraId="4B0BBAF4">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二、在开评标活动中的查询程序</w:t>
      </w:r>
    </w:p>
    <w:p w14:paraId="427234AF">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D09D0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6EA5ECE">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3、项目单位及其委托的代理机构应当做好信用查询结果截图和记录留存。</w:t>
      </w:r>
    </w:p>
    <w:p w14:paraId="122F6F1F">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三、相关要求</w:t>
      </w:r>
    </w:p>
    <w:p w14:paraId="0E9CB3C0">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079D6218">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42B8329">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2、“信用中国”查询的严重失信行为判定依据为各行业主管部门下发的联合惩戒文件中规定的行为（按附件2执行）。</w:t>
      </w:r>
    </w:p>
    <w:p w14:paraId="5EC537F0">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3、资格预审的项目以递交资格预审申请文件截止时间查询为准；资格后审的项目以递交投标文件截止时间查询为准。</w:t>
      </w:r>
    </w:p>
    <w:p w14:paraId="6C30A565">
      <w:pPr>
        <w:ind w:right="960"/>
        <w:rPr>
          <w:rFonts w:ascii="仿宋" w:hAnsi="仿宋" w:eastAsia="仿宋"/>
          <w:color w:val="auto"/>
          <w:sz w:val="32"/>
          <w:szCs w:val="32"/>
        </w:rPr>
      </w:pPr>
    </w:p>
    <w:p w14:paraId="64E0FA61">
      <w:pPr>
        <w:ind w:right="960"/>
        <w:rPr>
          <w:rFonts w:ascii="仿宋" w:hAnsi="仿宋" w:eastAsia="仿宋"/>
          <w:color w:val="auto"/>
          <w:sz w:val="32"/>
          <w:szCs w:val="32"/>
        </w:rPr>
      </w:pPr>
    </w:p>
    <w:p w14:paraId="3CD371B6">
      <w:pPr>
        <w:ind w:right="960"/>
        <w:rPr>
          <w:rFonts w:ascii="仿宋" w:hAnsi="仿宋" w:eastAsia="仿宋"/>
          <w:color w:val="auto"/>
          <w:sz w:val="32"/>
          <w:szCs w:val="32"/>
        </w:rPr>
      </w:pPr>
    </w:p>
    <w:p w14:paraId="6534216A">
      <w:pPr>
        <w:ind w:right="960"/>
        <w:rPr>
          <w:rFonts w:ascii="仿宋" w:hAnsi="仿宋" w:eastAsia="仿宋"/>
          <w:color w:val="auto"/>
          <w:sz w:val="32"/>
          <w:szCs w:val="32"/>
        </w:rPr>
      </w:pPr>
    </w:p>
    <w:p w14:paraId="2B72AD3D">
      <w:pPr>
        <w:ind w:right="960"/>
        <w:rPr>
          <w:rFonts w:ascii="仿宋" w:hAnsi="仿宋" w:eastAsia="仿宋"/>
          <w:color w:val="auto"/>
          <w:sz w:val="32"/>
          <w:szCs w:val="32"/>
        </w:rPr>
      </w:pPr>
    </w:p>
    <w:p w14:paraId="4F6C56BD">
      <w:pPr>
        <w:keepNext/>
        <w:keepLines/>
        <w:spacing w:before="200" w:after="200" w:line="600" w:lineRule="exact"/>
        <w:outlineLvl w:val="0"/>
        <w:rPr>
          <w:rFonts w:ascii="黑体" w:hAnsi="黑体" w:eastAsia="黑体"/>
          <w:b/>
          <w:bCs/>
          <w:color w:val="auto"/>
          <w:kern w:val="44"/>
          <w:sz w:val="36"/>
          <w:szCs w:val="28"/>
        </w:rPr>
      </w:pPr>
      <w:bookmarkStart w:id="235" w:name="_Toc95223549"/>
      <w:bookmarkStart w:id="236" w:name="OLE_LINK41"/>
      <w:bookmarkStart w:id="237" w:name="OLE_LINK31"/>
      <w:bookmarkStart w:id="238" w:name="OLE_LINK32"/>
      <w:r>
        <w:rPr>
          <w:rFonts w:hint="eastAsia" w:ascii="黑体" w:hAnsi="黑体" w:eastAsia="黑体"/>
          <w:b/>
          <w:bCs/>
          <w:color w:val="auto"/>
          <w:kern w:val="44"/>
          <w:sz w:val="36"/>
          <w:szCs w:val="28"/>
        </w:rPr>
        <w:t xml:space="preserve">附件2 </w:t>
      </w:r>
      <w:bookmarkStart w:id="239" w:name="OLE_LINK74"/>
      <w:bookmarkStart w:id="240" w:name="OLE_LINK75"/>
      <w:r>
        <w:rPr>
          <w:rFonts w:hint="eastAsia" w:ascii="黑体" w:hAnsi="黑体" w:eastAsia="黑体"/>
          <w:b/>
          <w:bCs/>
          <w:color w:val="auto"/>
          <w:kern w:val="44"/>
          <w:sz w:val="36"/>
          <w:szCs w:val="28"/>
        </w:rPr>
        <w:t>“信用中国”查询的严重失信行为</w:t>
      </w:r>
      <w:bookmarkStart w:id="241" w:name="OLE_LINK40"/>
      <w:bookmarkStart w:id="242" w:name="OLE_LINK76"/>
      <w:bookmarkStart w:id="243" w:name="OLE_LINK38"/>
      <w:bookmarkStart w:id="244" w:name="OLE_LINK39"/>
      <w:r>
        <w:rPr>
          <w:rFonts w:hint="eastAsia" w:ascii="黑体" w:hAnsi="黑体" w:eastAsia="黑体"/>
          <w:b/>
          <w:bCs/>
          <w:color w:val="auto"/>
          <w:kern w:val="44"/>
          <w:sz w:val="36"/>
          <w:szCs w:val="28"/>
        </w:rPr>
        <w:t>类别及判定依据</w:t>
      </w:r>
      <w:bookmarkEnd w:id="235"/>
      <w:bookmarkEnd w:id="239"/>
      <w:bookmarkEnd w:id="240"/>
      <w:bookmarkEnd w:id="241"/>
      <w:bookmarkEnd w:id="242"/>
      <w:bookmarkEnd w:id="243"/>
      <w:bookmarkEnd w:id="244"/>
    </w:p>
    <w:bookmarkEnd w:id="236"/>
    <w:bookmarkEnd w:id="237"/>
    <w:bookmarkEnd w:id="238"/>
    <w:p w14:paraId="4DBD64E1">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32"/>
          <w:szCs w:val="32"/>
        </w:rPr>
        <w:t>“</w:t>
      </w:r>
      <w:r>
        <w:rPr>
          <w:rFonts w:hint="eastAsia" w:ascii="仿宋_GB2312" w:hAnsi="宋体" w:eastAsia="仿宋_GB2312"/>
          <w:color w:val="auto"/>
          <w:sz w:val="28"/>
          <w:szCs w:val="28"/>
        </w:rPr>
        <w:t>信用中国”查询的严重失信行为判定依据为各行业主管部门下发的联合惩戒文件中规定的行为。下面将部分类别的严重失信行为列举如下：</w:t>
      </w:r>
    </w:p>
    <w:p w14:paraId="51C205AC">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一、安全生产领域严重失信行为：</w:t>
      </w:r>
    </w:p>
    <w:p w14:paraId="19CE9E24">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（一）下列发生生产安全事故的生产经营单位及其有关人员应当列入严重失信主体名单：</w:t>
      </w:r>
    </w:p>
    <w:p w14:paraId="7DC3D2DD">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1、发生特别重大、重大生产安全事故的生产经营单位及其主要负责人，以及经调查认定对该事故发生负有责任，应当列入名单的其他单位和人员；</w:t>
      </w:r>
    </w:p>
    <w:p w14:paraId="4B104495">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2、12个月内累计发生2起以上较大生产安全事故的生产经营单位及其主要负责人；</w:t>
      </w:r>
    </w:p>
    <w:p w14:paraId="67BF6ACB">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3、发生生产安全事故，情节特别严重、影响特别恶劣，依照《中华人民共和国安全生产法》第一百一十四条的规定被处以罚款数额2倍以上5倍以下罚款的生产经营单位及其主要负责人；</w:t>
      </w:r>
    </w:p>
    <w:p w14:paraId="127AEF48">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4、瞒报、谎报生产安全事故的生产经营单位及其有关责任人员；</w:t>
      </w:r>
    </w:p>
    <w:p w14:paraId="76EE5FA6">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5、发生生产安全事故后，不立即组织抢救或者在事故调查处理期间擅离职守或者逃匿的生产经营单位主要负责人。</w:t>
      </w:r>
    </w:p>
    <w:p w14:paraId="4DEC6BF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（二）下列未发生生产安全事故，但因安全生产违法行为，受到行政处罚的生产经营单位或者机构及其有关人员，应当列入严重失信主体名单：</w:t>
      </w:r>
    </w:p>
    <w:p w14:paraId="55F8116C">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1、未依法取得安全生产相关许可或者许可被暂扣、吊销期间从事相关生产经营活动的生产经营单位及其主要负责人；</w:t>
      </w:r>
    </w:p>
    <w:p w14:paraId="67E6D6A8">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2、承担安全评价、认证、检测、检验职责的机构及其直接责任人员租借资质、挂靠、出具虚假报告或者证书的；</w:t>
      </w:r>
    </w:p>
    <w:p w14:paraId="50229844">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3、在应急管理部门作出行政处罚后，有执行能力拒不执行或者逃避执行的生产经营单位及其主要负责人；</w:t>
      </w:r>
    </w:p>
    <w:p w14:paraId="380ABD92">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4、其他违反安全生产法律法规受到行政处罚，且性质恶劣、情节严重的。</w:t>
      </w:r>
    </w:p>
    <w:p w14:paraId="795127FF">
      <w:pPr>
        <w:adjustRightInd w:val="0"/>
        <w:snapToGrid w:val="0"/>
        <w:spacing w:line="560" w:lineRule="exact"/>
        <w:ind w:firstLine="645"/>
        <w:jc w:val="left"/>
        <w:rPr>
          <w:rFonts w:ascii="仿宋_GB2312" w:hAnsi="Calibri" w:eastAsia="仿宋_GB2312"/>
          <w:b/>
          <w:color w:val="auto"/>
          <w:sz w:val="28"/>
          <w:szCs w:val="28"/>
        </w:rPr>
      </w:pPr>
      <w:r>
        <w:rPr>
          <w:rFonts w:hint="eastAsia" w:ascii="仿宋_GB2312" w:hAnsi="宋体" w:eastAsia="仿宋_GB2312"/>
          <w:b/>
          <w:color w:val="auto"/>
          <w:sz w:val="28"/>
          <w:szCs w:val="28"/>
        </w:rPr>
        <w:t>依据：《安全生产严重失信主体名单管理办法》</w:t>
      </w:r>
      <w:r>
        <w:rPr>
          <w:rFonts w:hint="eastAsia" w:ascii="仿宋_GB2312" w:hAnsi="Calibri" w:eastAsia="仿宋_GB2312"/>
          <w:b/>
          <w:color w:val="auto"/>
          <w:sz w:val="28"/>
          <w:szCs w:val="28"/>
        </w:rPr>
        <w:t>（2023年8月8日应急管理部令第11号）</w:t>
      </w:r>
    </w:p>
    <w:p w14:paraId="0FD80FDD">
      <w:pPr>
        <w:adjustRightInd w:val="0"/>
        <w:snapToGrid w:val="0"/>
        <w:spacing w:line="560" w:lineRule="exact"/>
        <w:ind w:firstLine="645"/>
        <w:jc w:val="left"/>
        <w:rPr>
          <w:rFonts w:ascii="仿宋_GB2312" w:hAnsi="宋体" w:eastAsia="仿宋_GB2312"/>
          <w:b/>
          <w:color w:val="auto"/>
          <w:sz w:val="28"/>
          <w:szCs w:val="28"/>
        </w:rPr>
      </w:pPr>
    </w:p>
    <w:p w14:paraId="0D451A25">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二、环境保护领域严重失信行为：</w:t>
      </w:r>
    </w:p>
    <w:p w14:paraId="70580C96">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（一）因为环境违法构成</w:t>
      </w:r>
      <w:r>
        <w:rPr>
          <w:color w:val="auto"/>
        </w:rPr>
        <w:fldChar w:fldCharType="begin"/>
      </w:r>
      <w:r>
        <w:rPr>
          <w:color w:val="auto"/>
        </w:rPr>
        <w:instrText xml:space="preserve"> HYPERLINK "https://baike.sogou.com/m/fullLemma?lid=10403954&amp;g_ut=3" \t "https://baike.sogou.com/m/_blank" </w:instrText>
      </w:r>
      <w:r>
        <w:rPr>
          <w:color w:val="auto"/>
        </w:rPr>
        <w:fldChar w:fldCharType="separate"/>
      </w:r>
      <w:r>
        <w:rPr>
          <w:rStyle w:val="29"/>
          <w:rFonts w:hint="eastAsia" w:ascii="仿宋_GB2312" w:hAnsi="宋体" w:eastAsia="仿宋_GB2312"/>
          <w:color w:val="auto"/>
          <w:sz w:val="28"/>
          <w:szCs w:val="28"/>
        </w:rPr>
        <w:t>环境犯罪</w:t>
      </w:r>
      <w:r>
        <w:rPr>
          <w:rStyle w:val="29"/>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的；</w:t>
      </w:r>
    </w:p>
    <w:p w14:paraId="73179ADF">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（二）</w:t>
      </w:r>
      <w:r>
        <w:rPr>
          <w:color w:val="auto"/>
        </w:rPr>
        <w:fldChar w:fldCharType="begin"/>
      </w:r>
      <w:r>
        <w:rPr>
          <w:color w:val="auto"/>
        </w:rPr>
        <w:instrText xml:space="preserve"> HYPERLINK "https://baike.sogou.com/m/fullLemma?lid=76033123&amp;g_ut=3" \t "https://baike.sogou.com/m/_blank" </w:instrText>
      </w:r>
      <w:r>
        <w:rPr>
          <w:color w:val="auto"/>
        </w:rPr>
        <w:fldChar w:fldCharType="separate"/>
      </w:r>
      <w:r>
        <w:rPr>
          <w:rStyle w:val="29"/>
          <w:rFonts w:hint="eastAsia" w:ascii="仿宋_GB2312" w:hAnsi="宋体" w:eastAsia="仿宋_GB2312"/>
          <w:color w:val="auto"/>
          <w:sz w:val="28"/>
          <w:szCs w:val="28"/>
        </w:rPr>
        <w:t>建设项目环境影响评价</w:t>
      </w:r>
      <w:r>
        <w:rPr>
          <w:rStyle w:val="29"/>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文件未按规定通过审批，擅自开工建设的；</w:t>
      </w:r>
    </w:p>
    <w:p w14:paraId="6A1C998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（三）建设项目环保设施未建成、环保措施未落实、未通过</w:t>
      </w:r>
      <w:r>
        <w:rPr>
          <w:color w:val="auto"/>
        </w:rPr>
        <w:fldChar w:fldCharType="begin"/>
      </w:r>
      <w:r>
        <w:rPr>
          <w:color w:val="auto"/>
        </w:rPr>
        <w:instrText xml:space="preserve"> HYPERLINK "https://baike.sogou.com/m/fullLemma?lid=6470550&amp;g_ut=3" \t "https://baike.sogou.com/m/_blank" </w:instrText>
      </w:r>
      <w:r>
        <w:rPr>
          <w:color w:val="auto"/>
        </w:rPr>
        <w:fldChar w:fldCharType="separate"/>
      </w:r>
      <w:r>
        <w:rPr>
          <w:rStyle w:val="29"/>
          <w:rFonts w:hint="eastAsia" w:ascii="仿宋_GB2312" w:hAnsi="宋体" w:eastAsia="仿宋_GB2312"/>
          <w:color w:val="auto"/>
          <w:sz w:val="28"/>
          <w:szCs w:val="28"/>
        </w:rPr>
        <w:t>竣工环保验收</w:t>
      </w:r>
      <w:r>
        <w:rPr>
          <w:rStyle w:val="29"/>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或者验收不合格，主体工程正式投入生产或者使用的；</w:t>
      </w:r>
    </w:p>
    <w:p w14:paraId="1EF1F36E">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（四）建设项目性质、规模、地点、采用的生产工艺或者防治污染、防止生态破坏的措施发生重大变动，未重新报批环境影响评价文件，擅自投入生产或者使用的；</w:t>
      </w:r>
    </w:p>
    <w:p w14:paraId="42193EFE">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（五）主要污染物排放总量超过控制指标的；</w:t>
      </w:r>
    </w:p>
    <w:p w14:paraId="4281429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（六）私设暗管或者利用</w:t>
      </w:r>
      <w:r>
        <w:rPr>
          <w:color w:val="auto"/>
        </w:rPr>
        <w:fldChar w:fldCharType="begin"/>
      </w:r>
      <w:r>
        <w:rPr>
          <w:color w:val="auto"/>
        </w:rPr>
        <w:instrText xml:space="preserve"> HYPERLINK "https://baike.sogou.com/m/fullLemma?lid=41657319&amp;g_ut=3" \t "https://baike.sogou.com/m/_blank" </w:instrText>
      </w:r>
      <w:r>
        <w:rPr>
          <w:color w:val="auto"/>
        </w:rPr>
        <w:fldChar w:fldCharType="separate"/>
      </w:r>
      <w:r>
        <w:rPr>
          <w:rStyle w:val="29"/>
          <w:rFonts w:hint="eastAsia" w:ascii="仿宋_GB2312" w:hAnsi="宋体" w:eastAsia="仿宋_GB2312"/>
          <w:color w:val="auto"/>
          <w:sz w:val="28"/>
          <w:szCs w:val="28"/>
        </w:rPr>
        <w:t>渗井</w:t>
      </w:r>
      <w:r>
        <w:rPr>
          <w:rStyle w:val="29"/>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、渗坑、裂隙、溶洞等排放、倾倒、处置水污染物，或者通过私设旁路排放</w:t>
      </w:r>
      <w:r>
        <w:rPr>
          <w:color w:val="auto"/>
        </w:rPr>
        <w:fldChar w:fldCharType="begin"/>
      </w:r>
      <w:r>
        <w:rPr>
          <w:color w:val="auto"/>
        </w:rPr>
        <w:instrText xml:space="preserve"> HYPERLINK "https://baike.sogou.com/m/fullLemma?lid=7758328&amp;g_ut=3" \t "https://baike.sogou.com/m/_blank" </w:instrText>
      </w:r>
      <w:r>
        <w:rPr>
          <w:color w:val="auto"/>
        </w:rPr>
        <w:fldChar w:fldCharType="separate"/>
      </w:r>
      <w:r>
        <w:rPr>
          <w:rStyle w:val="29"/>
          <w:rFonts w:hint="eastAsia" w:ascii="仿宋_GB2312" w:hAnsi="宋体" w:eastAsia="仿宋_GB2312"/>
          <w:color w:val="auto"/>
          <w:sz w:val="28"/>
          <w:szCs w:val="28"/>
        </w:rPr>
        <w:t>大气污染物</w:t>
      </w:r>
      <w:r>
        <w:rPr>
          <w:rStyle w:val="29"/>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的；</w:t>
      </w:r>
    </w:p>
    <w:p w14:paraId="4A1E9C90">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（七）非法排放、倾倒、处置危险废物，或者向无</w:t>
      </w:r>
      <w:r>
        <w:rPr>
          <w:color w:val="auto"/>
        </w:rPr>
        <w:fldChar w:fldCharType="begin"/>
      </w:r>
      <w:r>
        <w:rPr>
          <w:color w:val="auto"/>
        </w:rPr>
        <w:instrText xml:space="preserve"> HYPERLINK "https://baike.sogou.com/m/fullLemma?lid=5923292&amp;g_ut=3" \t "https://baike.sogou.com/m/_blank" </w:instrText>
      </w:r>
      <w:r>
        <w:rPr>
          <w:color w:val="auto"/>
        </w:rPr>
        <w:fldChar w:fldCharType="separate"/>
      </w:r>
      <w:r>
        <w:rPr>
          <w:rStyle w:val="29"/>
          <w:rFonts w:hint="eastAsia" w:ascii="仿宋_GB2312" w:hAnsi="宋体" w:eastAsia="仿宋_GB2312"/>
          <w:color w:val="auto"/>
          <w:sz w:val="28"/>
          <w:szCs w:val="28"/>
        </w:rPr>
        <w:t>经营许可证</w:t>
      </w:r>
      <w:r>
        <w:rPr>
          <w:rStyle w:val="29"/>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或者超出经营许可范围的单位或个人提供或者委托其收集、贮存、利用、处置危险废物的；</w:t>
      </w:r>
    </w:p>
    <w:p w14:paraId="224643C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（八）</w:t>
      </w:r>
      <w:r>
        <w:rPr>
          <w:color w:val="auto"/>
        </w:rPr>
        <w:fldChar w:fldCharType="begin"/>
      </w:r>
      <w:r>
        <w:rPr>
          <w:color w:val="auto"/>
        </w:rPr>
        <w:instrText xml:space="preserve"> HYPERLINK "https://baike.sogou.com/m/fullLemma?lid=167759803&amp;g_ut=3" \t "https://baike.sogou.com/m/_blank" </w:instrText>
      </w:r>
      <w:r>
        <w:rPr>
          <w:color w:val="auto"/>
        </w:rPr>
        <w:fldChar w:fldCharType="separate"/>
      </w:r>
      <w:r>
        <w:rPr>
          <w:rStyle w:val="29"/>
          <w:rFonts w:hint="eastAsia" w:ascii="仿宋_GB2312" w:hAnsi="宋体" w:eastAsia="仿宋_GB2312"/>
          <w:color w:val="auto"/>
          <w:sz w:val="28"/>
          <w:szCs w:val="28"/>
        </w:rPr>
        <w:t>环境违法行为</w:t>
      </w:r>
      <w:r>
        <w:rPr>
          <w:rStyle w:val="29"/>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造成集中式生活饮用水水源取水中断的；</w:t>
      </w:r>
    </w:p>
    <w:p w14:paraId="2870ED2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（九）环境违法行为对生活饮用水水源保护区、自然保护区、</w:t>
      </w:r>
      <w:r>
        <w:rPr>
          <w:color w:val="auto"/>
        </w:rPr>
        <w:fldChar w:fldCharType="begin"/>
      </w:r>
      <w:r>
        <w:rPr>
          <w:color w:val="auto"/>
        </w:rPr>
        <w:instrText xml:space="preserve"> HYPERLINK "https://baike.sogou.com/m/fullLemma?lid=155199213&amp;g_ut=3" \t "https://baike.sogou.com/m/_blank" </w:instrText>
      </w:r>
      <w:r>
        <w:rPr>
          <w:color w:val="auto"/>
        </w:rPr>
        <w:fldChar w:fldCharType="separate"/>
      </w:r>
      <w:r>
        <w:rPr>
          <w:rStyle w:val="29"/>
          <w:rFonts w:hint="eastAsia" w:ascii="仿宋_GB2312" w:hAnsi="宋体" w:eastAsia="仿宋_GB2312"/>
          <w:color w:val="auto"/>
          <w:sz w:val="28"/>
          <w:szCs w:val="28"/>
        </w:rPr>
        <w:t>国家重点生态功能区</w:t>
      </w:r>
      <w:r>
        <w:rPr>
          <w:rStyle w:val="29"/>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、风景名胜区、居住功能区、</w:t>
      </w:r>
      <w:r>
        <w:rPr>
          <w:color w:val="auto"/>
        </w:rPr>
        <w:fldChar w:fldCharType="begin"/>
      </w:r>
      <w:r>
        <w:rPr>
          <w:color w:val="auto"/>
        </w:rPr>
        <w:instrText xml:space="preserve"> HYPERLINK "https://baike.sogou.com/m/fullLemma?lid=7757164&amp;g_ut=3" \t "https://baike.sogou.com/m/_blank" </w:instrText>
      </w:r>
      <w:r>
        <w:rPr>
          <w:color w:val="auto"/>
        </w:rPr>
        <w:fldChar w:fldCharType="separate"/>
      </w:r>
      <w:r>
        <w:rPr>
          <w:rStyle w:val="29"/>
          <w:rFonts w:hint="eastAsia" w:ascii="仿宋_GB2312" w:hAnsi="宋体" w:eastAsia="仿宋_GB2312"/>
          <w:color w:val="auto"/>
          <w:sz w:val="28"/>
          <w:szCs w:val="28"/>
        </w:rPr>
        <w:t>基本农田保护区</w:t>
      </w:r>
      <w:r>
        <w:rPr>
          <w:rStyle w:val="29"/>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等环境敏感区造成重大不利影响的；</w:t>
      </w:r>
    </w:p>
    <w:p w14:paraId="6650E5C6">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（十）违法从事自然资源开发、交通基础设施建设，以及其他开发建设活动，造成严重生态破坏的；</w:t>
      </w:r>
    </w:p>
    <w:p w14:paraId="6230CE75">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（十一）发生较大及以上突发环境事件的；</w:t>
      </w:r>
    </w:p>
    <w:p w14:paraId="02CF0F69">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（十二）被环保部门挂牌督办，整改逾期未完成的；</w:t>
      </w:r>
    </w:p>
    <w:p w14:paraId="227B8D0E">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（十三）以暴力、威胁等方式拒绝、阻挠环保部门工作人员现场检查的；</w:t>
      </w:r>
    </w:p>
    <w:p w14:paraId="4A15F2F7">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（十四）违反重污染天气应急预案有关规定，对重污染天气响应不力的。</w:t>
      </w:r>
    </w:p>
    <w:p w14:paraId="177A84A1">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依据：《</w:t>
      </w:r>
      <w:bookmarkStart w:id="245" w:name="OLE_LINK10"/>
      <w:bookmarkStart w:id="246" w:name="OLE_LINK9"/>
      <w:r>
        <w:rPr>
          <w:rFonts w:hint="eastAsia" w:ascii="仿宋_GB2312" w:hAnsi="宋体" w:eastAsia="仿宋_GB2312"/>
          <w:b/>
          <w:color w:val="auto"/>
          <w:sz w:val="28"/>
          <w:szCs w:val="28"/>
        </w:rPr>
        <w:t>关于对环境保护领域失信生产经营单位及其有关人员开展联合惩戒的合作备忘录</w:t>
      </w:r>
      <w:bookmarkEnd w:id="245"/>
      <w:bookmarkEnd w:id="246"/>
      <w:r>
        <w:rPr>
          <w:rFonts w:hint="eastAsia" w:ascii="仿宋_GB2312" w:hAnsi="宋体" w:eastAsia="仿宋_GB2312"/>
          <w:b/>
          <w:color w:val="auto"/>
          <w:sz w:val="28"/>
          <w:szCs w:val="28"/>
        </w:rPr>
        <w:t>》、《</w:t>
      </w:r>
      <w:bookmarkStart w:id="247" w:name="OLE_LINK12"/>
      <w:bookmarkStart w:id="248" w:name="OLE_LINK11"/>
      <w:r>
        <w:rPr>
          <w:rFonts w:hint="eastAsia" w:ascii="仿宋_GB2312" w:hAnsi="宋体" w:eastAsia="仿宋_GB2312"/>
          <w:b/>
          <w:color w:val="auto"/>
          <w:sz w:val="28"/>
          <w:szCs w:val="28"/>
        </w:rPr>
        <w:t>企业环境信用评价办法（试行）</w:t>
      </w:r>
      <w:bookmarkEnd w:id="247"/>
      <w:bookmarkEnd w:id="248"/>
      <w:r>
        <w:rPr>
          <w:rFonts w:hint="eastAsia" w:ascii="仿宋_GB2312" w:hAnsi="宋体" w:eastAsia="仿宋_GB2312"/>
          <w:b/>
          <w:color w:val="auto"/>
          <w:sz w:val="28"/>
          <w:szCs w:val="28"/>
        </w:rPr>
        <w:t>》（环发〔2013〕150号）</w:t>
      </w:r>
    </w:p>
    <w:p w14:paraId="69E65832">
      <w:pPr>
        <w:adjustRightInd w:val="0"/>
        <w:snapToGrid w:val="0"/>
        <w:spacing w:line="560" w:lineRule="exact"/>
        <w:ind w:firstLine="645"/>
        <w:jc w:val="left"/>
        <w:rPr>
          <w:rFonts w:ascii="仿宋_GB2312" w:hAnsi="宋体" w:eastAsia="仿宋_GB2312"/>
          <w:b/>
          <w:color w:val="auto"/>
          <w:sz w:val="28"/>
          <w:szCs w:val="28"/>
        </w:rPr>
      </w:pPr>
    </w:p>
    <w:p w14:paraId="6A921769">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三、</w:t>
      </w:r>
      <w:r>
        <w:rPr>
          <w:rFonts w:hint="eastAsia" w:ascii="仿宋_GB2312" w:hAnsi="宋体" w:eastAsia="仿宋_GB2312"/>
          <w:b/>
          <w:bCs/>
          <w:color w:val="auto"/>
          <w:sz w:val="28"/>
          <w:szCs w:val="28"/>
        </w:rPr>
        <w:t>公共资源交易领域严重失信行为</w:t>
      </w:r>
    </w:p>
    <w:p w14:paraId="14C629E4">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（一）违反法律规定，必须进行招标的项目而不招标的，将必须进行招标的项目化整为零或者以其他任何方式规避招标的； </w:t>
      </w:r>
    </w:p>
    <w:p w14:paraId="6F095468">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（二）招标代理机构违反法律规定，泄露应当保密的与招标投标活动有关的情况和资料的，或者与招标人、投标人串通损害 国家利益、社会公共利益或者他人合法权益的；</w:t>
      </w:r>
    </w:p>
    <w:p w14:paraId="50654F0E">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（三）招标人以不合理的条件限制或者排斥潜在投标人的，对潜在投标人实行歧视待遇的，强制要求投标人组成联合体共同 投标的，或者限制投标人之间竞争的；</w:t>
      </w:r>
    </w:p>
    <w:p w14:paraId="5559CB48">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（四）依法必须进行招标的项目的招标人向他人透露已获取招标文件的潜在投标人的名称、数量或者可能影响公平竞争的有 关招标投标的其他情况的，或者泄露标底的；</w:t>
      </w:r>
    </w:p>
    <w:p w14:paraId="52129A98">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（五）投标人相互串通投标或者与招标人串通投标的，投标人以向招标人或者评标委员会成员行贿的手段谋取中标的； </w:t>
      </w:r>
    </w:p>
    <w:p w14:paraId="2C73F0EB">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（六）投标人以他人名义投标或者以其他方式弄虚作假，骗取中标的；</w:t>
      </w:r>
    </w:p>
    <w:p w14:paraId="11275E5E">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（七）依法必须进行招标的项目，招标人违反法律规定，与投标人就投标价格、投标方案等实质性内容进行谈判的；</w:t>
      </w:r>
    </w:p>
    <w:p w14:paraId="05D9C444">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25C62B">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（九）招标人在评标委员会依法推荐的中标候选人以外确定中标人的，依法必须进行招标的项目在所有投标被评标委员会否 决后自行确定中标人的； </w:t>
      </w:r>
    </w:p>
    <w:p w14:paraId="70AC6871">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（十）中标人将中标项目转让给他人的，将中标项目肢解后分别转让给他人的，违反法律规定将中标项目的部分主体、关键 性工作分包给他人的，或者分包人再次分包的； </w:t>
      </w:r>
    </w:p>
    <w:p w14:paraId="059A9818">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（十一）招标人与中标人不按照招标文件和中标人的投标文件订立合同的，或者招标人、中标人订立背离合同实质性内容的 协议的； </w:t>
      </w:r>
    </w:p>
    <w:p w14:paraId="68DF1547">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（十二）中标人不按照与招标人订立的合同履行义务，情节严重的； </w:t>
      </w:r>
    </w:p>
    <w:p w14:paraId="6FCB62F6">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7B01393">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A7B8A1">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 （十五）采购人对应当实行集中采购的政府采购项目，不委托集中采购机构实行集中采购的； </w:t>
      </w:r>
    </w:p>
    <w:p w14:paraId="25EF9D47">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（十六）采购人、采购代理机构违反法律规定隐匿、销毁应当保存的采购文件或者伪造、变造采购文件的； </w:t>
      </w:r>
    </w:p>
    <w:p w14:paraId="4AF07836">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9F4B683">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（十八）疫苗生产企业向县级疾病预防控制机构以外的单位或者个人销售第二类疫苗的； </w:t>
      </w:r>
    </w:p>
    <w:p w14:paraId="195DD04E">
      <w:pPr>
        <w:adjustRightInd w:val="0"/>
        <w:snapToGrid w:val="0"/>
        <w:spacing w:line="560" w:lineRule="exact"/>
        <w:ind w:left="141" w:leftChars="67" w:firstLine="420" w:firstLineChars="150"/>
        <w:jc w:val="left"/>
        <w:rPr>
          <w:rFonts w:ascii="仿宋_GB2312" w:hAnsi="宋体" w:eastAsia="仿宋_GB2312"/>
          <w:color w:val="auto"/>
          <w:sz w:val="28"/>
          <w:szCs w:val="28"/>
        </w:rPr>
      </w:pPr>
      <w:r>
        <w:rPr>
          <w:rFonts w:hint="eastAsia" w:ascii="仿宋_GB2312" w:hAnsi="Calibri" w:eastAsia="仿宋_GB2312"/>
          <w:color w:val="auto"/>
          <w:sz w:val="28"/>
          <w:szCs w:val="28"/>
        </w:rPr>
        <w:t>（十九）存在其他违反公共资源交易法律法规行为的。</w:t>
      </w:r>
    </w:p>
    <w:p w14:paraId="6B7062C6">
      <w:pPr>
        <w:adjustRightInd w:val="0"/>
        <w:snapToGrid w:val="0"/>
        <w:spacing w:line="560" w:lineRule="exact"/>
        <w:ind w:firstLine="894" w:firstLineChars="318"/>
        <w:jc w:val="left"/>
        <w:rPr>
          <w:rFonts w:ascii="仿宋_GB2312" w:hAnsi="宋体" w:eastAsia="仿宋_GB2312"/>
          <w:b/>
          <w:color w:val="auto"/>
          <w:sz w:val="28"/>
          <w:szCs w:val="28"/>
        </w:rPr>
      </w:pPr>
      <w:r>
        <w:rPr>
          <w:rFonts w:hint="eastAsia" w:ascii="仿宋_GB2312" w:hAnsi="宋体" w:eastAsia="仿宋_GB2312"/>
          <w:b/>
          <w:color w:val="auto"/>
          <w:sz w:val="28"/>
          <w:szCs w:val="28"/>
        </w:rPr>
        <w:t>依据：《</w:t>
      </w:r>
      <w:bookmarkStart w:id="249" w:name="OLE_LINK14"/>
      <w:bookmarkStart w:id="250" w:name="OLE_LINK13"/>
      <w:r>
        <w:rPr>
          <w:rFonts w:hint="eastAsia" w:ascii="仿宋_GB2312" w:hAnsi="宋体" w:eastAsia="仿宋_GB2312"/>
          <w:b/>
          <w:color w:val="auto"/>
          <w:sz w:val="28"/>
          <w:szCs w:val="28"/>
        </w:rPr>
        <w:t>关于对公共资源交易领域严重失信主体开展联合惩戒的备忘录</w:t>
      </w:r>
      <w:bookmarkEnd w:id="249"/>
      <w:bookmarkEnd w:id="250"/>
      <w:r>
        <w:rPr>
          <w:rFonts w:hint="eastAsia" w:ascii="仿宋_GB2312" w:hAnsi="宋体" w:eastAsia="仿宋_GB2312"/>
          <w:b/>
          <w:color w:val="auto"/>
          <w:sz w:val="28"/>
          <w:szCs w:val="28"/>
        </w:rPr>
        <w:t>》（发改法规〔2018〕457号）</w:t>
      </w:r>
    </w:p>
    <w:p w14:paraId="56228BCD">
      <w:pPr>
        <w:adjustRightInd w:val="0"/>
        <w:snapToGrid w:val="0"/>
        <w:spacing w:line="560" w:lineRule="exact"/>
        <w:ind w:firstLine="645"/>
        <w:jc w:val="left"/>
        <w:rPr>
          <w:rFonts w:ascii="仿宋_GB2312" w:hAnsi="宋体" w:eastAsia="仿宋_GB2312"/>
          <w:color w:val="auto"/>
          <w:sz w:val="28"/>
          <w:szCs w:val="28"/>
        </w:rPr>
      </w:pPr>
    </w:p>
    <w:p w14:paraId="7A5E95EA">
      <w:pPr>
        <w:adjustRightInd w:val="0"/>
        <w:snapToGrid w:val="0"/>
        <w:spacing w:line="560" w:lineRule="exact"/>
        <w:ind w:firstLine="645"/>
        <w:jc w:val="left"/>
        <w:rPr>
          <w:rFonts w:ascii="仿宋_GB2312" w:hAnsi="宋体" w:eastAsia="仿宋_GB2312"/>
          <w:b/>
          <w:bCs/>
          <w:color w:val="auto"/>
          <w:sz w:val="28"/>
          <w:szCs w:val="28"/>
        </w:rPr>
      </w:pPr>
      <w:r>
        <w:rPr>
          <w:rFonts w:hint="eastAsia" w:ascii="仿宋_GB2312" w:hAnsi="宋体" w:eastAsia="仿宋_GB2312"/>
          <w:b/>
          <w:color w:val="auto"/>
          <w:sz w:val="28"/>
          <w:szCs w:val="28"/>
        </w:rPr>
        <w:t>四、</w:t>
      </w:r>
      <w:r>
        <w:rPr>
          <w:rFonts w:hint="eastAsia" w:ascii="仿宋_GB2312" w:hAnsi="宋体" w:eastAsia="仿宋_GB2312"/>
          <w:b/>
          <w:bCs/>
          <w:color w:val="auto"/>
          <w:sz w:val="28"/>
          <w:szCs w:val="28"/>
        </w:rPr>
        <w:t>社会保险领域严重失信行为</w:t>
      </w:r>
    </w:p>
    <w:p w14:paraId="20C8E618">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（一）用人单位未按相关规定参加社会保险且拒不整改的； </w:t>
      </w:r>
    </w:p>
    <w:p w14:paraId="3A2CE4F3">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（二）用人单位未如实申报社会保险缴费基数且拒不整改的； </w:t>
      </w:r>
    </w:p>
    <w:p w14:paraId="4CD7A14A">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（三）应缴纳社会保险费却拒不缴纳的； </w:t>
      </w:r>
    </w:p>
    <w:p w14:paraId="37C01EE5">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（四）隐匿、转移、侵占、挪用社会保险费款、基金或者违规投资运营的；</w:t>
      </w:r>
    </w:p>
    <w:p w14:paraId="3194E9BE">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（五）以欺诈、伪造证明材料或者其他手段参加、申报社会保险和骗取社会保险基金支出或社会保险待遇的； </w:t>
      </w:r>
    </w:p>
    <w:p w14:paraId="38ADEA38">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（六）非法获取、出售或变相交易社会保险个人权益数据的； </w:t>
      </w:r>
    </w:p>
    <w:p w14:paraId="12600E7D">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（七）社会保险服务机构违反服务协议或相关规定的； </w:t>
      </w:r>
    </w:p>
    <w:p w14:paraId="45F77A7A">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3915E76B">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（九）其他违反法律法规规定的。</w:t>
      </w:r>
    </w:p>
    <w:p w14:paraId="071348AE">
      <w:pPr>
        <w:adjustRightInd w:val="0"/>
        <w:snapToGrid w:val="0"/>
        <w:spacing w:line="560" w:lineRule="exact"/>
        <w:ind w:firstLine="551" w:firstLineChars="196"/>
        <w:jc w:val="left"/>
        <w:rPr>
          <w:rFonts w:ascii="仿宋_GB2312" w:hAnsi="Calibri" w:eastAsia="仿宋_GB2312"/>
          <w:color w:val="auto"/>
          <w:sz w:val="28"/>
          <w:szCs w:val="28"/>
        </w:rPr>
      </w:pPr>
      <w:r>
        <w:rPr>
          <w:rFonts w:hint="eastAsia" w:ascii="仿宋_GB2312" w:hAnsi="Calibri" w:eastAsia="仿宋_GB2312"/>
          <w:b/>
          <w:color w:val="auto"/>
          <w:sz w:val="28"/>
          <w:szCs w:val="28"/>
        </w:rPr>
        <w:t>依据：《</w:t>
      </w:r>
      <w:bookmarkStart w:id="251" w:name="OLE_LINK15"/>
      <w:bookmarkStart w:id="252" w:name="OLE_LINK16"/>
      <w:r>
        <w:rPr>
          <w:rFonts w:hint="eastAsia" w:ascii="仿宋_GB2312" w:hAnsi="Calibri" w:eastAsia="仿宋_GB2312"/>
          <w:b/>
          <w:color w:val="auto"/>
          <w:sz w:val="28"/>
          <w:szCs w:val="28"/>
        </w:rPr>
        <w:t>关于对社会保险领域严重失信企业及其有关人员实施联合惩戒的合作备忘录</w:t>
      </w:r>
      <w:bookmarkEnd w:id="251"/>
      <w:bookmarkEnd w:id="252"/>
      <w:r>
        <w:rPr>
          <w:rFonts w:hint="eastAsia" w:ascii="仿宋_GB2312" w:hAnsi="Calibri" w:eastAsia="仿宋_GB2312"/>
          <w:b/>
          <w:color w:val="auto"/>
          <w:sz w:val="28"/>
          <w:szCs w:val="28"/>
        </w:rPr>
        <w:t>》（发改财金〔2018〕1704号）</w:t>
      </w:r>
    </w:p>
    <w:p w14:paraId="7F557814">
      <w:pPr>
        <w:adjustRightInd w:val="0"/>
        <w:snapToGrid w:val="0"/>
        <w:spacing w:line="560" w:lineRule="exact"/>
        <w:jc w:val="left"/>
        <w:rPr>
          <w:rFonts w:ascii="仿宋_GB2312" w:hAnsi="宋体" w:eastAsia="仿宋_GB2312"/>
          <w:color w:val="auto"/>
          <w:sz w:val="28"/>
          <w:szCs w:val="28"/>
        </w:rPr>
      </w:pPr>
    </w:p>
    <w:p w14:paraId="6891C0E8">
      <w:pPr>
        <w:adjustRightInd w:val="0"/>
        <w:snapToGrid w:val="0"/>
        <w:spacing w:line="560" w:lineRule="exact"/>
        <w:ind w:firstLine="562" w:firstLineChars="200"/>
        <w:jc w:val="left"/>
        <w:rPr>
          <w:rFonts w:ascii="仿宋_GB2312" w:hAnsi="宋体" w:eastAsia="仿宋_GB2312"/>
          <w:b/>
          <w:bCs/>
          <w:color w:val="auto"/>
          <w:sz w:val="28"/>
          <w:szCs w:val="28"/>
        </w:rPr>
      </w:pPr>
      <w:r>
        <w:rPr>
          <w:rFonts w:hint="eastAsia" w:ascii="仿宋_GB2312" w:hAnsi="宋体" w:eastAsia="仿宋_GB2312"/>
          <w:b/>
          <w:color w:val="auto"/>
          <w:sz w:val="28"/>
          <w:szCs w:val="28"/>
        </w:rPr>
        <w:t>五、建筑市场领域</w:t>
      </w:r>
      <w:r>
        <w:rPr>
          <w:rFonts w:hint="eastAsia" w:ascii="仿宋_GB2312" w:hAnsi="宋体" w:eastAsia="仿宋_GB2312"/>
          <w:b/>
          <w:bCs/>
          <w:color w:val="auto"/>
          <w:sz w:val="28"/>
          <w:szCs w:val="28"/>
        </w:rPr>
        <w:t>严重失信行为</w:t>
      </w:r>
    </w:p>
    <w:p w14:paraId="366659F3">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（一）利用虚假材料、以欺骗手段取得企业资质的；</w:t>
      </w:r>
    </w:p>
    <w:p w14:paraId="5750B2FD">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（二）发生转包、出借资质，受到行政处罚的；</w:t>
      </w:r>
    </w:p>
    <w:p w14:paraId="035E1140">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（三）发生重大及以上工程质量安全事故，或1年内累计发生2次及以上较大工程质量安全事故，或发生性质恶劣、危害性严重、社会影响大的较大工程质量安全事故，受到行政处罚的；</w:t>
      </w:r>
    </w:p>
    <w:p w14:paraId="11F9611B">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（四）经法院判决或仲裁机构裁决，认定为拖欠工程款,且拒不履行生效法律文书确定的义务的。</w:t>
      </w:r>
    </w:p>
    <w:p w14:paraId="68312AB3">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各级住房城乡建设主管部门应当参照建筑市场主体“黑名单”，对被人力资源社会保障行政部门列入拖欠农民工工资“黑名单”的建筑市场各方主体加强监管。</w:t>
      </w:r>
    </w:p>
    <w:p w14:paraId="7B2F29C6">
      <w:pPr>
        <w:ind w:firstLine="562" w:firstLineChars="200"/>
        <w:jc w:val="left"/>
        <w:rPr>
          <w:rFonts w:ascii="仿宋_GB2312" w:hAnsi="宋体" w:eastAsia="仿宋_GB2312"/>
          <w:b/>
          <w:color w:val="auto"/>
          <w:sz w:val="28"/>
          <w:szCs w:val="28"/>
        </w:rPr>
      </w:pPr>
      <w:r>
        <w:rPr>
          <w:rFonts w:hint="eastAsia" w:ascii="仿宋_GB2312" w:hAnsi="Calibri" w:eastAsia="仿宋_GB2312"/>
          <w:b/>
          <w:color w:val="auto"/>
          <w:sz w:val="28"/>
          <w:szCs w:val="28"/>
        </w:rPr>
        <w:t>依据：《</w:t>
      </w:r>
      <w:bookmarkStart w:id="253" w:name="OLE_LINK17"/>
      <w:bookmarkStart w:id="254" w:name="OLE_LINK18"/>
      <w:r>
        <w:rPr>
          <w:rFonts w:hint="eastAsia" w:ascii="仿宋_GB2312" w:hAnsi="Calibri" w:eastAsia="仿宋_GB2312"/>
          <w:b/>
          <w:color w:val="auto"/>
          <w:sz w:val="28"/>
          <w:szCs w:val="28"/>
        </w:rPr>
        <w:t>建筑市场信用管理暂行办法</w:t>
      </w:r>
      <w:bookmarkEnd w:id="253"/>
      <w:bookmarkEnd w:id="254"/>
      <w:r>
        <w:rPr>
          <w:rFonts w:hint="eastAsia" w:ascii="仿宋_GB2312" w:hAnsi="Calibri" w:eastAsia="仿宋_GB2312"/>
          <w:b/>
          <w:color w:val="auto"/>
          <w:sz w:val="28"/>
          <w:szCs w:val="28"/>
        </w:rPr>
        <w:t>》（建市〔2017〕241号）</w:t>
      </w:r>
    </w:p>
    <w:p w14:paraId="7ECD403B">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六、</w:t>
      </w:r>
      <w:bookmarkStart w:id="255" w:name="OLE_LINK19"/>
      <w:bookmarkStart w:id="256" w:name="OLE_LINK20"/>
      <w:r>
        <w:rPr>
          <w:rFonts w:hint="eastAsia" w:ascii="仿宋_GB2312" w:hAnsi="宋体" w:eastAsia="仿宋_GB2312"/>
          <w:b/>
          <w:color w:val="auto"/>
          <w:sz w:val="28"/>
          <w:szCs w:val="28"/>
        </w:rPr>
        <w:t>政府采购严重失信行为</w:t>
      </w:r>
      <w:bookmarkEnd w:id="255"/>
      <w:bookmarkEnd w:id="256"/>
    </w:p>
    <w:p w14:paraId="1F7B3296">
      <w:pPr>
        <w:adjustRightInd w:val="0"/>
        <w:snapToGrid w:val="0"/>
        <w:spacing w:line="560" w:lineRule="exact"/>
        <w:ind w:firstLine="615"/>
        <w:rPr>
          <w:rFonts w:ascii="仿宋_GB2312" w:hAnsi="Calibri" w:eastAsia="仿宋_GB2312"/>
          <w:color w:val="auto"/>
          <w:sz w:val="28"/>
          <w:szCs w:val="28"/>
        </w:rPr>
      </w:pPr>
      <w:r>
        <w:rPr>
          <w:rFonts w:hint="eastAsia" w:ascii="仿宋_GB2312" w:hAnsi="Calibri" w:eastAsia="仿宋_GB2312"/>
          <w:color w:val="auto"/>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rPr>
        <w:br w:type="textWrapping"/>
      </w:r>
      <w:r>
        <w:rPr>
          <w:rFonts w:hint="eastAsia" w:ascii="仿宋_GB2312" w:hAnsi="Calibri" w:eastAsia="仿宋_GB2312"/>
          <w:color w:val="auto"/>
          <w:sz w:val="28"/>
          <w:szCs w:val="28"/>
        </w:rPr>
        <w:t>　　（一）三万元以上罚款；</w:t>
      </w:r>
      <w:r>
        <w:rPr>
          <w:rFonts w:hint="eastAsia" w:ascii="仿宋_GB2312" w:hAnsi="Calibri" w:eastAsia="仿宋_GB2312"/>
          <w:color w:val="auto"/>
          <w:sz w:val="28"/>
          <w:szCs w:val="28"/>
        </w:rPr>
        <w:br w:type="textWrapping"/>
      </w:r>
      <w:r>
        <w:rPr>
          <w:rFonts w:hint="eastAsia" w:ascii="仿宋_GB2312" w:hAnsi="Calibri" w:eastAsia="仿宋_GB2312"/>
          <w:color w:val="auto"/>
          <w:sz w:val="28"/>
          <w:szCs w:val="28"/>
        </w:rPr>
        <w:t>　　（二）在一至三年内禁止参加政府采购活动（处罚期限届满的除外）；</w:t>
      </w:r>
      <w:r>
        <w:rPr>
          <w:rFonts w:hint="eastAsia" w:ascii="仿宋_GB2312" w:hAnsi="Calibri" w:eastAsia="仿宋_GB2312"/>
          <w:color w:val="auto"/>
          <w:sz w:val="28"/>
          <w:szCs w:val="28"/>
        </w:rPr>
        <w:br w:type="textWrapping"/>
      </w:r>
      <w:r>
        <w:rPr>
          <w:rFonts w:hint="eastAsia" w:ascii="仿宋_GB2312" w:hAnsi="Calibri" w:eastAsia="仿宋_GB2312"/>
          <w:color w:val="auto"/>
          <w:sz w:val="28"/>
          <w:szCs w:val="28"/>
        </w:rPr>
        <w:t>　　（三）在一至三年内禁止代理政府采购业务（处罚期限届满的除外）；</w:t>
      </w:r>
      <w:r>
        <w:rPr>
          <w:rFonts w:hint="eastAsia" w:ascii="仿宋_GB2312" w:hAnsi="Calibri" w:eastAsia="仿宋_GB2312"/>
          <w:color w:val="auto"/>
          <w:sz w:val="28"/>
          <w:szCs w:val="28"/>
        </w:rPr>
        <w:br w:type="textWrapping"/>
      </w:r>
      <w:r>
        <w:rPr>
          <w:rFonts w:hint="eastAsia" w:ascii="仿宋_GB2312" w:hAnsi="宋体" w:eastAsia="仿宋_GB2312"/>
          <w:color w:val="auto"/>
          <w:sz w:val="28"/>
          <w:szCs w:val="28"/>
        </w:rPr>
        <w:t xml:space="preserve">　 </w:t>
      </w:r>
      <w:r>
        <w:rPr>
          <w:rFonts w:hint="eastAsia" w:ascii="仿宋_GB2312" w:hAnsi="Calibri" w:eastAsia="仿宋_GB2312"/>
          <w:color w:val="auto"/>
          <w:sz w:val="28"/>
          <w:szCs w:val="28"/>
        </w:rPr>
        <w:t>（四）撤销政府采购代理机构资格（仅针对《政府采购法》第78条修改前作出的处罚决定）。</w:t>
      </w:r>
    </w:p>
    <w:p w14:paraId="2A935F8E">
      <w:pPr>
        <w:adjustRightInd w:val="0"/>
        <w:snapToGrid w:val="0"/>
        <w:spacing w:line="560" w:lineRule="exact"/>
        <w:ind w:firstLine="562" w:firstLineChars="200"/>
        <w:jc w:val="left"/>
        <w:rPr>
          <w:rFonts w:ascii="仿宋_GB2312" w:hAnsi="宋体" w:eastAsia="仿宋_GB2312"/>
          <w:b/>
          <w:color w:val="auto"/>
          <w:sz w:val="28"/>
          <w:szCs w:val="28"/>
        </w:rPr>
      </w:pPr>
      <w:r>
        <w:rPr>
          <w:rFonts w:hint="eastAsia" w:ascii="仿宋_GB2312" w:hAnsi="Calibri" w:eastAsia="仿宋_GB2312"/>
          <w:b/>
          <w:color w:val="auto"/>
          <w:sz w:val="28"/>
          <w:szCs w:val="28"/>
        </w:rPr>
        <w:t>依据：《关于报送政府采购严重违法失信行为信息记录的通知》</w:t>
      </w:r>
      <w:r>
        <w:rPr>
          <w:rFonts w:hint="eastAsia" w:ascii="Calibri" w:hAnsi="Calibri"/>
          <w:b/>
          <w:color w:val="auto"/>
          <w:sz w:val="28"/>
          <w:szCs w:val="28"/>
        </w:rPr>
        <w:t>（财办库〔</w:t>
      </w:r>
      <w:r>
        <w:rPr>
          <w:rFonts w:ascii="Calibri" w:hAnsi="Calibri"/>
          <w:b/>
          <w:color w:val="auto"/>
          <w:sz w:val="28"/>
          <w:szCs w:val="28"/>
        </w:rPr>
        <w:t>2014</w:t>
      </w:r>
      <w:r>
        <w:rPr>
          <w:rFonts w:hint="eastAsia" w:ascii="Calibri" w:hAnsi="Calibri"/>
          <w:b/>
          <w:color w:val="auto"/>
          <w:sz w:val="28"/>
          <w:szCs w:val="28"/>
        </w:rPr>
        <w:t>〕</w:t>
      </w:r>
      <w:r>
        <w:rPr>
          <w:rFonts w:ascii="Calibri" w:hAnsi="Calibri"/>
          <w:b/>
          <w:color w:val="auto"/>
          <w:sz w:val="28"/>
          <w:szCs w:val="28"/>
        </w:rPr>
        <w:t>526</w:t>
      </w:r>
      <w:r>
        <w:rPr>
          <w:rFonts w:hint="eastAsia" w:ascii="Calibri" w:hAnsi="Calibri"/>
          <w:b/>
          <w:color w:val="auto"/>
          <w:sz w:val="28"/>
          <w:szCs w:val="28"/>
        </w:rPr>
        <w:t>号）</w:t>
      </w:r>
    </w:p>
    <w:p w14:paraId="4F16440C">
      <w:pPr>
        <w:pStyle w:val="16"/>
        <w:rPr>
          <w:color w:val="auto"/>
        </w:rPr>
      </w:pPr>
      <w:r>
        <w:rPr>
          <w:rFonts w:hint="eastAsia" w:ascii="仿宋_GB2312" w:hAnsi="宋体" w:eastAsia="仿宋_GB2312"/>
          <w:b/>
          <w:color w:val="auto"/>
          <w:sz w:val="28"/>
          <w:szCs w:val="28"/>
        </w:rPr>
        <w:t>未列出的其他类别严重失信行为，由招标人（代理机构）根据各类别行业主管部门下发的联合惩戒文件进行判</w:t>
      </w:r>
      <w:r>
        <w:rPr>
          <w:rFonts w:hint="eastAsia" w:ascii="仿宋_GB2312" w:hAnsi="宋体" w:eastAsia="仿宋_GB2312"/>
          <w:b/>
          <w:color w:val="auto"/>
          <w:sz w:val="32"/>
          <w:szCs w:val="32"/>
        </w:rPr>
        <w:t>断。</w:t>
      </w:r>
    </w:p>
    <w:p w14:paraId="2429EF0D">
      <w:pPr>
        <w:numPr>
          <w:ilvl w:val="0"/>
          <w:numId w:val="0"/>
        </w:numPr>
        <w:rPr>
          <w:rFonts w:hint="default" w:ascii="宋体"/>
          <w:color w:val="auto"/>
          <w:sz w:val="24"/>
          <w:highlight w:val="none"/>
          <w:lang w:val="en-US" w:eastAsia="zh-CN"/>
        </w:rPr>
      </w:pPr>
    </w:p>
    <w:sectPr>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5793">
    <w:pPr>
      <w:pStyle w:val="14"/>
      <w:ind w:right="360"/>
      <w:rPr>
        <w:kern w:val="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003F0D8">
                          <w:pPr>
                            <w:pStyle w:val="1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JU0zhAQAAxAMAAA4AAABkcnMvZTJvRG9jLnhtbK1TwY7TMBC9&#10;I/EPlu802QhB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l5xZkTli78/OP7+efv&#10;869v7Hm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r4lTTOEBAADEAwAA&#10;DgAAAAAAAAABACAAAAAiAQAAZHJzL2Uyb0RvYy54bWxQSwUGAAAAAAYABgBZAQAAdQUAAAAA&#10;">
              <v:fill on="f" focussize="0,0"/>
              <v:stroke on="f" weight="1pt"/>
              <v:imagedata o:title=""/>
              <o:lock v:ext="edit" aspectratio="f"/>
              <v:textbox inset="0mm,0mm,0mm,0mm" style="mso-fit-shape-to-text:t;">
                <w:txbxContent>
                  <w:p w14:paraId="1003F0D8">
                    <w:pPr>
                      <w:pStyle w:val="1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1EF1A52"/>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FORVHbhAQAAxAMAAA4AAABkcnMvZTJvRG9jLnhtbK1TwY7TMBC9&#10;I/EPlu80aZGgqpqugGoREgKkhQ9wHaexZHssj9ukfAD8AScu3PmufseOnaQLu5c97CUZe8Zv3nse&#10;r696a9hRBdTgKj6flZwpJ6HWbl/xb1+vXyw5wyhcLQw4VfGTQn61ef5s3fmVWkALplaBEYjDVecr&#10;3sboV0WBslVW4Ay8cpRsIFgRaRn2RR1ER+jWFIuyfFV0EGofQCpE2t0OST4ihscAQtNoqbYgD1a5&#10;OKAGZUQkSdhqj3yT2TaNkvFz06CKzFSclMb8pSYU79K32KzFah+Eb7UcKYjHULinyQrtqOkFaiui&#10;YIegH0BZLQMgNHEmwRaDkOwIqZiX97y5aYVXWQtZjf5iOj4drPx0/BKYriv+kjMnLF34+dfP8++/&#10;5z8/2DzZ03lcUdWNp7rYv4WehmbaR9pMqvsm2PQnPYzyZO7pYq7qI5Pp0HKxXJaUkpSbFoRf3B33&#10;AeN7BZaloOKBbi+bKo4fMQ6lU0nq5uBaG5Nv0DjWEeriNTX4L0XoxlGTpGJgm6LY7/pR2g7qEykL&#10;MIwGPQwKWgjfOetoLCru6BVwZj44cj1N0BSEKdhNgXCSDlY8cjaE72KetEQI/ZtDJL5ZRqIw9B2Z&#10;0eVmI8ZBTNPz7zpX3T2+z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U5FUduEBAADEAwAA&#10;DgAAAAAAAAABACAAAAAiAQAAZHJzL2Uyb0RvYy54bWxQSwUGAAAAAAYABgBZAQAAdQUAAAAA&#10;">
              <v:fill on="f" focussize="0,0"/>
              <v:stroke on="f" weight="1pt"/>
              <v:imagedata o:title=""/>
              <o:lock v:ext="edit" aspectratio="f"/>
              <v:textbox inset="0mm,0mm,0mm,0mm" style="mso-fit-shape-to-text:t;">
                <w:txbxContent>
                  <w:p w14:paraId="41EF1A5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02B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5D51D20">
                          <w:pPr>
                            <w:pStyle w:val="14"/>
                          </w:pPr>
                          <w:r>
                            <w:fldChar w:fldCharType="begin"/>
                          </w:r>
                          <w:r>
                            <w:instrText xml:space="preserve"> PAGE  \* MERGEFORMAT </w:instrText>
                          </w:r>
                          <w:r>
                            <w:fldChar w:fldCharType="separate"/>
                          </w:r>
                          <w:r>
                            <w:t>- 139 -</w:t>
                          </w:r>
                          <w:r>
                            <w:fldChar w:fldCharType="end"/>
                          </w:r>
                        </w:p>
                      </w:txbxContent>
                    </wps:txbx>
                    <wps:bodyPr rot="0"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8XghrhAQAAxAMAAA4AAABkcnMvZTJvRG9jLnhtbK1TS44TMRDd&#10;I3EHy3vSPUGCqJXOCIgGISFAGjiA47bTlmyXVXbSHQ4AN2DFhj3nyjmm3J8MDJtZsOkuu8qv3nsu&#10;r697Z9lRYTTga361KDlTXkJj/L7mXz7fPFtxFpPwjbDgVc1PKvLrzdMn6y5Uagkt2EYhIxAfqy7U&#10;vE0pVEURZauciAsIylNSAzqRaIn7okHREbqzxbIsXxQdYBMQpIqRdrdjkk+I+BhA0NpItQV5cMqn&#10;ERWVFYkkxdaEyDcDW62VTB+1jioxW3NSmoYvNaF4l7/FZi2qPYrQGjlREI+h8ECTE8ZT0wvUViTB&#10;Dmj+gXJGIkTQaSHBFaOQwRFScVU+8Oa2FUENWsjqGC6mx/8HKz8cPyEzDU0CZ144uvDzj+/nn7/P&#10;v76x59meLsSKqm4D1aX+NfS5dNqPtJlV9xpd/pMeRnky93QxV/WJyXxotVytSkpJys0LwinujweM&#10;6a0Cx3JQc6TbG0wVx/cxjaVzSe7m4cZYS/uisp51hLp8SQ3+ShG69dQkqxjZ5ij1u36SsIPmRMoQ&#10;xtGgh0FBC/iVs47GouaeXgFn9p0n1/MEzQHOwW4OhJd0sOaJszF8k4ZJy4RieHVIxHeQkSmMfSdm&#10;dLmDEdMg5un5cz1U3T++z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jxeCGuEBAADEAwAA&#10;DgAAAAAAAAABACAAAAAiAQAAZHJzL2Uyb0RvYy54bWxQSwUGAAAAAAYABgBZAQAAdQUAAAAA&#10;">
              <v:fill on="f" focussize="0,0"/>
              <v:stroke on="f" weight="1pt"/>
              <v:imagedata o:title=""/>
              <o:lock v:ext="edit" aspectratio="f"/>
              <v:textbox inset="0mm,0mm,0mm,0mm" style="mso-fit-shape-to-text:t;">
                <w:txbxContent>
                  <w:p w14:paraId="05D51D20">
                    <w:pPr>
                      <w:pStyle w:val="14"/>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BF76">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6"/>
      <w:numFmt w:val="decimal"/>
      <w:lvlText w:val="（%1）"/>
      <w:lvlJc w:val="left"/>
      <w:pPr>
        <w:tabs>
          <w:tab w:val="left" w:pos="1500"/>
        </w:tabs>
        <w:ind w:left="1500" w:hanging="1080"/>
      </w:pPr>
      <w:rPr>
        <w:rFonts w:hint="eastAsia"/>
      </w:rPr>
    </w:lvl>
    <w:lvl w:ilvl="1" w:tentative="0">
      <w:start w:val="1"/>
      <w:numFmt w:val="decimal"/>
      <w:pStyle w:val="13"/>
      <w:lvlText w:val="（%2）"/>
      <w:lvlJc w:val="left"/>
      <w:pPr>
        <w:tabs>
          <w:tab w:val="left" w:pos="1920"/>
        </w:tabs>
        <w:ind w:left="192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5E3A09E8"/>
    <w:rsid w:val="006402FB"/>
    <w:rsid w:val="006B4F71"/>
    <w:rsid w:val="00854644"/>
    <w:rsid w:val="009D6950"/>
    <w:rsid w:val="00E07DFE"/>
    <w:rsid w:val="01000910"/>
    <w:rsid w:val="02E96621"/>
    <w:rsid w:val="04373394"/>
    <w:rsid w:val="07E325AA"/>
    <w:rsid w:val="089D4136"/>
    <w:rsid w:val="0EF84409"/>
    <w:rsid w:val="0EF8691F"/>
    <w:rsid w:val="0F707EAE"/>
    <w:rsid w:val="10142E7B"/>
    <w:rsid w:val="11AA046C"/>
    <w:rsid w:val="12EB443D"/>
    <w:rsid w:val="13491142"/>
    <w:rsid w:val="137B3D8B"/>
    <w:rsid w:val="16A9257C"/>
    <w:rsid w:val="175F3BED"/>
    <w:rsid w:val="1CFF6D16"/>
    <w:rsid w:val="222245A6"/>
    <w:rsid w:val="22F00AAC"/>
    <w:rsid w:val="26881B2A"/>
    <w:rsid w:val="27AF4163"/>
    <w:rsid w:val="28E219C5"/>
    <w:rsid w:val="293F7A8A"/>
    <w:rsid w:val="2C314230"/>
    <w:rsid w:val="2C67596C"/>
    <w:rsid w:val="2D3379FB"/>
    <w:rsid w:val="2E814125"/>
    <w:rsid w:val="2F59444C"/>
    <w:rsid w:val="2F725125"/>
    <w:rsid w:val="2F7F55C4"/>
    <w:rsid w:val="311F5076"/>
    <w:rsid w:val="33896EE1"/>
    <w:rsid w:val="344621B6"/>
    <w:rsid w:val="38A96204"/>
    <w:rsid w:val="38DA74E2"/>
    <w:rsid w:val="38DD5D05"/>
    <w:rsid w:val="3B1D688D"/>
    <w:rsid w:val="3B9F3746"/>
    <w:rsid w:val="3CDE3DFA"/>
    <w:rsid w:val="3DB63470"/>
    <w:rsid w:val="3DCC64CE"/>
    <w:rsid w:val="3E0C635B"/>
    <w:rsid w:val="3EB13DAC"/>
    <w:rsid w:val="3F6597F3"/>
    <w:rsid w:val="40550324"/>
    <w:rsid w:val="41BB7839"/>
    <w:rsid w:val="41C63A37"/>
    <w:rsid w:val="439879CD"/>
    <w:rsid w:val="481F4F7E"/>
    <w:rsid w:val="48D2515B"/>
    <w:rsid w:val="4931370B"/>
    <w:rsid w:val="49CA4688"/>
    <w:rsid w:val="4AA819D3"/>
    <w:rsid w:val="4B4614E8"/>
    <w:rsid w:val="4C1B0BC7"/>
    <w:rsid w:val="4CBC3C00"/>
    <w:rsid w:val="4CD33F2A"/>
    <w:rsid w:val="4DCF7234"/>
    <w:rsid w:val="4E881E71"/>
    <w:rsid w:val="4E882EF9"/>
    <w:rsid w:val="50DC4A9C"/>
    <w:rsid w:val="50E05F3B"/>
    <w:rsid w:val="51C74E30"/>
    <w:rsid w:val="52B46F5A"/>
    <w:rsid w:val="52F470D5"/>
    <w:rsid w:val="538B4884"/>
    <w:rsid w:val="56ED7364"/>
    <w:rsid w:val="582C38B7"/>
    <w:rsid w:val="59222897"/>
    <w:rsid w:val="5ADF75D8"/>
    <w:rsid w:val="5BCB77E7"/>
    <w:rsid w:val="5C03770A"/>
    <w:rsid w:val="5D467A6D"/>
    <w:rsid w:val="5DDF8E1A"/>
    <w:rsid w:val="5E3A09E8"/>
    <w:rsid w:val="5F95714F"/>
    <w:rsid w:val="607C7302"/>
    <w:rsid w:val="617B03EF"/>
    <w:rsid w:val="63D34EDF"/>
    <w:rsid w:val="641E2BAA"/>
    <w:rsid w:val="695B664F"/>
    <w:rsid w:val="69730E60"/>
    <w:rsid w:val="6A010FA4"/>
    <w:rsid w:val="6C9E1DFA"/>
    <w:rsid w:val="6CD528B1"/>
    <w:rsid w:val="6D5FBFB6"/>
    <w:rsid w:val="6D85749C"/>
    <w:rsid w:val="6E2B4328"/>
    <w:rsid w:val="6F394D3C"/>
    <w:rsid w:val="757351FF"/>
    <w:rsid w:val="760B290B"/>
    <w:rsid w:val="76843035"/>
    <w:rsid w:val="78A90439"/>
    <w:rsid w:val="7B8F7FEA"/>
    <w:rsid w:val="7CA53A11"/>
    <w:rsid w:val="7D136A83"/>
    <w:rsid w:val="7DA43CC8"/>
    <w:rsid w:val="7DCC321F"/>
    <w:rsid w:val="9FFA3DFE"/>
    <w:rsid w:val="DB8F6BA8"/>
    <w:rsid w:val="F3DF4F15"/>
    <w:rsid w:val="F51F5BCB"/>
    <w:rsid w:val="FCFEA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qFormat="1"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qFormat="1" w:unhideWhenUsed="0" w:uiPriority="0" w:semiHidden="0" w:name="Body Text 3"/>
    <w:lsdException w:qFormat="1" w:unhideWhenUsed="0" w:uiPriority="0"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unhideWhenUsed="0" w:uiPriority="99" w:semiHidden="0" w:name="Normal (Web)"/>
    <w:lsdException w:qFormat="1" w:unhideWhenUsed="0"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before="340" w:after="330" w:line="360" w:lineRule="auto"/>
      <w:jc w:val="center"/>
      <w:outlineLvl w:val="0"/>
    </w:pPr>
    <w:rPr>
      <w:b/>
      <w:bCs/>
      <w:kern w:val="44"/>
      <w:sz w:val="24"/>
      <w:szCs w:val="44"/>
    </w:rPr>
  </w:style>
  <w:style w:type="paragraph" w:styleId="3">
    <w:name w:val="heading 2"/>
    <w:basedOn w:val="1"/>
    <w:qFormat/>
    <w:uiPriority w:val="0"/>
    <w:pPr>
      <w:keepNext/>
      <w:keepLines/>
      <w:spacing w:before="260" w:after="260"/>
      <w:jc w:val="left"/>
      <w:outlineLvl w:val="1"/>
    </w:pPr>
    <w:rPr>
      <w:rFonts w:ascii="Arial" w:hAnsi="Arial"/>
      <w:b/>
      <w:bCs/>
      <w:sz w:val="24"/>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ind w:left="2520" w:leftChars="1200"/>
    </w:pPr>
  </w:style>
  <w:style w:type="paragraph" w:styleId="5">
    <w:name w:val="Normal Indent"/>
    <w:basedOn w:val="1"/>
    <w:qFormat/>
    <w:uiPriority w:val="0"/>
    <w:pPr>
      <w:ind w:firstLine="420"/>
    </w:pPr>
    <w:rPr>
      <w:szCs w:val="20"/>
    </w:rPr>
  </w:style>
  <w:style w:type="paragraph" w:styleId="6">
    <w:name w:val="annotation text"/>
    <w:basedOn w:val="1"/>
    <w:qFormat/>
    <w:uiPriority w:val="99"/>
    <w:pPr>
      <w:jc w:val="left"/>
    </w:pPr>
  </w:style>
  <w:style w:type="paragraph" w:styleId="7">
    <w:name w:val="Body Text 3"/>
    <w:basedOn w:val="1"/>
    <w:qFormat/>
    <w:uiPriority w:val="0"/>
    <w:rPr>
      <w:rFonts w:ascii="宋体"/>
      <w:sz w:val="24"/>
      <w:szCs w:val="20"/>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qFormat/>
    <w:uiPriority w:val="0"/>
    <w:pPr>
      <w:spacing w:line="500" w:lineRule="exact"/>
      <w:ind w:firstLine="538"/>
    </w:pPr>
    <w:rPr>
      <w:sz w:val="28"/>
    </w:rPr>
  </w:style>
  <w:style w:type="paragraph" w:styleId="10">
    <w:name w:val="envelope return"/>
    <w:basedOn w:val="1"/>
    <w:next w:val="4"/>
    <w:qFormat/>
    <w:uiPriority w:val="0"/>
    <w:pPr>
      <w:snapToGrid w:val="0"/>
    </w:pPr>
    <w:rPr>
      <w:rFonts w:ascii="Arial" w:hAnsi="Arial"/>
    </w:rPr>
  </w:style>
  <w:style w:type="paragraph" w:styleId="11">
    <w:name w:val="index 4"/>
    <w:basedOn w:val="1"/>
    <w:next w:val="1"/>
    <w:qFormat/>
    <w:uiPriority w:val="99"/>
    <w:pPr>
      <w:ind w:left="600" w:leftChars="600"/>
    </w:pPr>
    <w:rPr>
      <w:rFonts w:ascii="Times New Roman" w:hAnsi="Times New Roman" w:eastAsia="宋体" w:cs="Times New Roman"/>
    </w:rPr>
  </w:style>
  <w:style w:type="paragraph" w:styleId="12">
    <w:name w:val="Plain Text"/>
    <w:basedOn w:val="1"/>
    <w:qFormat/>
    <w:uiPriority w:val="0"/>
    <w:rPr>
      <w:rFonts w:ascii="Courier New" w:hAnsi="Courier New"/>
      <w:szCs w:val="20"/>
    </w:rPr>
  </w:style>
  <w:style w:type="paragraph" w:styleId="13">
    <w:name w:val="Body Text Indent 2"/>
    <w:basedOn w:val="1"/>
    <w:next w:val="1"/>
    <w:qFormat/>
    <w:uiPriority w:val="0"/>
    <w:pPr>
      <w:numPr>
        <w:ilvl w:val="1"/>
        <w:numId w:val="1"/>
      </w:numPr>
      <w:tabs>
        <w:tab w:val="clear" w:pos="1920"/>
      </w:tabs>
      <w:spacing w:after="120" w:line="480" w:lineRule="auto"/>
      <w:ind w:left="420" w:leftChars="200" w:firstLine="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First Indent"/>
    <w:basedOn w:val="8"/>
    <w:unhideWhenUsed/>
    <w:qFormat/>
    <w:uiPriority w:val="99"/>
    <w:pPr>
      <w:ind w:firstLine="420" w:firstLineChars="100"/>
    </w:pPr>
  </w:style>
  <w:style w:type="paragraph" w:styleId="17">
    <w:name w:val="Body Text First Indent 2"/>
    <w:basedOn w:val="9"/>
    <w:next w:val="16"/>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b/>
      <w:bCs/>
    </w:rPr>
  </w:style>
  <w:style w:type="character" w:styleId="22">
    <w:name w:val="page number"/>
    <w:basedOn w:val="20"/>
    <w:qFormat/>
    <w:uiPriority w:val="0"/>
  </w:style>
  <w:style w:type="character" w:styleId="23">
    <w:name w:val="FollowedHyperlink"/>
    <w:basedOn w:val="20"/>
    <w:qFormat/>
    <w:uiPriority w:val="0"/>
    <w:rPr>
      <w:color w:val="800080"/>
      <w:u w:val="none"/>
    </w:rPr>
  </w:style>
  <w:style w:type="character" w:styleId="24">
    <w:name w:val="Emphasis"/>
    <w:basedOn w:val="20"/>
    <w:qFormat/>
    <w:uiPriority w:val="99"/>
    <w:rPr>
      <w:b/>
      <w:bCs/>
    </w:rPr>
  </w:style>
  <w:style w:type="character" w:styleId="25">
    <w:name w:val="HTML Definition"/>
    <w:basedOn w:val="20"/>
    <w:qFormat/>
    <w:uiPriority w:val="0"/>
  </w:style>
  <w:style w:type="character" w:styleId="26">
    <w:name w:val="HTML Typewriter"/>
    <w:basedOn w:val="20"/>
    <w:qFormat/>
    <w:uiPriority w:val="0"/>
    <w:rPr>
      <w:rFonts w:hint="default" w:ascii="monospace" w:hAnsi="monospace" w:eastAsia="monospace" w:cs="monospace"/>
      <w:sz w:val="20"/>
    </w:rPr>
  </w:style>
  <w:style w:type="character" w:styleId="27">
    <w:name w:val="HTML Acronym"/>
    <w:basedOn w:val="20"/>
    <w:qFormat/>
    <w:uiPriority w:val="0"/>
  </w:style>
  <w:style w:type="character" w:styleId="28">
    <w:name w:val="HTML Variable"/>
    <w:basedOn w:val="20"/>
    <w:qFormat/>
    <w:uiPriority w:val="0"/>
  </w:style>
  <w:style w:type="character" w:styleId="29">
    <w:name w:val="Hyperlink"/>
    <w:basedOn w:val="20"/>
    <w:qFormat/>
    <w:uiPriority w:val="0"/>
    <w:rPr>
      <w:rFonts w:ascii="Times New Roman" w:hAnsi="Times New Roman" w:eastAsia="宋体" w:cs="Times New Roman"/>
      <w:color w:val="333333"/>
      <w:u w:val="none"/>
      <w:lang w:eastAsia="en-US"/>
    </w:rPr>
  </w:style>
  <w:style w:type="character" w:styleId="30">
    <w:name w:val="HTML Code"/>
    <w:basedOn w:val="20"/>
    <w:qFormat/>
    <w:uiPriority w:val="0"/>
    <w:rPr>
      <w:rFonts w:ascii="monospace" w:hAnsi="monospace" w:eastAsia="monospace" w:cs="monospace"/>
      <w:sz w:val="20"/>
    </w:rPr>
  </w:style>
  <w:style w:type="character" w:styleId="31">
    <w:name w:val="HTML Cite"/>
    <w:basedOn w:val="20"/>
    <w:qFormat/>
    <w:uiPriority w:val="0"/>
  </w:style>
  <w:style w:type="character" w:styleId="32">
    <w:name w:val="HTML Keyboard"/>
    <w:basedOn w:val="20"/>
    <w:qFormat/>
    <w:uiPriority w:val="0"/>
    <w:rPr>
      <w:rFonts w:hint="default" w:ascii="monospace" w:hAnsi="monospace" w:eastAsia="monospace" w:cs="monospace"/>
      <w:sz w:val="20"/>
    </w:rPr>
  </w:style>
  <w:style w:type="character" w:styleId="33">
    <w:name w:val="HTML Sample"/>
    <w:basedOn w:val="20"/>
    <w:qFormat/>
    <w:uiPriority w:val="0"/>
    <w:rPr>
      <w:rFonts w:hint="default" w:ascii="monospace" w:hAnsi="monospace" w:eastAsia="monospace" w:cs="monospace"/>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节标题"/>
    <w:basedOn w:val="1"/>
    <w:qFormat/>
    <w:uiPriority w:val="0"/>
    <w:pPr>
      <w:widowControl/>
      <w:spacing w:line="289" w:lineRule="atLeast"/>
      <w:jc w:val="center"/>
    </w:pPr>
    <w:rPr>
      <w:color w:val="000000"/>
      <w:kern w:val="0"/>
      <w:sz w:val="28"/>
      <w:szCs w:val="20"/>
      <w:u w:color="000000"/>
    </w:rPr>
  </w:style>
  <w:style w:type="character" w:customStyle="1" w:styleId="36">
    <w:name w:val="layui-this"/>
    <w:basedOn w:val="20"/>
    <w:qFormat/>
    <w:uiPriority w:val="0"/>
    <w:rPr>
      <w:bdr w:val="single" w:color="EEEEEE" w:sz="6" w:space="0"/>
      <w:shd w:val="clear" w:color="auto" w:fill="FFFFFF"/>
    </w:rPr>
  </w:style>
  <w:style w:type="character" w:customStyle="1" w:styleId="37">
    <w:name w:val="first-child"/>
    <w:basedOn w:val="20"/>
    <w:qFormat/>
    <w:uiPriority w:val="0"/>
  </w:style>
  <w:style w:type="paragraph" w:customStyle="1" w:styleId="38">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39">
    <w:name w:val="status"/>
    <w:basedOn w:val="20"/>
    <w:qFormat/>
    <w:uiPriority w:val="0"/>
    <w:rPr>
      <w:color w:val="0776DD"/>
    </w:rPr>
  </w:style>
  <w:style w:type="character" w:customStyle="1" w:styleId="40">
    <w:name w:val="time"/>
    <w:basedOn w:val="20"/>
    <w:qFormat/>
    <w:uiPriority w:val="0"/>
  </w:style>
  <w:style w:type="character" w:customStyle="1" w:styleId="41">
    <w:name w:val="mini-outputtext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45485791-86b1-49b5-95fe-cb6d0fdfb859</errorID>
      <errorWord>,</errorWord>
      <group>L1_Format</group>
      <groupName>格式问题</groupName>
      <ability>L2_HalfPunc</ability>
      <abilityName>全半角检查</abilityName>
      <candidateList>
        <item>，</item>
      </candidateList>
      <explain>文本全半角错误。</explain>
      <paraID>457B71B5</paraID>
      <start>25</start>
      <end>26</end>
      <status>unmodified</status>
      <modifiedWord/>
      <trackRevisions>false</trackRevisions>
    </reviewItem>
    <reviewItem>
      <errorID>471f4ea0-4a30-43c1-863d-61c25b497839</errorID>
      <errorWord>(</errorWord>
      <group>L1_Format</group>
      <groupName>格式问题</groupName>
      <ability>L2_HalfPunc</ability>
      <abilityName>全半角检查</abilityName>
      <candidateList>
        <item>（</item>
      </candidateList>
      <explain>文本全半角错误。</explain>
      <paraID>26C7315F</paraID>
      <start>26</start>
      <end>27</end>
      <status>unmodified</status>
      <modifiedWord/>
      <trackRevisions>false</trackRevisions>
    </reviewItem>
    <reviewItem>
      <errorID>ffd92d96-3ad6-4a02-89f8-43d8e38ee35d</errorID>
      <errorWord>)</errorWord>
      <group>L1_Format</group>
      <groupName>格式问题</groupName>
      <ability>L2_HalfPunc</ability>
      <abilityName>全半角检查</abilityName>
      <candidateList>
        <item>）</item>
      </candidateList>
      <explain>文本全半角错误。</explain>
      <paraID>26C7315F</paraID>
      <start>62</start>
      <end>63</end>
      <status>unmodified</status>
      <modifiedWord/>
      <trackRevisions>false</trackRevisions>
    </reviewItem>
    <reviewItem>
      <errorID>6416e640-b782-4c43-ab14-057cf21c9f9a</errorID>
      <errorWord>（</errorWord>
      <group>L1_Format</group>
      <groupName>格式问题</groupName>
      <ability>L2_HalfPunc</ability>
      <abilityName>全半角检查</abilityName>
      <candidateList>
        <item>(</item>
      </candidateList>
      <explain>文本全半角错误。</explain>
      <paraID>1901DD38</paraID>
      <start>0</start>
      <end>1</end>
      <status>unmodified</status>
      <modifiedWord/>
      <trackRevisions>false</trackRevisions>
    </reviewItem>
    <reviewItem>
      <errorID>a3668aa4-c9b0-42a9-a7ad-a851668b87fd</errorID>
      <errorWord>（</errorWord>
      <group>L1_Format</group>
      <groupName>格式问题</groupName>
      <ability>L2_HalfPunc</ability>
      <abilityName>全半角检查</abilityName>
      <candidateList>
        <item>(</item>
      </candidateList>
      <explain>文本全半角错误。</explain>
      <paraID>7F3B3420</paraID>
      <start>0</start>
      <end>1</end>
      <status>unmodified</status>
      <modifiedWord/>
      <trackRevisions>false</trackRevisions>
    </reviewItem>
    <reviewItem>
      <errorID>edd2de33-eb84-43a7-a877-816caf9e2ae8</errorID>
      <errorWord>位</errorWord>
      <group>L1_Word</group>
      <groupName>字词问题</groupName>
      <ability>L2_Typo</ability>
      <abilityName>字词错误</abilityName>
      <candidateList>
        <item>位公</item>
      </candidateList>
      <explain/>
      <paraID>72577F10</paraID>
      <start>39</start>
      <end>40</end>
      <status>unmodified</status>
      <modifiedWord/>
      <trackRevisions>false</trackRevisions>
    </reviewItem>
    <reviewItem>
      <errorID>49034fcd-51de-4f36-b5e4-419f18e01c50</errorID>
      <errorWord>所有的</errorWord>
      <group>L1_Word</group>
      <groupName>字词问题</groupName>
      <ability>L2_Typo</ability>
      <abilityName>字词错误</abilityName>
      <candidateList>
        <item>所有</item>
      </candidateList>
      <explain/>
      <paraID> 3B80266</paraID>
      <start>51</start>
      <end>54</end>
      <status>unmodified</status>
      <modifiedWord/>
      <trackRevisions>false</trackRevisions>
    </reviewItem>
    <reviewItem>
      <errorID>b5b85c9d-03a4-4808-9d89-6538d2be72ab</errorID>
      <errorWord>不在</errorWord>
      <group>L1_Word</group>
      <groupName>字词问题</groupName>
      <ability>L2_Typo</ability>
      <abilityName>字词错误</abilityName>
      <candidateList>
        <item>不再</item>
      </candidateList>
      <explain/>
      <paraID> 3B80266</paraID>
      <start>61</start>
      <end>63</end>
      <status>unmodified</status>
      <modifiedWord/>
      <trackRevisions>false</trackRevisions>
    </reviewItem>
    <reviewItem>
      <errorID>79ae755b-9b03-4679-9ae4-dc7a3988bfef</errorID>
      <errorWord>(</errorWord>
      <group>L1_Format</group>
      <groupName>格式问题</groupName>
      <ability>L2_HalfPunc</ability>
      <abilityName>全半角检查</abilityName>
      <candidateList>
        <item>（</item>
      </candidateList>
      <explain>文本全半角错误。</explain>
      <paraID>43170F2C</paraID>
      <start>20</start>
      <end>21</end>
      <status>unmodified</status>
      <modifiedWord/>
      <trackRevisions>false</trackRevisions>
    </reviewItem>
    <reviewItem>
      <errorID>3ba90a2e-4c1a-471b-bcba-392eba8dfa8c</errorID>
      <errorWord>)</errorWord>
      <group>L1_Format</group>
      <groupName>格式问题</groupName>
      <ability>L2_HalfPunc</ability>
      <abilityName>全半角检查</abilityName>
      <candidateList>
        <item>）</item>
      </candidateList>
      <explain>文本全半角错误。</explain>
      <paraID>43170F2C</paraID>
      <start>41</start>
      <end>42</end>
      <status>unmodified</status>
      <modifiedWord/>
      <trackRevisions>false</trackRevisions>
    </reviewItem>
    <reviewItem>
      <errorID>47e77e3c-94cf-4ef3-b834-2139308c447f</errorID>
      <errorWord>法律、法规</errorWord>
      <group>L1_Word</group>
      <groupName>字词问题</groupName>
      <ability>L2_Typo</ability>
      <abilityName>字词错误</abilityName>
      <candidateList>
        <item>法律法规</item>
      </candidateList>
      <explain/>
      <paraID>6733ABE2</paraID>
      <start>1</start>
      <end>6</end>
      <status>unmodified</status>
      <modifiedWord/>
      <trackRevisions>false</trackRevisions>
    </reviewItem>
    <reviewItem>
      <errorID>f7c1fe66-bfda-472e-95cf-973cd72b36be</errorID>
      <errorWord>(</errorWord>
      <group>L1_Format</group>
      <groupName>格式问题</groupName>
      <ability>L2_HalfPunc</ability>
      <abilityName>全半角检查</abilityName>
      <candidateList>
        <item>（</item>
      </candidateList>
      <explain>文本全半角错误。</explain>
      <paraID>5FAAAF9E</paraID>
      <start>20</start>
      <end>21</end>
      <status>unmodified</status>
      <modifiedWord/>
      <trackRevisions>false</trackRevisions>
    </reviewItem>
    <reviewItem>
      <errorID>02ff3cd6-9dc0-43b4-b55c-966278d309de</errorID>
      <errorWord>)</errorWord>
      <group>L1_Format</group>
      <groupName>格式问题</groupName>
      <ability>L2_HalfPunc</ability>
      <abilityName>全半角检查</abilityName>
      <candidateList>
        <item>）</item>
      </candidateList>
      <explain>文本全半角错误。</explain>
      <paraID>5FAAAF9E</paraID>
      <start>41</start>
      <end>42</end>
      <status>unmodified</status>
      <modifiedWord/>
      <trackRevisions>false</trackRevisions>
    </reviewItem>
    <reviewItem>
      <errorID>76446d2e-4e27-4266-b401-18c166280cfa</errorID>
      <errorWord>法律、法规</errorWord>
      <group>L1_Word</group>
      <groupName>字词问题</groupName>
      <ability>L2_Typo</ability>
      <abilityName>字词错误</abilityName>
      <candidateList>
        <item>法律法规</item>
      </candidateList>
      <explain/>
      <paraID>3169D088</paraID>
      <start>3</start>
      <end>8</end>
      <status>unmodified</status>
      <modifiedWord/>
      <trackRevisions>false</trackRevisions>
    </reviewItem>
    <reviewItem>
      <errorID>1d22654a-4032-4e8c-b3a6-e6ea8d18dfbd</errorID>
      <errorWord>万</errorWord>
      <group>L1_Word</group>
      <groupName>字词问题</groupName>
      <ability>L2_Typo</ability>
      <abilityName>字词错误</abilityName>
      <candidateList>
        <item>万元</item>
      </candidateList>
      <explain/>
      <paraID>69FC1FD1</paraID>
      <start>86</start>
      <end>87</end>
      <status>unmodified</status>
      <modifiedWord/>
      <trackRevisions>false</trackRevisions>
    </reviewItem>
    <reviewItem>
      <errorID>5b2ac981-4caa-49a7-9ce5-dab1bd4cc809</errorID>
      <errorWord>(</errorWord>
      <group>L1_Format</group>
      <groupName>格式问题</groupName>
      <ability>L2_HalfPunc</ability>
      <abilityName>全半角检查</abilityName>
      <candidateList>
        <item>（</item>
      </candidateList>
      <explain>文本全半角错误。</explain>
      <paraID>2894C0A9</paraID>
      <start>31</start>
      <end>32</end>
      <status>unmodified</status>
      <modifiedWord/>
      <trackRevisions>false</trackRevisions>
    </reviewItem>
    <reviewItem>
      <errorID>43e0456d-1523-4c4a-ad30-488db9a6856b</errorID>
      <errorWord>)</errorWord>
      <group>L1_Format</group>
      <groupName>格式问题</groupName>
      <ability>L2_HalfPunc</ability>
      <abilityName>全半角检查</abilityName>
      <candidateList>
        <item>）</item>
      </candidateList>
      <explain>文本全半角错误。</explain>
      <paraID>2894C0A9</paraID>
      <start>37</start>
      <end>38</end>
      <status>unmodified</status>
      <modifiedWord/>
      <trackRevisions>false</trackRevisions>
    </reviewItem>
    <reviewItem>
      <errorID>faf605dd-7c53-4100-9310-dd4c3dcd8973</errorID>
      <errorWord>(</errorWord>
      <group>L1_Format</group>
      <groupName>格式问题</groupName>
      <ability>L2_HalfPunc</ability>
      <abilityName>全半角检查</abilityName>
      <candidateList>
        <item>（</item>
      </candidateList>
      <explain>文本全半角错误。</explain>
      <paraID>2894C0A9</paraID>
      <start>47</start>
      <end>48</end>
      <status>unmodified</status>
      <modifiedWord/>
      <trackRevisions>false</trackRevisions>
    </reviewItem>
    <reviewItem>
      <errorID>7a0b5162-0882-4cbc-8ec4-a642c8cdc1d7</errorID>
      <errorWord>)</errorWord>
      <group>L1_Format</group>
      <groupName>格式问题</groupName>
      <ability>L2_HalfPunc</ability>
      <abilityName>全半角检查</abilityName>
      <candidateList>
        <item>）</item>
      </candidateList>
      <explain>文本全半角错误。</explain>
      <paraID>2894C0A9</paraID>
      <start>57</start>
      <end>58</end>
      <status>unmodified</status>
      <modifiedWord/>
      <trackRevisions>false</trackRevisions>
    </reviewItem>
    <reviewItem>
      <errorID>62be39f3-ff4f-4b7c-82e2-7e23ef00e97f</errorID>
      <errorWord>(</errorWord>
      <group>L1_Format</group>
      <groupName>格式问题</groupName>
      <ability>L2_HalfPunc</ability>
      <abilityName>全半角检查</abilityName>
      <candidateList>
        <item>（</item>
      </candidateList>
      <explain>文本全半角错误。</explain>
      <paraID>54D5B464</paraID>
      <start>20</start>
      <end>21</end>
      <status>unmodified</status>
      <modifiedWord/>
      <trackRevisions>false</trackRevisions>
    </reviewItem>
    <reviewItem>
      <errorID>3fe35cd4-63e5-49f8-a848-0d9ffe093b7a</errorID>
      <errorWord>)</errorWord>
      <group>L1_Format</group>
      <groupName>格式问题</groupName>
      <ability>L2_HalfPunc</ability>
      <abilityName>全半角检查</abilityName>
      <candidateList>
        <item>）</item>
      </candidateList>
      <explain>文本全半角错误。</explain>
      <paraID>54D5B464</paraID>
      <start>41</start>
      <end>42</end>
      <status>unmodified</status>
      <modifiedWord/>
      <trackRevisions>false</trackRevisions>
    </reviewItem>
    <reviewItem>
      <errorID>e43faec7-6923-492f-8b28-62c8ac8af016</errorID>
      <errorWord>:</errorWord>
      <group>L1_Format</group>
      <groupName>格式问题</groupName>
      <ability>L2_HalfPunc</ability>
      <abilityName>全半角检查</abilityName>
      <candidateList>
        <item>：</item>
      </candidateList>
      <explain>文本全半角错误。</explain>
      <paraID>5B3F91FF</paraID>
      <start>1</start>
      <end>2</end>
      <status>unmodified</status>
      <modifiedWord/>
      <trackRevisions>false</trackRevisions>
    </reviewItem>
    <reviewItem>
      <errorID>0d6ae994-274b-40c0-874a-223e23b789c1</errorID>
      <errorWord>(</errorWord>
      <group>L1_Format</group>
      <groupName>格式问题</groupName>
      <ability>L2_HalfPunc</ability>
      <abilityName>全半角检查</abilityName>
      <candidateList>
        <item>（</item>
      </candidateList>
      <explain>文本全半角错误。</explain>
      <paraID>101F014D</paraID>
      <start>28</start>
      <end>29</end>
      <status>unmodified</status>
      <modifiedWord/>
      <trackRevisions>false</trackRevisions>
    </reviewItem>
    <reviewItem>
      <errorID>967b3c55-d649-4b5e-887d-056c3d48bc97</errorID>
      <errorWord>)</errorWord>
      <group>L1_Format</group>
      <groupName>格式问题</groupName>
      <ability>L2_HalfPunc</ability>
      <abilityName>全半角检查</abilityName>
      <candidateList>
        <item>）</item>
      </candidateList>
      <explain>文本全半角错误。</explain>
      <paraID>101F014D</paraID>
      <start>34</start>
      <end>35</end>
      <status>unmodified</status>
      <modifiedWord/>
      <trackRevisions>false</trackRevisions>
    </reviewItem>
    <reviewItem>
      <errorID>77e4f78d-cb9d-466c-91ad-2c653e438f73</errorID>
      <errorWord>(</errorWord>
      <group>L1_Format</group>
      <groupName>格式问题</groupName>
      <ability>L2_HalfPunc</ability>
      <abilityName>全半角检查</abilityName>
      <candidateList>
        <item>（</item>
      </candidateList>
      <explain>文本全半角错误。</explain>
      <paraID>7E7D6FDF</paraID>
      <start>6</start>
      <end>7</end>
      <status>unmodified</status>
      <modifiedWord/>
      <trackRevisions>false</trackRevisions>
    </reviewItem>
    <reviewItem>
      <errorID>a2dcb239-0ad6-4f39-b770-846952ee58ad</errorID>
      <errorWord>)</errorWord>
      <group>L1_Format</group>
      <groupName>格式问题</groupName>
      <ability>L2_HalfPunc</ability>
      <abilityName>全半角检查</abilityName>
      <candidateList>
        <item>）</item>
      </candidateList>
      <explain>文本全半角错误。</explain>
      <paraID>7E7D6FDF</paraID>
      <start>9</start>
      <end>10</end>
      <status>unmodified</status>
      <modifiedWord/>
      <trackRevisions>false</trackRevisions>
    </reviewItem>
    <reviewItem>
      <errorID>4ab9fbb6-28da-4d54-b6dd-ddf1a342dead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21F63CD1</paraID>
      <start>0</start>
      <end>2</end>
      <status>unmodified</status>
      <modifiedWord/>
      <trackRevisions>false</trackRevisions>
    </reviewItem>
    <reviewItem>
      <errorID>7b00adb4-d3d5-41fa-a78b-90cc560cb65e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5CA5AD1F</paraID>
      <start>0</start>
      <end>2</end>
      <status>unmodified</status>
      <modifiedWord/>
      <trackRevisions>false</trackRevisions>
    </reviewItem>
    <reviewItem>
      <errorID>7758d2ba-5d00-4321-bfc3-362c9b4ea73c</errorID>
      <errorWord>(</errorWord>
      <group>L1_Format</group>
      <groupName>格式问题</groupName>
      <ability>L2_HalfPunc</ability>
      <abilityName>全半角检查</abilityName>
      <candidateList>
        <item>（</item>
      </candidateList>
      <explain>文本全半角错误。</explain>
      <paraID>2AEB68AF</paraID>
      <start>91</start>
      <end>92</end>
      <status>unmodified</status>
      <modifiedWord/>
      <trackRevisions>false</trackRevisions>
    </reviewItem>
    <reviewItem>
      <errorID>d919e273-8c8d-40ca-b526-59e4c4bb8f5d</errorID>
      <errorWord>，</errorWord>
      <group>L1_Word</group>
      <groupName>字词问题</groupName>
      <ability>L2_Typo</ability>
      <abilityName>字词错误</abilityName>
      <candidateList>
        <item>，具</item>
      </candidateList>
      <explain/>
      <paraID>64116E9E</paraID>
      <start>91</start>
      <end>92</end>
      <status>unmodified</status>
      <modifiedWord/>
      <trackRevisions>false</trackRevisions>
    </reviewItem>
    <reviewItem>
      <errorID>0c684c5e-6ba4-4c63-a3ed-18e76b24144d</errorID>
      <errorWord>(</errorWord>
      <group>L1_Format</group>
      <groupName>格式问题</groupName>
      <ability>L2_HalfPunc</ability>
      <abilityName>全半角检查</abilityName>
      <candidateList>
        <item>（</item>
      </candidateList>
      <explain>文本全半角错误。</explain>
      <paraID>50843CCE</paraID>
      <start>150</start>
      <end>151</end>
      <status>unmodified</status>
      <modifiedWord/>
      <trackRevisions>false</trackRevisions>
    </reviewItem>
    <reviewItem>
      <errorID>be6537b5-ee84-4f43-a5af-63ab1704970f</errorID>
      <errorWord>)</errorWord>
      <group>L1_Format</group>
      <groupName>格式问题</groupName>
      <ability>L2_HalfPunc</ability>
      <abilityName>全半角检查</abilityName>
      <candidateList>
        <item>）</item>
      </candidateList>
      <explain>文本全半角错误。</explain>
      <paraID>50843CCE</paraID>
      <start>186</start>
      <end>187</end>
      <status>unmodified</status>
      <modifiedWord/>
      <trackRevisions>false</trackRevisions>
    </reviewItem>
    <reviewItem>
      <errorID>a088227b-d026-467c-8b90-84f31f4701e2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56A555F3</paraID>
      <start>0</start>
      <end>2</end>
      <status>unmodified</status>
      <modifiedWord/>
      <trackRevisions>false</trackRevisions>
    </reviewItem>
    <reviewItem>
      <errorID>f0d44121-f9c9-4f1f-8bb4-ff44cbf5fb1c</errorID>
      <errorWord>(</errorWord>
      <group>L1_Format</group>
      <groupName>格式问题</groupName>
      <ability>L2_HalfPunc</ability>
      <abilityName>全半角检查</abilityName>
      <candidateList>
        <item>（</item>
      </candidateList>
      <explain>文本全半角错误。</explain>
      <paraID>56A555F3</paraID>
      <start>51</start>
      <end>52</end>
      <status>unmodified</status>
      <modifiedWord/>
      <trackRevisions>false</trackRevisions>
    </reviewItem>
    <reviewItem>
      <errorID>a293303b-7cd1-4902-9dcf-e619a2f07c92</errorID>
      <errorWord>)</errorWord>
      <group>L1_Format</group>
      <groupName>格式问题</groupName>
      <ability>L2_HalfPunc</ability>
      <abilityName>全半角检查</abilityName>
      <candidateList>
        <item>）</item>
      </candidateList>
      <explain>文本全半角错误。</explain>
      <paraID>56A555F3</paraID>
      <start>55</start>
      <end>56</end>
      <status>unmodified</status>
      <modifiedWord/>
      <trackRevisions>false</trackRevisions>
    </reviewItem>
    <reviewItem>
      <errorID>b70dfcac-2dfe-4bed-8834-de68229c5d2c</errorID>
      <errorWord>;</errorWord>
      <group>L1_Format</group>
      <groupName>格式问题</groupName>
      <ability>L2_HalfPunc</ability>
      <abilityName>全半角检查</abilityName>
      <candidateList>
        <item>；</item>
      </candidateList>
      <explain>文本全半角错误。</explain>
      <paraID>7633E232</paraID>
      <start>13</start>
      <end>14</end>
      <status>unmodified</status>
      <modifiedWord/>
      <trackRevisions>false</trackRevisions>
    </reviewItem>
    <reviewItem>
      <errorID>20f7d51b-cafb-436e-83f3-6f943151d0a1</errorID>
      <errorWord>(</errorWord>
      <group>L1_Format</group>
      <groupName>格式问题</groupName>
      <ability>L2_HalfPunc</ability>
      <abilityName>全半角检查</abilityName>
      <candidateList>
        <item>（</item>
      </candidateList>
      <explain>文本全半角错误。</explain>
      <paraID>2416808F</paraID>
      <start>26</start>
      <end>27</end>
      <status>unmodified</status>
      <modifiedWord/>
      <trackRevisions>false</trackRevisions>
    </reviewItem>
    <reviewItem>
      <errorID>e9338394-2ab2-4613-9056-7f55dc3e7325</errorID>
      <errorWord>)</errorWord>
      <group>L1_Format</group>
      <groupName>格式问题</groupName>
      <ability>L2_HalfPunc</ability>
      <abilityName>全半角检查</abilityName>
      <candidateList>
        <item>）</item>
      </candidateList>
      <explain>文本全半角错误。</explain>
      <paraID>2416808F</paraID>
      <start>42</start>
      <end>43</end>
      <status>unmodified</status>
      <modifiedWord/>
      <trackRevisions>false</trackRevisions>
    </reviewItem>
    <reviewItem>
      <errorID>00affdbb-4314-48df-866b-286f4d70ff34</errorID>
      <errorWord>、</errorWord>
      <group>L1_Word</group>
      <groupName>字词问题</groupName>
      <ability>L2_Typo</ability>
      <abilityName>字词错误</abilityName>
      <candidateList>
        <item>、在</item>
      </candidateList>
      <explain/>
      <paraID>61AD0BA8</paraID>
      <start>1</start>
      <end>2</end>
      <status>unmodified</status>
      <modifiedWord/>
      <trackRevisions>false</trackRevisions>
    </reviewItem>
    <reviewItem>
      <errorID>3794045b-716f-4fe5-ad87-d84f6f0ce4e4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35D52221</paraID>
      <start>0</start>
      <end>2</end>
      <status>unmodified</status>
      <modifiedWord/>
      <trackRevisions>false</trackRevisions>
    </reviewItem>
    <reviewItem>
      <errorID>53ddedcd-4ad2-4ca4-83fa-1852984661fb</errorID>
      <errorWord>(</errorWord>
      <group>L1_Format</group>
      <groupName>格式问题</groupName>
      <ability>L2_HalfPunc</ability>
      <abilityName>全半角检查</abilityName>
      <candidateList>
        <item>（</item>
      </candidateList>
      <explain>文本全半角错误。</explain>
      <paraID>35D52221</paraID>
      <start>18</start>
      <end>19</end>
      <status>unmodified</status>
      <modifiedWord/>
      <trackRevisions>false</trackRevisions>
    </reviewItem>
    <reviewItem>
      <errorID>1d58c3f6-ab35-4d3e-84f9-564d34b6e9a9</errorID>
      <errorWord>)</errorWord>
      <group>L1_Format</group>
      <groupName>格式问题</groupName>
      <ability>L2_HalfPunc</ability>
      <abilityName>全半角检查</abilityName>
      <candidateList>
        <item>）</item>
      </candidateList>
      <explain>文本全半角错误。</explain>
      <paraID>35D52221</paraID>
      <start>22</start>
      <end>23</end>
      <status>unmodified</status>
      <modifiedWord/>
      <trackRevisions>false</trackRevisions>
    </reviewItem>
    <reviewItem>
      <errorID>69b5049c-04c4-44f7-9bfd-efd3ae27b678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283470D4</paraID>
      <start>0</start>
      <end>2</end>
      <status>unmodified</status>
      <modifiedWord/>
      <trackRevisions>false</trackRevisions>
    </reviewItem>
    <reviewItem>
      <errorID>8826731b-527b-45ad-a5f0-4423c9e3d360</errorID>
      <errorWord>;</errorWord>
      <group>L1_Format</group>
      <groupName>格式问题</groupName>
      <ability>L2_HalfPunc</ability>
      <abilityName>全半角检查</abilityName>
      <candidateList>
        <item>；</item>
      </candidateList>
      <explain>文本全半角错误。</explain>
      <paraID>1B235C72</paraID>
      <start>13</start>
      <end>14</end>
      <status>unmodified</status>
      <modifiedWord/>
      <trackRevisions>false</trackRevisions>
    </reviewItem>
    <reviewItem>
      <errorID>1549eb93-a7ec-4f3c-acd8-67c62f7449ff</errorID>
      <errorWord>(</errorWord>
      <group>L1_Format</group>
      <groupName>格式问题</groupName>
      <ability>L2_HalfPunc</ability>
      <abilityName>全半角检查</abilityName>
      <candidateList>
        <item>（</item>
      </candidateList>
      <explain>文本全半角错误。</explain>
      <paraID>1AB0F926</paraID>
      <start>26</start>
      <end>27</end>
      <status>unmodified</status>
      <modifiedWord/>
      <trackRevisions>false</trackRevisions>
    </reviewItem>
    <reviewItem>
      <errorID>adc6dac1-1645-482a-85b7-0fc1b3a14df9</errorID>
      <errorWord>)</errorWord>
      <group>L1_Format</group>
      <groupName>格式问题</groupName>
      <ability>L2_HalfPunc</ability>
      <abilityName>全半角检查</abilityName>
      <candidateList>
        <item>）</item>
      </candidateList>
      <explain>文本全半角错误。</explain>
      <paraID>1AB0F926</paraID>
      <start>42</start>
      <end>43</end>
      <status>unmodified</status>
      <modifiedWord/>
      <trackRevisions>false</trackRevisions>
    </reviewItem>
    <reviewItem>
      <errorID>bb91ee49-f110-47e3-bc37-8189c7c2980c</errorID>
      <errorWord>、</errorWord>
      <group>L1_Word</group>
      <groupName>字词问题</groupName>
      <ability>L2_Typo</ability>
      <abilityName>字词错误</abilityName>
      <candidateList>
        <item>、在</item>
      </candidateList>
      <explain/>
      <paraID>7240A63B</paraID>
      <start>1</start>
      <end>2</end>
      <status>unmodified</status>
      <modifiedWord/>
      <trackRevisions>false</trackRevisions>
    </reviewItem>
    <reviewItem>
      <errorID>23ef731a-a389-4208-9322-ae01580652aa</errorID>
      <errorWord>、</errorWord>
      <group>L1_Word</group>
      <groupName>字词问题</groupName>
      <ability>L2_Typo</ability>
      <abilityName>字词错误</abilityName>
      <candidateList>
        <item>、在</item>
      </candidateList>
      <explain/>
      <paraID>6C3FC3F7</paraID>
      <start>1</start>
      <end>2</end>
      <status>unmodified</status>
      <modifiedWord/>
      <trackRevisions>false</trackRevisions>
    </reviewItem>
    <reviewItem>
      <errorID>770c43b6-c864-4e80-aa21-d047dd2c8344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55A59D15</paraID>
      <start>0</start>
      <end>2</end>
      <status>unmodified</status>
      <modifiedWord/>
      <trackRevisions>false</trackRevisions>
    </reviewItem>
    <reviewItem>
      <errorID>1e287a45-87e4-4a06-b709-80287ea04286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427234AF</paraID>
      <start>0</start>
      <end>2</end>
      <status>unmodified</status>
      <modifiedWord/>
      <trackRevisions>false</trackRevisions>
    </reviewItem>
    <reviewItem>
      <errorID>fd68bc2d-722b-47fc-9db8-0d91c154d1e8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32D09D0B</paraID>
      <start>0</start>
      <end>2</end>
      <status>unmodified</status>
      <modifiedWord/>
      <trackRevisions>false</trackRevisions>
    </reviewItem>
    <reviewItem>
      <errorID>47031094-8888-487f-af9b-169ddc1af11a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46EA5ECE</paraID>
      <start>0</start>
      <end>2</end>
      <status>unmodified</status>
      <modifiedWord/>
      <trackRevisions>false</trackRevisions>
    </reviewItem>
    <reviewItem>
      <errorID>99b6fa2e-bbbc-48cc-a9b5-83dbf3d9e330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E9CB3C0</paraID>
      <start>0</start>
      <end>2</end>
      <status>unmodified</status>
      <modifiedWord/>
      <trackRevisions>false</trackRevisions>
    </reviewItem>
    <reviewItem>
      <errorID>c48a9a40-7d4c-4640-bc32-a77c000c473d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142B8329</paraID>
      <start>0</start>
      <end>2</end>
      <status>unmodified</status>
      <modifiedWord/>
      <trackRevisions>false</trackRevisions>
    </reviewItem>
    <reviewItem>
      <errorID>c0f2f835-9440-4878-a5c0-2aa76b02bece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5EC537F0</paraID>
      <start>0</start>
      <end>2</end>
      <status>unmodified</status>
      <modifiedWord/>
      <trackRevisions>false</trackRevisions>
    </reviewItem>
    <reviewItem>
      <errorID>7f1242fd-8df9-423a-b8bd-b0412f9095ec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7DC3D2DD</paraID>
      <start>0</start>
      <end>2</end>
      <status>unmodified</status>
      <modifiedWord/>
      <trackRevisions>false</trackRevisions>
    </reviewItem>
    <reviewItem>
      <errorID>d821ef45-0856-4301-a825-c818dc94c209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4B104495</paraID>
      <start>0</start>
      <end>2</end>
      <status>unmodified</status>
      <modifiedWord/>
      <trackRevisions>false</trackRevisions>
    </reviewItem>
    <reviewItem>
      <errorID>ac6da5c2-c241-4049-b5aa-07f1ef6992a7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67BF6ACB</paraID>
      <start>0</start>
      <end>2</end>
      <status>unmodified</status>
      <modifiedWord/>
      <trackRevisions>false</trackRevisions>
    </reviewItem>
    <reviewItem>
      <errorID>90363766-c0c7-498f-98fd-094f4385e803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127AEF48</paraID>
      <start>0</start>
      <end>2</end>
      <status>unmodified</status>
      <modifiedWord/>
      <trackRevisions>false</trackRevisions>
    </reviewItem>
    <reviewItem>
      <errorID>3ed2cc9f-3afe-42e2-81eb-7c20921bf78c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76EE5FA6</paraID>
      <start>0</start>
      <end>2</end>
      <status>unmodified</status>
      <modifiedWord/>
      <trackRevisions>false</trackRevisions>
    </reviewItem>
    <reviewItem>
      <errorID>9617782d-72ff-4875-88c1-bf73591650e9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55F8116C</paraID>
      <start>0</start>
      <end>2</end>
      <status>unmodified</status>
      <modifiedWord/>
      <trackRevisions>false</trackRevisions>
    </reviewItem>
    <reviewItem>
      <errorID>903435ec-778a-4323-b4ff-e8e330a67ece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67E6D6A8</paraID>
      <start>0</start>
      <end>2</end>
      <status>unmodified</status>
      <modifiedWord/>
      <trackRevisions>false</trackRevisions>
    </reviewItem>
    <reviewItem>
      <errorID>644154d4-7bae-4c91-b774-b0e2a8e302cf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50229844</paraID>
      <start>0</start>
      <end>2</end>
      <status>unmodified</status>
      <modifiedWord/>
      <trackRevisions>false</trackRevisions>
    </reviewItem>
    <reviewItem>
      <errorID>9c345a74-ae0a-4aea-bbfd-a4f9e3eed500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380ABD92</paraID>
      <start>0</start>
      <end>2</end>
      <status>unmodified</status>
      <modifiedWord/>
      <trackRevisions>false</trackRevisions>
    </reviewItem>
    <reviewItem>
      <errorID>735a28b1-d141-4b59-9769-1f03e063df9f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177A84A1</paraID>
      <start>39</start>
      <end>42</end>
      <status>unmodified</status>
      <modifiedWord/>
      <trackRevisions>false</trackRevisions>
    </reviewItem>
    <reviewItem>
      <errorID>96c6afab-885e-45ca-9840-b8dc309a07bd</errorID>
      <errorWord>,</errorWord>
      <group>L1_Format</group>
      <groupName>格式问题</groupName>
      <ability>L2_HalfPunc</ability>
      <abilityName>全半角检查</abilityName>
      <candidateList>
        <item>，</item>
      </candidateList>
      <explain>文本全半角错误。</explain>
      <paraID>11F9611B</paraID>
      <start>24</start>
      <end>25</end>
      <status>unmodified</status>
      <modifiedWord/>
      <trackRevisions>false</trackRevisions>
    </reviewItem>
    <reviewItem>
      <errorID>a9748031-e8bf-41c3-87d0-375c27d0f0fd</errorID>
      <errorWord>《政府采购法》</errorWord>
      <group>L1_Word</group>
      <groupName>字词问题</groupName>
      <ability>L2_Typo</ability>
      <abilityName>字词错误</abilityName>
      <candidateList>
        <item>《中华人民共和国政府采购法》</item>
      </candidateList>
      <explain/>
      <paraID>1F7B3296</paraID>
      <start>157</start>
      <end>164</end>
      <status>unmodified</status>
      <modifiedWord/>
      <trackRevisions>false</trackRevisions>
    </reviewItem>
    <reviewItem>
      <errorID>90e789b1-71ae-4d98-87f8-fd4766ce9a09</errorID>
      <errorWord>第78条</errorWord>
      <group>L1_Knowledge</group>
      <groupName>知识性问题</groupName>
      <ability>L2_Knowledge</ability>
      <abilityName>其他知识</abilityName>
      <candidateList>
        <item>第七十八条</item>
      </candidateList>
      <explain/>
      <paraID>1F7B3296</paraID>
      <start>164</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642d0-6d04-4f7c-a106-a08dee21dbac}">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11024</Words>
  <Characters>12306</Characters>
  <Lines>104</Lines>
  <Paragraphs>29</Paragraphs>
  <TotalTime>19</TotalTime>
  <ScaleCrop>false</ScaleCrop>
  <LinksUpToDate>false</LinksUpToDate>
  <CharactersWithSpaces>13160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2023-08-29T23:56:00Z</dcterms:created>
  <dc:creator>ZHOU</dc:creator>
  <cp:lastModifiedBy>韦韦</cp:lastModifiedBy>
  <cp:lastPrinted>2026-03-24T05:14:00Z</cp:lastPrinted>
  <dcterms:modified xsi:type="dcterms:W3CDTF">2026-03-30T09:55:27Z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0E408B9C44044D1FAD0D875A833C93CD_13</vt:lpwstr>
  </property>
  <property fmtid="{D5CDD505-2E9C-101B-9397-08002B2CF9AE}" pid="4" name="KSOTemplateDocerSaveRecord">
    <vt:lpwstr>eyJoZGlkIjoiZmQ5MGI3YTdkMjVkZTZjM2ZjZTQ5YjMxYTJjZjRlOWEiLCJ1c2VySWQiOiIzNjE4MjQ5In0=</vt:lpwstr>
  </property>
</Properties>
</file>