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86661B">
      <w:pPr>
        <w:ind w:right="-315" w:rightChars="-150"/>
        <w:jc w:val="center"/>
        <w:rPr>
          <w:rFonts w:hint="eastAsia" w:ascii="宋体" w:hAnsi="宋体" w:eastAsia="宋体" w:cs="宋体"/>
          <w:b/>
          <w:bCs/>
          <w:color w:val="auto"/>
          <w:sz w:val="92"/>
          <w:szCs w:val="92"/>
          <w:highlight w:val="none"/>
          <w:u w:val="single"/>
          <w:vertAlign w:val="subscript"/>
        </w:rPr>
      </w:pPr>
    </w:p>
    <w:p w14:paraId="0B21A662">
      <w:pPr>
        <w:spacing w:line="720" w:lineRule="auto"/>
        <w:jc w:val="center"/>
        <w:rPr>
          <w:rFonts w:hint="default" w:ascii="宋体" w:hAnsi="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滁州市安置小区二次供水改造项目（二标段）</w:t>
      </w:r>
    </w:p>
    <w:p w14:paraId="33ED9EE7">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结算复核服务项目</w:t>
      </w:r>
    </w:p>
    <w:p w14:paraId="36F25173">
      <w:pPr>
        <w:spacing w:line="400" w:lineRule="atLeast"/>
        <w:jc w:val="center"/>
        <w:rPr>
          <w:rFonts w:hint="eastAsia" w:ascii="宋体" w:hAnsi="宋体" w:eastAsia="宋体" w:cs="宋体"/>
          <w:b/>
          <w:bCs/>
          <w:color w:val="auto"/>
          <w:sz w:val="98"/>
          <w:szCs w:val="98"/>
          <w:highlight w:val="none"/>
        </w:rPr>
      </w:pPr>
    </w:p>
    <w:p w14:paraId="744323B8">
      <w:pPr>
        <w:spacing w:line="400" w:lineRule="atLeast"/>
        <w:jc w:val="center"/>
        <w:rPr>
          <w:rFonts w:hint="eastAsia" w:ascii="宋体" w:hAnsi="宋体" w:eastAsia="宋体" w:cs="宋体"/>
          <w:b/>
          <w:bCs/>
          <w:color w:val="auto"/>
          <w:sz w:val="98"/>
          <w:szCs w:val="98"/>
          <w:highlight w:val="none"/>
        </w:rPr>
      </w:pPr>
    </w:p>
    <w:p w14:paraId="4EE6FD1E">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4E168300">
      <w:pPr>
        <w:spacing w:line="480" w:lineRule="exact"/>
        <w:ind w:firstLine="2880" w:firstLineChars="900"/>
        <w:rPr>
          <w:rFonts w:hint="eastAsia" w:ascii="宋体" w:hAnsi="宋体" w:eastAsia="宋体" w:cs="宋体"/>
          <w:color w:val="auto"/>
          <w:sz w:val="32"/>
          <w:highlight w:val="none"/>
          <w:u w:val="none"/>
          <w:lang w:val="en-US" w:eastAsia="zh-CN"/>
        </w:rPr>
      </w:pPr>
    </w:p>
    <w:p w14:paraId="264D06AA">
      <w:pPr>
        <w:spacing w:line="480" w:lineRule="exact"/>
        <w:ind w:firstLine="2520" w:firstLineChars="900"/>
        <w:rPr>
          <w:rFonts w:hint="default" w:ascii="宋体" w:hAnsi="宋体" w:eastAsia="宋体" w:cs="宋体"/>
          <w:b/>
          <w:bCs/>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项目编号：HXJY1110001056824001</w:t>
      </w:r>
      <w:r>
        <w:rPr>
          <w:rFonts w:hint="eastAsia" w:ascii="宋体" w:hAnsi="宋体" w:cs="宋体"/>
          <w:color w:val="auto"/>
          <w:sz w:val="28"/>
          <w:szCs w:val="28"/>
          <w:highlight w:val="none"/>
          <w:u w:val="none"/>
          <w:lang w:val="en-US" w:eastAsia="zh-CN"/>
        </w:rPr>
        <w:t xml:space="preserve"> </w:t>
      </w:r>
    </w:p>
    <w:p w14:paraId="1F5D07FE">
      <w:pPr>
        <w:spacing w:line="480" w:lineRule="exact"/>
        <w:ind w:firstLine="643" w:firstLineChars="200"/>
        <w:jc w:val="center"/>
        <w:rPr>
          <w:rFonts w:hint="eastAsia" w:ascii="宋体" w:hAnsi="宋体" w:eastAsia="宋体" w:cs="宋体"/>
          <w:b/>
          <w:bCs/>
          <w:color w:val="auto"/>
          <w:sz w:val="32"/>
          <w:szCs w:val="32"/>
          <w:highlight w:val="none"/>
        </w:rPr>
      </w:pPr>
    </w:p>
    <w:p w14:paraId="1A7D9621">
      <w:pPr>
        <w:spacing w:line="480" w:lineRule="exact"/>
        <w:ind w:firstLine="472" w:firstLineChars="147"/>
        <w:rPr>
          <w:rFonts w:hint="eastAsia" w:ascii="宋体" w:hAnsi="宋体" w:eastAsia="宋体" w:cs="宋体"/>
          <w:b/>
          <w:bCs/>
          <w:color w:val="auto"/>
          <w:sz w:val="32"/>
          <w:szCs w:val="32"/>
          <w:highlight w:val="none"/>
        </w:rPr>
      </w:pPr>
    </w:p>
    <w:p w14:paraId="1F142EE3">
      <w:pPr>
        <w:spacing w:line="480" w:lineRule="exact"/>
        <w:ind w:firstLine="472" w:firstLineChars="147"/>
        <w:rPr>
          <w:rFonts w:hint="eastAsia" w:ascii="宋体" w:hAnsi="宋体" w:eastAsia="宋体" w:cs="宋体"/>
          <w:b/>
          <w:bCs/>
          <w:color w:val="auto"/>
          <w:sz w:val="32"/>
          <w:szCs w:val="32"/>
          <w:highlight w:val="none"/>
        </w:rPr>
      </w:pPr>
    </w:p>
    <w:p w14:paraId="2BA638F0">
      <w:pPr>
        <w:spacing w:line="480" w:lineRule="exact"/>
        <w:rPr>
          <w:rFonts w:hint="eastAsia" w:ascii="宋体" w:hAnsi="宋体" w:eastAsia="宋体" w:cs="宋体"/>
          <w:b/>
          <w:bCs/>
          <w:color w:val="auto"/>
          <w:sz w:val="32"/>
          <w:szCs w:val="32"/>
          <w:highlight w:val="none"/>
        </w:rPr>
      </w:pPr>
    </w:p>
    <w:p w14:paraId="1B7E5B8D">
      <w:pPr>
        <w:rPr>
          <w:rFonts w:hint="eastAsia" w:ascii="宋体" w:hAnsi="宋体" w:eastAsia="宋体" w:cs="宋体"/>
          <w:color w:val="auto"/>
          <w:highlight w:val="none"/>
        </w:rPr>
      </w:pPr>
    </w:p>
    <w:p w14:paraId="4962993F">
      <w:pPr>
        <w:wordWrap w:val="0"/>
        <w:spacing w:line="800" w:lineRule="exact"/>
        <w:ind w:right="480" w:firstLine="960" w:firstLineChars="300"/>
        <w:jc w:val="both"/>
        <w:rPr>
          <w:rFonts w:hint="eastAsia" w:ascii="宋体" w:hAnsi="宋体" w:eastAsia="宋体" w:cs="宋体"/>
          <w:color w:val="auto"/>
          <w:sz w:val="32"/>
          <w:highlight w:val="none"/>
          <w:lang w:val="en-US" w:eastAsia="zh-CN"/>
        </w:rPr>
      </w:pPr>
    </w:p>
    <w:p w14:paraId="3DB7E839">
      <w:pPr>
        <w:wordWrap w:val="0"/>
        <w:spacing w:line="800" w:lineRule="exact"/>
        <w:ind w:right="480" w:firstLine="960" w:firstLineChars="300"/>
        <w:jc w:val="both"/>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滁州市重点工程建设管理处   </w:t>
      </w:r>
      <w:r>
        <w:rPr>
          <w:rFonts w:hint="eastAsia" w:ascii="宋体" w:hAnsi="宋体" w:eastAsia="宋体" w:cs="宋体"/>
          <w:color w:val="auto"/>
          <w:sz w:val="32"/>
          <w:highlight w:val="none"/>
          <w:u w:val="single"/>
        </w:rPr>
        <w:t>（盖章）</w:t>
      </w:r>
    </w:p>
    <w:p w14:paraId="20ED78ED">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38547059">
      <w:pPr>
        <w:spacing w:line="800" w:lineRule="exact"/>
        <w:jc w:val="center"/>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5 </w:t>
      </w:r>
      <w:r>
        <w:rPr>
          <w:rFonts w:hint="eastAsia" w:ascii="宋体" w:hAnsi="宋体" w:eastAsia="宋体" w:cs="宋体"/>
          <w:color w:val="auto"/>
          <w:sz w:val="32"/>
          <w:highlight w:val="none"/>
        </w:rPr>
        <w:t>月</w:t>
      </w:r>
    </w:p>
    <w:p w14:paraId="696D97FB">
      <w:pPr>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134" w:right="1106" w:bottom="1134" w:left="1259" w:header="680" w:footer="680" w:gutter="0"/>
          <w:cols w:space="0" w:num="1"/>
          <w:titlePg/>
          <w:docGrid w:type="lines" w:linePitch="318" w:charSpace="0"/>
        </w:sectPr>
      </w:pPr>
    </w:p>
    <w:p w14:paraId="5C6B536A">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718D541E">
      <w:pPr>
        <w:pStyle w:val="33"/>
        <w:tabs>
          <w:tab w:val="right" w:leader="dot" w:pos="9541"/>
          <w:tab w:val="clear" w:pos="8296"/>
        </w:tabs>
        <w:rPr>
          <w:rFonts w:hint="eastAsia" w:ascii="宋体" w:hAnsi="宋体" w:eastAsia="宋体" w:cs="宋体"/>
          <w:b w:val="0"/>
          <w:bCs w:val="0"/>
          <w:color w:val="auto"/>
          <w:sz w:val="24"/>
          <w:szCs w:val="24"/>
          <w:highlight w:val="none"/>
        </w:rPr>
      </w:pPr>
    </w:p>
    <w:p w14:paraId="75DB5263">
      <w:pPr>
        <w:pStyle w:val="33"/>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bCs w:val="0"/>
          <w:color w:val="auto"/>
          <w:szCs w:val="24"/>
          <w:highlight w:val="none"/>
        </w:rPr>
        <w:fldChar w:fldCharType="end"/>
      </w:r>
    </w:p>
    <w:p w14:paraId="2713028C">
      <w:pPr>
        <w:pStyle w:val="33"/>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eastAsia="zh-CN"/>
        </w:rPr>
        <w:t>投标人须知</w:t>
      </w:r>
      <w:r>
        <w:rPr>
          <w:rFonts w:hint="eastAsia" w:ascii="宋体" w:hAnsi="宋体" w:eastAsia="宋体" w:cs="宋体"/>
          <w:color w:val="auto"/>
          <w:highlight w:val="none"/>
        </w:rPr>
        <w:tab/>
      </w:r>
      <w:r>
        <w:rPr>
          <w:rFonts w:hint="eastAsia" w:hAnsi="宋体" w:eastAsia="宋体" w:cs="宋体"/>
          <w:color w:val="auto"/>
          <w:highlight w:val="none"/>
          <w:lang w:val="en-US" w:eastAsia="zh-CN"/>
        </w:rPr>
        <w:t>5</w:t>
      </w:r>
      <w:r>
        <w:rPr>
          <w:rFonts w:hint="eastAsia" w:ascii="宋体" w:hAnsi="宋体" w:eastAsia="宋体" w:cs="宋体"/>
          <w:bCs w:val="0"/>
          <w:color w:val="auto"/>
          <w:szCs w:val="24"/>
          <w:highlight w:val="none"/>
        </w:rPr>
        <w:fldChar w:fldCharType="end"/>
      </w:r>
    </w:p>
    <w:p w14:paraId="20F4D539">
      <w:pPr>
        <w:pStyle w:val="33"/>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980878E">
      <w:pPr>
        <w:pStyle w:val="33"/>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79833F9B">
      <w:pPr>
        <w:pStyle w:val="33"/>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80C88FE">
      <w:pPr>
        <w:pStyle w:val="33"/>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31BDC88">
      <w:pPr>
        <w:pStyle w:val="6"/>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51F31CA1">
      <w:pPr>
        <w:rPr>
          <w:rFonts w:hint="eastAsia" w:ascii="宋体" w:hAnsi="宋体" w:eastAsia="宋体" w:cs="宋体"/>
          <w:color w:val="auto"/>
          <w:highlight w:val="none"/>
        </w:rPr>
        <w:sectPr>
          <w:footerReference r:id="rId8" w:type="first"/>
          <w:footerReference r:id="rId7"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45E4F951">
      <w:pPr>
        <w:pStyle w:val="6"/>
        <w:numPr>
          <w:ilvl w:val="0"/>
          <w:numId w:val="1"/>
        </w:numPr>
        <w:bidi w:val="0"/>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7FF032BC">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 w:name="_Toc23993"/>
      <w:bookmarkStart w:id="2" w:name="_Toc28359002"/>
      <w:bookmarkStart w:id="3" w:name="_Toc28359079"/>
      <w:bookmarkStart w:id="4" w:name="_Toc35393621"/>
      <w:bookmarkStart w:id="5" w:name="_Toc11704"/>
      <w:bookmarkStart w:id="6" w:name="_Toc35393790"/>
      <w:bookmarkStart w:id="7" w:name="_Toc31215"/>
      <w:bookmarkStart w:id="8" w:name="_Hlk24379207"/>
      <w:r>
        <w:rPr>
          <w:rFonts w:hint="eastAsia" w:ascii="宋体" w:hAnsi="宋体" w:eastAsia="宋体" w:cs="宋体"/>
          <w:b/>
          <w:bCs/>
          <w:color w:val="auto"/>
          <w:sz w:val="21"/>
          <w:szCs w:val="21"/>
          <w:highlight w:val="none"/>
        </w:rPr>
        <w:t>一、项目基本情况</w:t>
      </w:r>
      <w:bookmarkEnd w:id="1"/>
      <w:bookmarkEnd w:id="2"/>
      <w:bookmarkEnd w:id="3"/>
      <w:bookmarkEnd w:id="4"/>
      <w:bookmarkEnd w:id="5"/>
      <w:bookmarkEnd w:id="6"/>
      <w:bookmarkEnd w:id="7"/>
    </w:p>
    <w:bookmarkEnd w:id="8"/>
    <w:p w14:paraId="0EB8024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9" w:name="_Toc28004"/>
      <w:bookmarkStart w:id="10" w:name="_Toc35393622"/>
      <w:bookmarkStart w:id="11" w:name="_Toc28359003"/>
      <w:bookmarkStart w:id="12" w:name="_Toc35393791"/>
      <w:bookmarkStart w:id="13" w:name="_Toc4879"/>
      <w:bookmarkStart w:id="14" w:name="_Toc28359080"/>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项目编号：HXJY1110001056824001</w:t>
      </w:r>
      <w:r>
        <w:rPr>
          <w:rFonts w:hint="eastAsia" w:ascii="宋体" w:hAnsi="宋体" w:cs="宋体"/>
          <w:i w:val="0"/>
          <w:iCs w:val="0"/>
          <w:caps w:val="0"/>
          <w:color w:val="auto"/>
          <w:spacing w:val="0"/>
          <w:kern w:val="0"/>
          <w:sz w:val="21"/>
          <w:szCs w:val="21"/>
          <w:highlight w:val="none"/>
          <w:shd w:val="clear" w:color="auto" w:fill="FFFFFF"/>
          <w:lang w:val="en-US" w:eastAsia="zh-CN" w:bidi="ar"/>
        </w:rPr>
        <w:t xml:space="preserve"> </w:t>
      </w:r>
    </w:p>
    <w:p w14:paraId="5B30AC5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项目名称：滁州市安置小区二次供水改造项目</w:t>
      </w:r>
      <w:r>
        <w:rPr>
          <w:rFonts w:hint="eastAsia" w:ascii="宋体" w:hAnsi="宋体" w:cs="宋体"/>
          <w:i w:val="0"/>
          <w:iCs w:val="0"/>
          <w:caps w:val="0"/>
          <w:color w:val="auto"/>
          <w:spacing w:val="0"/>
          <w:kern w:val="0"/>
          <w:sz w:val="21"/>
          <w:szCs w:val="21"/>
          <w:highlight w:val="none"/>
          <w:shd w:val="clear" w:color="auto" w:fill="FFFFFF"/>
          <w:lang w:val="en-US" w:eastAsia="zh-CN" w:bidi="ar"/>
        </w:rPr>
        <w:t>（二标段）</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结算复核服务项目</w:t>
      </w:r>
    </w:p>
    <w:p w14:paraId="1724FC2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预算金额：结算审核造价为2513436.11元</w:t>
      </w:r>
      <w:r>
        <w:rPr>
          <w:rFonts w:hint="eastAsia" w:ascii="宋体" w:hAnsi="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结算审核服务费约0.8万元</w:t>
      </w:r>
    </w:p>
    <w:p w14:paraId="60C38EB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最高限价：</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本项目的最高限价为基本费</w:t>
      </w:r>
      <w:r>
        <w:rPr>
          <w:rFonts w:hint="eastAsia" w:ascii="宋体" w:hAnsi="宋体" w:cs="宋体"/>
          <w:i w:val="0"/>
          <w:iCs w:val="0"/>
          <w:caps w:val="0"/>
          <w:color w:val="auto"/>
          <w:spacing w:val="0"/>
          <w:kern w:val="0"/>
          <w:sz w:val="21"/>
          <w:szCs w:val="21"/>
          <w:highlight w:val="none"/>
          <w:shd w:val="clear" w:color="auto" w:fill="FFFFFF"/>
          <w:lang w:val="en-US" w:eastAsia="zh-CN" w:bidi="ar"/>
        </w:rPr>
        <w:t>5000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元、审核成果费率4%（审核成果费率为不可竞争费率，</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固定不变），基本费由投标人自主报价，不得高于上述基本费最高限价，否则按无效标处理。（投标报价不可以填报0或负数，否则按无效标处理）</w:t>
      </w:r>
    </w:p>
    <w:p w14:paraId="784C252A">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采购需求：工程结算复核服务</w:t>
      </w:r>
    </w:p>
    <w:p w14:paraId="608F73F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标段（包别）划分：1个标段</w:t>
      </w:r>
    </w:p>
    <w:p w14:paraId="4B249B8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合同履行期限：</w:t>
      </w:r>
      <w:r>
        <w:rPr>
          <w:rFonts w:hint="eastAsia" w:ascii="宋体" w:hAnsi="宋体" w:cs="宋体"/>
          <w:i w:val="0"/>
          <w:iCs w:val="0"/>
          <w:caps w:val="0"/>
          <w:color w:val="auto"/>
          <w:spacing w:val="0"/>
          <w:kern w:val="0"/>
          <w:sz w:val="21"/>
          <w:szCs w:val="21"/>
          <w:highlight w:val="none"/>
          <w:shd w:val="clear" w:color="auto" w:fill="FFFFFF"/>
          <w:lang w:val="en-US" w:eastAsia="zh-CN" w:bidi="ar"/>
        </w:rPr>
        <w:t>在10日内对施工单位报送的项目结算资料进行完整性检查，一次性书面告知，限期补充齐全；在施工单位报送的项目结算资料完整</w:t>
      </w:r>
      <w:r>
        <w:rPr>
          <w:rFonts w:hint="eastAsia" w:ascii="宋体" w:hAnsi="宋体" w:cs="宋体"/>
          <w:i w:val="0"/>
          <w:iCs w:val="0"/>
          <w:caps w:val="0"/>
          <w:color w:val="auto"/>
          <w:spacing w:val="0"/>
          <w:kern w:val="0"/>
          <w:sz w:val="21"/>
          <w:szCs w:val="21"/>
          <w:highlight w:val="none"/>
          <w:shd w:val="clear" w:color="auto" w:fill="FFFFFF"/>
          <w:lang w:val="en-US" w:eastAsia="zh-CN" w:bidi="ar"/>
        </w:rPr>
        <w:t>后的20日内完成</w:t>
      </w:r>
      <w:r>
        <w:rPr>
          <w:rFonts w:hint="eastAsia" w:ascii="宋体" w:hAnsi="宋体" w:cs="宋体"/>
          <w:i w:val="0"/>
          <w:iCs w:val="0"/>
          <w:caps w:val="0"/>
          <w:color w:val="auto"/>
          <w:spacing w:val="0"/>
          <w:kern w:val="0"/>
          <w:sz w:val="21"/>
          <w:szCs w:val="21"/>
          <w:highlight w:val="none"/>
          <w:shd w:val="clear" w:color="auto" w:fill="FFFFFF"/>
          <w:lang w:val="en-US" w:eastAsia="zh-CN" w:bidi="ar"/>
        </w:rPr>
        <w:t>，并出具审核报告。</w:t>
      </w:r>
    </w:p>
    <w:p w14:paraId="2138AFB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本项目不接受联合体</w:t>
      </w:r>
    </w:p>
    <w:p w14:paraId="225089A1">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5" w:name="_Toc30013"/>
      <w:r>
        <w:rPr>
          <w:rFonts w:hint="eastAsia" w:ascii="宋体" w:hAnsi="宋体" w:eastAsia="宋体" w:cs="宋体"/>
          <w:b/>
          <w:bCs/>
          <w:color w:val="auto"/>
          <w:sz w:val="21"/>
          <w:szCs w:val="21"/>
          <w:highlight w:val="none"/>
        </w:rPr>
        <w:t>二、申请人的资格要求：</w:t>
      </w:r>
      <w:bookmarkEnd w:id="9"/>
      <w:bookmarkEnd w:id="10"/>
      <w:bookmarkEnd w:id="11"/>
      <w:bookmarkEnd w:id="12"/>
      <w:bookmarkEnd w:id="13"/>
      <w:bookmarkEnd w:id="14"/>
      <w:bookmarkEnd w:id="15"/>
    </w:p>
    <w:p w14:paraId="7D3A93A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1.投标人要求：具备独立承担民事责任能力，具有有效的营业执照或事业单位法人证书；</w:t>
      </w:r>
    </w:p>
    <w:p w14:paraId="4C8C455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16" w:name="_Toc28359004"/>
      <w:bookmarkStart w:id="17" w:name="_Toc28359081"/>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2.项目负责人要求：须具有注册在投标单位的</w:t>
      </w:r>
      <w:r>
        <w:rPr>
          <w:rFonts w:hint="eastAsia" w:ascii="宋体" w:hAnsi="宋体" w:cs="宋体"/>
          <w:i w:val="0"/>
          <w:iCs w:val="0"/>
          <w:caps w:val="0"/>
          <w:color w:val="auto"/>
          <w:spacing w:val="0"/>
          <w:kern w:val="0"/>
          <w:sz w:val="21"/>
          <w:szCs w:val="21"/>
          <w:highlight w:val="none"/>
          <w:shd w:val="clear" w:color="auto" w:fill="FFFFFF"/>
          <w:lang w:val="en-US" w:eastAsia="zh-CN" w:bidi="ar"/>
        </w:rPr>
        <w:t>安装</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工程专业一级注册造价工程师（或原注册造价工程师）；</w:t>
      </w:r>
    </w:p>
    <w:p w14:paraId="2340643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3.项目组其他成员（不含项目负责人）要求：不少于2名且具有在本单位注册的二级及以上造价工程师（安装工程专业至少1名）</w:t>
      </w:r>
      <w:r>
        <w:rPr>
          <w:rFonts w:hint="eastAsia" w:ascii="宋体" w:hAnsi="宋体" w:cs="宋体"/>
          <w:i w:val="0"/>
          <w:iCs w:val="0"/>
          <w:caps w:val="0"/>
          <w:color w:val="auto"/>
          <w:spacing w:val="0"/>
          <w:kern w:val="0"/>
          <w:sz w:val="21"/>
          <w:szCs w:val="21"/>
          <w:highlight w:val="none"/>
          <w:shd w:val="clear" w:color="auto" w:fill="FFFFFF"/>
          <w:lang w:val="en-US" w:eastAsia="zh-CN" w:bidi="ar"/>
        </w:rPr>
        <w:t>。</w:t>
      </w:r>
    </w:p>
    <w:p w14:paraId="7C5D1CA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18" w:name="_Toc2689"/>
      <w:bookmarkStart w:id="19" w:name="_Toc7189"/>
      <w:bookmarkStart w:id="20" w:name="_Toc35393623"/>
      <w:bookmarkStart w:id="21" w:name="_Toc35393792"/>
      <w:bookmarkStart w:id="22" w:name="_Toc28172"/>
      <w:r>
        <w:rPr>
          <w:rFonts w:hint="eastAsia" w:ascii="宋体" w:hAnsi="宋体" w:eastAsia="宋体" w:cs="宋体"/>
          <w:b/>
          <w:bCs/>
          <w:color w:val="auto"/>
          <w:sz w:val="21"/>
          <w:szCs w:val="21"/>
          <w:highlight w:val="none"/>
        </w:rPr>
        <w:t>三、获取</w:t>
      </w:r>
      <w:bookmarkEnd w:id="16"/>
      <w:bookmarkEnd w:id="17"/>
      <w:bookmarkEnd w:id="18"/>
      <w:bookmarkEnd w:id="19"/>
      <w:bookmarkEnd w:id="20"/>
      <w:bookmarkEnd w:id="21"/>
      <w:bookmarkEnd w:id="22"/>
      <w:r>
        <w:rPr>
          <w:rFonts w:hint="eastAsia" w:ascii="宋体" w:hAnsi="宋体" w:eastAsia="宋体" w:cs="宋体"/>
          <w:b/>
          <w:bCs/>
          <w:color w:val="auto"/>
          <w:sz w:val="21"/>
          <w:szCs w:val="21"/>
          <w:highlight w:val="none"/>
          <w:lang w:eastAsia="zh-CN"/>
        </w:rPr>
        <w:t>招标文件</w:t>
      </w:r>
    </w:p>
    <w:p w14:paraId="43847D5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28</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日至202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p>
    <w:p w14:paraId="72318F9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地点：滁州市重点工程建设管理处（http://zdc.chuzhou.gov.cn/）或滁州市城投工程咨询管理有限公司（https://www.czctgczx.com/）网站下载。</w:t>
      </w:r>
    </w:p>
    <w:p w14:paraId="718DCFE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方式：网上下载</w:t>
      </w:r>
    </w:p>
    <w:p w14:paraId="3129572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售价：0元</w:t>
      </w:r>
    </w:p>
    <w:p w14:paraId="225666F3">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3" w:name="_Toc28359005"/>
      <w:bookmarkStart w:id="24" w:name="_Toc28359082"/>
      <w:bookmarkStart w:id="25" w:name="_Toc35393793"/>
      <w:bookmarkStart w:id="26" w:name="_Toc23486"/>
      <w:bookmarkStart w:id="27" w:name="_Toc35393624"/>
      <w:bookmarkStart w:id="28" w:name="_Toc19139"/>
      <w:bookmarkStart w:id="29" w:name="_Toc6135"/>
      <w:r>
        <w:rPr>
          <w:rFonts w:hint="eastAsia" w:ascii="宋体" w:hAnsi="宋体" w:eastAsia="宋体" w:cs="宋体"/>
          <w:b/>
          <w:bCs/>
          <w:color w:val="auto"/>
          <w:sz w:val="21"/>
          <w:szCs w:val="21"/>
          <w:highlight w:val="none"/>
          <w:lang w:eastAsia="zh-CN"/>
        </w:rPr>
        <w:t>四、提交投标文件</w:t>
      </w:r>
      <w:bookmarkEnd w:id="23"/>
      <w:bookmarkEnd w:id="24"/>
      <w:r>
        <w:rPr>
          <w:rFonts w:hint="eastAsia" w:ascii="宋体" w:hAnsi="宋体" w:eastAsia="宋体" w:cs="宋体"/>
          <w:b/>
          <w:bCs/>
          <w:color w:val="auto"/>
          <w:sz w:val="21"/>
          <w:szCs w:val="21"/>
          <w:highlight w:val="none"/>
          <w:lang w:eastAsia="zh-CN"/>
        </w:rPr>
        <w:t>截止时间、开标时间和地点</w:t>
      </w:r>
      <w:bookmarkEnd w:id="25"/>
      <w:bookmarkEnd w:id="26"/>
      <w:bookmarkEnd w:id="27"/>
      <w:bookmarkEnd w:id="28"/>
      <w:bookmarkEnd w:id="29"/>
    </w:p>
    <w:p w14:paraId="40AE0B0D">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30" w:name="_Toc28359007"/>
      <w:bookmarkStart w:id="31" w:name="_Toc35393625"/>
      <w:bookmarkStart w:id="32" w:name="_Toc28359084"/>
      <w:bookmarkStart w:id="33" w:name="_Toc19623"/>
      <w:bookmarkStart w:id="34" w:name="_Toc35393794"/>
      <w:bookmarkStart w:id="35" w:name="_Toc1913"/>
      <w:bookmarkStart w:id="36" w:name="_Toc5602"/>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w:t>
      </w:r>
      <w:r>
        <w:rPr>
          <w:rFonts w:hint="eastAsia" w:ascii="宋体" w:hAnsi="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r>
        <w:rPr>
          <w:rFonts w:hint="eastAsia" w:ascii="宋体" w:hAnsi="宋体" w:cs="宋体"/>
          <w:i w:val="0"/>
          <w:iCs w:val="0"/>
          <w:caps w:val="0"/>
          <w:color w:val="auto"/>
          <w:spacing w:val="0"/>
          <w:kern w:val="0"/>
          <w:sz w:val="21"/>
          <w:szCs w:val="21"/>
          <w:highlight w:val="none"/>
          <w:shd w:val="clear" w:color="auto" w:fill="FFFFFF"/>
          <w:lang w:val="en-US" w:eastAsia="zh-CN" w:bidi="ar"/>
        </w:rPr>
        <w:t>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w:t>
      </w:r>
      <w:r>
        <w:rPr>
          <w:rFonts w:hint="eastAsia" w:ascii="宋体" w:hAnsi="宋体" w:cs="宋体"/>
          <w:i w:val="0"/>
          <w:iCs w:val="0"/>
          <w:caps w:val="0"/>
          <w:color w:val="auto"/>
          <w:spacing w:val="0"/>
          <w:kern w:val="0"/>
          <w:sz w:val="21"/>
          <w:szCs w:val="21"/>
          <w:highlight w:val="none"/>
          <w:shd w:val="clear" w:color="auto" w:fill="FFFFFF"/>
          <w:lang w:val="en-US" w:eastAsia="zh-CN" w:bidi="ar"/>
        </w:rPr>
        <w:t>00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分；</w:t>
      </w:r>
    </w:p>
    <w:p w14:paraId="56DC536A">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地点：网上开标，投标人登录滁州市城投工程咨询管理有限公司不见面开标系统参与网上开标（网址：http://js.etrading.cn/EpointBidOpening/bidopeninghallaction/hall/login）。</w:t>
      </w:r>
    </w:p>
    <w:p w14:paraId="182C0196">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0"/>
      <w:bookmarkEnd w:id="31"/>
      <w:bookmarkEnd w:id="32"/>
      <w:bookmarkEnd w:id="33"/>
      <w:bookmarkEnd w:id="34"/>
      <w:bookmarkEnd w:id="35"/>
      <w:bookmarkEnd w:id="36"/>
      <w:r>
        <w:rPr>
          <w:rFonts w:hint="eastAsia" w:ascii="宋体" w:hAnsi="宋体" w:eastAsia="宋体" w:cs="宋体"/>
          <w:b/>
          <w:bCs/>
          <w:color w:val="auto"/>
          <w:sz w:val="21"/>
          <w:szCs w:val="21"/>
          <w:highlight w:val="none"/>
          <w:lang w:val="en-US" w:eastAsia="zh-CN"/>
        </w:rPr>
        <w:t>发布期限及媒体</w:t>
      </w:r>
    </w:p>
    <w:p w14:paraId="673CD8D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30F0308F">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次招标公告同时在中国招标公共服务平台（http://www.cebpubservice.com/）、安徽省招标投标信息网（www.ahtba.org.cn）、滁州市重点工程建设管理处（http://zdc.chuzhou.gov.cn/）、滁州市城投工程咨询管理有限公司（https://www.czctgczx.com/）网站上发布</w:t>
      </w:r>
    </w:p>
    <w:p w14:paraId="58AB2A63">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5DA29C2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是否要求投标人提交投标保证金：不要求。</w:t>
      </w:r>
    </w:p>
    <w:p w14:paraId="27FE14D6">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135B164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2816322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7EC9DDC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7A9761BF">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4172FC48">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5.本项目采用不见面开标，投标人登录滁州市城投工程咨询管理有限公司不见面开标系统参与网上开标（网址：http://js.etrading.cn/EpointBidOpening/bidopeninghallaction/hall/login）。</w:t>
      </w:r>
    </w:p>
    <w:p w14:paraId="615274E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6.投标人应在投标截止时间之前，登录新点电子交易平台【滁州专区】上传投标文件。投标人逾期上传投标文件的，电子系统不予受理。</w:t>
      </w:r>
    </w:p>
    <w:p w14:paraId="1E75114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4B82715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8.投标人的联系人电话(手机)、电子邮箱等通讯方式在开标过程中必须保持畅通，否则因上述原因造成的后果，责任自负。</w:t>
      </w:r>
    </w:p>
    <w:p w14:paraId="0B4632F5">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2166CF3F">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1.招标人信息</w:t>
      </w:r>
    </w:p>
    <w:p w14:paraId="4E5C8AEF">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名称：</w:t>
      </w:r>
      <w:r>
        <w:rPr>
          <w:rFonts w:hint="eastAsia" w:ascii="宋体" w:hAnsi="宋体" w:cs="宋体"/>
          <w:i w:val="0"/>
          <w:iCs w:val="0"/>
          <w:caps w:val="0"/>
          <w:color w:val="auto"/>
          <w:spacing w:val="0"/>
          <w:kern w:val="0"/>
          <w:sz w:val="21"/>
          <w:szCs w:val="21"/>
          <w:highlight w:val="none"/>
          <w:shd w:val="clear" w:color="auto" w:fill="FFFFFF"/>
          <w:lang w:val="en-US" w:eastAsia="zh-CN" w:bidi="ar"/>
        </w:rPr>
        <w:t>滁州市重点工程建设管理处</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3B2A35F1">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地址：</w:t>
      </w:r>
      <w:r>
        <w:rPr>
          <w:rFonts w:hint="eastAsia" w:ascii="宋体" w:hAnsi="宋体" w:cs="宋体"/>
          <w:i w:val="0"/>
          <w:iCs w:val="0"/>
          <w:caps w:val="0"/>
          <w:color w:val="auto"/>
          <w:spacing w:val="0"/>
          <w:kern w:val="0"/>
          <w:sz w:val="21"/>
          <w:szCs w:val="21"/>
          <w:highlight w:val="none"/>
          <w:shd w:val="clear" w:color="auto" w:fill="FFFFFF"/>
          <w:lang w:val="en-US" w:eastAsia="zh-CN" w:bidi="ar"/>
        </w:rPr>
        <w:t>滁州市琅琊西路建设大厦4楼</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516DCE73">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w:t>
      </w:r>
      <w:r>
        <w:rPr>
          <w:rFonts w:hint="eastAsia" w:ascii="宋体" w:hAnsi="宋体" w:cs="宋体"/>
          <w:i w:val="0"/>
          <w:iCs w:val="0"/>
          <w:caps w:val="0"/>
          <w:color w:val="auto"/>
          <w:spacing w:val="0"/>
          <w:kern w:val="0"/>
          <w:sz w:val="21"/>
          <w:szCs w:val="21"/>
          <w:highlight w:val="none"/>
          <w:shd w:val="clear" w:color="auto" w:fill="FFFFFF"/>
          <w:lang w:val="en-US" w:eastAsia="zh-CN" w:bidi="ar"/>
        </w:rPr>
        <w:t>张学茜</w:t>
      </w:r>
    </w:p>
    <w:p w14:paraId="2510072B">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bookmarkStart w:id="37" w:name="_Toc28359009"/>
      <w:bookmarkStart w:id="38" w:name="_Toc28359086"/>
      <w:r>
        <w:rPr>
          <w:rFonts w:hint="eastAsia" w:ascii="宋体" w:hAnsi="宋体" w:cs="宋体"/>
          <w:i w:val="0"/>
          <w:iCs w:val="0"/>
          <w:caps w:val="0"/>
          <w:color w:val="auto"/>
          <w:spacing w:val="0"/>
          <w:kern w:val="0"/>
          <w:sz w:val="21"/>
          <w:szCs w:val="21"/>
          <w:highlight w:val="none"/>
          <w:shd w:val="clear" w:color="auto" w:fill="FFFFFF"/>
          <w:lang w:val="en-US" w:eastAsia="zh-CN" w:bidi="ar"/>
        </w:rPr>
        <w:t>0550-2599820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5A456CE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bookmarkEnd w:id="37"/>
      <w:bookmarkEnd w:id="38"/>
    </w:p>
    <w:p w14:paraId="3ED9FF3C">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bookmarkStart w:id="39" w:name="_Toc28359010"/>
      <w:bookmarkStart w:id="40" w:name="_Toc28359087"/>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名称：滁州市城投工程咨询管理有限公司</w:t>
      </w:r>
    </w:p>
    <w:p w14:paraId="2DB6954B">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地址：滁州市龙蟠大道109号房产商务大厦6楼</w:t>
      </w:r>
      <w:r>
        <w:rPr>
          <w:rFonts w:hint="eastAsia" w:ascii="宋体" w:hAnsi="宋体" w:cs="宋体"/>
          <w:i w:val="0"/>
          <w:iCs w:val="0"/>
          <w:caps w:val="0"/>
          <w:color w:val="auto"/>
          <w:spacing w:val="0"/>
          <w:kern w:val="0"/>
          <w:sz w:val="21"/>
          <w:szCs w:val="21"/>
          <w:highlight w:val="none"/>
          <w:shd w:val="clear" w:color="auto" w:fill="FFFFFF"/>
          <w:lang w:val="en-US" w:eastAsia="zh-CN" w:bidi="ar"/>
        </w:rPr>
        <w:t>620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室 </w:t>
      </w:r>
    </w:p>
    <w:p w14:paraId="614B00A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w:t>
      </w:r>
      <w:r>
        <w:rPr>
          <w:rFonts w:hint="eastAsia" w:ascii="宋体" w:hAnsi="宋体" w:cs="宋体"/>
          <w:i w:val="0"/>
          <w:iCs w:val="0"/>
          <w:caps w:val="0"/>
          <w:color w:val="auto"/>
          <w:spacing w:val="0"/>
          <w:kern w:val="0"/>
          <w:sz w:val="21"/>
          <w:szCs w:val="21"/>
          <w:highlight w:val="none"/>
          <w:shd w:val="clear" w:color="auto" w:fill="FFFFFF"/>
          <w:lang w:val="en-US" w:eastAsia="zh-CN" w:bidi="ar"/>
        </w:rPr>
        <w:t>杨韦</w:t>
      </w:r>
    </w:p>
    <w:p w14:paraId="6F1CAE6D">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联系方式：0550-</w:t>
      </w:r>
      <w:r>
        <w:rPr>
          <w:rFonts w:hint="eastAsia" w:ascii="宋体" w:hAnsi="宋体" w:cs="宋体"/>
          <w:i w:val="0"/>
          <w:iCs w:val="0"/>
          <w:caps w:val="0"/>
          <w:color w:val="auto"/>
          <w:spacing w:val="0"/>
          <w:kern w:val="0"/>
          <w:sz w:val="21"/>
          <w:szCs w:val="21"/>
          <w:highlight w:val="none"/>
          <w:shd w:val="clear" w:color="auto" w:fill="FFFFFF"/>
          <w:lang w:val="en-US" w:eastAsia="zh-CN" w:bidi="ar"/>
        </w:rPr>
        <w:t>3519590、18005501210</w:t>
      </w:r>
    </w:p>
    <w:bookmarkEnd w:id="39"/>
    <w:bookmarkEnd w:id="40"/>
    <w:p w14:paraId="7B2F0838">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1F625696">
      <w:pPr>
        <w:numPr>
          <w:ilvl w:val="0"/>
          <w:numId w:val="0"/>
        </w:numPr>
        <w:rPr>
          <w:rFonts w:hint="default"/>
          <w:color w:val="auto"/>
          <w:highlight w:val="none"/>
          <w:lang w:val="en-US" w:eastAsia="zh-CN"/>
        </w:rPr>
      </w:pPr>
    </w:p>
    <w:p w14:paraId="2C4BDEE3">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eastAsia="zh-CN"/>
        </w:rPr>
      </w:pPr>
      <w:bookmarkStart w:id="41"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p>
    <w:p w14:paraId="59403631">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92"/>
        <w:gridCol w:w="1308"/>
        <w:gridCol w:w="7488"/>
      </w:tblGrid>
      <w:tr w14:paraId="3ABE57EB">
        <w:tblPrEx>
          <w:tblCellMar>
            <w:top w:w="0" w:type="dxa"/>
            <w:left w:w="0" w:type="dxa"/>
            <w:bottom w:w="0" w:type="dxa"/>
            <w:right w:w="0" w:type="dxa"/>
          </w:tblCellMar>
        </w:tblPrEx>
        <w:trPr>
          <w:trHeight w:val="580" w:hRule="atLeast"/>
        </w:trPr>
        <w:tc>
          <w:tcPr>
            <w:tcW w:w="792" w:type="dxa"/>
            <w:tcBorders>
              <w:top w:val="single" w:color="auto" w:sz="8" w:space="0"/>
              <w:left w:val="single" w:color="auto" w:sz="8" w:space="0"/>
              <w:bottom w:val="single" w:color="auto" w:sz="8" w:space="0"/>
              <w:right w:val="single" w:color="auto" w:sz="8" w:space="0"/>
            </w:tcBorders>
            <w:vAlign w:val="center"/>
          </w:tcPr>
          <w:p w14:paraId="5E3909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序号</w:t>
            </w:r>
          </w:p>
        </w:tc>
        <w:tc>
          <w:tcPr>
            <w:tcW w:w="1308" w:type="dxa"/>
            <w:tcBorders>
              <w:top w:val="single" w:color="auto" w:sz="8" w:space="0"/>
              <w:left w:val="single" w:color="auto" w:sz="4" w:space="0"/>
              <w:bottom w:val="single" w:color="auto" w:sz="8" w:space="0"/>
              <w:right w:val="single" w:color="auto" w:sz="4" w:space="0"/>
            </w:tcBorders>
            <w:vAlign w:val="center"/>
          </w:tcPr>
          <w:p w14:paraId="38222B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488" w:type="dxa"/>
            <w:tcBorders>
              <w:top w:val="single" w:color="auto" w:sz="8" w:space="0"/>
              <w:left w:val="single" w:color="auto" w:sz="4" w:space="0"/>
              <w:bottom w:val="single" w:color="auto" w:sz="8" w:space="0"/>
              <w:right w:val="single" w:color="auto" w:sz="8" w:space="0"/>
            </w:tcBorders>
            <w:vAlign w:val="center"/>
          </w:tcPr>
          <w:p w14:paraId="765E36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78589209">
        <w:tblPrEx>
          <w:tblCellMar>
            <w:top w:w="0" w:type="dxa"/>
            <w:left w:w="0" w:type="dxa"/>
            <w:bottom w:w="0" w:type="dxa"/>
            <w:right w:w="0" w:type="dxa"/>
          </w:tblCellMar>
        </w:tblPrEx>
        <w:trPr>
          <w:trHeight w:val="986" w:hRule="atLeast"/>
        </w:trPr>
        <w:tc>
          <w:tcPr>
            <w:tcW w:w="792" w:type="dxa"/>
            <w:tcBorders>
              <w:top w:val="single" w:color="auto" w:sz="8" w:space="0"/>
              <w:left w:val="single" w:color="auto" w:sz="8" w:space="0"/>
              <w:bottom w:val="single" w:color="auto" w:sz="8" w:space="0"/>
              <w:right w:val="single" w:color="auto" w:sz="8" w:space="0"/>
            </w:tcBorders>
            <w:vAlign w:val="center"/>
          </w:tcPr>
          <w:p w14:paraId="34ACA2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08" w:type="dxa"/>
            <w:tcBorders>
              <w:top w:val="single" w:color="auto" w:sz="8" w:space="0"/>
              <w:left w:val="single" w:color="auto" w:sz="4" w:space="0"/>
              <w:bottom w:val="single" w:color="auto" w:sz="8" w:space="0"/>
              <w:right w:val="single" w:color="auto" w:sz="4" w:space="0"/>
            </w:tcBorders>
            <w:vAlign w:val="center"/>
          </w:tcPr>
          <w:p w14:paraId="58A35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488" w:type="dxa"/>
            <w:tcBorders>
              <w:top w:val="single" w:color="auto" w:sz="8" w:space="0"/>
              <w:left w:val="single" w:color="auto" w:sz="4" w:space="0"/>
              <w:bottom w:val="single" w:color="auto" w:sz="8" w:space="0"/>
              <w:right w:val="single" w:color="auto" w:sz="8" w:space="0"/>
            </w:tcBorders>
            <w:vAlign w:val="center"/>
          </w:tcPr>
          <w:p w14:paraId="1888D3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名称：滁州市安置小区二次供水改造项目</w:t>
            </w:r>
            <w:r>
              <w:rPr>
                <w:rFonts w:hint="eastAsia" w:ascii="宋体" w:hAnsi="宋体" w:cs="宋体"/>
                <w:i w:val="0"/>
                <w:iCs w:val="0"/>
                <w:caps w:val="0"/>
                <w:color w:val="auto"/>
                <w:spacing w:val="0"/>
                <w:kern w:val="0"/>
                <w:sz w:val="21"/>
                <w:szCs w:val="21"/>
                <w:highlight w:val="none"/>
                <w:shd w:val="clear" w:color="auto" w:fill="FFFFFF"/>
                <w:lang w:val="en-US" w:eastAsia="zh-CN" w:bidi="ar"/>
              </w:rPr>
              <w:t>（二标段）</w:t>
            </w:r>
            <w:r>
              <w:rPr>
                <w:rFonts w:hint="eastAsia" w:ascii="宋体" w:hAnsi="宋体" w:eastAsia="宋体" w:cs="宋体"/>
                <w:color w:val="auto"/>
                <w:kern w:val="0"/>
                <w:sz w:val="21"/>
                <w:szCs w:val="21"/>
                <w:highlight w:val="none"/>
              </w:rPr>
              <w:t>结算复核服务项目</w:t>
            </w:r>
          </w:p>
          <w:p w14:paraId="29EDA5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262D57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eastAsia="宋体" w:cs="宋体"/>
                <w:color w:val="auto"/>
                <w:kern w:val="0"/>
                <w:sz w:val="21"/>
                <w:szCs w:val="21"/>
                <w:highlight w:val="none"/>
                <w:lang w:val="en-US" w:eastAsia="zh-CN"/>
              </w:rPr>
              <w:t>结算审核造价为2513436.11元</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 xml:space="preserve">结算审核服务费约0.8万元 </w:t>
            </w:r>
          </w:p>
        </w:tc>
      </w:tr>
      <w:tr w14:paraId="21056145">
        <w:tblPrEx>
          <w:tblCellMar>
            <w:top w:w="0" w:type="dxa"/>
            <w:left w:w="0" w:type="dxa"/>
            <w:bottom w:w="0" w:type="dxa"/>
            <w:right w:w="0" w:type="dxa"/>
          </w:tblCellMar>
        </w:tblPrEx>
        <w:trPr>
          <w:trHeight w:val="1330" w:hRule="atLeast"/>
        </w:trPr>
        <w:tc>
          <w:tcPr>
            <w:tcW w:w="792" w:type="dxa"/>
            <w:tcBorders>
              <w:top w:val="single" w:color="auto" w:sz="8" w:space="0"/>
              <w:left w:val="single" w:color="auto" w:sz="8" w:space="0"/>
              <w:bottom w:val="single" w:color="auto" w:sz="8" w:space="0"/>
              <w:right w:val="single" w:color="auto" w:sz="8" w:space="0"/>
            </w:tcBorders>
            <w:vAlign w:val="center"/>
          </w:tcPr>
          <w:p w14:paraId="0CB0F1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308" w:type="dxa"/>
            <w:tcBorders>
              <w:top w:val="single" w:color="auto" w:sz="8" w:space="0"/>
              <w:left w:val="single" w:color="auto" w:sz="4" w:space="0"/>
              <w:bottom w:val="single" w:color="auto" w:sz="8" w:space="0"/>
              <w:right w:val="single" w:color="auto" w:sz="4" w:space="0"/>
            </w:tcBorders>
            <w:vAlign w:val="center"/>
          </w:tcPr>
          <w:p w14:paraId="64B78B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488" w:type="dxa"/>
            <w:tcBorders>
              <w:top w:val="single" w:color="auto" w:sz="8" w:space="0"/>
              <w:left w:val="single" w:color="auto" w:sz="4" w:space="0"/>
              <w:bottom w:val="single" w:color="auto" w:sz="8" w:space="0"/>
              <w:right w:val="single" w:color="auto" w:sz="8" w:space="0"/>
            </w:tcBorders>
            <w:vAlign w:val="center"/>
          </w:tcPr>
          <w:p w14:paraId="34DC8A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滁州市安置小区二次供水改造项目</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二标段</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结算复核服务项目</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Cs w:val="21"/>
                <w:highlight w:val="none"/>
              </w:rPr>
              <w:t>具体详见工程量清单和施工图纸及结算报告。</w:t>
            </w:r>
          </w:p>
          <w:p w14:paraId="12B68A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本次招标需求为上述工程的</w:t>
            </w:r>
            <w:r>
              <w:rPr>
                <w:rFonts w:hint="eastAsia" w:ascii="宋体" w:hAnsi="宋体" w:eastAsia="宋体" w:cs="宋体"/>
                <w:color w:val="auto"/>
                <w:kern w:val="0"/>
                <w:sz w:val="21"/>
                <w:szCs w:val="21"/>
                <w:highlight w:val="none"/>
                <w:lang w:eastAsia="zh-CN"/>
              </w:rPr>
              <w:t>结算复核服务。</w:t>
            </w:r>
          </w:p>
        </w:tc>
      </w:tr>
      <w:tr w14:paraId="54AA5ADF">
        <w:tblPrEx>
          <w:tblCellMar>
            <w:top w:w="0" w:type="dxa"/>
            <w:left w:w="0" w:type="dxa"/>
            <w:bottom w:w="0" w:type="dxa"/>
            <w:right w:w="0" w:type="dxa"/>
          </w:tblCellMar>
        </w:tblPrEx>
        <w:trPr>
          <w:trHeight w:val="315" w:hRule="atLeast"/>
        </w:trPr>
        <w:tc>
          <w:tcPr>
            <w:tcW w:w="792" w:type="dxa"/>
            <w:tcBorders>
              <w:top w:val="single" w:color="auto" w:sz="8" w:space="0"/>
              <w:left w:val="single" w:color="auto" w:sz="8" w:space="0"/>
              <w:bottom w:val="single" w:color="auto" w:sz="8" w:space="0"/>
              <w:right w:val="single" w:color="auto" w:sz="8" w:space="0"/>
            </w:tcBorders>
            <w:vAlign w:val="center"/>
          </w:tcPr>
          <w:p w14:paraId="1F2905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08" w:type="dxa"/>
            <w:tcBorders>
              <w:top w:val="single" w:color="auto" w:sz="8" w:space="0"/>
              <w:left w:val="single" w:color="auto" w:sz="4" w:space="0"/>
              <w:bottom w:val="single" w:color="auto" w:sz="8" w:space="0"/>
              <w:right w:val="single" w:color="auto" w:sz="4" w:space="0"/>
            </w:tcBorders>
            <w:vAlign w:val="center"/>
          </w:tcPr>
          <w:p w14:paraId="452A63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488" w:type="dxa"/>
            <w:tcBorders>
              <w:top w:val="single" w:color="auto" w:sz="8" w:space="0"/>
              <w:left w:val="single" w:color="auto" w:sz="4" w:space="0"/>
              <w:bottom w:val="single" w:color="auto" w:sz="8" w:space="0"/>
              <w:right w:val="single" w:color="auto" w:sz="8" w:space="0"/>
            </w:tcBorders>
            <w:vAlign w:val="center"/>
          </w:tcPr>
          <w:p w14:paraId="356C1F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在10日内对施工单位报送的项目结算资料进行完整性检查，一次性书面告知，限期补充齐全；在施工单位报送的项目结算资料完整后</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日内</w:t>
            </w:r>
            <w:r>
              <w:rPr>
                <w:rFonts w:hint="eastAsia" w:ascii="宋体" w:hAnsi="宋体" w:cs="宋体"/>
                <w:color w:val="auto"/>
                <w:sz w:val="21"/>
                <w:szCs w:val="21"/>
                <w:highlight w:val="none"/>
                <w:lang w:eastAsia="zh-CN"/>
              </w:rPr>
              <w:t>完成，并出具审核报告。</w:t>
            </w:r>
          </w:p>
        </w:tc>
      </w:tr>
      <w:tr w14:paraId="63485B7F">
        <w:tblPrEx>
          <w:tblCellMar>
            <w:top w:w="0" w:type="dxa"/>
            <w:left w:w="0" w:type="dxa"/>
            <w:bottom w:w="0" w:type="dxa"/>
            <w:right w:w="0" w:type="dxa"/>
          </w:tblCellMar>
        </w:tblPrEx>
        <w:trPr>
          <w:trHeight w:val="425" w:hRule="atLeast"/>
        </w:trPr>
        <w:tc>
          <w:tcPr>
            <w:tcW w:w="792" w:type="dxa"/>
            <w:tcBorders>
              <w:top w:val="single" w:color="auto" w:sz="8" w:space="0"/>
              <w:left w:val="single" w:color="auto" w:sz="8" w:space="0"/>
              <w:bottom w:val="single" w:color="auto" w:sz="8" w:space="0"/>
              <w:right w:val="single" w:color="auto" w:sz="8" w:space="0"/>
            </w:tcBorders>
            <w:vAlign w:val="center"/>
          </w:tcPr>
          <w:p w14:paraId="02FD6F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308" w:type="dxa"/>
            <w:tcBorders>
              <w:top w:val="single" w:color="auto" w:sz="8" w:space="0"/>
              <w:left w:val="single" w:color="auto" w:sz="4" w:space="0"/>
              <w:bottom w:val="single" w:color="auto" w:sz="8" w:space="0"/>
              <w:right w:val="single" w:color="auto" w:sz="4" w:space="0"/>
            </w:tcBorders>
            <w:vAlign w:val="center"/>
          </w:tcPr>
          <w:p w14:paraId="34E51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488" w:type="dxa"/>
            <w:tcBorders>
              <w:top w:val="single" w:color="auto" w:sz="8" w:space="0"/>
              <w:left w:val="single" w:color="auto" w:sz="4" w:space="0"/>
              <w:bottom w:val="single" w:color="auto" w:sz="8" w:space="0"/>
              <w:right w:val="single" w:color="auto" w:sz="8" w:space="0"/>
            </w:tcBorders>
            <w:vAlign w:val="center"/>
          </w:tcPr>
          <w:p w14:paraId="20B25F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cs="宋体"/>
                <w:color w:val="auto"/>
                <w:kern w:val="0"/>
                <w:sz w:val="21"/>
                <w:szCs w:val="21"/>
                <w:highlight w:val="none"/>
                <w:lang w:eastAsia="zh-CN"/>
              </w:rPr>
              <w:t>。</w:t>
            </w:r>
          </w:p>
        </w:tc>
      </w:tr>
      <w:tr w14:paraId="3F8B2DC6">
        <w:tblPrEx>
          <w:tblCellMar>
            <w:top w:w="0" w:type="dxa"/>
            <w:left w:w="0" w:type="dxa"/>
            <w:bottom w:w="0" w:type="dxa"/>
            <w:right w:w="0" w:type="dxa"/>
          </w:tblCellMar>
        </w:tblPrEx>
        <w:trPr>
          <w:trHeight w:val="286" w:hRule="atLeast"/>
        </w:trPr>
        <w:tc>
          <w:tcPr>
            <w:tcW w:w="792" w:type="dxa"/>
            <w:tcBorders>
              <w:top w:val="single" w:color="auto" w:sz="8" w:space="0"/>
              <w:left w:val="single" w:color="auto" w:sz="8" w:space="0"/>
              <w:bottom w:val="single" w:color="auto" w:sz="8" w:space="0"/>
              <w:right w:val="single" w:color="auto" w:sz="8" w:space="0"/>
            </w:tcBorders>
            <w:vAlign w:val="center"/>
          </w:tcPr>
          <w:p w14:paraId="6FA0AB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308" w:type="dxa"/>
            <w:tcBorders>
              <w:top w:val="single" w:color="auto" w:sz="8" w:space="0"/>
              <w:left w:val="single" w:color="auto" w:sz="4" w:space="0"/>
              <w:bottom w:val="single" w:color="auto" w:sz="8" w:space="0"/>
              <w:right w:val="single" w:color="auto" w:sz="4" w:space="0"/>
            </w:tcBorders>
            <w:vAlign w:val="center"/>
          </w:tcPr>
          <w:p w14:paraId="3B1C89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31680" w:right="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396158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31680" w:right="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488" w:type="dxa"/>
            <w:tcBorders>
              <w:top w:val="single" w:color="auto" w:sz="8" w:space="0"/>
              <w:left w:val="single" w:color="auto" w:sz="4" w:space="0"/>
              <w:bottom w:val="single" w:color="auto" w:sz="8" w:space="0"/>
              <w:right w:val="single" w:color="auto" w:sz="8" w:space="0"/>
            </w:tcBorders>
            <w:vAlign w:val="center"/>
          </w:tcPr>
          <w:p w14:paraId="210DBC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详见招标公告</w:t>
            </w:r>
            <w:r>
              <w:rPr>
                <w:rFonts w:hint="eastAsia" w:ascii="宋体" w:hAnsi="宋体" w:eastAsia="宋体" w:cs="宋体"/>
                <w:color w:val="auto"/>
                <w:kern w:val="0"/>
                <w:sz w:val="21"/>
                <w:szCs w:val="21"/>
                <w:highlight w:val="none"/>
              </w:rPr>
              <w:t>。</w:t>
            </w:r>
          </w:p>
        </w:tc>
      </w:tr>
      <w:tr w14:paraId="239A81B1">
        <w:tblPrEx>
          <w:tblCellMar>
            <w:top w:w="0" w:type="dxa"/>
            <w:left w:w="0" w:type="dxa"/>
            <w:bottom w:w="0" w:type="dxa"/>
            <w:right w:w="0" w:type="dxa"/>
          </w:tblCellMar>
        </w:tblPrEx>
        <w:trPr>
          <w:trHeight w:val="656" w:hRule="atLeast"/>
        </w:trPr>
        <w:tc>
          <w:tcPr>
            <w:tcW w:w="792" w:type="dxa"/>
            <w:tcBorders>
              <w:top w:val="single" w:color="auto" w:sz="8" w:space="0"/>
              <w:left w:val="single" w:color="auto" w:sz="8" w:space="0"/>
              <w:bottom w:val="single" w:color="auto" w:sz="8" w:space="0"/>
              <w:right w:val="single" w:color="auto" w:sz="8" w:space="0"/>
            </w:tcBorders>
            <w:vAlign w:val="center"/>
          </w:tcPr>
          <w:p w14:paraId="7615D1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308" w:type="dxa"/>
            <w:tcBorders>
              <w:top w:val="single" w:color="auto" w:sz="8" w:space="0"/>
              <w:left w:val="single" w:color="auto" w:sz="4" w:space="0"/>
              <w:bottom w:val="single" w:color="auto" w:sz="8" w:space="0"/>
              <w:right w:val="single" w:color="auto" w:sz="4" w:space="0"/>
            </w:tcBorders>
            <w:vAlign w:val="center"/>
          </w:tcPr>
          <w:p w14:paraId="224A3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488" w:type="dxa"/>
            <w:tcBorders>
              <w:top w:val="single" w:color="auto" w:sz="8" w:space="0"/>
              <w:left w:val="single" w:color="auto" w:sz="4" w:space="0"/>
              <w:bottom w:val="single" w:color="auto" w:sz="8" w:space="0"/>
              <w:right w:val="single" w:color="auto" w:sz="8" w:space="0"/>
            </w:tcBorders>
            <w:vAlign w:val="center"/>
          </w:tcPr>
          <w:p w14:paraId="5573E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6988492B">
        <w:tblPrEx>
          <w:tblCellMar>
            <w:top w:w="0" w:type="dxa"/>
            <w:left w:w="0" w:type="dxa"/>
            <w:bottom w:w="0" w:type="dxa"/>
            <w:right w:w="0" w:type="dxa"/>
          </w:tblCellMar>
        </w:tblPrEx>
        <w:trPr>
          <w:trHeight w:val="435" w:hRule="atLeast"/>
        </w:trPr>
        <w:tc>
          <w:tcPr>
            <w:tcW w:w="792" w:type="dxa"/>
            <w:tcBorders>
              <w:top w:val="single" w:color="auto" w:sz="8" w:space="0"/>
              <w:left w:val="single" w:color="auto" w:sz="8" w:space="0"/>
              <w:bottom w:val="single" w:color="auto" w:sz="8" w:space="0"/>
              <w:right w:val="single" w:color="auto" w:sz="8" w:space="0"/>
            </w:tcBorders>
            <w:vAlign w:val="center"/>
          </w:tcPr>
          <w:p w14:paraId="3BCF4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308" w:type="dxa"/>
            <w:tcBorders>
              <w:top w:val="single" w:color="auto" w:sz="8" w:space="0"/>
              <w:left w:val="single" w:color="auto" w:sz="4" w:space="0"/>
              <w:bottom w:val="single" w:color="auto" w:sz="8" w:space="0"/>
              <w:right w:val="single" w:color="auto" w:sz="4" w:space="0"/>
            </w:tcBorders>
            <w:vAlign w:val="center"/>
          </w:tcPr>
          <w:p w14:paraId="09959CD7">
            <w:pPr>
              <w:pStyle w:val="26"/>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0"/>
                <w:sz w:val="21"/>
                <w:szCs w:val="21"/>
                <w:highlight w:val="none"/>
              </w:rPr>
            </w:pPr>
            <w:r>
              <w:rPr>
                <w:rFonts w:hint="eastAsia"/>
                <w:color w:val="auto"/>
                <w:szCs w:val="21"/>
                <w:highlight w:val="none"/>
              </w:rPr>
              <w:t>招标方式</w:t>
            </w:r>
          </w:p>
        </w:tc>
        <w:tc>
          <w:tcPr>
            <w:tcW w:w="7488" w:type="dxa"/>
            <w:tcBorders>
              <w:top w:val="single" w:color="auto" w:sz="8" w:space="0"/>
              <w:left w:val="single" w:color="auto" w:sz="4" w:space="0"/>
              <w:bottom w:val="single" w:color="auto" w:sz="8" w:space="0"/>
              <w:right w:val="single" w:color="auto" w:sz="8" w:space="0"/>
            </w:tcBorders>
            <w:vAlign w:val="center"/>
          </w:tcPr>
          <w:p w14:paraId="6BDD341D">
            <w:pPr>
              <w:pStyle w:val="26"/>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幼圆" w:hAnsi="宋体-18030" w:cs="宋体-18030"/>
                <w:bCs/>
                <w:color w:val="auto"/>
                <w:szCs w:val="21"/>
                <w:highlight w:val="none"/>
              </w:rPr>
              <w:t>公开</w:t>
            </w:r>
            <w:r>
              <w:rPr>
                <w:rFonts w:hint="eastAsia"/>
                <w:bCs/>
                <w:color w:val="auto"/>
                <w:szCs w:val="21"/>
                <w:highlight w:val="none"/>
              </w:rPr>
              <w:t>招标</w:t>
            </w:r>
            <w:r>
              <w:rPr>
                <w:rFonts w:hint="eastAsia" w:hAnsi="宋体"/>
                <w:bCs/>
                <w:color w:val="auto"/>
                <w:szCs w:val="21"/>
                <w:highlight w:val="none"/>
              </w:rPr>
              <w:t xml:space="preserve">(本项目采用网上电子招投标) </w:t>
            </w:r>
          </w:p>
        </w:tc>
      </w:tr>
      <w:tr w14:paraId="06B5B2B5">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0B4516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308" w:type="dxa"/>
            <w:tcBorders>
              <w:top w:val="single" w:color="auto" w:sz="8" w:space="0"/>
              <w:left w:val="single" w:color="auto" w:sz="4" w:space="0"/>
              <w:bottom w:val="single" w:color="auto" w:sz="8" w:space="0"/>
              <w:right w:val="single" w:color="auto" w:sz="4" w:space="0"/>
            </w:tcBorders>
            <w:vAlign w:val="center"/>
          </w:tcPr>
          <w:p w14:paraId="21FD0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488" w:type="dxa"/>
            <w:tcBorders>
              <w:top w:val="single" w:color="auto" w:sz="8" w:space="0"/>
              <w:left w:val="single" w:color="auto" w:sz="4" w:space="0"/>
              <w:bottom w:val="single" w:color="auto" w:sz="8" w:space="0"/>
              <w:right w:val="single" w:color="auto" w:sz="8" w:space="0"/>
            </w:tcBorders>
            <w:vAlign w:val="center"/>
          </w:tcPr>
          <w:p w14:paraId="3A6CAA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w:t>
            </w:r>
            <w:r>
              <w:rPr>
                <w:rFonts w:hint="eastAsia" w:ascii="宋体" w:hAnsi="宋体" w:eastAsia="宋体" w:cs="宋体"/>
                <w:color w:val="auto"/>
                <w:sz w:val="21"/>
                <w:szCs w:val="21"/>
                <w:highlight w:val="none"/>
                <w:lang w:val="en-US" w:eastAsia="zh-CN"/>
              </w:rPr>
              <w:t>本费</w:t>
            </w:r>
            <w:r>
              <w:rPr>
                <w:rFonts w:hint="eastAsia" w:ascii="宋体" w:hAnsi="宋体" w:cs="宋体"/>
                <w:color w:val="auto"/>
                <w:sz w:val="21"/>
                <w:szCs w:val="21"/>
                <w:highlight w:val="none"/>
                <w:lang w:val="en-US" w:eastAsia="zh-CN"/>
              </w:rPr>
              <w:t>5000</w:t>
            </w:r>
            <w:r>
              <w:rPr>
                <w:rFonts w:hint="eastAsia" w:ascii="宋体" w:hAnsi="宋体" w:eastAsia="宋体" w:cs="宋体"/>
                <w:color w:val="auto"/>
                <w:sz w:val="21"/>
                <w:szCs w:val="21"/>
                <w:highlight w:val="none"/>
                <w:lang w:val="en-US" w:eastAsia="zh-CN"/>
              </w:rPr>
              <w:t>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审核成果费率4%（审核成果费率为不可竞争费率，固定不变），基本费由投标人自主报价，不得高于上述基本费最高限价，否则按无效标处理。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投标报价不可以填报0或负数，否则按无效标处理</w:t>
            </w:r>
            <w:r>
              <w:rPr>
                <w:rFonts w:hint="eastAsia" w:ascii="宋体" w:hAnsi="宋体" w:eastAsia="宋体" w:cs="宋体"/>
                <w:color w:val="auto"/>
                <w:sz w:val="21"/>
                <w:szCs w:val="21"/>
                <w:highlight w:val="none"/>
                <w:lang w:eastAsia="zh-CN"/>
              </w:rPr>
              <w:t>）</w:t>
            </w:r>
          </w:p>
          <w:p w14:paraId="20325F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35A46A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服务费计算方式为：基本费+审核成果费。其中，</w:t>
            </w:r>
            <w:r>
              <w:rPr>
                <w:rFonts w:hint="eastAsia" w:ascii="宋体" w:hAnsi="宋体" w:eastAsia="宋体" w:cs="宋体"/>
                <w:color w:val="auto"/>
                <w:sz w:val="21"/>
                <w:szCs w:val="21"/>
                <w:highlight w:val="none"/>
                <w:lang w:val="en-US" w:eastAsia="zh-CN"/>
              </w:rPr>
              <w:t>基本费由投标人自主报价</w:t>
            </w:r>
            <w:r>
              <w:rPr>
                <w:rFonts w:hint="eastAsia" w:ascii="宋体" w:hAnsi="宋体" w:eastAsia="宋体" w:cs="宋体"/>
                <w:color w:val="auto"/>
                <w:sz w:val="21"/>
                <w:szCs w:val="21"/>
                <w:highlight w:val="none"/>
              </w:rPr>
              <w:t>；审核成果费计算基数为独立核减金额。</w:t>
            </w:r>
          </w:p>
          <w:p w14:paraId="144A01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tc>
      </w:tr>
      <w:tr w14:paraId="62EB9D4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3350E5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308" w:type="dxa"/>
            <w:tcBorders>
              <w:top w:val="single" w:color="auto" w:sz="8" w:space="0"/>
              <w:left w:val="single" w:color="auto" w:sz="4" w:space="0"/>
              <w:bottom w:val="single" w:color="auto" w:sz="8" w:space="0"/>
              <w:right w:val="single" w:color="auto" w:sz="4" w:space="0"/>
            </w:tcBorders>
            <w:vAlign w:val="center"/>
          </w:tcPr>
          <w:p w14:paraId="65F18B75">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4051A553">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488" w:type="dxa"/>
            <w:tcBorders>
              <w:top w:val="single" w:color="auto" w:sz="8" w:space="0"/>
              <w:left w:val="single" w:color="auto" w:sz="4" w:space="0"/>
              <w:bottom w:val="single" w:color="auto" w:sz="8" w:space="0"/>
              <w:right w:val="single" w:color="auto" w:sz="8" w:space="0"/>
            </w:tcBorders>
            <w:vAlign w:val="center"/>
          </w:tcPr>
          <w:p w14:paraId="699312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u w:val="none"/>
              </w:rPr>
              <w:t>日1</w:t>
            </w:r>
            <w:r>
              <w:rPr>
                <w:rFonts w:hint="eastAsia" w:ascii="宋体" w:hAnsi="宋体" w:cs="宋体"/>
                <w:color w:val="auto"/>
                <w:spacing w:val="-4"/>
                <w:kern w:val="0"/>
                <w:sz w:val="21"/>
                <w:szCs w:val="21"/>
                <w:highlight w:val="none"/>
                <w:u w:val="none"/>
                <w:lang w:val="en-US" w:eastAsia="zh-CN"/>
              </w:rPr>
              <w:t>7</w:t>
            </w:r>
            <w:r>
              <w:rPr>
                <w:rFonts w:hint="eastAsia" w:ascii="宋体" w:hAnsi="宋体" w:eastAsia="宋体" w:cs="宋体"/>
                <w:color w:val="auto"/>
                <w:spacing w:val="-4"/>
                <w:kern w:val="0"/>
                <w:sz w:val="21"/>
                <w:szCs w:val="21"/>
                <w:highlight w:val="none"/>
                <w:u w:val="none"/>
              </w:rPr>
              <w:t>时前</w:t>
            </w:r>
            <w:r>
              <w:rPr>
                <w:rFonts w:hint="eastAsia" w:ascii="宋体" w:hAnsi="宋体" w:eastAsia="宋体" w:cs="宋体"/>
                <w:color w:val="auto"/>
                <w:kern w:val="0"/>
                <w:sz w:val="21"/>
                <w:szCs w:val="21"/>
                <w:highlight w:val="none"/>
                <w:u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u w:val="none"/>
              </w:rPr>
              <w:t>，招标人将在202</w:t>
            </w:r>
            <w:r>
              <w:rPr>
                <w:rFonts w:hint="eastAsia" w:ascii="宋体" w:hAnsi="宋体" w:cs="宋体"/>
                <w:color w:val="auto"/>
                <w:spacing w:val="-4"/>
                <w:kern w:val="0"/>
                <w:sz w:val="21"/>
                <w:szCs w:val="21"/>
                <w:highlight w:val="none"/>
                <w:u w:val="none"/>
                <w:lang w:val="en-US" w:eastAsia="zh-CN"/>
              </w:rPr>
              <w:t>6</w:t>
            </w:r>
            <w:r>
              <w:rPr>
                <w:rFonts w:hint="eastAsia" w:ascii="宋体" w:hAnsi="宋体" w:eastAsia="宋体" w:cs="宋体"/>
                <w:color w:val="auto"/>
                <w:spacing w:val="-4"/>
                <w:kern w:val="0"/>
                <w:sz w:val="21"/>
                <w:szCs w:val="21"/>
                <w:highlight w:val="none"/>
                <w:u w:val="none"/>
              </w:rPr>
              <w:t>年</w:t>
            </w:r>
            <w:r>
              <w:rPr>
                <w:rFonts w:hint="eastAsia" w:ascii="宋体" w:hAnsi="宋体" w:cs="宋体"/>
                <w:color w:val="auto"/>
                <w:spacing w:val="-4"/>
                <w:kern w:val="0"/>
                <w:sz w:val="21"/>
                <w:szCs w:val="21"/>
                <w:highlight w:val="none"/>
                <w:u w:val="none"/>
                <w:lang w:val="en-US" w:eastAsia="zh-CN"/>
              </w:rPr>
              <w:t>6</w:t>
            </w:r>
            <w:r>
              <w:rPr>
                <w:rFonts w:hint="eastAsia" w:ascii="宋体" w:hAnsi="宋体" w:eastAsia="宋体" w:cs="宋体"/>
                <w:color w:val="auto"/>
                <w:spacing w:val="-4"/>
                <w:kern w:val="0"/>
                <w:sz w:val="21"/>
                <w:szCs w:val="21"/>
                <w:highlight w:val="none"/>
                <w:u w:val="none"/>
              </w:rPr>
              <w:t>月</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日1</w:t>
            </w:r>
            <w:r>
              <w:rPr>
                <w:rFonts w:hint="eastAsia" w:ascii="宋体" w:hAnsi="宋体" w:eastAsia="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w:t>
            </w:r>
            <w:r>
              <w:rPr>
                <w:rFonts w:hint="eastAsia" w:ascii="宋体" w:hAnsi="宋体" w:cs="宋体"/>
                <w:color w:val="auto"/>
                <w:spacing w:val="-4"/>
                <w:kern w:val="0"/>
                <w:sz w:val="21"/>
                <w:szCs w:val="21"/>
                <w:highlight w:val="none"/>
                <w:lang w:val="en-US" w:eastAsia="zh-CN"/>
              </w:rPr>
              <w:t>前</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193C459E">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809DB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308" w:type="dxa"/>
            <w:tcBorders>
              <w:top w:val="single" w:color="auto" w:sz="8" w:space="0"/>
              <w:left w:val="single" w:color="auto" w:sz="4" w:space="0"/>
              <w:bottom w:val="single" w:color="auto" w:sz="8" w:space="0"/>
              <w:right w:val="single" w:color="auto" w:sz="4" w:space="0"/>
            </w:tcBorders>
            <w:vAlign w:val="center"/>
          </w:tcPr>
          <w:p w14:paraId="6F76F67D">
            <w:pPr>
              <w:pStyle w:val="26"/>
              <w:keepNext w:val="0"/>
              <w:keepLines w:val="0"/>
              <w:suppressLineNumbers w:val="0"/>
              <w:spacing w:before="0" w:beforeAutospacing="0" w:after="0" w:afterAutospacing="0" w:line="360" w:lineRule="exact"/>
              <w:ind w:left="0" w:right="0"/>
              <w:jc w:val="left"/>
              <w:rPr>
                <w:rFonts w:hint="eastAsia" w:ascii="宋体" w:hAnsi="宋体" w:eastAsia="宋体" w:cs="宋体"/>
                <w:color w:val="auto"/>
                <w:sz w:val="21"/>
                <w:szCs w:val="21"/>
                <w:highlight w:val="none"/>
                <w:lang w:val="en-US" w:eastAsia="zh-CN"/>
              </w:rPr>
            </w:pPr>
            <w:r>
              <w:rPr>
                <w:rFonts w:hint="default"/>
                <w:color w:val="auto"/>
                <w:szCs w:val="21"/>
                <w:highlight w:val="none"/>
              </w:rPr>
              <w:t>投标有效期</w:t>
            </w:r>
          </w:p>
        </w:tc>
        <w:tc>
          <w:tcPr>
            <w:tcW w:w="7488" w:type="dxa"/>
            <w:tcBorders>
              <w:top w:val="single" w:color="auto" w:sz="8" w:space="0"/>
              <w:left w:val="single" w:color="auto" w:sz="4" w:space="0"/>
              <w:bottom w:val="single" w:color="auto" w:sz="8" w:space="0"/>
              <w:right w:val="single" w:color="auto" w:sz="8" w:space="0"/>
            </w:tcBorders>
            <w:vAlign w:val="center"/>
          </w:tcPr>
          <w:p w14:paraId="7B5D6E68">
            <w:pPr>
              <w:pStyle w:val="26"/>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投标有效期为</w:t>
            </w:r>
            <w:r>
              <w:rPr>
                <w:rFonts w:hint="eastAsia"/>
                <w:color w:val="auto"/>
                <w:szCs w:val="21"/>
                <w:highlight w:val="none"/>
                <w:u w:val="single"/>
                <w:lang w:val="en-US" w:eastAsia="zh-CN"/>
              </w:rPr>
              <w:t>60</w:t>
            </w:r>
            <w:r>
              <w:rPr>
                <w:rFonts w:hint="eastAsia"/>
                <w:color w:val="auto"/>
                <w:szCs w:val="21"/>
                <w:highlight w:val="none"/>
              </w:rPr>
              <w:t>日历天（从投标截止之日算起）。在此期限内，凡符合本招标文件要求的投标文件均保持有效。</w:t>
            </w:r>
          </w:p>
        </w:tc>
      </w:tr>
      <w:tr w14:paraId="4F701213">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7F6FC0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308" w:type="dxa"/>
            <w:tcBorders>
              <w:top w:val="single" w:color="auto" w:sz="8" w:space="0"/>
              <w:left w:val="single" w:color="auto" w:sz="4" w:space="0"/>
              <w:bottom w:val="single" w:color="auto" w:sz="8" w:space="0"/>
              <w:right w:val="single" w:color="auto" w:sz="4" w:space="0"/>
            </w:tcBorders>
            <w:vAlign w:val="center"/>
          </w:tcPr>
          <w:p w14:paraId="0A62AF77">
            <w:pPr>
              <w:pStyle w:val="26"/>
              <w:keepNext w:val="0"/>
              <w:keepLines w:val="0"/>
              <w:suppressLineNumbers w:val="0"/>
              <w:spacing w:before="0" w:beforeAutospacing="0" w:after="0" w:afterAutospacing="0" w:line="360" w:lineRule="exact"/>
              <w:ind w:left="0" w:right="0"/>
              <w:jc w:val="left"/>
              <w:rPr>
                <w:rFonts w:hint="eastAsia" w:ascii="宋体" w:hAnsi="宋体" w:eastAsia="宋体" w:cs="宋体"/>
                <w:color w:val="auto"/>
                <w:sz w:val="21"/>
                <w:szCs w:val="21"/>
                <w:highlight w:val="none"/>
                <w:lang w:val="en-US" w:eastAsia="zh-CN"/>
              </w:rPr>
            </w:pPr>
            <w:r>
              <w:rPr>
                <w:rFonts w:hint="eastAsia"/>
                <w:color w:val="auto"/>
                <w:szCs w:val="21"/>
                <w:highlight w:val="none"/>
              </w:rPr>
              <w:t>投标文件</w:t>
            </w:r>
            <w:r>
              <w:rPr>
                <w:rFonts w:hint="eastAsia"/>
                <w:color w:val="auto"/>
                <w:szCs w:val="21"/>
                <w:highlight w:val="none"/>
                <w:lang w:val="en-US" w:eastAsia="zh-CN"/>
              </w:rPr>
              <w:t>递交</w:t>
            </w:r>
          </w:p>
        </w:tc>
        <w:tc>
          <w:tcPr>
            <w:tcW w:w="7488" w:type="dxa"/>
            <w:tcBorders>
              <w:top w:val="single" w:color="auto" w:sz="8" w:space="0"/>
              <w:left w:val="single" w:color="auto" w:sz="4" w:space="0"/>
              <w:bottom w:val="single" w:color="auto" w:sz="8" w:space="0"/>
              <w:right w:val="single" w:color="auto" w:sz="8" w:space="0"/>
            </w:tcBorders>
            <w:vAlign w:val="center"/>
          </w:tcPr>
          <w:p w14:paraId="4D7846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https://www.etrading.cn/BREpointSSO/login/oauth2login?regioncode=DQ_ChuZhou</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交易系统递交电子投标文件。</w:t>
            </w:r>
          </w:p>
          <w:p w14:paraId="738D3D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w:t>
            </w:r>
            <w:r>
              <w:rPr>
                <w:rFonts w:hint="default" w:ascii="宋体" w:hAnsi="宋体" w:cs="宋体"/>
                <w:b/>
                <w:color w:val="auto"/>
                <w:kern w:val="0"/>
                <w:szCs w:val="21"/>
                <w:highlight w:val="none"/>
                <w:u w:val="single"/>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C83BC60">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022002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308" w:type="dxa"/>
            <w:tcBorders>
              <w:top w:val="single" w:color="auto" w:sz="8" w:space="0"/>
              <w:left w:val="single" w:color="auto" w:sz="4" w:space="0"/>
              <w:bottom w:val="single" w:color="auto" w:sz="8" w:space="0"/>
              <w:right w:val="single" w:color="auto" w:sz="4" w:space="0"/>
            </w:tcBorders>
            <w:vAlign w:val="center"/>
          </w:tcPr>
          <w:p w14:paraId="3207B5DD">
            <w:pPr>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ascii="宋体"/>
                <w:color w:val="auto"/>
                <w:szCs w:val="21"/>
                <w:highlight w:val="none"/>
              </w:rPr>
              <w:t>签字或盖章要求</w:t>
            </w:r>
          </w:p>
        </w:tc>
        <w:tc>
          <w:tcPr>
            <w:tcW w:w="7488" w:type="dxa"/>
            <w:tcBorders>
              <w:top w:val="single" w:color="auto" w:sz="8" w:space="0"/>
              <w:left w:val="single" w:color="auto" w:sz="4" w:space="0"/>
              <w:bottom w:val="single" w:color="auto" w:sz="8" w:space="0"/>
              <w:right w:val="single" w:color="auto" w:sz="8" w:space="0"/>
            </w:tcBorders>
            <w:vAlign w:val="center"/>
          </w:tcPr>
          <w:p w14:paraId="1F8E98E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401A3D1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否则经评委会一致认定后，按照无效投标处理。</w:t>
            </w:r>
          </w:p>
        </w:tc>
      </w:tr>
      <w:tr w14:paraId="6EC0BF50">
        <w:tblPrEx>
          <w:tblCellMar>
            <w:top w:w="0" w:type="dxa"/>
            <w:left w:w="0" w:type="dxa"/>
            <w:bottom w:w="0" w:type="dxa"/>
            <w:right w:w="0" w:type="dxa"/>
          </w:tblCellMar>
        </w:tblPrEx>
        <w:trPr>
          <w:trHeight w:val="1961" w:hRule="atLeast"/>
        </w:trPr>
        <w:tc>
          <w:tcPr>
            <w:tcW w:w="792" w:type="dxa"/>
            <w:tcBorders>
              <w:top w:val="single" w:color="auto" w:sz="8" w:space="0"/>
              <w:left w:val="single" w:color="auto" w:sz="8" w:space="0"/>
              <w:bottom w:val="single" w:color="auto" w:sz="8" w:space="0"/>
              <w:right w:val="single" w:color="auto" w:sz="8" w:space="0"/>
            </w:tcBorders>
            <w:vAlign w:val="center"/>
          </w:tcPr>
          <w:p w14:paraId="6FBF17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13</w:t>
            </w:r>
          </w:p>
        </w:tc>
        <w:tc>
          <w:tcPr>
            <w:tcW w:w="1308" w:type="dxa"/>
            <w:tcBorders>
              <w:top w:val="single" w:color="auto" w:sz="8" w:space="0"/>
              <w:left w:val="single" w:color="auto" w:sz="4" w:space="0"/>
              <w:bottom w:val="single" w:color="auto" w:sz="8" w:space="0"/>
              <w:right w:val="single" w:color="auto" w:sz="4" w:space="0"/>
            </w:tcBorders>
            <w:vAlign w:val="center"/>
          </w:tcPr>
          <w:p w14:paraId="382F4D6C">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rPr>
            </w:pPr>
            <w:r>
              <w:rPr>
                <w:rFonts w:hint="eastAsia" w:ascii="宋体"/>
                <w:color w:val="auto"/>
                <w:szCs w:val="21"/>
                <w:highlight w:val="none"/>
              </w:rPr>
              <w:t>投标文件提交截止时间</w:t>
            </w:r>
          </w:p>
        </w:tc>
        <w:tc>
          <w:tcPr>
            <w:tcW w:w="7488" w:type="dxa"/>
            <w:tcBorders>
              <w:top w:val="single" w:color="auto" w:sz="8" w:space="0"/>
              <w:left w:val="single" w:color="auto" w:sz="4" w:space="0"/>
              <w:bottom w:val="single" w:color="auto" w:sz="8" w:space="0"/>
              <w:right w:val="single" w:color="auto" w:sz="8" w:space="0"/>
            </w:tcBorders>
            <w:vAlign w:val="center"/>
          </w:tcPr>
          <w:p w14:paraId="74704AAE">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color w:val="auto"/>
                <w:szCs w:val="21"/>
                <w:highlight w:val="none"/>
              </w:rPr>
            </w:pPr>
            <w:r>
              <w:rPr>
                <w:rFonts w:hint="eastAsia" w:ascii="宋体"/>
                <w:color w:val="auto"/>
                <w:szCs w:val="21"/>
                <w:highlight w:val="none"/>
              </w:rPr>
              <w:t>网上递交投标文件截止时间：</w:t>
            </w:r>
            <w:r>
              <w:rPr>
                <w:rFonts w:hint="eastAsia" w:ascii="宋体"/>
                <w:b/>
                <w:bCs/>
                <w:color w:val="auto"/>
                <w:szCs w:val="21"/>
                <w:highlight w:val="none"/>
                <w:lang w:val="en-US" w:eastAsia="zh-CN"/>
              </w:rPr>
              <w:t>2026</w:t>
            </w:r>
            <w:r>
              <w:rPr>
                <w:rFonts w:hint="eastAsia" w:ascii="宋体"/>
                <w:b/>
                <w:bCs/>
                <w:color w:val="auto"/>
                <w:szCs w:val="21"/>
                <w:highlight w:val="none"/>
              </w:rPr>
              <w:t>年</w:t>
            </w:r>
            <w:r>
              <w:rPr>
                <w:rFonts w:hint="eastAsia" w:ascii="宋体"/>
                <w:b/>
                <w:bCs/>
                <w:color w:val="auto"/>
                <w:szCs w:val="21"/>
                <w:highlight w:val="none"/>
                <w:lang w:val="en-US" w:eastAsia="zh-CN"/>
              </w:rPr>
              <w:t>6</w:t>
            </w:r>
            <w:r>
              <w:rPr>
                <w:rFonts w:hint="eastAsia" w:ascii="宋体"/>
                <w:b/>
                <w:bCs/>
                <w:color w:val="auto"/>
                <w:szCs w:val="21"/>
                <w:highlight w:val="none"/>
              </w:rPr>
              <w:t>月</w:t>
            </w:r>
            <w:r>
              <w:rPr>
                <w:rFonts w:hint="eastAsia" w:ascii="宋体"/>
                <w:b/>
                <w:bCs/>
                <w:color w:val="auto"/>
                <w:szCs w:val="21"/>
                <w:highlight w:val="none"/>
                <w:lang w:val="en-US" w:eastAsia="zh-CN"/>
              </w:rPr>
              <w:t>4</w:t>
            </w:r>
            <w:r>
              <w:rPr>
                <w:rFonts w:hint="eastAsia" w:ascii="宋体"/>
                <w:b/>
                <w:bCs/>
                <w:color w:val="auto"/>
                <w:szCs w:val="21"/>
                <w:highlight w:val="none"/>
              </w:rPr>
              <w:t>日</w:t>
            </w:r>
            <w:r>
              <w:rPr>
                <w:rFonts w:hint="eastAsia" w:ascii="宋体"/>
                <w:b/>
                <w:bCs/>
                <w:color w:val="auto"/>
                <w:szCs w:val="21"/>
                <w:highlight w:val="none"/>
                <w:lang w:val="en-US" w:eastAsia="zh-CN"/>
              </w:rPr>
              <w:t>15</w:t>
            </w:r>
            <w:r>
              <w:rPr>
                <w:rFonts w:hint="eastAsia" w:ascii="宋体"/>
                <w:b/>
                <w:bCs/>
                <w:color w:val="auto"/>
                <w:szCs w:val="21"/>
                <w:highlight w:val="none"/>
              </w:rPr>
              <w:t>时</w:t>
            </w:r>
            <w:r>
              <w:rPr>
                <w:rFonts w:hint="eastAsia" w:ascii="宋体"/>
                <w:b/>
                <w:bCs/>
                <w:color w:val="auto"/>
                <w:szCs w:val="21"/>
                <w:highlight w:val="none"/>
                <w:lang w:val="en-US" w:eastAsia="zh-CN"/>
              </w:rPr>
              <w:t>00</w:t>
            </w:r>
            <w:r>
              <w:rPr>
                <w:rFonts w:hint="eastAsia" w:ascii="宋体"/>
                <w:b/>
                <w:bCs/>
                <w:color w:val="auto"/>
                <w:szCs w:val="21"/>
                <w:highlight w:val="none"/>
              </w:rPr>
              <w:t>分（北京时间）</w:t>
            </w:r>
          </w:p>
          <w:p w14:paraId="6CC82135">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黑体" w:eastAsia="黑体" w:cs="黑体"/>
                <w:bCs/>
                <w:color w:val="auto"/>
                <w:szCs w:val="21"/>
                <w:highlight w:val="none"/>
              </w:rPr>
            </w:pPr>
            <w:r>
              <w:rPr>
                <w:rFonts w:hint="eastAsia" w:ascii="宋体"/>
                <w:b/>
                <w:color w:val="auto"/>
                <w:szCs w:val="21"/>
                <w:highlight w:val="none"/>
              </w:rPr>
              <w:t>注：以投标人在投标截止时间前网上递交的电子投标文件为准，逾期提交的，投标文件将被拒绝。</w:t>
            </w:r>
          </w:p>
          <w:p w14:paraId="6C7B1CF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1.解密程序开始后</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分钟内（以本项目网上招投标系统解密倒计时为准）。</w:t>
            </w:r>
          </w:p>
        </w:tc>
      </w:tr>
      <w:tr w14:paraId="0507D385">
        <w:tblPrEx>
          <w:tblCellMar>
            <w:top w:w="0" w:type="dxa"/>
            <w:left w:w="0" w:type="dxa"/>
            <w:bottom w:w="0" w:type="dxa"/>
            <w:right w:w="0" w:type="dxa"/>
          </w:tblCellMar>
        </w:tblPrEx>
        <w:trPr>
          <w:trHeight w:val="466" w:hRule="atLeast"/>
        </w:trPr>
        <w:tc>
          <w:tcPr>
            <w:tcW w:w="792" w:type="dxa"/>
            <w:tcBorders>
              <w:top w:val="single" w:color="auto" w:sz="8" w:space="0"/>
              <w:left w:val="single" w:color="auto" w:sz="8" w:space="0"/>
              <w:bottom w:val="single" w:color="auto" w:sz="8" w:space="0"/>
              <w:right w:val="single" w:color="auto" w:sz="8" w:space="0"/>
            </w:tcBorders>
            <w:vAlign w:val="center"/>
          </w:tcPr>
          <w:p w14:paraId="345C10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308" w:type="dxa"/>
            <w:tcBorders>
              <w:top w:val="single" w:color="auto" w:sz="8" w:space="0"/>
              <w:left w:val="single" w:color="auto" w:sz="4" w:space="0"/>
              <w:bottom w:val="single" w:color="auto" w:sz="8" w:space="0"/>
              <w:right w:val="single" w:color="auto" w:sz="4" w:space="0"/>
            </w:tcBorders>
            <w:vAlign w:val="center"/>
          </w:tcPr>
          <w:p w14:paraId="6BD4B29C">
            <w:pPr>
              <w:keepNext w:val="0"/>
              <w:keepLines w:val="0"/>
              <w:suppressLineNumbers w:val="0"/>
              <w:spacing w:before="0" w:beforeAutospacing="0" w:after="0" w:afterAutospacing="0" w:line="360" w:lineRule="exact"/>
              <w:ind w:left="0" w:right="0"/>
              <w:jc w:val="left"/>
              <w:rPr>
                <w:rFonts w:hint="eastAsia" w:ascii="宋体"/>
                <w:color w:val="auto"/>
                <w:szCs w:val="21"/>
                <w:highlight w:val="none"/>
              </w:rPr>
            </w:pPr>
            <w:r>
              <w:rPr>
                <w:rFonts w:hint="eastAsia" w:ascii="宋体"/>
                <w:color w:val="auto"/>
                <w:szCs w:val="21"/>
                <w:highlight w:val="none"/>
              </w:rPr>
              <w:t>是否退还投标文件</w:t>
            </w:r>
          </w:p>
        </w:tc>
        <w:tc>
          <w:tcPr>
            <w:tcW w:w="7488" w:type="dxa"/>
            <w:tcBorders>
              <w:top w:val="single" w:color="auto" w:sz="8" w:space="0"/>
              <w:left w:val="single" w:color="auto" w:sz="4" w:space="0"/>
              <w:bottom w:val="single" w:color="auto" w:sz="8" w:space="0"/>
              <w:right w:val="single" w:color="auto" w:sz="8" w:space="0"/>
            </w:tcBorders>
            <w:vAlign w:val="center"/>
          </w:tcPr>
          <w:p w14:paraId="33D2C0D6">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szCs w:val="21"/>
                <w:highlight w:val="none"/>
              </w:rPr>
            </w:pPr>
            <w:r>
              <w:rPr>
                <w:rFonts w:hint="eastAsia"/>
                <w:color w:val="auto"/>
                <w:szCs w:val="21"/>
                <w:highlight w:val="none"/>
              </w:rPr>
              <w:t>否</w:t>
            </w:r>
          </w:p>
        </w:tc>
      </w:tr>
      <w:tr w14:paraId="4CA3BD1C">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1DDB9A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15</w:t>
            </w:r>
          </w:p>
        </w:tc>
        <w:tc>
          <w:tcPr>
            <w:tcW w:w="1308" w:type="dxa"/>
            <w:tcBorders>
              <w:top w:val="single" w:color="auto" w:sz="8" w:space="0"/>
              <w:left w:val="single" w:color="auto" w:sz="4" w:space="0"/>
              <w:bottom w:val="single" w:color="auto" w:sz="8" w:space="0"/>
              <w:right w:val="single" w:color="auto" w:sz="4" w:space="0"/>
            </w:tcBorders>
            <w:vAlign w:val="center"/>
          </w:tcPr>
          <w:p w14:paraId="228B84C9">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lang w:val="en-US" w:eastAsia="zh-CN"/>
              </w:rPr>
            </w:pPr>
            <w:r>
              <w:rPr>
                <w:rFonts w:hint="eastAsia" w:ascii="宋体"/>
                <w:color w:val="auto"/>
                <w:szCs w:val="21"/>
                <w:highlight w:val="none"/>
              </w:rPr>
              <w:t>开标时间及地点</w:t>
            </w:r>
          </w:p>
        </w:tc>
        <w:tc>
          <w:tcPr>
            <w:tcW w:w="7488" w:type="dxa"/>
            <w:tcBorders>
              <w:top w:val="single" w:color="auto" w:sz="8" w:space="0"/>
              <w:left w:val="single" w:color="auto" w:sz="4" w:space="0"/>
              <w:bottom w:val="single" w:color="auto" w:sz="8" w:space="0"/>
              <w:right w:val="single" w:color="auto" w:sz="8" w:space="0"/>
            </w:tcBorders>
            <w:vAlign w:val="center"/>
          </w:tcPr>
          <w:p w14:paraId="2B606855">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highlight w:val="none"/>
              </w:rPr>
            </w:pPr>
            <w:r>
              <w:rPr>
                <w:rFonts w:hint="eastAsia" w:ascii="ˎ̥" w:hAnsi="ˎ̥"/>
                <w:color w:val="auto"/>
                <w:highlight w:val="none"/>
              </w:rPr>
              <w:t>详见招标公告</w:t>
            </w:r>
          </w:p>
        </w:tc>
      </w:tr>
      <w:tr w14:paraId="6CE2A1DD">
        <w:tblPrEx>
          <w:tblCellMar>
            <w:top w:w="0" w:type="dxa"/>
            <w:left w:w="0" w:type="dxa"/>
            <w:bottom w:w="0" w:type="dxa"/>
            <w:right w:w="0" w:type="dxa"/>
          </w:tblCellMar>
        </w:tblPrEx>
        <w:trPr>
          <w:trHeight w:val="454" w:hRule="atLeast"/>
        </w:trPr>
        <w:tc>
          <w:tcPr>
            <w:tcW w:w="792" w:type="dxa"/>
            <w:tcBorders>
              <w:top w:val="single" w:color="auto" w:sz="8" w:space="0"/>
              <w:left w:val="single" w:color="auto" w:sz="8" w:space="0"/>
              <w:bottom w:val="single" w:color="auto" w:sz="8" w:space="0"/>
              <w:right w:val="single" w:color="auto" w:sz="8" w:space="0"/>
            </w:tcBorders>
            <w:vAlign w:val="center"/>
          </w:tcPr>
          <w:p w14:paraId="7F333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16</w:t>
            </w:r>
          </w:p>
        </w:tc>
        <w:tc>
          <w:tcPr>
            <w:tcW w:w="1308" w:type="dxa"/>
            <w:tcBorders>
              <w:top w:val="single" w:color="auto" w:sz="8" w:space="0"/>
              <w:left w:val="single" w:color="auto" w:sz="4" w:space="0"/>
              <w:bottom w:val="single" w:color="auto" w:sz="8" w:space="0"/>
              <w:right w:val="single" w:color="auto" w:sz="4" w:space="0"/>
            </w:tcBorders>
            <w:vAlign w:val="center"/>
          </w:tcPr>
          <w:p w14:paraId="12A6CCDE">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rPr>
            </w:pPr>
            <w:r>
              <w:rPr>
                <w:rFonts w:hint="eastAsia" w:ascii="宋体"/>
                <w:color w:val="auto"/>
                <w:szCs w:val="21"/>
                <w:highlight w:val="none"/>
              </w:rPr>
              <w:t>开标程序</w:t>
            </w:r>
          </w:p>
        </w:tc>
        <w:tc>
          <w:tcPr>
            <w:tcW w:w="7488" w:type="dxa"/>
            <w:tcBorders>
              <w:top w:val="single" w:color="auto" w:sz="8" w:space="0"/>
              <w:left w:val="single" w:color="auto" w:sz="4" w:space="0"/>
              <w:bottom w:val="single" w:color="auto" w:sz="8" w:space="0"/>
              <w:right w:val="single" w:color="auto" w:sz="8" w:space="0"/>
            </w:tcBorders>
            <w:vAlign w:val="center"/>
          </w:tcPr>
          <w:p w14:paraId="5C77C249">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highlight w:val="none"/>
              </w:rPr>
            </w:pPr>
            <w:r>
              <w:rPr>
                <w:rFonts w:hint="eastAsia"/>
                <w:color w:val="auto"/>
                <w:szCs w:val="21"/>
                <w:highlight w:val="none"/>
              </w:rPr>
              <w:t>开标顺序：解密电子投标文件后，由评标委员会评审。</w:t>
            </w:r>
          </w:p>
        </w:tc>
      </w:tr>
      <w:tr w14:paraId="4332F803">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0B8AA4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17</w:t>
            </w:r>
          </w:p>
        </w:tc>
        <w:tc>
          <w:tcPr>
            <w:tcW w:w="1308" w:type="dxa"/>
            <w:tcBorders>
              <w:top w:val="single" w:color="auto" w:sz="8" w:space="0"/>
              <w:left w:val="single" w:color="auto" w:sz="4" w:space="0"/>
              <w:bottom w:val="single" w:color="auto" w:sz="8" w:space="0"/>
              <w:right w:val="single" w:color="auto" w:sz="4" w:space="0"/>
            </w:tcBorders>
            <w:vAlign w:val="center"/>
          </w:tcPr>
          <w:p w14:paraId="36304B87">
            <w:pPr>
              <w:pStyle w:val="26"/>
              <w:keepNext w:val="0"/>
              <w:keepLines w:val="0"/>
              <w:suppressLineNumbers w:val="0"/>
              <w:spacing w:before="0" w:beforeAutospacing="0" w:after="0" w:afterAutospacing="0" w:line="360" w:lineRule="exact"/>
              <w:ind w:left="0" w:right="0"/>
              <w:jc w:val="left"/>
              <w:rPr>
                <w:rFonts w:hint="eastAsia" w:ascii="宋体"/>
                <w:color w:val="auto"/>
                <w:szCs w:val="21"/>
                <w:highlight w:val="none"/>
              </w:rPr>
            </w:pPr>
            <w:r>
              <w:rPr>
                <w:rFonts w:hint="eastAsia"/>
                <w:color w:val="auto"/>
                <w:szCs w:val="21"/>
                <w:highlight w:val="none"/>
              </w:rPr>
              <w:t>评标委员会的组建</w:t>
            </w:r>
          </w:p>
        </w:tc>
        <w:tc>
          <w:tcPr>
            <w:tcW w:w="7488" w:type="dxa"/>
            <w:tcBorders>
              <w:top w:val="single" w:color="auto" w:sz="8" w:space="0"/>
              <w:left w:val="single" w:color="auto" w:sz="4" w:space="0"/>
              <w:bottom w:val="single" w:color="auto" w:sz="8" w:space="0"/>
              <w:right w:val="single" w:color="auto" w:sz="8" w:space="0"/>
            </w:tcBorders>
            <w:vAlign w:val="top"/>
          </w:tcPr>
          <w:p w14:paraId="4A8AF845">
            <w:pPr>
              <w:pStyle w:val="157"/>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19F6151A">
            <w:pPr>
              <w:pStyle w:val="26"/>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szCs w:val="21"/>
                <w:highlight w:val="none"/>
              </w:rPr>
            </w:pPr>
            <w:r>
              <w:rPr>
                <w:rFonts w:hint="eastAsia"/>
                <w:color w:val="auto"/>
                <w:szCs w:val="21"/>
                <w:highlight w:val="none"/>
              </w:rPr>
              <w:t>评标专家确定方式：专家评委由采购人在开标前从专家库中随机抽取。</w:t>
            </w:r>
          </w:p>
        </w:tc>
      </w:tr>
      <w:tr w14:paraId="1269FF7F">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362023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18</w:t>
            </w:r>
          </w:p>
        </w:tc>
        <w:tc>
          <w:tcPr>
            <w:tcW w:w="1308" w:type="dxa"/>
            <w:tcBorders>
              <w:top w:val="single" w:color="auto" w:sz="8" w:space="0"/>
              <w:left w:val="single" w:color="auto" w:sz="4" w:space="0"/>
              <w:bottom w:val="single" w:color="auto" w:sz="8" w:space="0"/>
              <w:right w:val="single" w:color="auto" w:sz="4" w:space="0"/>
            </w:tcBorders>
            <w:vAlign w:val="center"/>
          </w:tcPr>
          <w:p w14:paraId="7E822FFC">
            <w:pPr>
              <w:pStyle w:val="26"/>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color w:val="auto"/>
                <w:szCs w:val="21"/>
                <w:highlight w:val="none"/>
              </w:rPr>
              <w:t>是否授权评标委员会确定中标候选人</w:t>
            </w:r>
          </w:p>
        </w:tc>
        <w:tc>
          <w:tcPr>
            <w:tcW w:w="7488" w:type="dxa"/>
            <w:tcBorders>
              <w:top w:val="single" w:color="auto" w:sz="8" w:space="0"/>
              <w:left w:val="single" w:color="auto" w:sz="4" w:space="0"/>
              <w:bottom w:val="single" w:color="auto" w:sz="8" w:space="0"/>
              <w:right w:val="single" w:color="auto" w:sz="8" w:space="0"/>
            </w:tcBorders>
            <w:vAlign w:val="center"/>
          </w:tcPr>
          <w:p w14:paraId="73DB93A2">
            <w:pPr>
              <w:pStyle w:val="26"/>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szCs w:val="21"/>
                <w:highlight w:val="none"/>
              </w:rPr>
            </w:pPr>
            <w:r>
              <w:rPr>
                <w:rFonts w:hint="eastAsia" w:hAnsi="宋体"/>
                <w:color w:val="auto"/>
                <w:szCs w:val="21"/>
                <w:highlight w:val="none"/>
              </w:rPr>
              <w:t>是，评标委员会推荐</w:t>
            </w:r>
            <w:r>
              <w:rPr>
                <w:rFonts w:hint="eastAsia" w:hAnsi="宋体"/>
                <w:color w:val="auto"/>
                <w:szCs w:val="21"/>
                <w:highlight w:val="none"/>
                <w:u w:val="single" w:color="auto"/>
              </w:rPr>
              <w:t xml:space="preserve"> </w:t>
            </w:r>
            <w:r>
              <w:rPr>
                <w:rFonts w:hint="eastAsia" w:hAnsi="宋体"/>
                <w:color w:val="auto"/>
                <w:szCs w:val="21"/>
                <w:highlight w:val="none"/>
                <w:u w:val="single" w:color="auto"/>
                <w:lang w:val="en-US" w:eastAsia="zh-CN"/>
              </w:rPr>
              <w:t>2</w:t>
            </w:r>
            <w:r>
              <w:rPr>
                <w:rFonts w:hint="eastAsia" w:hAnsi="宋体"/>
                <w:color w:val="auto"/>
                <w:szCs w:val="21"/>
                <w:highlight w:val="none"/>
                <w:u w:val="single" w:color="auto"/>
              </w:rPr>
              <w:t xml:space="preserve"> </w:t>
            </w:r>
            <w:r>
              <w:rPr>
                <w:rFonts w:hint="eastAsia" w:hAnsi="宋体"/>
                <w:color w:val="auto"/>
                <w:szCs w:val="21"/>
                <w:highlight w:val="none"/>
              </w:rPr>
              <w:t>名中标候选人。</w:t>
            </w:r>
          </w:p>
        </w:tc>
      </w:tr>
      <w:tr w14:paraId="4830CC6A">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28BA7F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19</w:t>
            </w:r>
          </w:p>
        </w:tc>
        <w:tc>
          <w:tcPr>
            <w:tcW w:w="1308" w:type="dxa"/>
            <w:tcBorders>
              <w:top w:val="single" w:color="auto" w:sz="8" w:space="0"/>
              <w:left w:val="single" w:color="auto" w:sz="4" w:space="0"/>
              <w:bottom w:val="single" w:color="auto" w:sz="8" w:space="0"/>
              <w:right w:val="single" w:color="auto" w:sz="4" w:space="0"/>
            </w:tcBorders>
            <w:vAlign w:val="center"/>
          </w:tcPr>
          <w:p w14:paraId="267A0C90">
            <w:pPr>
              <w:pStyle w:val="26"/>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color w:val="auto"/>
                <w:szCs w:val="21"/>
                <w:highlight w:val="none"/>
              </w:rPr>
              <w:t>中标结果公告媒介</w:t>
            </w:r>
          </w:p>
        </w:tc>
        <w:tc>
          <w:tcPr>
            <w:tcW w:w="7488" w:type="dxa"/>
            <w:tcBorders>
              <w:top w:val="single" w:color="auto" w:sz="8" w:space="0"/>
              <w:left w:val="single" w:color="auto" w:sz="4" w:space="0"/>
              <w:bottom w:val="single" w:color="auto" w:sz="8" w:space="0"/>
              <w:right w:val="single" w:color="auto" w:sz="8" w:space="0"/>
            </w:tcBorders>
            <w:vAlign w:val="top"/>
          </w:tcPr>
          <w:p w14:paraId="4B39C3E0">
            <w:pPr>
              <w:pStyle w:val="2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szCs w:val="21"/>
                <w:highlight w:val="none"/>
              </w:rPr>
            </w:pP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ascii="宋体" w:hAnsi="宋体" w:eastAsia="宋体" w:cs="宋体"/>
                <w:color w:val="auto"/>
                <w:szCs w:val="21"/>
                <w:highlight w:val="none"/>
              </w:rPr>
              <w:t>滁州市重点工程建设管理处（http://zdc.chuzhou.gov.cn/）</w:t>
            </w:r>
            <w:r>
              <w:rPr>
                <w:rFonts w:hint="eastAsia"/>
                <w:color w:val="auto"/>
                <w:spacing w:val="-4"/>
                <w:szCs w:val="21"/>
                <w:highlight w:val="none"/>
              </w:rPr>
              <w:t>等网站</w:t>
            </w:r>
          </w:p>
        </w:tc>
      </w:tr>
      <w:tr w14:paraId="312ECEA8">
        <w:tblPrEx>
          <w:tblCellMar>
            <w:top w:w="0" w:type="dxa"/>
            <w:left w:w="0" w:type="dxa"/>
            <w:bottom w:w="0" w:type="dxa"/>
            <w:right w:w="0" w:type="dxa"/>
          </w:tblCellMar>
        </w:tblPrEx>
        <w:trPr>
          <w:trHeight w:val="478" w:hRule="atLeast"/>
        </w:trPr>
        <w:tc>
          <w:tcPr>
            <w:tcW w:w="792" w:type="dxa"/>
            <w:tcBorders>
              <w:top w:val="single" w:color="auto" w:sz="8" w:space="0"/>
              <w:left w:val="single" w:color="auto" w:sz="8" w:space="0"/>
              <w:bottom w:val="single" w:color="auto" w:sz="8" w:space="0"/>
              <w:right w:val="single" w:color="auto" w:sz="8" w:space="0"/>
            </w:tcBorders>
            <w:vAlign w:val="center"/>
          </w:tcPr>
          <w:p w14:paraId="2F4F07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20</w:t>
            </w:r>
          </w:p>
        </w:tc>
        <w:tc>
          <w:tcPr>
            <w:tcW w:w="1308" w:type="dxa"/>
            <w:tcBorders>
              <w:top w:val="single" w:color="auto" w:sz="8" w:space="0"/>
              <w:left w:val="single" w:color="auto" w:sz="4" w:space="0"/>
              <w:bottom w:val="single" w:color="auto" w:sz="8" w:space="0"/>
              <w:right w:val="single" w:color="auto" w:sz="4" w:space="0"/>
            </w:tcBorders>
            <w:vAlign w:val="center"/>
          </w:tcPr>
          <w:p w14:paraId="1A9F4063">
            <w:pPr>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ascii="宋体"/>
                <w:color w:val="auto"/>
                <w:szCs w:val="21"/>
                <w:highlight w:val="none"/>
              </w:rPr>
              <w:t>履约担保</w:t>
            </w:r>
          </w:p>
        </w:tc>
        <w:tc>
          <w:tcPr>
            <w:tcW w:w="7488" w:type="dxa"/>
            <w:tcBorders>
              <w:top w:val="single" w:color="auto" w:sz="8" w:space="0"/>
              <w:left w:val="single" w:color="auto" w:sz="4" w:space="0"/>
              <w:bottom w:val="single" w:color="auto" w:sz="8" w:space="0"/>
              <w:right w:val="single" w:color="auto" w:sz="8" w:space="0"/>
            </w:tcBorders>
            <w:vAlign w:val="center"/>
          </w:tcPr>
          <w:p w14:paraId="6C5EFDE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jc w:val="both"/>
              <w:textAlignment w:val="auto"/>
              <w:rPr>
                <w:rFonts w:hint="eastAsia"/>
                <w:color w:val="auto"/>
                <w:szCs w:val="21"/>
                <w:highlight w:val="none"/>
              </w:rPr>
            </w:pPr>
            <w:r>
              <w:rPr>
                <w:rFonts w:hint="eastAsia"/>
                <w:color w:val="auto"/>
                <w:szCs w:val="21"/>
                <w:highlight w:val="none"/>
              </w:rPr>
              <w:t>是否收取履约担保：□收取，☑不收取</w:t>
            </w:r>
          </w:p>
        </w:tc>
      </w:tr>
      <w:tr w14:paraId="48DEE98A">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78D9694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jc w:val="center"/>
              <w:textAlignment w:val="auto"/>
              <w:rPr>
                <w:rFonts w:hint="eastAsia"/>
                <w:color w:val="auto"/>
                <w:szCs w:val="21"/>
                <w:highlight w:val="none"/>
              </w:rPr>
            </w:pPr>
            <w:r>
              <w:rPr>
                <w:rFonts w:hint="eastAsia" w:ascii="宋体" w:hAnsi="宋体" w:eastAsia="宋体" w:cs="宋体"/>
                <w:b/>
                <w:bCs/>
                <w:color w:val="auto"/>
                <w:sz w:val="21"/>
                <w:szCs w:val="21"/>
                <w:highlight w:val="none"/>
              </w:rPr>
              <w:t>需要补充的其他内容</w:t>
            </w:r>
          </w:p>
        </w:tc>
      </w:tr>
      <w:tr w14:paraId="3827A8E0">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09E577C2">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电子招标投标</w:t>
            </w:r>
          </w:p>
        </w:tc>
        <w:tc>
          <w:tcPr>
            <w:tcW w:w="7488" w:type="dxa"/>
            <w:tcBorders>
              <w:top w:val="single" w:color="auto" w:sz="8" w:space="0"/>
              <w:left w:val="single" w:color="auto" w:sz="4" w:space="0"/>
              <w:bottom w:val="single" w:color="auto" w:sz="8" w:space="0"/>
              <w:right w:val="single" w:color="auto" w:sz="8" w:space="0"/>
            </w:tcBorders>
            <w:vAlign w:val="center"/>
          </w:tcPr>
          <w:p w14:paraId="43ACE981">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09EFA89">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455557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488" w:type="dxa"/>
            <w:tcBorders>
              <w:top w:val="single" w:color="auto" w:sz="8" w:space="0"/>
              <w:left w:val="single" w:color="auto" w:sz="4" w:space="0"/>
              <w:bottom w:val="single" w:color="auto" w:sz="8" w:space="0"/>
              <w:right w:val="single" w:color="auto" w:sz="8" w:space="0"/>
            </w:tcBorders>
            <w:vAlign w:val="center"/>
          </w:tcPr>
          <w:p w14:paraId="5CDFBD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703EDA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2.在滁州市重点工程管理处限制承揽业务期限内的企业不予参加。</w:t>
            </w:r>
          </w:p>
          <w:p w14:paraId="04475A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6D4132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4.本项目招标代理单位、清单控制价编制单位、监理单位及项目跟踪审计不得参加投标。</w:t>
            </w:r>
          </w:p>
        </w:tc>
      </w:tr>
      <w:tr w14:paraId="79226A89">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680234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488" w:type="dxa"/>
            <w:tcBorders>
              <w:top w:val="single" w:color="auto" w:sz="8" w:space="0"/>
              <w:left w:val="single" w:color="auto" w:sz="4" w:space="0"/>
              <w:bottom w:val="single" w:color="auto" w:sz="8" w:space="0"/>
              <w:right w:val="single" w:color="auto" w:sz="8" w:space="0"/>
            </w:tcBorders>
            <w:vAlign w:val="center"/>
          </w:tcPr>
          <w:p w14:paraId="78B8EC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1、项目建设期间，相关部门将对跟踪审计工作进行不定期检查，如发现有不符合《跟踪审计委托协议》相关工作要求的行为，将按照约定给予相应的处罚。</w:t>
            </w:r>
          </w:p>
          <w:p w14:paraId="7519C9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2、本项目执行《工程造价咨询服务管理办法》中相关规定</w:t>
            </w:r>
            <w:r>
              <w:rPr>
                <w:rFonts w:hint="eastAsia" w:ascii="宋体" w:hAnsi="宋体" w:cs="宋体"/>
                <w:color w:val="auto"/>
                <w:kern w:val="0"/>
                <w:sz w:val="21"/>
                <w:szCs w:val="21"/>
                <w:highlight w:val="none"/>
                <w:lang w:val="en-US" w:eastAsia="zh-CN"/>
              </w:rPr>
              <w:t>。</w:t>
            </w:r>
          </w:p>
          <w:p w14:paraId="73CE55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3、本项目结算不支持付款给分公司。</w:t>
            </w:r>
          </w:p>
          <w:p w14:paraId="7AA9F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4407FD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0349EF3">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0DB55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488" w:type="dxa"/>
            <w:tcBorders>
              <w:top w:val="single" w:color="auto" w:sz="8" w:space="0"/>
              <w:left w:val="single" w:color="auto" w:sz="4" w:space="0"/>
              <w:bottom w:val="single" w:color="auto" w:sz="8" w:space="0"/>
              <w:right w:val="single" w:color="auto" w:sz="8" w:space="0"/>
            </w:tcBorders>
            <w:vAlign w:val="center"/>
          </w:tcPr>
          <w:p w14:paraId="71FA6B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出具审核报告，交付招标人初审确认，报经招标人备案审查通过后，按照招标人审查备案金额结算支付审计服务费用。（注：发包人在政府资金调度会批准且发票送达后完成支付）。</w:t>
            </w:r>
          </w:p>
        </w:tc>
      </w:tr>
      <w:tr w14:paraId="0F881255">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1EF32D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招标代理费及专家评审费</w:t>
            </w:r>
          </w:p>
        </w:tc>
        <w:tc>
          <w:tcPr>
            <w:tcW w:w="7488" w:type="dxa"/>
            <w:tcBorders>
              <w:top w:val="single" w:color="auto" w:sz="8" w:space="0"/>
              <w:left w:val="single" w:color="auto" w:sz="4" w:space="0"/>
              <w:bottom w:val="single" w:color="auto" w:sz="8" w:space="0"/>
              <w:right w:val="single" w:color="auto" w:sz="8" w:space="0"/>
            </w:tcBorders>
            <w:vAlign w:val="center"/>
          </w:tcPr>
          <w:p w14:paraId="0C0B6F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本项目招标代理服务费用0元，专家评审费另计（最终以实际发生为准，按实计收），中标单位在领取中标通知书前一次性支付</w:t>
            </w:r>
            <w:r>
              <w:rPr>
                <w:rFonts w:hint="eastAsia" w:ascii="宋体" w:hAnsi="宋体" w:eastAsia="宋体" w:cs="宋体"/>
                <w:color w:val="auto"/>
                <w:kern w:val="0"/>
                <w:sz w:val="21"/>
                <w:szCs w:val="21"/>
                <w:highlight w:val="none"/>
                <w:lang w:val="en-US" w:eastAsia="zh-CN"/>
              </w:rPr>
              <w:t>给代理公司。</w:t>
            </w:r>
          </w:p>
        </w:tc>
      </w:tr>
      <w:tr w14:paraId="5FD8330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26BFA1B9">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1"/>
                <w:szCs w:val="21"/>
                <w:highlight w:val="none"/>
                <w:lang w:val="en-US" w:eastAsia="zh-CN"/>
              </w:rPr>
            </w:pPr>
            <w:r>
              <w:rPr>
                <w:rFonts w:hint="eastAsia" w:ascii="宋体" w:hAnsi="宋体" w:cs="宋体"/>
                <w:color w:val="auto"/>
                <w:szCs w:val="21"/>
                <w:highlight w:val="none"/>
              </w:rPr>
              <w:t>评标过程中的澄清、说明或补正</w:t>
            </w:r>
          </w:p>
        </w:tc>
        <w:tc>
          <w:tcPr>
            <w:tcW w:w="7488" w:type="dxa"/>
            <w:tcBorders>
              <w:top w:val="single" w:color="auto" w:sz="8" w:space="0"/>
              <w:left w:val="single" w:color="auto" w:sz="4" w:space="0"/>
              <w:bottom w:val="single" w:color="auto" w:sz="8" w:space="0"/>
              <w:right w:val="single" w:color="auto" w:sz="8" w:space="0"/>
            </w:tcBorders>
            <w:vAlign w:val="center"/>
          </w:tcPr>
          <w:p w14:paraId="550CD8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（1）评标委员会通过网上招投标系统将需要澄清、说明或补正的内容以询标函的形式发送给投标人，投标人应安排专人登录网上招投标系统并保持在线状态，以便及时接收评标委员会可能发出的询标函。</w:t>
            </w:r>
          </w:p>
          <w:p w14:paraId="658E05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1E7C4E52">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67696A2F">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其他说明</w:t>
            </w:r>
          </w:p>
        </w:tc>
        <w:tc>
          <w:tcPr>
            <w:tcW w:w="7488" w:type="dxa"/>
            <w:tcBorders>
              <w:top w:val="single" w:color="auto" w:sz="8" w:space="0"/>
              <w:left w:val="single" w:color="auto" w:sz="4" w:space="0"/>
              <w:bottom w:val="single" w:color="auto" w:sz="8" w:space="0"/>
              <w:right w:val="single" w:color="auto" w:sz="8" w:space="0"/>
            </w:tcBorders>
            <w:vAlign w:val="center"/>
          </w:tcPr>
          <w:p w14:paraId="3B20A6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1.本招标文件前后条款若有不一致之处，在澄清答疑时又未作出明确规定时，各投标人的投标文件只要满足其中任一条款，均视为对本招标文件的响应。</w:t>
            </w:r>
          </w:p>
          <w:p w14:paraId="09C741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2.系统中提供的表格与招标文件中不一致时，以招标文件中提供的表格格式为准。</w:t>
            </w:r>
          </w:p>
          <w:p w14:paraId="080CF1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3.本项目招标公告与本招标文件不一致之处，以本招标文件为准。</w:t>
            </w:r>
          </w:p>
          <w:p w14:paraId="18C715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4.本文件的最终解释权归招标人、招标代理机构所有。</w:t>
            </w:r>
          </w:p>
        </w:tc>
      </w:tr>
    </w:tbl>
    <w:p w14:paraId="31143AE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highlight w:val="none"/>
        </w:rPr>
      </w:pPr>
    </w:p>
    <w:p w14:paraId="55D444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sz w:val="28"/>
          <w:highlight w:val="none"/>
        </w:rPr>
      </w:pPr>
      <w:bookmarkStart w:id="42" w:name="_Toc515"/>
      <w:bookmarkStart w:id="43" w:name="_Toc13663"/>
      <w:r>
        <w:rPr>
          <w:rFonts w:hint="eastAsia" w:ascii="宋体" w:hAnsi="宋体" w:eastAsia="宋体" w:cs="宋体"/>
          <w:b/>
          <w:bCs/>
          <w:color w:val="auto"/>
          <w:sz w:val="28"/>
          <w:highlight w:val="none"/>
        </w:rPr>
        <w:br w:type="page"/>
      </w:r>
      <w:bookmarkStart w:id="68" w:name="_GoBack"/>
      <w:bookmarkEnd w:id="68"/>
    </w:p>
    <w:p w14:paraId="3DD65A11">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2"/>
      <w:bookmarkEnd w:id="43"/>
    </w:p>
    <w:p w14:paraId="2CA6FC6A">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0C76C8BE">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rPr>
        <w:t>名称：滁州市安置小区二次供水改造项目（二标段）结算复核服务项目</w:t>
      </w:r>
    </w:p>
    <w:p w14:paraId="285C312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55DA051B">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val="en-US" w:eastAsia="zh-CN"/>
        </w:rPr>
        <w:t>滁州市重点工程建设管理处</w:t>
      </w:r>
      <w:r>
        <w:rPr>
          <w:rFonts w:hint="eastAsia" w:ascii="宋体" w:hAnsi="宋体" w:eastAsia="宋体" w:cs="宋体"/>
          <w:color w:val="auto"/>
          <w:sz w:val="21"/>
          <w:szCs w:val="21"/>
          <w:highlight w:val="none"/>
          <w:u w:val="none"/>
          <w:lang w:eastAsia="zh-CN"/>
        </w:rPr>
        <w:t xml:space="preserve"> </w:t>
      </w:r>
    </w:p>
    <w:p w14:paraId="15BEC04A">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1.2本工程建设规模：</w:t>
      </w:r>
      <w:r>
        <w:rPr>
          <w:rFonts w:hint="eastAsia" w:ascii="宋体" w:hAnsi="宋体" w:cs="宋体"/>
          <w:color w:val="auto"/>
          <w:sz w:val="21"/>
          <w:szCs w:val="21"/>
          <w:highlight w:val="none"/>
          <w:u w:val="none"/>
          <w:lang w:val="en-US" w:eastAsia="zh-CN"/>
        </w:rPr>
        <w:t>结算审核造价为2513436.11元，结算审核服务费约0.8万元</w:t>
      </w:r>
    </w:p>
    <w:p w14:paraId="72F5E678">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服务需求</w:t>
      </w:r>
    </w:p>
    <w:p w14:paraId="1C6D5FC6">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ACE006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500EAA7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6BF88B48">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7CA24056">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13FFB271">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0E93B7A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474907C2">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7AD2DA7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9730EDA">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46F7679F">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471593C7">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014AEB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5350BFC8">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2334667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067B611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44D1657E">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eastAsia="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0A7B26B1">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0878061E">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章评标办法）。</w:t>
      </w:r>
    </w:p>
    <w:p w14:paraId="5C343658">
      <w:pPr>
        <w:spacing w:line="400" w:lineRule="exact"/>
        <w:jc w:val="center"/>
        <w:outlineLvl w:val="1"/>
        <w:rPr>
          <w:rFonts w:hint="eastAsia" w:ascii="宋体" w:hAnsi="宋体" w:eastAsia="宋体" w:cs="宋体"/>
          <w:b/>
          <w:bCs/>
          <w:color w:val="auto"/>
          <w:sz w:val="28"/>
          <w:highlight w:val="none"/>
        </w:rPr>
      </w:pPr>
      <w:bookmarkStart w:id="44" w:name="_Toc29988"/>
      <w:bookmarkStart w:id="45" w:name="_Toc17301"/>
    </w:p>
    <w:p w14:paraId="61D14154">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4"/>
      <w:bookmarkEnd w:id="45"/>
    </w:p>
    <w:p w14:paraId="2A1CF798">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2190227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323B0A7">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8CF0CA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9EC070F">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5799345F">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2D40BC66">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7E7A6852">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6D96268A">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4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7871A6FD">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6DC262CF">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6E1249A4">
      <w:pPr>
        <w:pStyle w:val="63"/>
        <w:keepNext w:val="0"/>
        <w:keepLines w:val="0"/>
        <w:pageBreakBefore w:val="0"/>
        <w:widowControl w:val="0"/>
        <w:kinsoku/>
        <w:wordWrap/>
        <w:overflowPunct/>
        <w:topLinePunct w:val="0"/>
        <w:autoSpaceDE/>
        <w:autoSpaceDN/>
        <w:bidi w:val="0"/>
        <w:spacing w:line="480" w:lineRule="exact"/>
        <w:ind w:left="0" w:leftChars="0" w:firstLine="420" w:firstLineChars="200"/>
        <w:textAlignment w:val="auto"/>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等网站发布，但不指明澄清问题的来源。如果澄清内容影响投标文件编制的，将相应延长投标截止时间。</w:t>
      </w:r>
    </w:p>
    <w:p w14:paraId="171F93B9">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3517ED09">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6D329B1D">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5A79E55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6BDADC75">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0A325ECF">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53B52E68">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64BAFA07">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0FA1BB6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69C7BE38">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212B707B">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2AFAD7BB">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本项目的最高限价</w:t>
      </w:r>
      <w:r>
        <w:rPr>
          <w:rFonts w:hint="eastAsia" w:ascii="宋体" w:hAnsi="宋体" w:eastAsia="宋体" w:cs="宋体"/>
          <w:b/>
          <w:bCs/>
          <w:color w:val="auto"/>
          <w:sz w:val="21"/>
          <w:szCs w:val="21"/>
          <w:highlight w:val="none"/>
          <w:lang w:eastAsia="zh-CN"/>
        </w:rPr>
        <w:t>为基本费</w:t>
      </w:r>
      <w:r>
        <w:rPr>
          <w:rFonts w:hint="eastAsia" w:ascii="宋体" w:hAnsi="宋体" w:cs="宋体"/>
          <w:b/>
          <w:bCs/>
          <w:color w:val="auto"/>
          <w:sz w:val="21"/>
          <w:szCs w:val="21"/>
          <w:highlight w:val="none"/>
          <w:lang w:val="en-US" w:eastAsia="zh-CN"/>
        </w:rPr>
        <w:t>5000</w:t>
      </w:r>
      <w:r>
        <w:rPr>
          <w:rFonts w:hint="eastAsia" w:ascii="宋体" w:hAnsi="宋体" w:eastAsia="宋体" w:cs="宋体"/>
          <w:b/>
          <w:bCs/>
          <w:color w:val="auto"/>
          <w:sz w:val="21"/>
          <w:szCs w:val="21"/>
          <w:highlight w:val="none"/>
          <w:lang w:eastAsia="zh-CN"/>
        </w:rPr>
        <w:t>元</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基本费由投标人自主报价，</w:t>
      </w:r>
      <w:r>
        <w:rPr>
          <w:rFonts w:hint="eastAsia" w:ascii="宋体" w:hAnsi="宋体" w:eastAsia="宋体" w:cs="宋体"/>
          <w:b/>
          <w:bCs/>
          <w:color w:val="auto"/>
          <w:sz w:val="21"/>
          <w:szCs w:val="21"/>
          <w:highlight w:val="none"/>
        </w:rPr>
        <w:t>不得高于上述基本费最高限价，否则按无效标处理。</w:t>
      </w:r>
    </w:p>
    <w:p w14:paraId="5C2C52DB">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46" w:name="_Toc24852"/>
    </w:p>
    <w:p w14:paraId="7FFCBEC4">
      <w:pPr>
        <w:spacing w:line="400" w:lineRule="exact"/>
        <w:jc w:val="center"/>
        <w:outlineLvl w:val="1"/>
        <w:rPr>
          <w:rFonts w:hint="eastAsia" w:ascii="宋体" w:hAnsi="宋体" w:eastAsia="宋体" w:cs="宋体"/>
          <w:b/>
          <w:bCs/>
          <w:color w:val="auto"/>
          <w:sz w:val="28"/>
          <w:highlight w:val="none"/>
        </w:rPr>
      </w:pPr>
      <w:bookmarkStart w:id="47" w:name="_Toc6831"/>
      <w:r>
        <w:rPr>
          <w:rFonts w:hint="eastAsia" w:ascii="宋体" w:hAnsi="宋体" w:eastAsia="宋体" w:cs="宋体"/>
          <w:b/>
          <w:bCs/>
          <w:color w:val="auto"/>
          <w:sz w:val="28"/>
          <w:highlight w:val="none"/>
        </w:rPr>
        <w:t>三、投标文件的编制</w:t>
      </w:r>
      <w:bookmarkEnd w:id="46"/>
      <w:bookmarkEnd w:id="47"/>
    </w:p>
    <w:p w14:paraId="47975A2C">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58887AD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（1）法定代表人身份证明文件和本人有效身份证(或法定代表人授权委托书和委托代理人有效身份证)；（格式见附件）</w:t>
      </w:r>
    </w:p>
    <w:p w14:paraId="0A40112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（2）企业法人营业执照； </w:t>
      </w:r>
    </w:p>
    <w:p w14:paraId="6A69470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（3）项目人员配备表；（格式见附件）</w:t>
      </w:r>
    </w:p>
    <w:p w14:paraId="7C623CC7">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（4）拟派项目负责人注册造价师证书（若注册证书上无法体现专业的，还需另行提供证明专业的证明材料）； </w:t>
      </w:r>
    </w:p>
    <w:p w14:paraId="2F3C6F5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（5）项目组其他成员（不含项目负责人）：不少于2名且具有在本单位注册的二级及以上造价工程师注册证书（</w:t>
      </w:r>
      <w:r>
        <w:rPr>
          <w:rFonts w:hint="eastAsia" w:ascii="宋体" w:hAnsi="宋体" w:cs="宋体"/>
          <w:color w:val="auto"/>
          <w:sz w:val="21"/>
          <w:szCs w:val="21"/>
          <w:highlight w:val="none"/>
          <w:lang w:val="en-US" w:eastAsia="zh-CN"/>
        </w:rPr>
        <w:t>安装</w:t>
      </w:r>
      <w:r>
        <w:rPr>
          <w:rFonts w:hint="eastAsia" w:ascii="宋体" w:hAnsi="宋体" w:eastAsia="宋体" w:cs="宋体"/>
          <w:color w:val="auto"/>
          <w:sz w:val="21"/>
          <w:szCs w:val="21"/>
          <w:highlight w:val="none"/>
        </w:rPr>
        <w:t xml:space="preserve">工程专业至少1名）（若注册证书上无法体现专业的，还需另行提供证明专业的证明材料）； </w:t>
      </w:r>
    </w:p>
    <w:p w14:paraId="517A96C8">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（6）承诺书1：投标人对所提供的上述材料作出承诺，若投标人存在弄虚作假，提供虚假资料的，若中标，则取消中标资格。（承诺书格式自拟并注明开标日期，加盖投标单位公章）</w:t>
      </w:r>
    </w:p>
    <w:p w14:paraId="09950D0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47C4966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定代表人（或委托代理人）、项目负责人、项目组其他成员须持有社保部门出具的本单位为其缴纳的投标前近三个月内任意一月的养老保险证明（含官网在线打印件，证明文件两个月内有效），或投标人提供承诺已为上述人员缴纳养老保险证明的承诺书（格式自拟）。</w:t>
      </w:r>
    </w:p>
    <w:p w14:paraId="628164D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（9）投标函；</w:t>
      </w:r>
    </w:p>
    <w:p w14:paraId="620C37B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（10）投标人认为需要提供的其他材料</w:t>
      </w:r>
      <w:r>
        <w:rPr>
          <w:rFonts w:hint="eastAsia" w:ascii="宋体" w:hAnsi="宋体" w:eastAsia="宋体" w:cs="宋体"/>
          <w:color w:val="auto"/>
          <w:sz w:val="21"/>
          <w:szCs w:val="21"/>
          <w:highlight w:val="none"/>
          <w:lang w:val="en-US" w:eastAsia="zh-CN"/>
        </w:rPr>
        <w:t>。</w:t>
      </w:r>
    </w:p>
    <w:p w14:paraId="675E8ECE">
      <w:pPr>
        <w:keepNext w:val="0"/>
        <w:keepLines w:val="0"/>
        <w:pageBreakBefore w:val="0"/>
        <w:widowControl w:val="0"/>
        <w:numPr>
          <w:ilvl w:val="0"/>
          <w:numId w:val="0"/>
        </w:numPr>
        <w:kinsoku/>
        <w:wordWrap/>
        <w:overflowPunct/>
        <w:topLinePunct w:val="0"/>
        <w:autoSpaceDE/>
        <w:autoSpaceDN/>
        <w:bidi w:val="0"/>
        <w:spacing w:line="480" w:lineRule="exact"/>
        <w:ind w:firstLine="422" w:firstLineChars="200"/>
        <w:jc w:val="both"/>
        <w:textAlignment w:val="auto"/>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133F11D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26C545A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7323486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1EE6A9C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399F87A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 0512-58151515（工作日）或者网站首页在线客服</w:t>
      </w:r>
      <w:r>
        <w:rPr>
          <w:rFonts w:hint="eastAsia" w:ascii="宋体" w:hAnsi="Calibri"/>
          <w:color w:val="auto"/>
          <w:szCs w:val="21"/>
          <w:highlight w:val="none"/>
          <w:lang w:val="en-US" w:eastAsia="zh-CN"/>
        </w:rPr>
        <w:t xml:space="preserve">。 </w:t>
      </w:r>
    </w:p>
    <w:p w14:paraId="4A49712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0A2D104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70A46027">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1AB9F57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6161281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142AB53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1680E122">
      <w:pPr>
        <w:pStyle w:val="2"/>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2E59D52B">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98F943B">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033B00B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0FF735A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27E794E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r>
        <w:rPr>
          <w:rFonts w:hint="eastAsia" w:ascii="宋体" w:hAnsi="宋体" w:cs="宋体"/>
          <w:color w:val="auto"/>
          <w:kern w:val="0"/>
          <w:szCs w:val="21"/>
          <w:highlight w:val="none"/>
          <w:lang w:eastAsia="zh-CN"/>
        </w:rPr>
        <w:t>。</w:t>
      </w:r>
    </w:p>
    <w:p w14:paraId="3D9E666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65452FA8">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DB88A4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65B72AB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00FEDE67">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79BDC22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5EF6E091">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4"/>
          <w:highlight w:val="none"/>
          <w:lang w:val="en-US" w:eastAsia="zh-CN"/>
        </w:rPr>
      </w:pPr>
      <w:bookmarkStart w:id="48" w:name="_Toc27519"/>
      <w:r>
        <w:rPr>
          <w:rFonts w:hint="eastAsia" w:ascii="宋体" w:hAnsi="宋体" w:eastAsia="宋体" w:cs="宋体"/>
          <w:color w:val="auto"/>
          <w:sz w:val="24"/>
          <w:highlight w:val="none"/>
          <w:lang w:val="en-US" w:eastAsia="zh-CN"/>
        </w:rPr>
        <w:t xml:space="preserve"> </w:t>
      </w:r>
    </w:p>
    <w:p w14:paraId="73D62D4D">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49" w:name="_Toc13407"/>
      <w:r>
        <w:rPr>
          <w:rFonts w:hint="eastAsia" w:ascii="宋体" w:hAnsi="宋体" w:eastAsia="宋体" w:cs="宋体"/>
          <w:b/>
          <w:bCs/>
          <w:color w:val="auto"/>
          <w:sz w:val="28"/>
          <w:highlight w:val="none"/>
        </w:rPr>
        <w:t>四、投标文件的递交</w:t>
      </w:r>
      <w:bookmarkEnd w:id="48"/>
      <w:bookmarkEnd w:id="49"/>
    </w:p>
    <w:p w14:paraId="75C1527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jc w:val="both"/>
        <w:textAlignment w:val="auto"/>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770AAB1A">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3CD60044">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1B78FF1B">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投标文件的提交</w:t>
      </w:r>
    </w:p>
    <w:p w14:paraId="72762847">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009E240F">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37153C7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8"/>
          <w:szCs w:val="28"/>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color w:val="auto"/>
          <w:highlight w:val="none"/>
        </w:rPr>
        <w:t>采用网上招投标的，在规定的投标截止时间前，投标人可以自行从网上招投标系统撤回已递交的投标文件，并可修改后重新上传，开标时以投标截止时间前投标人最终上传的投标文件为准</w:t>
      </w:r>
    </w:p>
    <w:p w14:paraId="6CF74B2D">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center"/>
        <w:textAlignment w:val="auto"/>
        <w:outlineLvl w:val="1"/>
        <w:rPr>
          <w:rFonts w:hint="eastAsia" w:ascii="宋体" w:hAnsi="宋体" w:eastAsia="宋体" w:cs="宋体"/>
          <w:b/>
          <w:bCs/>
          <w:color w:val="auto"/>
          <w:sz w:val="28"/>
          <w:highlight w:val="none"/>
        </w:rPr>
      </w:pPr>
      <w:bookmarkStart w:id="50" w:name="_Toc18173"/>
      <w:bookmarkStart w:id="51" w:name="_Toc24005"/>
    </w:p>
    <w:p w14:paraId="19B5EA0E">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五、开标、评标和定标</w:t>
      </w:r>
      <w:bookmarkEnd w:id="50"/>
      <w:bookmarkEnd w:id="51"/>
    </w:p>
    <w:p w14:paraId="2481EE9B">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7A3F267A">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180F83B8">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6FBAE477">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403D45C7">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63F06F81">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613FF900">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23A09F64">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5B973F5A">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6D711BFD">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005A3F26">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（5）开标结束。 </w:t>
      </w:r>
    </w:p>
    <w:p w14:paraId="1145A57E">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多标包项目按照标段顺序按以上程序依次开标。 </w:t>
      </w:r>
    </w:p>
    <w:p w14:paraId="63E9679B">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89C86F3">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0497DBB9">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7ACDDEB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0D6EFC3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730045C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67D3AE92">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5EC6D7C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5D4AD61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7A3ECB5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5CEC6A79">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53F1CE2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563CD7C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47713992">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09C957C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2FF8381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7ED9EE0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2453806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0EFC938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EB83BA9">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3B693F23">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5BC7F2C9">
      <w:pPr>
        <w:keepNext w:val="0"/>
        <w:keepLines w:val="0"/>
        <w:pageBreakBefore w:val="0"/>
        <w:widowControl w:val="0"/>
        <w:kinsoku/>
        <w:overflowPunct/>
        <w:topLinePunct w:val="0"/>
        <w:autoSpaceDE/>
        <w:autoSpaceDN/>
        <w:bidi w:val="0"/>
        <w:spacing w:line="480" w:lineRule="exact"/>
        <w:ind w:right="0" w:rightChars="0" w:firstLine="422" w:firstLineChars="200"/>
        <w:jc w:val="left"/>
        <w:textAlignment w:val="auto"/>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1A50F4C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60D42D7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60E4057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49040BE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206C9C3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39BE9BD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0FC057E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3A66784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5784440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174944B4">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3C51E6C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C23CBB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5C1FCD09">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79A62D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7A9DCD9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4AEB4A0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714C93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46B9F37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9FBFBC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2A75287D">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1B141C7">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12206390">
      <w:pPr>
        <w:keepNext w:val="0"/>
        <w:keepLines w:val="0"/>
        <w:pageBreakBefore w:val="0"/>
        <w:widowControl w:val="0"/>
        <w:kinsoku/>
        <w:overflowPunct/>
        <w:topLinePunct w:val="0"/>
        <w:autoSpaceDE/>
        <w:autoSpaceDN/>
        <w:bidi w:val="0"/>
        <w:spacing w:line="480" w:lineRule="exact"/>
        <w:ind w:right="0" w:rightChars="0" w:firstLine="422"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05DD68AD">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6B9555CF">
      <w:pPr>
        <w:pStyle w:val="19"/>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24AD1516">
      <w:pPr>
        <w:pStyle w:val="19"/>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BA2AB24">
      <w:pPr>
        <w:pStyle w:val="19"/>
        <w:keepNext w:val="0"/>
        <w:keepLines w:val="0"/>
        <w:pageBreakBefore w:val="0"/>
        <w:widowControl w:val="0"/>
        <w:kinsoku/>
        <w:wordWrap w:val="0"/>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37F2C425">
      <w:pPr>
        <w:pStyle w:val="19"/>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3E4B5D89">
      <w:pPr>
        <w:pStyle w:val="19"/>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2AA22012">
      <w:pPr>
        <w:pStyle w:val="19"/>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247F98">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02074FD2">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78E050C4">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0C3955B">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2C697945">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07FDFE57">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30664297">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68C4BCAB">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307AD01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185A97F1">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重新招标后，投标截止时间结束后提交投标文件的投标人少于3家或者符合专业条件的投标人或对招标文件作出实质性响应的投标人不足3家的，招标人可采取竞争性谈判、单一来源采购方式进行项目发包。</w:t>
      </w:r>
    </w:p>
    <w:p w14:paraId="01BC5862">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参加竞争性谈判、单一来源采购的投标人必须符合下列条件：①、投标资格符合招标文件要求；②、对招标文件作出实质性响应。 </w:t>
      </w:r>
    </w:p>
    <w:p w14:paraId="4649747A">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2" w:name="_Toc22926"/>
      <w:bookmarkStart w:id="53" w:name="_Toc21491"/>
      <w:r>
        <w:rPr>
          <w:rFonts w:hint="eastAsia" w:ascii="宋体" w:hAnsi="宋体" w:eastAsia="宋体" w:cs="宋体"/>
          <w:b/>
          <w:bCs/>
          <w:color w:val="auto"/>
          <w:sz w:val="28"/>
          <w:highlight w:val="none"/>
        </w:rPr>
        <w:t>六、合同的授予</w:t>
      </w:r>
      <w:bookmarkEnd w:id="52"/>
      <w:bookmarkEnd w:id="53"/>
    </w:p>
    <w:p w14:paraId="36F19C89">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082E53F7">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AA68E6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34F6590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7B8D4AE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02B1AD11">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4" w:name="_Toc31589_WPSOffice_Level1"/>
      <w:bookmarkStart w:id="55" w:name="_Toc3222"/>
      <w:r>
        <w:rPr>
          <w:rFonts w:hint="eastAsia" w:ascii="宋体" w:hAnsi="宋体" w:eastAsia="宋体" w:cs="宋体"/>
          <w:color w:val="auto"/>
          <w:highlight w:val="none"/>
          <w:lang w:val="en-US" w:eastAsia="zh-CN"/>
        </w:rPr>
        <w:t xml:space="preserve"> </w:t>
      </w:r>
    </w:p>
    <w:p w14:paraId="66BCF86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1B9E1750">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0563B30B">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17AF7C82">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3A09560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522180F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5DDF6E9B">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C3420D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658C70BE">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1F0409A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1D6E235F">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6"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6"/>
    </w:p>
    <w:p w14:paraId="2FA71221">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152AA23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3627C4A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0CEACA8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58E31A8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36.4参与投标的投标人对中标公告提出的质疑（异议），负有举证的责任。投标人提出质疑（异议）应当提交质疑函和必要的证明材料。质疑（异议）函应当包括下列内容：</w:t>
      </w:r>
    </w:p>
    <w:p w14:paraId="02A281E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（一）投标人的姓名或者名称、地址、邮编、联系人及联系电话；</w:t>
      </w:r>
    </w:p>
    <w:p w14:paraId="652A98C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（二）质疑（异议）项目的名称、编号；</w:t>
      </w:r>
    </w:p>
    <w:p w14:paraId="615DC11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（三）具体、明确的质疑（异议）事项和与质疑（异议）事项相关的请求；</w:t>
      </w:r>
    </w:p>
    <w:p w14:paraId="3E59266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（四）事实依据；</w:t>
      </w:r>
    </w:p>
    <w:p w14:paraId="5B53840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（五）必要的法律依据；</w:t>
      </w:r>
    </w:p>
    <w:p w14:paraId="5CF549B9">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（六）提出质疑（异议）的日期。</w:t>
      </w:r>
    </w:p>
    <w:p w14:paraId="59A305B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投标人为自然人的，应当由本人签字；投标人为法人或者其他组织的，应当由法定代表人、主要负责人，或者其授权代表签字或者盖章，并加盖公章。</w:t>
      </w:r>
    </w:p>
    <w:p w14:paraId="0C55B3C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7980BBC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52631723">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7" w:name="_Toc13234"/>
      <w:r>
        <w:rPr>
          <w:rFonts w:hint="eastAsia" w:ascii="宋体" w:hAnsi="宋体" w:eastAsia="宋体" w:cs="宋体"/>
          <w:color w:val="auto"/>
          <w:highlight w:val="none"/>
          <w:lang w:val="en-US" w:eastAsia="zh-CN"/>
        </w:rPr>
        <w:t>第二章 评标办法</w:t>
      </w:r>
      <w:bookmarkEnd w:id="57"/>
    </w:p>
    <w:p w14:paraId="18C88FFA">
      <w:pPr>
        <w:keepNext w:val="0"/>
        <w:keepLines w:val="0"/>
        <w:pageBreakBefore w:val="0"/>
        <w:widowControl w:val="0"/>
        <w:kinsoku/>
        <w:wordWrap/>
        <w:overflowPunct/>
        <w:topLinePunct w:val="0"/>
        <w:autoSpaceDE/>
        <w:autoSpaceDN/>
        <w:bidi w:val="0"/>
        <w:adjustRightInd/>
        <w:snapToGrid/>
        <w:spacing w:before="96" w:beforeLines="30" w:after="96" w:afterLines="30" w:line="460" w:lineRule="exact"/>
        <w:jc w:val="center"/>
        <w:textAlignment w:val="auto"/>
        <w:outlineLvl w:val="1"/>
        <w:rPr>
          <w:rFonts w:hint="eastAsia" w:ascii="宋体" w:hAnsi="宋体" w:eastAsia="宋体" w:cs="宋体"/>
          <w:b/>
          <w:bCs/>
          <w:color w:val="auto"/>
          <w:sz w:val="28"/>
          <w:szCs w:val="28"/>
          <w:highlight w:val="none"/>
          <w:lang w:val="en-US" w:eastAsia="zh-CN"/>
        </w:rPr>
      </w:pPr>
      <w:bookmarkStart w:id="58" w:name="_Toc14912"/>
      <w:r>
        <w:rPr>
          <w:rFonts w:hint="eastAsia" w:ascii="宋体" w:hAnsi="宋体" w:eastAsia="宋体" w:cs="宋体"/>
          <w:b/>
          <w:bCs/>
          <w:color w:val="auto"/>
          <w:sz w:val="28"/>
          <w:szCs w:val="28"/>
          <w:highlight w:val="none"/>
          <w:lang w:val="en-US" w:eastAsia="zh-CN"/>
        </w:rPr>
        <w:t>一、总则</w:t>
      </w:r>
      <w:bookmarkEnd w:id="58"/>
    </w:p>
    <w:p w14:paraId="650302C7">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0796909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法，评标委员会对满足招标文件实质性要求的投标文件，按照本章规定的评分标准进行打分，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724BD7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62435DFF">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774AE13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4C7D008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1A43FF9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46DCA0B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3F241DC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1B4F97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1FD9FC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招标人不接受投标单位主动提出的澄清。</w:t>
      </w:r>
    </w:p>
    <w:p w14:paraId="711A567B">
      <w:pPr>
        <w:keepNext w:val="0"/>
        <w:keepLines w:val="0"/>
        <w:pageBreakBefore w:val="0"/>
        <w:widowControl w:val="0"/>
        <w:kinsoku/>
        <w:wordWrap/>
        <w:overflowPunct/>
        <w:topLinePunct w:val="0"/>
        <w:autoSpaceDE/>
        <w:autoSpaceDN/>
        <w:bidi w:val="0"/>
        <w:adjustRightInd/>
        <w:snapToGrid/>
        <w:spacing w:before="96" w:beforeLines="30" w:after="96" w:afterLines="30" w:line="460" w:lineRule="exact"/>
        <w:jc w:val="center"/>
        <w:textAlignment w:val="auto"/>
        <w:outlineLvl w:val="1"/>
        <w:rPr>
          <w:rFonts w:hint="eastAsia" w:ascii="宋体" w:hAnsi="宋体" w:eastAsia="宋体" w:cs="宋体"/>
          <w:b/>
          <w:bCs/>
          <w:color w:val="auto"/>
          <w:sz w:val="28"/>
          <w:szCs w:val="28"/>
          <w:highlight w:val="none"/>
          <w:lang w:val="en-US" w:eastAsia="zh-CN"/>
        </w:rPr>
      </w:pPr>
      <w:bookmarkStart w:id="59" w:name="_Toc58430318"/>
      <w:bookmarkStart w:id="60" w:name="_Toc449028878"/>
      <w:bookmarkStart w:id="61" w:name="_Toc29779"/>
      <w:r>
        <w:rPr>
          <w:rFonts w:hint="eastAsia" w:ascii="宋体" w:hAnsi="宋体" w:eastAsia="宋体" w:cs="宋体"/>
          <w:b/>
          <w:bCs/>
          <w:color w:val="auto"/>
          <w:sz w:val="28"/>
          <w:szCs w:val="28"/>
          <w:highlight w:val="none"/>
          <w:lang w:val="en-US" w:eastAsia="zh-CN"/>
        </w:rPr>
        <w:t>二、投标文件初审</w:t>
      </w:r>
      <w:bookmarkEnd w:id="59"/>
      <w:bookmarkEnd w:id="60"/>
    </w:p>
    <w:p w14:paraId="140B08E8">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63EB78BC">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5C1A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25" w:type="dxa"/>
            <w:noWrap w:val="0"/>
            <w:vAlign w:val="center"/>
          </w:tcPr>
          <w:p w14:paraId="1D913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6B02A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126AB7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color w:val="auto"/>
                <w:highlight w:val="none"/>
              </w:rPr>
            </w:pPr>
            <w:r>
              <w:rPr>
                <w:rFonts w:hint="eastAsia" w:ascii="宋体" w:hAnsi="宋体"/>
                <w:color w:val="auto"/>
                <w:szCs w:val="21"/>
                <w:highlight w:val="none"/>
              </w:rPr>
              <w:t>评审标准</w:t>
            </w:r>
          </w:p>
        </w:tc>
      </w:tr>
      <w:tr w14:paraId="5622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1D4D8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F0FA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1DB1E0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530DE8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color w:val="auto"/>
                <w:szCs w:val="21"/>
                <w:highlight w:val="none"/>
              </w:rPr>
            </w:pPr>
            <w:r>
              <w:rPr>
                <w:rFonts w:hint="eastAsia"/>
                <w:color w:val="auto"/>
                <w:highlight w:val="none"/>
              </w:rPr>
              <w:t>检验电子标书。</w:t>
            </w:r>
          </w:p>
        </w:tc>
      </w:tr>
      <w:tr w14:paraId="3A8D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20C3C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16185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5D01E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）具备独立承担民事责任能力</w:t>
            </w:r>
          </w:p>
        </w:tc>
        <w:tc>
          <w:tcPr>
            <w:tcW w:w="2326" w:type="dxa"/>
            <w:noWrap w:val="0"/>
            <w:vAlign w:val="center"/>
          </w:tcPr>
          <w:p w14:paraId="15D24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17F50D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olor w:val="auto"/>
                <w:szCs w:val="21"/>
                <w:highlight w:val="none"/>
              </w:rPr>
            </w:pPr>
            <w:r>
              <w:rPr>
                <w:rFonts w:hint="eastAsia" w:ascii="宋体"/>
                <w:color w:val="auto"/>
                <w:szCs w:val="21"/>
                <w:highlight w:val="none"/>
              </w:rPr>
              <w:t>投标人有效的有效的营业执照或事业单位法人证书</w:t>
            </w:r>
          </w:p>
        </w:tc>
      </w:tr>
      <w:tr w14:paraId="1EEA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58072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color w:val="auto"/>
                <w:szCs w:val="21"/>
                <w:highlight w:val="none"/>
              </w:rPr>
            </w:pPr>
          </w:p>
        </w:tc>
        <w:tc>
          <w:tcPr>
            <w:tcW w:w="1235" w:type="dxa"/>
            <w:vMerge w:val="continue"/>
            <w:noWrap w:val="0"/>
            <w:vAlign w:val="center"/>
          </w:tcPr>
          <w:p w14:paraId="2EF3E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p>
        </w:tc>
        <w:tc>
          <w:tcPr>
            <w:tcW w:w="5296" w:type="dxa"/>
            <w:noWrap w:val="0"/>
            <w:vAlign w:val="center"/>
          </w:tcPr>
          <w:p w14:paraId="4A1E5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326" w:type="dxa"/>
            <w:noWrap w:val="0"/>
            <w:vAlign w:val="center"/>
          </w:tcPr>
          <w:p w14:paraId="700D8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b/>
                <w:color w:val="auto"/>
                <w:szCs w:val="21"/>
                <w:highlight w:val="none"/>
              </w:rPr>
            </w:pPr>
            <w:r>
              <w:rPr>
                <w:rFonts w:hint="eastAsia"/>
                <w:color w:val="auto"/>
                <w:highlight w:val="none"/>
              </w:rPr>
              <w:t>格式见附件，检验电子标书</w:t>
            </w:r>
          </w:p>
        </w:tc>
      </w:tr>
      <w:tr w14:paraId="2CBE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0F7913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color w:val="auto"/>
                <w:szCs w:val="21"/>
                <w:highlight w:val="none"/>
              </w:rPr>
            </w:pPr>
          </w:p>
        </w:tc>
        <w:tc>
          <w:tcPr>
            <w:tcW w:w="1235" w:type="dxa"/>
            <w:vMerge w:val="continue"/>
            <w:noWrap w:val="0"/>
            <w:vAlign w:val="center"/>
          </w:tcPr>
          <w:p w14:paraId="0C268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p>
        </w:tc>
        <w:tc>
          <w:tcPr>
            <w:tcW w:w="5296" w:type="dxa"/>
            <w:noWrap w:val="0"/>
            <w:vAlign w:val="center"/>
          </w:tcPr>
          <w:p w14:paraId="5187C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326" w:type="dxa"/>
            <w:noWrap w:val="0"/>
            <w:vAlign w:val="center"/>
          </w:tcPr>
          <w:p w14:paraId="21B12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color w:val="auto"/>
                <w:highlight w:val="none"/>
              </w:rPr>
              <w:t>检验电子标书</w:t>
            </w:r>
          </w:p>
        </w:tc>
      </w:tr>
      <w:tr w14:paraId="36BC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28FC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color w:val="auto"/>
                <w:szCs w:val="21"/>
                <w:highlight w:val="none"/>
              </w:rPr>
            </w:pPr>
          </w:p>
        </w:tc>
        <w:tc>
          <w:tcPr>
            <w:tcW w:w="1235" w:type="dxa"/>
            <w:vMerge w:val="continue"/>
            <w:noWrap w:val="0"/>
            <w:vAlign w:val="center"/>
          </w:tcPr>
          <w:p w14:paraId="245F2B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p>
        </w:tc>
        <w:tc>
          <w:tcPr>
            <w:tcW w:w="5296" w:type="dxa"/>
            <w:noWrap w:val="0"/>
            <w:vAlign w:val="center"/>
          </w:tcPr>
          <w:p w14:paraId="37AB2B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项目组其他成员（不含项目负责人）要求：不少于2名且具有在本单位注册的二级及以上造价工程师注册证书（安装工程专业至少1名）（若注册证书上无法体现专业的，还需另行提供证明专业的证明材料）</w:t>
            </w:r>
          </w:p>
        </w:tc>
        <w:tc>
          <w:tcPr>
            <w:tcW w:w="2326" w:type="dxa"/>
            <w:noWrap w:val="0"/>
            <w:vAlign w:val="center"/>
          </w:tcPr>
          <w:p w14:paraId="71D87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color w:val="auto"/>
                <w:highlight w:val="none"/>
              </w:rPr>
              <w:t>检验电子标书</w:t>
            </w:r>
          </w:p>
        </w:tc>
      </w:tr>
      <w:tr w14:paraId="3D6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1F75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color w:val="auto"/>
                <w:szCs w:val="21"/>
                <w:highlight w:val="none"/>
              </w:rPr>
            </w:pPr>
          </w:p>
        </w:tc>
        <w:tc>
          <w:tcPr>
            <w:tcW w:w="1235" w:type="dxa"/>
            <w:vMerge w:val="continue"/>
            <w:noWrap w:val="0"/>
            <w:vAlign w:val="center"/>
          </w:tcPr>
          <w:p w14:paraId="10CF9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p>
        </w:tc>
        <w:tc>
          <w:tcPr>
            <w:tcW w:w="5296" w:type="dxa"/>
            <w:noWrap w:val="0"/>
            <w:vAlign w:val="center"/>
          </w:tcPr>
          <w:p w14:paraId="7B4C4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ascii="宋体" w:hAnsi="宋体" w:eastAsia="宋体" w:cs="宋体"/>
                <w:color w:val="auto"/>
                <w:sz w:val="21"/>
                <w:szCs w:val="21"/>
                <w:highlight w:val="none"/>
                <w:lang w:val="en-US" w:eastAsia="zh-CN"/>
              </w:rPr>
              <w:t>（6）承诺书1：投标人对所提供的上述材料作出承诺，若投标人存在弄虚作假，提供虚假资料的，若中标，则取消中标资格</w:t>
            </w:r>
          </w:p>
        </w:tc>
        <w:tc>
          <w:tcPr>
            <w:tcW w:w="2326" w:type="dxa"/>
            <w:noWrap w:val="0"/>
            <w:vAlign w:val="center"/>
          </w:tcPr>
          <w:p w14:paraId="11ABEC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color w:val="auto"/>
                <w:highlight w:val="none"/>
              </w:rPr>
              <w:t>检验电子标书</w:t>
            </w:r>
          </w:p>
        </w:tc>
      </w:tr>
      <w:tr w14:paraId="78F5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79D86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color w:val="auto"/>
                <w:szCs w:val="21"/>
                <w:highlight w:val="none"/>
              </w:rPr>
            </w:pPr>
          </w:p>
        </w:tc>
        <w:tc>
          <w:tcPr>
            <w:tcW w:w="1235" w:type="dxa"/>
            <w:vMerge w:val="continue"/>
            <w:noWrap w:val="0"/>
            <w:vAlign w:val="center"/>
          </w:tcPr>
          <w:p w14:paraId="7F99A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p>
        </w:tc>
        <w:tc>
          <w:tcPr>
            <w:tcW w:w="5296" w:type="dxa"/>
            <w:noWrap w:val="0"/>
            <w:vAlign w:val="center"/>
          </w:tcPr>
          <w:p w14:paraId="319A8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ascii="宋体" w:hAnsi="宋体" w:eastAsia="宋体" w:cs="宋体"/>
                <w:color w:val="auto"/>
                <w:sz w:val="21"/>
                <w:szCs w:val="21"/>
                <w:highlight w:val="none"/>
                <w:lang w:val="en-US" w:eastAsia="zh-CN"/>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326" w:type="dxa"/>
            <w:noWrap w:val="0"/>
            <w:vAlign w:val="center"/>
          </w:tcPr>
          <w:p w14:paraId="1F18D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color w:val="auto"/>
                <w:highlight w:val="none"/>
              </w:rPr>
              <w:t>检验电子标书</w:t>
            </w:r>
          </w:p>
        </w:tc>
      </w:tr>
      <w:tr w14:paraId="6B8C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52D52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color w:val="auto"/>
                <w:szCs w:val="21"/>
                <w:highlight w:val="none"/>
              </w:rPr>
            </w:pPr>
          </w:p>
        </w:tc>
        <w:tc>
          <w:tcPr>
            <w:tcW w:w="1235" w:type="dxa"/>
            <w:vMerge w:val="continue"/>
            <w:noWrap w:val="0"/>
            <w:vAlign w:val="center"/>
          </w:tcPr>
          <w:p w14:paraId="17E79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p>
        </w:tc>
        <w:tc>
          <w:tcPr>
            <w:tcW w:w="5296" w:type="dxa"/>
            <w:noWrap w:val="0"/>
            <w:vAlign w:val="center"/>
          </w:tcPr>
          <w:p w14:paraId="44988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w:t>
            </w:r>
          </w:p>
        </w:tc>
        <w:tc>
          <w:tcPr>
            <w:tcW w:w="2326" w:type="dxa"/>
            <w:noWrap w:val="0"/>
            <w:vAlign w:val="center"/>
          </w:tcPr>
          <w:p w14:paraId="7A37A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color w:val="auto"/>
                <w:highlight w:val="none"/>
              </w:rPr>
              <w:t>检验电子标书</w:t>
            </w:r>
          </w:p>
        </w:tc>
      </w:tr>
      <w:tr w14:paraId="3E92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vMerge w:val="continue"/>
            <w:noWrap w:val="0"/>
            <w:vAlign w:val="center"/>
          </w:tcPr>
          <w:p w14:paraId="4C347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color w:val="auto"/>
                <w:szCs w:val="21"/>
                <w:highlight w:val="none"/>
              </w:rPr>
            </w:pPr>
          </w:p>
        </w:tc>
        <w:tc>
          <w:tcPr>
            <w:tcW w:w="1235" w:type="dxa"/>
            <w:vMerge w:val="continue"/>
            <w:noWrap w:val="0"/>
            <w:vAlign w:val="center"/>
          </w:tcPr>
          <w:p w14:paraId="3A5AE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olor w:val="auto"/>
                <w:szCs w:val="21"/>
                <w:highlight w:val="none"/>
              </w:rPr>
            </w:pPr>
          </w:p>
        </w:tc>
        <w:tc>
          <w:tcPr>
            <w:tcW w:w="5296" w:type="dxa"/>
            <w:noWrap w:val="0"/>
            <w:vAlign w:val="center"/>
          </w:tcPr>
          <w:p w14:paraId="2DAAD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ascii="宋体" w:hAnsi="宋体" w:eastAsia="宋体" w:cs="宋体"/>
                <w:color w:val="auto"/>
                <w:sz w:val="21"/>
                <w:szCs w:val="21"/>
                <w:highlight w:val="none"/>
                <w:lang w:val="en-US" w:eastAsia="zh-CN"/>
              </w:rPr>
              <w:t>（9）投标函</w:t>
            </w:r>
          </w:p>
        </w:tc>
        <w:tc>
          <w:tcPr>
            <w:tcW w:w="2326" w:type="dxa"/>
            <w:noWrap w:val="0"/>
            <w:vAlign w:val="center"/>
          </w:tcPr>
          <w:p w14:paraId="43616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color w:val="auto"/>
                <w:highlight w:val="none"/>
              </w:rPr>
            </w:pPr>
            <w:r>
              <w:rPr>
                <w:rFonts w:hint="eastAsia"/>
                <w:color w:val="auto"/>
                <w:highlight w:val="none"/>
              </w:rPr>
              <w:t>格式见附件，检验电子标书</w:t>
            </w:r>
          </w:p>
        </w:tc>
      </w:tr>
    </w:tbl>
    <w:p w14:paraId="2B53DB9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15D552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1DAF1EF9">
      <w:pPr>
        <w:keepNext w:val="0"/>
        <w:keepLines w:val="0"/>
        <w:pageBreakBefore w:val="0"/>
        <w:widowControl w:val="0"/>
        <w:kinsoku/>
        <w:wordWrap/>
        <w:overflowPunct/>
        <w:topLinePunct w:val="0"/>
        <w:autoSpaceDE/>
        <w:autoSpaceDN/>
        <w:bidi w:val="0"/>
        <w:adjustRightInd/>
        <w:snapToGrid/>
        <w:spacing w:line="460" w:lineRule="exact"/>
        <w:ind w:firstLine="310" w:firstLineChars="147"/>
        <w:textAlignment w:val="auto"/>
        <w:rPr>
          <w:rFonts w:hint="eastAsia" w:ascii="宋体"/>
          <w:b/>
          <w:color w:val="auto"/>
          <w:szCs w:val="21"/>
          <w:highlight w:val="none"/>
        </w:rPr>
      </w:pPr>
      <w:r>
        <w:rPr>
          <w:rFonts w:hint="eastAsia" w:ascii="宋体"/>
          <w:b/>
          <w:color w:val="auto"/>
          <w:szCs w:val="21"/>
          <w:highlight w:val="none"/>
        </w:rPr>
        <w:t>4.符合性审查</w:t>
      </w:r>
    </w:p>
    <w:p w14:paraId="38CD13DE">
      <w:pPr>
        <w:keepNext w:val="0"/>
        <w:keepLines w:val="0"/>
        <w:pageBreakBefore w:val="0"/>
        <w:widowControl w:val="0"/>
        <w:kinsoku/>
        <w:wordWrap/>
        <w:overflowPunct/>
        <w:topLinePunct w:val="0"/>
        <w:autoSpaceDE/>
        <w:autoSpaceDN/>
        <w:bidi w:val="0"/>
        <w:adjustRightInd/>
        <w:snapToGrid/>
        <w:spacing w:line="460" w:lineRule="exact"/>
        <w:ind w:firstLine="315" w:firstLineChars="150"/>
        <w:textAlignment w:val="auto"/>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40FA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B7359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24198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63B2B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46F2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2B1F3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3FAD4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248FDC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4173" w:type="dxa"/>
            <w:noWrap w:val="0"/>
            <w:vAlign w:val="center"/>
          </w:tcPr>
          <w:p w14:paraId="58D41C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7EA0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5374B7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color w:val="auto"/>
                <w:highlight w:val="none"/>
              </w:rPr>
            </w:pPr>
          </w:p>
        </w:tc>
        <w:tc>
          <w:tcPr>
            <w:tcW w:w="1204" w:type="dxa"/>
            <w:vMerge w:val="continue"/>
            <w:noWrap w:val="0"/>
            <w:vAlign w:val="center"/>
          </w:tcPr>
          <w:p w14:paraId="4D235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color w:val="auto"/>
                <w:highlight w:val="none"/>
              </w:rPr>
            </w:pPr>
          </w:p>
        </w:tc>
        <w:tc>
          <w:tcPr>
            <w:tcW w:w="2931" w:type="dxa"/>
            <w:noWrap w:val="0"/>
            <w:vAlign w:val="center"/>
          </w:tcPr>
          <w:p w14:paraId="228A34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4173" w:type="dxa"/>
            <w:noWrap w:val="0"/>
            <w:vAlign w:val="center"/>
          </w:tcPr>
          <w:p w14:paraId="021D0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FE0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D326D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color w:val="auto"/>
                <w:highlight w:val="none"/>
              </w:rPr>
            </w:pPr>
          </w:p>
        </w:tc>
        <w:tc>
          <w:tcPr>
            <w:tcW w:w="1204" w:type="dxa"/>
            <w:vMerge w:val="continue"/>
            <w:noWrap w:val="0"/>
            <w:vAlign w:val="center"/>
          </w:tcPr>
          <w:p w14:paraId="635D9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color w:val="auto"/>
                <w:highlight w:val="none"/>
              </w:rPr>
            </w:pPr>
          </w:p>
        </w:tc>
        <w:tc>
          <w:tcPr>
            <w:tcW w:w="2931" w:type="dxa"/>
            <w:noWrap w:val="0"/>
            <w:vAlign w:val="center"/>
          </w:tcPr>
          <w:p w14:paraId="357433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olor w:val="auto"/>
                <w:szCs w:val="21"/>
                <w:highlight w:val="none"/>
              </w:rPr>
              <w:t>（3）报价唯一</w:t>
            </w:r>
          </w:p>
        </w:tc>
        <w:tc>
          <w:tcPr>
            <w:tcW w:w="4173" w:type="dxa"/>
            <w:noWrap w:val="0"/>
            <w:vAlign w:val="center"/>
          </w:tcPr>
          <w:p w14:paraId="67F79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289F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4783B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color w:val="auto"/>
                <w:highlight w:val="none"/>
              </w:rPr>
            </w:pPr>
          </w:p>
        </w:tc>
        <w:tc>
          <w:tcPr>
            <w:tcW w:w="1204" w:type="dxa"/>
            <w:vMerge w:val="continue"/>
            <w:noWrap w:val="0"/>
            <w:vAlign w:val="center"/>
          </w:tcPr>
          <w:p w14:paraId="7FF289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color w:val="auto"/>
                <w:highlight w:val="none"/>
              </w:rPr>
            </w:pPr>
          </w:p>
        </w:tc>
        <w:tc>
          <w:tcPr>
            <w:tcW w:w="2931" w:type="dxa"/>
            <w:noWrap w:val="0"/>
            <w:vAlign w:val="center"/>
          </w:tcPr>
          <w:p w14:paraId="4FCAD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olor w:val="auto"/>
                <w:szCs w:val="21"/>
                <w:highlight w:val="none"/>
              </w:rPr>
            </w:pPr>
            <w:r>
              <w:rPr>
                <w:rFonts w:hint="eastAsia" w:ascii="宋体"/>
                <w:color w:val="auto"/>
                <w:szCs w:val="21"/>
                <w:highlight w:val="none"/>
              </w:rPr>
              <w:t xml:space="preserve"> (4) 投标文件的有效期</w:t>
            </w:r>
          </w:p>
        </w:tc>
        <w:tc>
          <w:tcPr>
            <w:tcW w:w="4173" w:type="dxa"/>
            <w:noWrap w:val="0"/>
            <w:vAlign w:val="center"/>
          </w:tcPr>
          <w:p w14:paraId="62F400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8A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511C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6C195D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10E20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4173" w:type="dxa"/>
            <w:noWrap w:val="0"/>
            <w:vAlign w:val="center"/>
          </w:tcPr>
          <w:p w14:paraId="59D13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30B0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11F59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color w:val="auto"/>
                <w:highlight w:val="none"/>
              </w:rPr>
            </w:pPr>
          </w:p>
        </w:tc>
        <w:tc>
          <w:tcPr>
            <w:tcW w:w="1204" w:type="dxa"/>
            <w:vMerge w:val="continue"/>
            <w:noWrap w:val="0"/>
            <w:vAlign w:val="center"/>
          </w:tcPr>
          <w:p w14:paraId="02FC5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color w:val="auto"/>
                <w:highlight w:val="none"/>
              </w:rPr>
            </w:pPr>
          </w:p>
        </w:tc>
        <w:tc>
          <w:tcPr>
            <w:tcW w:w="2931" w:type="dxa"/>
            <w:noWrap w:val="0"/>
            <w:vAlign w:val="center"/>
          </w:tcPr>
          <w:p w14:paraId="4C24D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4173" w:type="dxa"/>
            <w:noWrap w:val="0"/>
            <w:vAlign w:val="center"/>
          </w:tcPr>
          <w:p w14:paraId="78F4E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658A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49DED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A96D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4C2D6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4173" w:type="dxa"/>
            <w:noWrap w:val="0"/>
            <w:vAlign w:val="center"/>
          </w:tcPr>
          <w:p w14:paraId="4945AA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r w14:paraId="5075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D6AF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color w:val="auto"/>
                <w:highlight w:val="none"/>
              </w:rPr>
            </w:pPr>
          </w:p>
        </w:tc>
        <w:tc>
          <w:tcPr>
            <w:tcW w:w="1204" w:type="dxa"/>
            <w:vMerge w:val="continue"/>
            <w:noWrap w:val="0"/>
            <w:vAlign w:val="center"/>
          </w:tcPr>
          <w:p w14:paraId="7CE72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color w:val="auto"/>
                <w:highlight w:val="none"/>
              </w:rPr>
            </w:pPr>
          </w:p>
        </w:tc>
        <w:tc>
          <w:tcPr>
            <w:tcW w:w="2931" w:type="dxa"/>
            <w:noWrap w:val="0"/>
            <w:vAlign w:val="center"/>
          </w:tcPr>
          <w:p w14:paraId="622351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4173" w:type="dxa"/>
            <w:noWrap w:val="0"/>
            <w:vAlign w:val="center"/>
          </w:tcPr>
          <w:p w14:paraId="19C3A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54CA0604">
      <w:pPr>
        <w:keepNext w:val="0"/>
        <w:keepLines w:val="0"/>
        <w:pageBreakBefore w:val="0"/>
        <w:widowControl w:val="0"/>
        <w:kinsoku/>
        <w:wordWrap/>
        <w:overflowPunct/>
        <w:topLinePunct w:val="0"/>
        <w:autoSpaceDE/>
        <w:autoSpaceDN/>
        <w:bidi w:val="0"/>
        <w:adjustRightInd/>
        <w:snapToGrid/>
        <w:spacing w:line="460" w:lineRule="exact"/>
        <w:ind w:firstLine="506" w:firstLineChars="241"/>
        <w:textAlignment w:val="auto"/>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28BCCB97">
      <w:pPr>
        <w:keepNext w:val="0"/>
        <w:keepLines w:val="0"/>
        <w:pageBreakBefore w:val="0"/>
        <w:widowControl w:val="0"/>
        <w:kinsoku/>
        <w:wordWrap/>
        <w:overflowPunct/>
        <w:topLinePunct w:val="0"/>
        <w:autoSpaceDE/>
        <w:autoSpaceDN/>
        <w:bidi w:val="0"/>
        <w:adjustRightInd/>
        <w:snapToGrid/>
        <w:spacing w:line="460" w:lineRule="exact"/>
        <w:ind w:firstLine="506" w:firstLineChars="241"/>
        <w:textAlignment w:val="auto"/>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559194D7">
      <w:pPr>
        <w:keepNext w:val="0"/>
        <w:keepLines w:val="0"/>
        <w:pageBreakBefore w:val="0"/>
        <w:widowControl w:val="0"/>
        <w:kinsoku/>
        <w:wordWrap/>
        <w:overflowPunct/>
        <w:topLinePunct w:val="0"/>
        <w:autoSpaceDE/>
        <w:autoSpaceDN/>
        <w:bidi w:val="0"/>
        <w:adjustRightInd/>
        <w:snapToGrid/>
        <w:spacing w:line="460" w:lineRule="exact"/>
        <w:ind w:firstLine="525" w:firstLineChars="250"/>
        <w:textAlignment w:val="auto"/>
        <w:rPr>
          <w:rFonts w:hint="eastAsia" w:ascii="宋体"/>
          <w:color w:val="auto"/>
          <w:szCs w:val="21"/>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2022F17D">
      <w:pPr>
        <w:keepNext w:val="0"/>
        <w:keepLines w:val="0"/>
        <w:pageBreakBefore w:val="0"/>
        <w:widowControl w:val="0"/>
        <w:kinsoku/>
        <w:wordWrap/>
        <w:overflowPunct/>
        <w:topLinePunct w:val="0"/>
        <w:autoSpaceDE/>
        <w:autoSpaceDN/>
        <w:bidi w:val="0"/>
        <w:adjustRightInd/>
        <w:snapToGrid/>
        <w:spacing w:before="96" w:beforeLines="30" w:after="96" w:afterLines="30" w:line="460" w:lineRule="exact"/>
        <w:jc w:val="center"/>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三、投标文件的澄清和补正</w:t>
      </w:r>
      <w:bookmarkEnd w:id="61"/>
    </w:p>
    <w:p w14:paraId="5851E7D7">
      <w:pPr>
        <w:keepNext w:val="0"/>
        <w:keepLines w:val="0"/>
        <w:pageBreakBefore w:val="0"/>
        <w:widowControl w:val="0"/>
        <w:kinsoku/>
        <w:wordWrap/>
        <w:overflowPunct/>
        <w:topLinePunct w:val="0"/>
        <w:autoSpaceDE/>
        <w:autoSpaceDN/>
        <w:bidi w:val="0"/>
        <w:adjustRightInd/>
        <w:snapToGrid/>
        <w:spacing w:line="46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0C39C6FE">
      <w:pPr>
        <w:keepNext w:val="0"/>
        <w:keepLines w:val="0"/>
        <w:pageBreakBefore w:val="0"/>
        <w:widowControl w:val="0"/>
        <w:kinsoku/>
        <w:wordWrap/>
        <w:overflowPunct/>
        <w:topLinePunct w:val="0"/>
        <w:autoSpaceDE/>
        <w:autoSpaceDN/>
        <w:bidi w:val="0"/>
        <w:adjustRightInd/>
        <w:snapToGrid/>
        <w:spacing w:line="46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74CFEB48">
      <w:pPr>
        <w:keepNext w:val="0"/>
        <w:keepLines w:val="0"/>
        <w:pageBreakBefore w:val="0"/>
        <w:widowControl w:val="0"/>
        <w:kinsoku/>
        <w:wordWrap/>
        <w:overflowPunct/>
        <w:topLinePunct w:val="0"/>
        <w:autoSpaceDE/>
        <w:autoSpaceDN/>
        <w:bidi w:val="0"/>
        <w:adjustRightInd/>
        <w:snapToGrid/>
        <w:spacing w:line="46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449B2DF6">
      <w:pPr>
        <w:keepNext w:val="0"/>
        <w:keepLines w:val="0"/>
        <w:pageBreakBefore w:val="0"/>
        <w:widowControl w:val="0"/>
        <w:kinsoku/>
        <w:wordWrap/>
        <w:overflowPunct/>
        <w:topLinePunct w:val="0"/>
        <w:autoSpaceDE/>
        <w:autoSpaceDN/>
        <w:bidi w:val="0"/>
        <w:adjustRightInd/>
        <w:snapToGrid/>
        <w:spacing w:line="46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2894F5DB">
      <w:pPr>
        <w:keepNext w:val="0"/>
        <w:keepLines w:val="0"/>
        <w:pageBreakBefore w:val="0"/>
        <w:widowControl w:val="0"/>
        <w:kinsoku/>
        <w:wordWrap/>
        <w:overflowPunct/>
        <w:topLinePunct w:val="0"/>
        <w:autoSpaceDE/>
        <w:autoSpaceDN/>
        <w:bidi w:val="0"/>
        <w:adjustRightInd/>
        <w:snapToGrid/>
        <w:spacing w:line="46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4B98ADD7">
      <w:pPr>
        <w:keepNext w:val="0"/>
        <w:keepLines w:val="0"/>
        <w:pageBreakBefore w:val="0"/>
        <w:widowControl w:val="0"/>
        <w:kinsoku/>
        <w:wordWrap/>
        <w:overflowPunct/>
        <w:topLinePunct w:val="0"/>
        <w:autoSpaceDE/>
        <w:autoSpaceDN/>
        <w:bidi w:val="0"/>
        <w:adjustRightInd/>
        <w:snapToGrid/>
        <w:spacing w:line="46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51C2FC2E">
      <w:pPr>
        <w:keepNext w:val="0"/>
        <w:keepLines w:val="0"/>
        <w:pageBreakBefore w:val="0"/>
        <w:widowControl w:val="0"/>
        <w:kinsoku/>
        <w:wordWrap/>
        <w:overflowPunct/>
        <w:topLinePunct w:val="0"/>
        <w:autoSpaceDE/>
        <w:autoSpaceDN/>
        <w:bidi w:val="0"/>
        <w:adjustRightInd/>
        <w:snapToGrid/>
        <w:spacing w:line="46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70A298A0">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009D7CEE">
      <w:pPr>
        <w:keepNext w:val="0"/>
        <w:keepLines w:val="0"/>
        <w:pageBreakBefore w:val="0"/>
        <w:widowControl w:val="0"/>
        <w:kinsoku/>
        <w:wordWrap/>
        <w:overflowPunct/>
        <w:topLinePunct w:val="0"/>
        <w:autoSpaceDE/>
        <w:autoSpaceDN/>
        <w:bidi w:val="0"/>
        <w:adjustRightInd/>
        <w:snapToGrid/>
        <w:spacing w:before="96" w:beforeLines="30" w:after="96" w:afterLines="30" w:line="460" w:lineRule="exact"/>
        <w:jc w:val="center"/>
        <w:textAlignment w:val="auto"/>
        <w:outlineLvl w:val="1"/>
        <w:rPr>
          <w:rFonts w:hint="eastAsia" w:ascii="宋体" w:hAnsi="宋体" w:eastAsia="宋体" w:cs="宋体"/>
          <w:b/>
          <w:bCs/>
          <w:color w:val="auto"/>
          <w:sz w:val="28"/>
          <w:szCs w:val="28"/>
          <w:highlight w:val="none"/>
          <w:lang w:val="en-US" w:eastAsia="zh-CN"/>
        </w:rPr>
      </w:pPr>
      <w:bookmarkStart w:id="62" w:name="_Toc30419"/>
      <w:r>
        <w:rPr>
          <w:rFonts w:hint="eastAsia" w:ascii="宋体" w:hAnsi="宋体" w:eastAsia="宋体" w:cs="宋体"/>
          <w:b/>
          <w:bCs/>
          <w:color w:val="auto"/>
          <w:sz w:val="28"/>
          <w:szCs w:val="28"/>
          <w:highlight w:val="none"/>
          <w:lang w:val="en-US" w:eastAsia="zh-CN"/>
        </w:rPr>
        <w:t>四、投标报价评分细则</w:t>
      </w:r>
      <w:bookmarkEnd w:id="62"/>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276B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4D92D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164FC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63ADE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1A91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1110F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0181C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09F89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74F46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32D6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1159D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7C21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p>
        </w:tc>
        <w:tc>
          <w:tcPr>
            <w:tcW w:w="1842" w:type="dxa"/>
            <w:vAlign w:val="center"/>
          </w:tcPr>
          <w:p w14:paraId="28FAC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5FDD1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19B2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0A1F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1A291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p>
        </w:tc>
        <w:tc>
          <w:tcPr>
            <w:tcW w:w="1842" w:type="dxa"/>
            <w:vAlign w:val="center"/>
          </w:tcPr>
          <w:p w14:paraId="738A1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720A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68F3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7E5BF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AC13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p>
        </w:tc>
        <w:tc>
          <w:tcPr>
            <w:tcW w:w="1842" w:type="dxa"/>
            <w:vAlign w:val="center"/>
          </w:tcPr>
          <w:p w14:paraId="2C7E8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43D3C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1F77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126FE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264F1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1D90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3CBEB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1、招标人设置投标报价最高限价，各投标人有效报价不得高于最高限价，否则，其投标文件按无效标处理。（投标报价不可以填报0或负数，否则按无效标处理）（以基本费作为评审价格）</w:t>
            </w:r>
          </w:p>
          <w:p w14:paraId="10A48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2、评标基准值为所有投标人投标报价的算术平均值。</w:t>
            </w:r>
          </w:p>
          <w:p w14:paraId="7914F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3、计算报价偏差率</w:t>
            </w:r>
          </w:p>
          <w:p w14:paraId="0B8F6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①偏差率=|（投标报价-评标基准价）/评标基准价|×100%</w:t>
            </w:r>
          </w:p>
          <w:p w14:paraId="55801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4、计算报价得分</w:t>
            </w:r>
          </w:p>
          <w:p w14:paraId="6AD4F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1E191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33596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630B3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color w:val="auto"/>
                <w:highlight w:val="none"/>
              </w:rPr>
            </w:pPr>
            <w:r>
              <w:rPr>
                <w:rFonts w:hint="eastAsia" w:ascii="宋体" w:hAnsi="宋体" w:eastAsia="宋体" w:cs="宋体"/>
                <w:b/>
                <w:bCs/>
                <w:color w:val="auto"/>
                <w:sz w:val="21"/>
                <w:szCs w:val="21"/>
                <w:highlight w:val="none"/>
              </w:rPr>
              <w:t>注：计算过程中，评标基准值、偏差率、报价得分均保留两位小数，小数点后第三位四舍五入。</w:t>
            </w:r>
          </w:p>
        </w:tc>
      </w:tr>
    </w:tbl>
    <w:p w14:paraId="30988C70">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p>
    <w:p w14:paraId="2AFCA2E0">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bookmarkStart w:id="63"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3"/>
    </w:p>
    <w:p w14:paraId="0B9C9C29">
      <w:pPr>
        <w:pStyle w:val="2"/>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278057A">
      <w:pPr>
        <w:keepNext w:val="0"/>
        <w:keepLines w:val="0"/>
        <w:pageBreakBefore w:val="0"/>
        <w:widowControl w:val="0"/>
        <w:kinsoku/>
        <w:wordWrap/>
        <w:overflowPunct/>
        <w:topLinePunct w:val="0"/>
        <w:autoSpaceDE/>
        <w:autoSpaceDN/>
        <w:bidi w:val="0"/>
        <w:adjustRightInd/>
        <w:snapToGrid w:val="0"/>
        <w:spacing w:line="460" w:lineRule="exact"/>
        <w:ind w:firstLine="570"/>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9.</w:t>
      </w:r>
      <w:r>
        <w:rPr>
          <w:rFonts w:hint="eastAsia" w:ascii="宋体" w:hAnsi="宋体"/>
          <w:b/>
          <w:color w:val="auto"/>
          <w:sz w:val="21"/>
          <w:szCs w:val="21"/>
          <w:highlight w:val="none"/>
        </w:rPr>
        <w:t xml:space="preserve"> </w:t>
      </w:r>
      <w:r>
        <w:rPr>
          <w:rFonts w:hint="eastAsia" w:ascii="宋体"/>
          <w:b/>
          <w:color w:val="auto"/>
          <w:sz w:val="21"/>
          <w:szCs w:val="21"/>
          <w:highlight w:val="none"/>
        </w:rPr>
        <w:t>无效投标条款</w:t>
      </w:r>
    </w:p>
    <w:p w14:paraId="4A6E5042">
      <w:pPr>
        <w:keepNext w:val="0"/>
        <w:keepLines w:val="0"/>
        <w:pageBreakBefore w:val="0"/>
        <w:widowControl w:val="0"/>
        <w:kinsoku/>
        <w:wordWrap/>
        <w:overflowPunct/>
        <w:topLinePunct w:val="0"/>
        <w:autoSpaceDE/>
        <w:autoSpaceDN/>
        <w:bidi w:val="0"/>
        <w:adjustRightInd/>
        <w:snapToGrid w:val="0"/>
        <w:spacing w:line="460" w:lineRule="exact"/>
        <w:ind w:firstLine="525" w:firstLineChars="250"/>
        <w:textAlignment w:val="auto"/>
        <w:rPr>
          <w:rFonts w:hint="eastAsia" w:ascii="宋体" w:cs="宋体"/>
          <w:color w:val="auto"/>
          <w:sz w:val="21"/>
          <w:szCs w:val="21"/>
          <w:highlight w:val="none"/>
        </w:rPr>
      </w:pPr>
      <w:r>
        <w:rPr>
          <w:rFonts w:hint="eastAsia" w:ascii="宋体" w:cs="宋体"/>
          <w:color w:val="auto"/>
          <w:sz w:val="21"/>
          <w:szCs w:val="21"/>
          <w:highlight w:val="none"/>
          <w:lang w:val="en-US" w:eastAsia="zh-CN"/>
        </w:rPr>
        <w:t>9</w:t>
      </w:r>
      <w:r>
        <w:rPr>
          <w:rFonts w:hint="eastAsia" w:ascii="宋体" w:cs="宋体"/>
          <w:color w:val="auto"/>
          <w:sz w:val="21"/>
          <w:szCs w:val="21"/>
          <w:highlight w:val="none"/>
        </w:rPr>
        <w:t>.1投标文件有下列情形之一的,其投标文件拒收:</w:t>
      </w:r>
    </w:p>
    <w:p w14:paraId="3ED643F5">
      <w:pPr>
        <w:keepNext w:val="0"/>
        <w:keepLines w:val="0"/>
        <w:pageBreakBefore w:val="0"/>
        <w:widowControl w:val="0"/>
        <w:kinsoku/>
        <w:wordWrap/>
        <w:overflowPunct/>
        <w:topLinePunct w:val="0"/>
        <w:autoSpaceDE/>
        <w:autoSpaceDN/>
        <w:bidi w:val="0"/>
        <w:adjustRightInd/>
        <w:snapToGrid w:val="0"/>
        <w:spacing w:line="460" w:lineRule="exact"/>
        <w:ind w:firstLine="420"/>
        <w:textAlignment w:val="auto"/>
        <w:rPr>
          <w:rFonts w:hint="eastAsia" w:ascii="宋体" w:hAnsi="宋体" w:cs="宋体"/>
          <w:b/>
          <w:bCs/>
          <w:color w:val="auto"/>
          <w:sz w:val="21"/>
          <w:szCs w:val="21"/>
          <w:highlight w:val="none"/>
        </w:rPr>
      </w:pPr>
      <w:r>
        <w:rPr>
          <w:rFonts w:hint="eastAsia" w:ascii="宋体" w:cs="宋体"/>
          <w:color w:val="auto"/>
          <w:sz w:val="21"/>
          <w:szCs w:val="21"/>
          <w:highlight w:val="none"/>
        </w:rPr>
        <w:t xml:space="preserve"> </w:t>
      </w:r>
      <w:r>
        <w:rPr>
          <w:rFonts w:hint="eastAsia" w:ascii="宋体" w:hAnsi="宋体" w:cs="宋体"/>
          <w:b/>
          <w:bCs/>
          <w:color w:val="auto"/>
          <w:sz w:val="21"/>
          <w:szCs w:val="21"/>
          <w:highlight w:val="none"/>
        </w:rPr>
        <w:t>(1) 未在开标截止时间前通过网上招标投标系统递交有效电子投标文件的，开标系统不予接收，投标将被拒绝。</w:t>
      </w:r>
    </w:p>
    <w:p w14:paraId="198C2E15">
      <w:pPr>
        <w:keepNext w:val="0"/>
        <w:keepLines w:val="0"/>
        <w:pageBreakBefore w:val="0"/>
        <w:widowControl w:val="0"/>
        <w:kinsoku/>
        <w:wordWrap/>
        <w:overflowPunct/>
        <w:topLinePunct w:val="0"/>
        <w:autoSpaceDE/>
        <w:autoSpaceDN/>
        <w:bidi w:val="0"/>
        <w:adjustRightInd/>
        <w:snapToGrid w:val="0"/>
        <w:spacing w:line="460" w:lineRule="exact"/>
        <w:ind w:firstLine="42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 w:val="21"/>
          <w:szCs w:val="21"/>
          <w:highlight w:val="none"/>
          <w:lang w:val="en-US" w:eastAsia="zh-CN"/>
        </w:rPr>
        <w:t>30</w:t>
      </w:r>
      <w:r>
        <w:rPr>
          <w:rFonts w:hint="eastAsia" w:ascii="宋体" w:hAnsi="宋体" w:cs="宋体"/>
          <w:b/>
          <w:bCs/>
          <w:color w:val="auto"/>
          <w:sz w:val="21"/>
          <w:szCs w:val="21"/>
          <w:highlight w:val="none"/>
        </w:rPr>
        <w:t>分钟，否则投标文件将被拒绝。</w:t>
      </w:r>
    </w:p>
    <w:p w14:paraId="476E719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.2投标人有下列情形之一的,资格审查后其投标作无效投标处理：</w:t>
      </w:r>
    </w:p>
    <w:p w14:paraId="15887EFC">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）投标人为本项目提供招标代理服务的；</w:t>
      </w:r>
    </w:p>
    <w:p w14:paraId="463EED88">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）投标人与在本项目代理机构存在相互任职或工作的；</w:t>
      </w:r>
    </w:p>
    <w:p w14:paraId="272286EE">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）评标专家无法查看并检验电子投标文件中相关资料的；</w:t>
      </w:r>
    </w:p>
    <w:p w14:paraId="13118070">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）联合体投标未提交联合体协议的；</w:t>
      </w:r>
    </w:p>
    <w:p w14:paraId="2E8B7D42">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）被暂停营业的；</w:t>
      </w:r>
    </w:p>
    <w:p w14:paraId="22A2F28E">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）被暂停或取消投标资格的；</w:t>
      </w:r>
    </w:p>
    <w:p w14:paraId="71182F8A">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）财产被接管或冻结的；</w:t>
      </w:r>
    </w:p>
    <w:p w14:paraId="69C9E359">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）投标人单位负责人为同一人或者存在控股、管理关系的不同单位的；</w:t>
      </w:r>
    </w:p>
    <w:p w14:paraId="355D53B7">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）保证金不按第</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章“投标人须知”及其前附表要求提交投标保证金的；</w:t>
      </w:r>
    </w:p>
    <w:p w14:paraId="2E71FD3E">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）投标人未办理省主体库登记入库手续的；</w:t>
      </w:r>
    </w:p>
    <w:p w14:paraId="660E72FB">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）投标人申请开具电子保函 MAC 地址一致的；</w:t>
      </w:r>
    </w:p>
    <w:p w14:paraId="08F866C8">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）投标人基本资格条件和特定资格条件中有一项及以上不符合要求的；</w:t>
      </w:r>
    </w:p>
    <w:p w14:paraId="619F47DF">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6F1031F4">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rPr>
        <w:t>）其它情形，经评标委员会委提出按无效投标处理；</w:t>
      </w:r>
    </w:p>
    <w:p w14:paraId="57758537">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）投标人投标MAC地址或投标人联系人或联系电话相同的，由评标委员会否决其投标，并进一步调查；</w:t>
      </w:r>
    </w:p>
    <w:p w14:paraId="21F838AE">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）投标人单方面出现其他投标人材料的；</w:t>
      </w:r>
    </w:p>
    <w:p w14:paraId="4D798E55">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）招标文件规定的其它无效投标情形。</w:t>
      </w:r>
    </w:p>
    <w:p w14:paraId="4F222EF9">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.3 投标人有下列情形之一的,符合性审查后其投标按无效投标处理：</w:t>
      </w:r>
    </w:p>
    <w:p w14:paraId="110BAB1B">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）投标文件签字、盖章不全，经评标委员会一致认定对开评标内容有实质性影响的；</w:t>
      </w:r>
    </w:p>
    <w:p w14:paraId="20507DF8">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）未按规定的格式填写</w:t>
      </w:r>
      <w:r>
        <w:rPr>
          <w:rFonts w:hint="eastAsia" w:ascii="宋体" w:hAnsi="宋体" w:cs="宋体"/>
          <w:color w:val="auto"/>
          <w:sz w:val="21"/>
          <w:szCs w:val="21"/>
          <w:highlight w:val="none"/>
          <w:lang w:val="en-US" w:eastAsia="zh-CN"/>
        </w:rPr>
        <w:t>导致</w:t>
      </w:r>
      <w:r>
        <w:rPr>
          <w:rFonts w:hint="eastAsia" w:ascii="宋体" w:hAnsi="宋体" w:cs="宋体"/>
          <w:color w:val="auto"/>
          <w:sz w:val="21"/>
          <w:szCs w:val="21"/>
          <w:highlight w:val="none"/>
        </w:rPr>
        <w:t>实质性内容不全</w:t>
      </w:r>
      <w:r>
        <w:rPr>
          <w:rFonts w:hint="eastAsia" w:ascii="宋体" w:hAnsi="宋体" w:cs="宋体"/>
          <w:color w:val="auto"/>
          <w:sz w:val="21"/>
          <w:szCs w:val="21"/>
          <w:highlight w:val="none"/>
          <w:lang w:val="en-US" w:eastAsia="zh-CN"/>
        </w:rPr>
        <w:t>以及实质上不响应，</w:t>
      </w:r>
      <w:r>
        <w:rPr>
          <w:rFonts w:hint="eastAsia" w:ascii="宋体" w:hAnsi="宋体" w:cs="宋体"/>
          <w:color w:val="auto"/>
          <w:sz w:val="21"/>
          <w:szCs w:val="21"/>
          <w:highlight w:val="none"/>
        </w:rPr>
        <w:t>或</w:t>
      </w:r>
      <w:r>
        <w:rPr>
          <w:rFonts w:hint="eastAsia" w:ascii="宋体" w:hAnsi="宋体" w:cs="宋体"/>
          <w:color w:val="auto"/>
          <w:sz w:val="21"/>
          <w:szCs w:val="21"/>
          <w:highlight w:val="none"/>
          <w:lang w:val="en-US" w:eastAsia="zh-CN"/>
        </w:rPr>
        <w:t>者</w:t>
      </w:r>
      <w:r>
        <w:rPr>
          <w:rFonts w:hint="eastAsia" w:ascii="宋体" w:hAnsi="宋体" w:cs="宋体"/>
          <w:color w:val="auto"/>
          <w:sz w:val="21"/>
          <w:szCs w:val="21"/>
          <w:highlight w:val="none"/>
        </w:rPr>
        <w:t>关键字迹模糊、无法辨认；</w:t>
      </w:r>
    </w:p>
    <w:p w14:paraId="18D8817E">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）同一投标人提交两个以上不同的投标文件或者投标报价，但招标文件规定提交备选方案的除外；</w:t>
      </w:r>
    </w:p>
    <w:p w14:paraId="5D20AEC5">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）投标文件没有对招标文件的实质性要求和条件作出响应;</w:t>
      </w:r>
    </w:p>
    <w:p w14:paraId="4EAE1079">
      <w:pPr>
        <w:keepNext w:val="0"/>
        <w:keepLines w:val="0"/>
        <w:pageBreakBefore w:val="0"/>
        <w:widowControl w:val="0"/>
        <w:kinsoku/>
        <w:wordWrap/>
        <w:overflowPunct/>
        <w:topLinePunct w:val="0"/>
        <w:autoSpaceDE/>
        <w:autoSpaceDN/>
        <w:bidi w:val="0"/>
        <w:adjustRightInd/>
        <w:spacing w:line="460" w:lineRule="exact"/>
        <w:ind w:right="-212" w:rightChars="-101" w:firstLine="420" w:firstLineChars="200"/>
        <w:jc w:val="left"/>
        <w:textAlignment w:val="auto"/>
        <w:rPr>
          <w:rFonts w:hint="eastAsia" w:ascii="宋体" w:hAnsi="宋体" w:cs="宋体"/>
          <w:b/>
          <w:bCs/>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）投标报价超出规定的投标限价或公布的采购预算的或投标人的投标报价各项单价高于招标文件给定的单价最高限价；</w:t>
      </w:r>
    </w:p>
    <w:p w14:paraId="172F5016">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）不按评标委员会要求澄清、说明或补正的，或者评标委员会根据招标文件的规定对招标文件的计算错误进行修正后，投标人不接受修正的投标报价的。</w:t>
      </w:r>
    </w:p>
    <w:p w14:paraId="2DDD0EA8">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（7）其它情形，经评标委员会委提出按无效投标处理，并经公共资源交易监督部门核准的；</w:t>
      </w:r>
    </w:p>
    <w:p w14:paraId="790D74A5">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（8）投标文件含有招标人不能接受的附加条件的;</w:t>
      </w:r>
    </w:p>
    <w:p w14:paraId="334A84C5">
      <w:pPr>
        <w:keepNext w:val="0"/>
        <w:keepLines w:val="0"/>
        <w:pageBreakBefore w:val="0"/>
        <w:widowControl w:val="0"/>
        <w:tabs>
          <w:tab w:val="left" w:pos="1123"/>
        </w:tabs>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（9）招标文件规定的其它无效投标情形。</w:t>
      </w:r>
    </w:p>
    <w:p w14:paraId="0A4DF69F">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.4 投标人有下列情形之一的, 详细评审后其投标按无效投标处理：</w:t>
      </w:r>
    </w:p>
    <w:p w14:paraId="30596243">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）投标产品不符合必须强制执行的国家标准的；</w:t>
      </w:r>
    </w:p>
    <w:p w14:paraId="5AA3BF73">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）投标人有串通投标、弄虚作假、行贿等违法行为；</w:t>
      </w:r>
    </w:p>
    <w:p w14:paraId="5B881D12">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）投标文件含有违反国家法律、法规的内容，或附有招标人不能接受的条件的；</w:t>
      </w:r>
    </w:p>
    <w:p w14:paraId="63618955">
      <w:pPr>
        <w:keepNext w:val="0"/>
        <w:keepLines w:val="0"/>
        <w:pageBreakBefore w:val="0"/>
        <w:widowControl w:val="0"/>
        <w:kinsoku/>
        <w:wordWrap/>
        <w:overflowPunct/>
        <w:topLinePunct w:val="0"/>
        <w:autoSpaceDE/>
        <w:autoSpaceDN/>
        <w:bidi w:val="0"/>
        <w:adjustRightInd/>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）报价明显低于其他投标人，且不能证明报价合理性的投标无效；</w:t>
      </w:r>
    </w:p>
    <w:p w14:paraId="65624C2D">
      <w:pPr>
        <w:keepNext w:val="0"/>
        <w:keepLines w:val="0"/>
        <w:pageBreakBefore w:val="0"/>
        <w:widowControl w:val="0"/>
        <w:kinsoku/>
        <w:wordWrap/>
        <w:overflowPunct/>
        <w:topLinePunct w:val="0"/>
        <w:autoSpaceDE/>
        <w:autoSpaceDN/>
        <w:bidi w:val="0"/>
        <w:adjustRightInd/>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）拒不确认评标委员会评审修正的投标无效；</w:t>
      </w:r>
    </w:p>
    <w:p w14:paraId="1770BA5E">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）其它情形，经评标委员会委提出按无效投标处理，并经公共资源交易监督部门核准的；</w:t>
      </w:r>
    </w:p>
    <w:p w14:paraId="16117E95">
      <w:pPr>
        <w:keepNext w:val="0"/>
        <w:keepLines w:val="0"/>
        <w:pageBreakBefore w:val="0"/>
        <w:widowControl w:val="0"/>
        <w:kinsoku/>
        <w:wordWrap/>
        <w:overflowPunct/>
        <w:topLinePunct w:val="0"/>
        <w:autoSpaceDE/>
        <w:autoSpaceDN/>
        <w:bidi w:val="0"/>
        <w:adjustRightInd/>
        <w:snapToGrid w:val="0"/>
        <w:spacing w:line="460" w:lineRule="exact"/>
        <w:ind w:right="-212" w:rightChars="-101"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）招标文件规定的其它无效投标情形。</w:t>
      </w:r>
    </w:p>
    <w:p w14:paraId="0FE51AEB">
      <w:pPr>
        <w:rPr>
          <w:rFonts w:hint="eastAsia"/>
          <w:color w:val="auto"/>
          <w:highlight w:val="none"/>
        </w:rPr>
      </w:pPr>
    </w:p>
    <w:p w14:paraId="4CB37118">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4" w:name="_Toc3848"/>
      <w:r>
        <w:rPr>
          <w:rFonts w:hint="eastAsia" w:ascii="宋体" w:hAnsi="宋体" w:eastAsia="宋体" w:cs="宋体"/>
          <w:color w:val="auto"/>
          <w:sz w:val="44"/>
          <w:szCs w:val="44"/>
          <w:highlight w:val="none"/>
          <w:lang w:val="en-US" w:eastAsia="zh-CN"/>
        </w:rPr>
        <w:t>第三章 合同条款</w:t>
      </w:r>
      <w:bookmarkEnd w:id="54"/>
      <w:bookmarkEnd w:id="55"/>
      <w:bookmarkEnd w:id="64"/>
    </w:p>
    <w:p w14:paraId="6181E83D">
      <w:pPr>
        <w:rPr>
          <w:rFonts w:hint="eastAsia" w:ascii="宋体" w:hAnsi="宋体" w:eastAsia="宋体" w:cs="宋体"/>
          <w:color w:val="auto"/>
          <w:highlight w:val="none"/>
        </w:rPr>
      </w:pPr>
    </w:p>
    <w:p w14:paraId="1660C93A">
      <w:pPr>
        <w:spacing w:line="360" w:lineRule="auto"/>
        <w:jc w:val="center"/>
        <w:rPr>
          <w:rFonts w:hint="eastAsia" w:ascii="宋体" w:hAnsi="宋体" w:eastAsia="宋体" w:cs="宋体"/>
          <w:color w:val="auto"/>
          <w:w w:val="90"/>
          <w:sz w:val="72"/>
          <w:szCs w:val="52"/>
          <w:highlight w:val="none"/>
        </w:rPr>
      </w:pPr>
      <w:r>
        <w:rPr>
          <w:rFonts w:hint="eastAsia" w:ascii="宋体" w:hAnsi="宋体" w:eastAsia="宋体" w:cs="宋体"/>
          <w:color w:val="auto"/>
          <w:w w:val="90"/>
          <w:sz w:val="72"/>
          <w:szCs w:val="52"/>
          <w:highlight w:val="none"/>
        </w:rPr>
        <w:t>建设工程造价咨询合同</w:t>
      </w:r>
    </w:p>
    <w:p w14:paraId="1B5DFF0D">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（结算审计复核）</w:t>
      </w:r>
    </w:p>
    <w:p w14:paraId="5FF95D2B">
      <w:pPr>
        <w:jc w:val="center"/>
        <w:rPr>
          <w:rFonts w:hint="eastAsia" w:ascii="宋体" w:hAnsi="宋体" w:eastAsia="宋体" w:cs="宋体"/>
          <w:color w:val="auto"/>
          <w:sz w:val="72"/>
          <w:szCs w:val="72"/>
          <w:highlight w:val="none"/>
        </w:rPr>
      </w:pPr>
    </w:p>
    <w:p w14:paraId="7304028C">
      <w:pPr>
        <w:jc w:val="center"/>
        <w:rPr>
          <w:rFonts w:hint="eastAsia" w:ascii="宋体" w:hAnsi="宋体" w:eastAsia="宋体" w:cs="宋体"/>
          <w:color w:val="auto"/>
          <w:sz w:val="72"/>
          <w:szCs w:val="72"/>
          <w:highlight w:val="none"/>
        </w:rPr>
      </w:pPr>
    </w:p>
    <w:p w14:paraId="65DB88A4">
      <w:pPr>
        <w:jc w:val="center"/>
        <w:rPr>
          <w:rFonts w:hint="eastAsia" w:ascii="宋体" w:hAnsi="宋体" w:eastAsia="宋体" w:cs="宋体"/>
          <w:color w:val="auto"/>
          <w:sz w:val="72"/>
          <w:szCs w:val="72"/>
          <w:highlight w:val="none"/>
        </w:rPr>
      </w:pPr>
    </w:p>
    <w:p w14:paraId="34A29039">
      <w:pPr>
        <w:pStyle w:val="2"/>
        <w:rPr>
          <w:rFonts w:hint="eastAsia" w:ascii="宋体" w:hAnsi="宋体" w:eastAsia="宋体" w:cs="宋体"/>
          <w:color w:val="auto"/>
          <w:highlight w:val="none"/>
        </w:rPr>
      </w:pPr>
    </w:p>
    <w:p w14:paraId="2C6E1F13">
      <w:pPr>
        <w:rPr>
          <w:rFonts w:hint="eastAsia" w:ascii="宋体" w:hAnsi="宋体" w:eastAsia="宋体" w:cs="宋体"/>
          <w:color w:val="auto"/>
          <w:highlight w:val="none"/>
        </w:rPr>
      </w:pPr>
    </w:p>
    <w:p w14:paraId="472E208D">
      <w:pPr>
        <w:spacing w:line="240" w:lineRule="exact"/>
        <w:jc w:val="center"/>
        <w:rPr>
          <w:rFonts w:hint="eastAsia" w:ascii="宋体" w:hAnsi="宋体" w:eastAsia="宋体" w:cs="宋体"/>
          <w:color w:val="auto"/>
          <w:sz w:val="72"/>
          <w:szCs w:val="72"/>
          <w:highlight w:val="none"/>
        </w:rPr>
      </w:pPr>
    </w:p>
    <w:p w14:paraId="7C3427B7">
      <w:pPr>
        <w:spacing w:line="240" w:lineRule="exact"/>
        <w:jc w:val="center"/>
        <w:rPr>
          <w:rFonts w:hint="eastAsia" w:ascii="宋体" w:hAnsi="宋体" w:eastAsia="宋体" w:cs="宋体"/>
          <w:color w:val="auto"/>
          <w:sz w:val="72"/>
          <w:szCs w:val="72"/>
          <w:highlight w:val="none"/>
        </w:rPr>
      </w:pPr>
    </w:p>
    <w:p w14:paraId="07360BC0">
      <w:pPr>
        <w:spacing w:line="800" w:lineRule="exact"/>
        <w:rPr>
          <w:rFonts w:hint="eastAsia" w:ascii="宋体" w:hAnsi="宋体" w:eastAsia="宋体" w:cs="宋体"/>
          <w:color w:val="auto"/>
          <w:sz w:val="36"/>
          <w:szCs w:val="30"/>
          <w:highlight w:val="none"/>
          <w:u w:val="single"/>
        </w:rPr>
      </w:pPr>
      <w:r>
        <w:rPr>
          <w:rFonts w:hint="eastAsia" w:ascii="宋体" w:hAnsi="宋体" w:eastAsia="宋体" w:cs="宋体"/>
          <w:color w:val="auto"/>
          <w:sz w:val="36"/>
          <w:szCs w:val="30"/>
          <w:highlight w:val="none"/>
        </w:rPr>
        <w:t>委托单位：</w:t>
      </w:r>
      <w:r>
        <w:rPr>
          <w:rFonts w:hint="eastAsia" w:ascii="宋体" w:hAnsi="宋体" w:cs="宋体"/>
          <w:color w:val="auto"/>
          <w:sz w:val="36"/>
          <w:szCs w:val="30"/>
          <w:highlight w:val="none"/>
          <w:u w:val="single"/>
          <w:lang w:val="en-US" w:eastAsia="zh-CN"/>
        </w:rPr>
        <w:t>滁州市重点工程建设管理处</w:t>
      </w:r>
    </w:p>
    <w:p w14:paraId="0DD9E304">
      <w:pPr>
        <w:spacing w:line="800" w:lineRule="exact"/>
        <w:ind w:right="-538" w:rightChars="-256"/>
        <w:jc w:val="left"/>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工程名称：</w:t>
      </w:r>
      <w:r>
        <w:rPr>
          <w:rFonts w:hint="eastAsia" w:ascii="宋体" w:hAnsi="宋体" w:eastAsia="宋体" w:cs="宋体"/>
          <w:color w:val="auto"/>
          <w:sz w:val="36"/>
          <w:szCs w:val="30"/>
          <w:highlight w:val="none"/>
          <w:u w:val="single"/>
        </w:rPr>
        <w:t>滁州市安置小区二次供水改造项目（二标段）结算复核服务项目</w:t>
      </w:r>
    </w:p>
    <w:p w14:paraId="41ACABDF">
      <w:pPr>
        <w:spacing w:line="800" w:lineRule="exact"/>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签订时间：</w:t>
      </w:r>
      <w:r>
        <w:rPr>
          <w:rFonts w:hint="eastAsia" w:ascii="宋体" w:hAnsi="宋体" w:eastAsia="宋体" w:cs="宋体"/>
          <w:color w:val="auto"/>
          <w:sz w:val="36"/>
          <w:szCs w:val="30"/>
          <w:highlight w:val="none"/>
          <w:u w:val="single"/>
        </w:rPr>
        <w:t xml:space="preserve"> 202</w:t>
      </w:r>
      <w:r>
        <w:rPr>
          <w:rFonts w:hint="eastAsia" w:ascii="宋体" w:hAnsi="宋体" w:cs="宋体"/>
          <w:color w:val="auto"/>
          <w:sz w:val="36"/>
          <w:szCs w:val="30"/>
          <w:highlight w:val="none"/>
          <w:u w:val="single"/>
          <w:lang w:val="en-US" w:eastAsia="zh-CN"/>
        </w:rPr>
        <w:t xml:space="preserve">6 </w:t>
      </w:r>
      <w:r>
        <w:rPr>
          <w:rFonts w:hint="eastAsia" w:ascii="宋体" w:hAnsi="宋体" w:eastAsia="宋体" w:cs="宋体"/>
          <w:color w:val="auto"/>
          <w:sz w:val="36"/>
          <w:szCs w:val="30"/>
          <w:highlight w:val="none"/>
        </w:rPr>
        <w:t>年</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月</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日</w:t>
      </w:r>
    </w:p>
    <w:p w14:paraId="3F0FB031">
      <w:pPr>
        <w:pStyle w:val="2"/>
        <w:rPr>
          <w:rFonts w:hint="eastAsia" w:ascii="宋体" w:hAnsi="宋体" w:eastAsia="宋体" w:cs="宋体"/>
          <w:color w:val="auto"/>
          <w:highlight w:val="none"/>
        </w:rPr>
      </w:pPr>
    </w:p>
    <w:p w14:paraId="3DDABAD1">
      <w:pPr>
        <w:pStyle w:val="2"/>
        <w:rPr>
          <w:rFonts w:hint="eastAsia" w:ascii="宋体" w:hAnsi="宋体" w:eastAsia="宋体" w:cs="宋体"/>
          <w:color w:val="auto"/>
          <w:highlight w:val="none"/>
        </w:rPr>
      </w:pPr>
    </w:p>
    <w:p w14:paraId="372A0A1F">
      <w:pPr>
        <w:pStyle w:val="6"/>
        <w:keepNext/>
        <w:keepLines/>
        <w:pageBreakBefore/>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结算审计复核委托协议</w:t>
      </w:r>
    </w:p>
    <w:p w14:paraId="3BCC930E">
      <w:pPr>
        <w:adjustRightInd w:val="0"/>
        <w:snapToGrid w:val="0"/>
        <w:jc w:val="left"/>
        <w:rPr>
          <w:rFonts w:hint="eastAsia" w:ascii="宋体" w:hAnsi="宋体" w:eastAsia="宋体" w:cs="宋体"/>
          <w:color w:val="auto"/>
          <w:sz w:val="18"/>
          <w:szCs w:val="18"/>
          <w:highlight w:val="none"/>
        </w:rPr>
      </w:pPr>
    </w:p>
    <w:p w14:paraId="262A3F23">
      <w:pPr>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委托人（全称）：</w:t>
      </w:r>
      <w:r>
        <w:rPr>
          <w:rFonts w:hint="eastAsia" w:ascii="宋体" w:hAnsi="宋体" w:cs="宋体"/>
          <w:color w:val="auto"/>
          <w:sz w:val="28"/>
          <w:szCs w:val="28"/>
          <w:highlight w:val="none"/>
          <w:lang w:val="en-US" w:eastAsia="zh-CN"/>
        </w:rPr>
        <w:t>滁州市重点工程建设管理处</w:t>
      </w:r>
      <w:r>
        <w:rPr>
          <w:rFonts w:hint="eastAsia" w:ascii="宋体" w:hAnsi="宋体" w:eastAsia="宋体" w:cs="宋体"/>
          <w:color w:val="auto"/>
          <w:sz w:val="28"/>
          <w:szCs w:val="28"/>
          <w:highlight w:val="none"/>
        </w:rPr>
        <w:t xml:space="preserve"> </w:t>
      </w:r>
    </w:p>
    <w:p w14:paraId="215B1D2B">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受托人（全称）：</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A4D3658">
      <w:pPr>
        <w:ind w:firstLine="560" w:firstLineChars="200"/>
        <w:rPr>
          <w:rFonts w:hint="eastAsia" w:ascii="宋体" w:hAnsi="宋体" w:eastAsia="宋体" w:cs="宋体"/>
          <w:color w:val="auto"/>
          <w:sz w:val="28"/>
          <w:szCs w:val="28"/>
          <w:highlight w:val="none"/>
        </w:rPr>
      </w:pPr>
    </w:p>
    <w:p w14:paraId="40391DE2">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为保证滁州市政府投资项目审计工作质量和效率，依据《中华人民共和国</w:t>
      </w:r>
      <w:r>
        <w:rPr>
          <w:rFonts w:hint="eastAsia" w:ascii="宋体" w:hAnsi="宋体" w:eastAsia="宋体" w:cs="宋体"/>
          <w:color w:val="auto"/>
          <w:sz w:val="28"/>
          <w:szCs w:val="28"/>
          <w:highlight w:val="none"/>
          <w:lang w:eastAsia="zh-CN"/>
        </w:rPr>
        <w:t>民法典</w:t>
      </w:r>
      <w:r>
        <w:rPr>
          <w:rFonts w:hint="eastAsia" w:ascii="宋体" w:hAnsi="宋体" w:eastAsia="宋体" w:cs="宋体"/>
          <w:color w:val="auto"/>
          <w:sz w:val="28"/>
          <w:szCs w:val="28"/>
          <w:highlight w:val="none"/>
        </w:rPr>
        <w:t>》等有关法律规定，遵循平等、自愿、公平和诚实信用的原则，双方就</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及有关事项协商一致，共同达成如下协议：</w:t>
      </w:r>
    </w:p>
    <w:p w14:paraId="32C60ED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一、项目概况</w:t>
      </w:r>
    </w:p>
    <w:p w14:paraId="3E938C44">
      <w:pPr>
        <w:ind w:firstLine="560" w:firstLineChars="20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bCs/>
          <w:color w:val="auto"/>
          <w:sz w:val="28"/>
          <w:szCs w:val="28"/>
          <w:highlight w:val="none"/>
        </w:rPr>
        <w:t>1、项目名称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滁州市安置小区二次供水改造项目（二标段）结算复核服务项目</w:t>
      </w:r>
    </w:p>
    <w:p w14:paraId="3E0E0EF9">
      <w:pPr>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2、项目造价</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p>
    <w:p w14:paraId="3F66B1D7">
      <w:pPr>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3、委托内容：</w:t>
      </w:r>
      <w:r>
        <w:rPr>
          <w:rFonts w:hint="eastAsia" w:ascii="宋体" w:hAnsi="宋体" w:eastAsia="宋体" w:cs="宋体"/>
          <w:color w:val="auto"/>
          <w:sz w:val="28"/>
          <w:szCs w:val="28"/>
          <w:highlight w:val="none"/>
          <w:u w:val="single"/>
        </w:rPr>
        <w:t>结算审计复核。</w:t>
      </w:r>
    </w:p>
    <w:p w14:paraId="53F848A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二、项目结算复核人员配备</w:t>
      </w:r>
    </w:p>
    <w:p w14:paraId="5CF199DC">
      <w:pPr>
        <w:widowControl/>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项目组成人员要求：企业拟派的项目负责人：</w:t>
      </w:r>
      <w:r>
        <w:rPr>
          <w:rFonts w:hint="eastAsia" w:ascii="宋体" w:hAnsi="宋体" w:cs="宋体"/>
          <w:color w:val="auto"/>
          <w:sz w:val="28"/>
          <w:szCs w:val="28"/>
          <w:highlight w:val="none"/>
          <w:lang w:val="en-US" w:eastAsia="zh-CN"/>
        </w:rPr>
        <w:t>一级</w:t>
      </w:r>
      <w:r>
        <w:rPr>
          <w:rFonts w:hint="eastAsia" w:ascii="宋体" w:hAnsi="宋体" w:eastAsia="宋体" w:cs="宋体"/>
          <w:color w:val="auto"/>
          <w:sz w:val="28"/>
          <w:szCs w:val="28"/>
          <w:highlight w:val="none"/>
        </w:rPr>
        <w:t>注册造价工程师（或一级造价师）1名；项目组成人员：</w:t>
      </w:r>
      <w:r>
        <w:rPr>
          <w:rFonts w:hint="eastAsia" w:ascii="宋体" w:hAnsi="宋体" w:eastAsia="宋体" w:cs="宋体"/>
          <w:color w:val="auto"/>
          <w:sz w:val="28"/>
          <w:szCs w:val="28"/>
          <w:highlight w:val="none"/>
          <w:lang w:val="en-US" w:eastAsia="zh-CN"/>
        </w:rPr>
        <w:t>二级及以上</w:t>
      </w:r>
      <w:r>
        <w:rPr>
          <w:rFonts w:hint="eastAsia" w:ascii="宋体" w:hAnsi="宋体" w:eastAsia="宋体" w:cs="宋体"/>
          <w:color w:val="auto"/>
          <w:sz w:val="28"/>
          <w:szCs w:val="28"/>
          <w:highlight w:val="none"/>
        </w:rPr>
        <w:t>注册造价工程师不少于</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名。</w:t>
      </w:r>
    </w:p>
    <w:p w14:paraId="0614B171">
      <w:pPr>
        <w:widowControl/>
        <w:ind w:left="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本项目结算复核人员为：</w:t>
      </w:r>
    </w:p>
    <w:p w14:paraId="235833FB">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7548EF2E">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488FE82D">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6CD9355D">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三、咨询期限</w:t>
      </w:r>
    </w:p>
    <w:p w14:paraId="7AC7A1A8">
      <w:pPr>
        <w:spacing w:line="58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1、计划开始日期：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194D97AB">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2、计划结束日期：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122D6309">
      <w:pPr>
        <w:pStyle w:val="2"/>
        <w:ind w:left="0" w:leftChars="0" w:firstLine="6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3、结算复核时限要求：</w:t>
      </w:r>
      <w:r>
        <w:rPr>
          <w:rFonts w:hint="eastAsia" w:ascii="宋体" w:hAnsi="宋体" w:eastAsia="宋体" w:cs="宋体"/>
          <w:bCs/>
          <w:color w:val="auto"/>
          <w:sz w:val="28"/>
          <w:szCs w:val="28"/>
          <w:highlight w:val="none"/>
          <w:lang w:eastAsia="zh-CN"/>
        </w:rPr>
        <w:t>在10日内对施工单位报送的项目结算资料进行完整性检查，一次性书面告知，限期补充齐全；在施工单位报送的项目结算资料完整后的</w:t>
      </w:r>
      <w:r>
        <w:rPr>
          <w:rFonts w:hint="eastAsia" w:ascii="宋体" w:hAnsi="宋体" w:cs="宋体"/>
          <w:bCs/>
          <w:color w:val="auto"/>
          <w:sz w:val="28"/>
          <w:szCs w:val="28"/>
          <w:highlight w:val="none"/>
          <w:lang w:val="en-US" w:eastAsia="zh-CN"/>
        </w:rPr>
        <w:t>20</w:t>
      </w:r>
      <w:r>
        <w:rPr>
          <w:rFonts w:hint="eastAsia" w:ascii="宋体" w:hAnsi="宋体" w:eastAsia="宋体" w:cs="宋体"/>
          <w:bCs/>
          <w:color w:val="auto"/>
          <w:sz w:val="28"/>
          <w:szCs w:val="28"/>
          <w:highlight w:val="none"/>
          <w:lang w:eastAsia="zh-CN"/>
        </w:rPr>
        <w:t>日内完成，并出具审核报告</w:t>
      </w:r>
      <w:r>
        <w:rPr>
          <w:rFonts w:hint="eastAsia" w:ascii="宋体" w:hAnsi="宋体" w:eastAsia="宋体" w:cs="宋体"/>
          <w:color w:val="auto"/>
          <w:sz w:val="28"/>
          <w:szCs w:val="28"/>
          <w:highlight w:val="none"/>
        </w:rPr>
        <w:t>。</w:t>
      </w:r>
    </w:p>
    <w:p w14:paraId="06D0066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四、质量标准</w:t>
      </w:r>
    </w:p>
    <w:p w14:paraId="0BFFECC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工程造价咨询成果文件质量符合</w:t>
      </w:r>
      <w:r>
        <w:rPr>
          <w:rFonts w:hint="eastAsia" w:ascii="宋体" w:hAnsi="宋体" w:eastAsia="宋体" w:cs="宋体"/>
          <w:color w:val="auto"/>
          <w:sz w:val="28"/>
          <w:szCs w:val="28"/>
          <w:highlight w:val="none"/>
          <w:u w:val="single"/>
        </w:rPr>
        <w:t xml:space="preserve">《建设工程造价咨询成果文件质量标准》（CECA/GC7-2012)要求 </w:t>
      </w:r>
      <w:r>
        <w:rPr>
          <w:rFonts w:hint="eastAsia" w:ascii="宋体" w:hAnsi="宋体" w:eastAsia="宋体" w:cs="宋体"/>
          <w:color w:val="auto"/>
          <w:sz w:val="28"/>
          <w:szCs w:val="28"/>
          <w:highlight w:val="none"/>
        </w:rPr>
        <w:t>标准。</w:t>
      </w:r>
    </w:p>
    <w:p w14:paraId="711F97B8">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五、咨询酬金 </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2ECA0CCA">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6CF6B92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0859B9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CB232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审核成果费</w:t>
            </w:r>
            <w:r>
              <w:rPr>
                <w:rFonts w:hint="eastAsia" w:ascii="宋体" w:hAnsi="宋体" w:eastAsia="宋体" w:cs="宋体"/>
                <w:color w:val="auto"/>
                <w:kern w:val="0"/>
                <w:sz w:val="28"/>
                <w:szCs w:val="28"/>
                <w:highlight w:val="none"/>
                <w:lang w:val="en-US" w:eastAsia="zh-CN"/>
              </w:rPr>
              <w:t>率</w:t>
            </w:r>
          </w:p>
        </w:tc>
      </w:tr>
      <w:tr w14:paraId="04E7A04A">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6DF537E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jc w:val="center"/>
              <w:textAlignment w:val="auto"/>
              <w:rPr>
                <w:rFonts w:hint="eastAsia" w:ascii="宋体" w:hAnsi="宋体" w:eastAsia="宋体" w:cs="宋体"/>
                <w:color w:val="auto"/>
                <w:kern w:val="0"/>
                <w:sz w:val="28"/>
                <w:szCs w:val="28"/>
                <w:highlight w:val="none"/>
              </w:rPr>
            </w:pPr>
          </w:p>
        </w:tc>
        <w:tc>
          <w:tcPr>
            <w:tcW w:w="2280" w:type="dxa"/>
            <w:tcBorders>
              <w:top w:val="nil"/>
              <w:left w:val="nil"/>
              <w:bottom w:val="single" w:color="auto" w:sz="4" w:space="0"/>
              <w:right w:val="single" w:color="auto" w:sz="4" w:space="0"/>
            </w:tcBorders>
            <w:noWrap w:val="0"/>
            <w:vAlign w:val="center"/>
          </w:tcPr>
          <w:p w14:paraId="055A6A6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jc w:val="center"/>
              <w:textAlignment w:val="auto"/>
              <w:rPr>
                <w:rFonts w:hint="eastAsia" w:ascii="宋体" w:hAnsi="宋体" w:eastAsia="宋体" w:cs="宋体"/>
                <w:color w:val="auto"/>
                <w:kern w:val="0"/>
                <w:sz w:val="28"/>
                <w:szCs w:val="28"/>
                <w:highlight w:val="none"/>
              </w:rPr>
            </w:pPr>
          </w:p>
        </w:tc>
        <w:tc>
          <w:tcPr>
            <w:tcW w:w="2340" w:type="dxa"/>
            <w:tcBorders>
              <w:top w:val="nil"/>
              <w:left w:val="nil"/>
              <w:bottom w:val="single" w:color="auto" w:sz="4" w:space="0"/>
              <w:right w:val="single" w:color="auto" w:sz="4" w:space="0"/>
            </w:tcBorders>
            <w:noWrap w:val="0"/>
            <w:vAlign w:val="center"/>
          </w:tcPr>
          <w:p w14:paraId="56AF1B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leftChars="0" w:right="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p>
        </w:tc>
      </w:tr>
    </w:tbl>
    <w:p w14:paraId="19EDA0D8">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费计算方式为：基本费+审核成果费。其中，审核成果费计算基数为</w:t>
      </w: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rPr>
        <w:t>核减金额。</w:t>
      </w:r>
    </w:p>
    <w:p w14:paraId="7D1F4FAC">
      <w:pPr>
        <w:keepNext w:val="0"/>
        <w:keepLines w:val="0"/>
        <w:pageBreakBefore w:val="0"/>
        <w:numPr>
          <w:ilvl w:val="0"/>
          <w:numId w:val="0"/>
        </w:numPr>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工程造价审减率超过</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将对施工单位进行处罚，处罚金额为</w:t>
      </w:r>
      <w:r>
        <w:rPr>
          <w:rFonts w:hint="eastAsia" w:ascii="宋体" w:hAnsi="宋体" w:eastAsia="宋体" w:cs="宋体"/>
          <w:color w:val="auto"/>
          <w:sz w:val="28"/>
          <w:szCs w:val="28"/>
          <w:highlight w:val="none"/>
        </w:rPr>
        <w:t>审减率</w:t>
      </w:r>
      <w:r>
        <w:rPr>
          <w:rFonts w:hint="eastAsia" w:ascii="宋体" w:hAnsi="宋体" w:eastAsia="宋体" w:cs="宋体"/>
          <w:color w:val="auto"/>
          <w:sz w:val="28"/>
          <w:szCs w:val="28"/>
          <w:highlight w:val="none"/>
          <w:lang w:eastAsia="zh-CN"/>
        </w:rPr>
        <w:t>超出</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以上的报送金额的</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由综合计划科在定案时明确处罚金额报工程监管科落实处罚</w:t>
      </w:r>
      <w:r>
        <w:rPr>
          <w:rFonts w:hint="eastAsia" w:ascii="宋体" w:hAnsi="宋体" w:eastAsia="宋体" w:cs="宋体"/>
          <w:b w:val="0"/>
          <w:bCs w:val="0"/>
          <w:color w:val="auto"/>
          <w:sz w:val="28"/>
          <w:szCs w:val="28"/>
          <w:highlight w:val="none"/>
        </w:rPr>
        <w:t>。</w:t>
      </w:r>
    </w:p>
    <w:p w14:paraId="07C88F6E">
      <w:pPr>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付款方式：出具审核报告，交付招标人初审确认，报经招标人备案审查通过后，按照招标人审查备案金额结算支付审计服务费用。（注：发包人在政府资金调度会批准且发票送达后完成支付）。</w:t>
      </w:r>
    </w:p>
    <w:p w14:paraId="7B396C9F">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六、处罚规定</w:t>
      </w:r>
    </w:p>
    <w:p w14:paraId="0332F487">
      <w:pPr>
        <w:pStyle w:val="2"/>
        <w:ind w:left="0" w:leftChars="0" w:firstLine="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执行</w:t>
      </w:r>
      <w:r>
        <w:rPr>
          <w:rFonts w:hint="eastAsia" w:ascii="宋体" w:hAnsi="宋体" w:eastAsia="宋体" w:cs="宋体"/>
          <w:bCs/>
          <w:color w:val="auto"/>
          <w:sz w:val="28"/>
          <w:szCs w:val="28"/>
          <w:highlight w:val="none"/>
        </w:rPr>
        <w:t>《工程</w:t>
      </w:r>
      <w:r>
        <w:rPr>
          <w:rFonts w:hint="eastAsia" w:ascii="宋体" w:hAnsi="宋体" w:eastAsia="宋体" w:cs="宋体"/>
          <w:color w:val="auto"/>
          <w:sz w:val="28"/>
          <w:szCs w:val="28"/>
          <w:highlight w:val="none"/>
        </w:rPr>
        <w:t>造价咨询服务管理办法》（</w:t>
      </w:r>
      <w:r>
        <w:rPr>
          <w:rFonts w:hint="eastAsia" w:ascii="宋体" w:hAnsi="宋体" w:eastAsia="宋体" w:cs="宋体"/>
          <w:bCs/>
          <w:color w:val="auto"/>
          <w:sz w:val="28"/>
          <w:szCs w:val="28"/>
          <w:highlight w:val="none"/>
        </w:rPr>
        <w:t>滁重〔</w:t>
      </w:r>
      <w:r>
        <w:rPr>
          <w:rFonts w:hint="eastAsia" w:ascii="宋体" w:hAnsi="宋体" w:eastAsia="宋体" w:cs="宋体"/>
          <w:bCs/>
          <w:color w:val="auto"/>
          <w:sz w:val="28"/>
          <w:szCs w:val="28"/>
          <w:highlight w:val="none"/>
          <w:lang w:eastAsia="zh-CN"/>
        </w:rPr>
        <w:t>20</w:t>
      </w:r>
      <w:r>
        <w:rPr>
          <w:rFonts w:hint="eastAsia" w:ascii="宋体" w:hAnsi="宋体" w:eastAsia="宋体" w:cs="宋体"/>
          <w:bCs/>
          <w:color w:val="auto"/>
          <w:sz w:val="28"/>
          <w:szCs w:val="28"/>
          <w:highlight w:val="none"/>
          <w:lang w:val="en-US" w:eastAsia="zh-CN"/>
        </w:rPr>
        <w:t>22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55号</w:t>
      </w:r>
      <w:r>
        <w:rPr>
          <w:rFonts w:hint="eastAsia" w:ascii="宋体" w:hAnsi="宋体" w:eastAsia="宋体" w:cs="宋体"/>
          <w:color w:val="auto"/>
          <w:sz w:val="28"/>
          <w:szCs w:val="28"/>
          <w:highlight w:val="none"/>
        </w:rPr>
        <w:t>）第七章。</w:t>
      </w:r>
    </w:p>
    <w:p w14:paraId="00D0B882">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七、签订时间</w:t>
      </w:r>
    </w:p>
    <w:p w14:paraId="4B0E5200">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本合同于</w:t>
      </w:r>
      <w:r>
        <w:rPr>
          <w:rFonts w:hint="eastAsia" w:ascii="宋体" w:hAnsi="宋体" w:eastAsia="宋体" w:cs="宋体"/>
          <w:color w:val="auto"/>
          <w:sz w:val="28"/>
          <w:szCs w:val="28"/>
          <w:highlight w:val="none"/>
          <w:u w:val="single"/>
        </w:rPr>
        <w:t xml:space="preserve">  20</w:t>
      </w:r>
      <w:r>
        <w:rPr>
          <w:rFonts w:hint="eastAsia" w:ascii="宋体" w:hAnsi="宋体" w:eastAsia="宋体" w:cs="宋体"/>
          <w:color w:val="auto"/>
          <w:sz w:val="28"/>
          <w:szCs w:val="28"/>
          <w:highlight w:val="none"/>
          <w:u w:val="single"/>
          <w:lang w:val="en-US" w:eastAsia="zh-CN"/>
        </w:rPr>
        <w:t>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bCs/>
          <w:color w:val="auto"/>
          <w:sz w:val="28"/>
          <w:szCs w:val="28"/>
          <w:highlight w:val="none"/>
        </w:rPr>
        <w:t>签订</w:t>
      </w:r>
      <w:r>
        <w:rPr>
          <w:rFonts w:hint="eastAsia" w:ascii="宋体" w:hAnsi="宋体" w:eastAsia="宋体" w:cs="宋体"/>
          <w:color w:val="auto"/>
          <w:sz w:val="28"/>
          <w:szCs w:val="28"/>
          <w:highlight w:val="none"/>
        </w:rPr>
        <w:t>。</w:t>
      </w:r>
    </w:p>
    <w:p w14:paraId="1EE2C398">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八、签订地点</w:t>
      </w:r>
    </w:p>
    <w:p w14:paraId="50FABF73">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滁州市重点工程建设管理处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签订。</w:t>
      </w:r>
    </w:p>
    <w:p w14:paraId="6888D60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九、补充协议</w:t>
      </w:r>
    </w:p>
    <w:p w14:paraId="4F2268E0">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合同未尽事宜，合同当事人另行签订补充协议，补充协议是合同的组成部分。</w:t>
      </w:r>
    </w:p>
    <w:p w14:paraId="5BC42636">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十、合同生效</w:t>
      </w:r>
    </w:p>
    <w:p w14:paraId="0A5F731E">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本合同自</w:t>
      </w:r>
      <w:r>
        <w:rPr>
          <w:rFonts w:hint="eastAsia" w:ascii="宋体" w:hAnsi="宋体" w:eastAsia="宋体" w:cs="宋体"/>
          <w:color w:val="auto"/>
          <w:sz w:val="28"/>
          <w:szCs w:val="28"/>
          <w:highlight w:val="none"/>
          <w:u w:val="single"/>
        </w:rPr>
        <w:t xml:space="preserve">   签订之日起   </w:t>
      </w:r>
      <w:r>
        <w:rPr>
          <w:rFonts w:hint="eastAsia" w:ascii="宋体" w:hAnsi="宋体" w:eastAsia="宋体" w:cs="宋体"/>
          <w:color w:val="auto"/>
          <w:sz w:val="28"/>
          <w:szCs w:val="28"/>
          <w:highlight w:val="none"/>
        </w:rPr>
        <w:t>生效。</w:t>
      </w:r>
    </w:p>
    <w:p w14:paraId="3CAFFC3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十一、合同份数</w:t>
      </w:r>
    </w:p>
    <w:p w14:paraId="6B6FED17">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份，均具有同等法律效力，委托人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份，咨询人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w:t>
      </w:r>
    </w:p>
    <w:p w14:paraId="62C51A43">
      <w:pPr>
        <w:pStyle w:val="2"/>
        <w:ind w:left="420" w:firstLine="600"/>
        <w:rPr>
          <w:rFonts w:hint="eastAsia" w:ascii="宋体" w:hAnsi="宋体" w:eastAsia="宋体" w:cs="宋体"/>
          <w:bCs/>
          <w:color w:val="auto"/>
          <w:sz w:val="28"/>
          <w:szCs w:val="28"/>
          <w:highlight w:val="none"/>
        </w:rPr>
      </w:pPr>
    </w:p>
    <w:p w14:paraId="41AF879E">
      <w:pPr>
        <w:rPr>
          <w:rFonts w:hint="eastAsia" w:ascii="宋体" w:hAnsi="宋体" w:eastAsia="宋体" w:cs="宋体"/>
          <w:color w:val="auto"/>
          <w:sz w:val="28"/>
          <w:szCs w:val="28"/>
          <w:highlight w:val="none"/>
        </w:rPr>
      </w:pPr>
    </w:p>
    <w:p w14:paraId="265CEF35">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委托人：  (公章)                受托人：  (公章)         </w:t>
      </w:r>
    </w:p>
    <w:p w14:paraId="4DBDD666">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000B36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14:paraId="67EEA33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14:paraId="21F16678">
      <w:pPr>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14:paraId="527A4C9D">
      <w:pPr>
        <w:pStyle w:val="2"/>
        <w:rPr>
          <w:rFonts w:hint="eastAsia" w:ascii="宋体" w:hAnsi="宋体" w:eastAsia="宋体" w:cs="宋体"/>
          <w:color w:val="auto"/>
          <w:sz w:val="30"/>
          <w:szCs w:val="30"/>
          <w:highlight w:val="none"/>
        </w:rPr>
      </w:pPr>
    </w:p>
    <w:p w14:paraId="7587208D">
      <w:pPr>
        <w:pStyle w:val="43"/>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53896E5F">
      <w:pPr>
        <w:pStyle w:val="43"/>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14928FCA">
      <w:pPr>
        <w:pStyle w:val="6"/>
        <w:spacing w:before="0" w:after="0"/>
        <w:rPr>
          <w:rFonts w:hint="eastAsia" w:ascii="宋体" w:hAnsi="宋体" w:eastAsia="宋体" w:cs="宋体"/>
          <w:color w:val="auto"/>
          <w:highlight w:val="none"/>
          <w:lang w:val="en-US" w:eastAsia="zh-CN"/>
        </w:rPr>
      </w:pPr>
    </w:p>
    <w:p w14:paraId="0029AF7F">
      <w:pPr>
        <w:pStyle w:val="6"/>
        <w:spacing w:before="0" w:after="0"/>
        <w:rPr>
          <w:rFonts w:hint="eastAsia" w:ascii="宋体" w:hAnsi="宋体" w:eastAsia="宋体" w:cs="宋体"/>
          <w:color w:val="auto"/>
          <w:highlight w:val="none"/>
          <w:lang w:val="en-US" w:eastAsia="zh-CN"/>
        </w:rPr>
      </w:pPr>
    </w:p>
    <w:p w14:paraId="4F1E9F27">
      <w:pPr>
        <w:rPr>
          <w:rFonts w:hint="eastAsia" w:ascii="宋体" w:hAnsi="宋体" w:eastAsia="宋体" w:cs="宋体"/>
          <w:color w:val="auto"/>
          <w:highlight w:val="none"/>
          <w:lang w:val="en-US" w:eastAsia="zh-CN"/>
        </w:rPr>
      </w:pPr>
    </w:p>
    <w:p w14:paraId="7BA37E6D">
      <w:pPr>
        <w:pStyle w:val="2"/>
        <w:rPr>
          <w:rFonts w:hint="eastAsia" w:ascii="宋体" w:hAnsi="宋体" w:eastAsia="宋体" w:cs="宋体"/>
          <w:color w:val="auto"/>
          <w:highlight w:val="none"/>
          <w:lang w:val="en-US" w:eastAsia="zh-CN"/>
        </w:rPr>
      </w:pPr>
    </w:p>
    <w:p w14:paraId="35C4CABE">
      <w:pPr>
        <w:rPr>
          <w:rFonts w:hint="eastAsia" w:ascii="宋体" w:hAnsi="宋体" w:eastAsia="宋体" w:cs="宋体"/>
          <w:color w:val="auto"/>
          <w:highlight w:val="none"/>
          <w:lang w:val="en-US" w:eastAsia="zh-CN"/>
        </w:rPr>
      </w:pPr>
    </w:p>
    <w:p w14:paraId="69EEBB19">
      <w:pPr>
        <w:pStyle w:val="2"/>
        <w:rPr>
          <w:rFonts w:hint="eastAsia" w:ascii="宋体" w:hAnsi="宋体" w:eastAsia="宋体" w:cs="宋体"/>
          <w:color w:val="auto"/>
          <w:highlight w:val="none"/>
          <w:lang w:val="en-US" w:eastAsia="zh-CN"/>
        </w:rPr>
      </w:pPr>
    </w:p>
    <w:p w14:paraId="21838DF1">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5" w:name="_Toc30675"/>
      <w:r>
        <w:rPr>
          <w:rFonts w:hint="eastAsia" w:ascii="宋体" w:hAnsi="宋体" w:eastAsia="宋体" w:cs="宋体"/>
          <w:color w:val="auto"/>
          <w:highlight w:val="none"/>
          <w:lang w:val="en-US" w:eastAsia="zh-CN"/>
        </w:rPr>
        <w:t>第四章 投标文件格式</w:t>
      </w:r>
      <w:bookmarkEnd w:id="65"/>
    </w:p>
    <w:p w14:paraId="1943CB7C">
      <w:pPr>
        <w:jc w:val="center"/>
        <w:rPr>
          <w:rFonts w:hint="eastAsia" w:ascii="宋体" w:hAnsi="宋体" w:eastAsia="宋体" w:cs="宋体"/>
          <w:color w:val="auto"/>
          <w:sz w:val="28"/>
          <w:szCs w:val="28"/>
          <w:highlight w:val="none"/>
          <w:u w:val="single"/>
        </w:rPr>
      </w:pPr>
    </w:p>
    <w:p w14:paraId="29203AAE">
      <w:pPr>
        <w:jc w:val="center"/>
        <w:rPr>
          <w:rFonts w:hint="eastAsia" w:ascii="宋体" w:hAnsi="宋体" w:eastAsia="宋体" w:cs="宋体"/>
          <w:color w:val="auto"/>
          <w:sz w:val="28"/>
          <w:szCs w:val="28"/>
          <w:highlight w:val="none"/>
          <w:u w:val="single"/>
        </w:rPr>
      </w:pPr>
    </w:p>
    <w:p w14:paraId="49B44CB9">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05A9B468">
      <w:pPr>
        <w:jc w:val="center"/>
        <w:rPr>
          <w:rFonts w:hint="eastAsia" w:ascii="宋体" w:hAnsi="宋体" w:eastAsia="宋体" w:cs="宋体"/>
          <w:color w:val="auto"/>
          <w:sz w:val="20"/>
          <w:szCs w:val="20"/>
          <w:highlight w:val="none"/>
        </w:rPr>
      </w:pPr>
    </w:p>
    <w:p w14:paraId="394A36C8">
      <w:pPr>
        <w:jc w:val="center"/>
        <w:rPr>
          <w:rFonts w:hint="eastAsia" w:ascii="宋体" w:hAnsi="宋体" w:eastAsia="宋体" w:cs="宋体"/>
          <w:color w:val="auto"/>
          <w:sz w:val="20"/>
          <w:szCs w:val="20"/>
          <w:highlight w:val="none"/>
        </w:rPr>
      </w:pPr>
    </w:p>
    <w:p w14:paraId="4499642A">
      <w:pPr>
        <w:jc w:val="center"/>
        <w:rPr>
          <w:rFonts w:hint="eastAsia" w:ascii="宋体" w:hAnsi="宋体" w:eastAsia="宋体" w:cs="宋体"/>
          <w:color w:val="auto"/>
          <w:sz w:val="20"/>
          <w:szCs w:val="20"/>
          <w:highlight w:val="none"/>
        </w:rPr>
      </w:pPr>
    </w:p>
    <w:p w14:paraId="7975A529">
      <w:pPr>
        <w:rPr>
          <w:rFonts w:hint="eastAsia" w:ascii="宋体" w:hAnsi="宋体" w:eastAsia="宋体" w:cs="宋体"/>
          <w:color w:val="auto"/>
          <w:sz w:val="20"/>
          <w:szCs w:val="20"/>
          <w:highlight w:val="none"/>
        </w:rPr>
      </w:pPr>
    </w:p>
    <w:p w14:paraId="264A288E">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5BC6A062">
      <w:pPr>
        <w:ind w:firstLine="2880" w:firstLineChars="900"/>
        <w:jc w:val="both"/>
        <w:rPr>
          <w:rFonts w:hint="eastAsia" w:ascii="宋体" w:hAnsi="宋体" w:eastAsia="宋体" w:cs="宋体"/>
          <w:color w:val="auto"/>
          <w:sz w:val="32"/>
          <w:highlight w:val="none"/>
          <w:u w:val="none"/>
          <w:lang w:val="en-US" w:eastAsia="zh-CN"/>
        </w:rPr>
      </w:pPr>
    </w:p>
    <w:p w14:paraId="6441BFFF">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3556260B">
      <w:pPr>
        <w:rPr>
          <w:rFonts w:hint="eastAsia" w:ascii="宋体" w:hAnsi="宋体" w:eastAsia="宋体" w:cs="宋体"/>
          <w:color w:val="auto"/>
          <w:sz w:val="28"/>
          <w:szCs w:val="28"/>
          <w:highlight w:val="none"/>
        </w:rPr>
      </w:pPr>
    </w:p>
    <w:p w14:paraId="33861BD3">
      <w:pPr>
        <w:rPr>
          <w:rFonts w:hint="eastAsia" w:ascii="宋体" w:hAnsi="宋体" w:eastAsia="宋体" w:cs="宋体"/>
          <w:color w:val="auto"/>
          <w:sz w:val="28"/>
          <w:szCs w:val="28"/>
          <w:highlight w:val="none"/>
        </w:rPr>
      </w:pPr>
    </w:p>
    <w:p w14:paraId="5FDA4279">
      <w:pPr>
        <w:rPr>
          <w:rFonts w:hint="eastAsia" w:ascii="宋体" w:hAnsi="宋体" w:eastAsia="宋体" w:cs="宋体"/>
          <w:color w:val="auto"/>
          <w:sz w:val="28"/>
          <w:szCs w:val="28"/>
          <w:highlight w:val="none"/>
        </w:rPr>
      </w:pPr>
    </w:p>
    <w:p w14:paraId="348E1723">
      <w:pPr>
        <w:rPr>
          <w:rFonts w:hint="eastAsia" w:ascii="宋体" w:hAnsi="宋体" w:eastAsia="宋体" w:cs="宋体"/>
          <w:color w:val="auto"/>
          <w:sz w:val="28"/>
          <w:szCs w:val="28"/>
          <w:highlight w:val="none"/>
        </w:rPr>
      </w:pPr>
    </w:p>
    <w:p w14:paraId="4FDAD680">
      <w:pPr>
        <w:rPr>
          <w:rFonts w:hint="eastAsia" w:ascii="宋体" w:hAnsi="宋体" w:eastAsia="宋体" w:cs="宋体"/>
          <w:color w:val="auto"/>
          <w:sz w:val="28"/>
          <w:szCs w:val="28"/>
          <w:highlight w:val="none"/>
        </w:rPr>
      </w:pPr>
    </w:p>
    <w:p w14:paraId="4EDBFDE4">
      <w:pPr>
        <w:rPr>
          <w:rFonts w:hint="eastAsia" w:ascii="宋体" w:hAnsi="宋体" w:eastAsia="宋体" w:cs="宋体"/>
          <w:color w:val="auto"/>
          <w:sz w:val="28"/>
          <w:szCs w:val="28"/>
          <w:highlight w:val="none"/>
        </w:rPr>
      </w:pPr>
    </w:p>
    <w:p w14:paraId="39691C74">
      <w:pPr>
        <w:rPr>
          <w:rFonts w:hint="eastAsia" w:ascii="宋体" w:hAnsi="宋体" w:eastAsia="宋体" w:cs="宋体"/>
          <w:color w:val="auto"/>
          <w:sz w:val="28"/>
          <w:szCs w:val="28"/>
          <w:highlight w:val="none"/>
        </w:rPr>
      </w:pPr>
    </w:p>
    <w:p w14:paraId="40A3D3CE">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245A0E2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0703738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5B52A2C">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5EB0B4F">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3E4662C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（1）法定代表人身份证明文件和本人有效身份证(或法定代表人授权委托书和委托代理人有效身份证)；（格式见附件）</w:t>
      </w:r>
    </w:p>
    <w:p w14:paraId="72B65CD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olor w:val="auto"/>
          <w:highlight w:val="none"/>
        </w:rPr>
        <w:t>投标人有效的有效的营业执照或事业单位法人证书</w:t>
      </w:r>
      <w:r>
        <w:rPr>
          <w:rFonts w:hint="eastAsia" w:ascii="宋体" w:hAnsi="宋体" w:eastAsia="宋体" w:cs="宋体"/>
          <w:color w:val="auto"/>
          <w:sz w:val="21"/>
          <w:szCs w:val="21"/>
          <w:highlight w:val="none"/>
        </w:rPr>
        <w:t xml:space="preserve">； </w:t>
      </w:r>
    </w:p>
    <w:p w14:paraId="1FC5BA8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（3）项目人员配备表；（格式见附件）</w:t>
      </w:r>
    </w:p>
    <w:p w14:paraId="2E3C456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（4）拟派项目负责人注册造价师证书（若注册证书上无法体现专业的，还需另行提供证明专业的证明材料）； </w:t>
      </w:r>
    </w:p>
    <w:p w14:paraId="540560D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（5）项目组其他成员（不含项目负责人）：不少于2名且具有在本单位注册的二级及以上造价工程师注册证书（</w:t>
      </w:r>
      <w:r>
        <w:rPr>
          <w:rFonts w:hint="eastAsia" w:ascii="宋体" w:hAnsi="宋体" w:cs="宋体"/>
          <w:color w:val="auto"/>
          <w:sz w:val="21"/>
          <w:szCs w:val="21"/>
          <w:highlight w:val="none"/>
          <w:lang w:val="en-US" w:eastAsia="zh-CN"/>
        </w:rPr>
        <w:t>安装</w:t>
      </w:r>
      <w:r>
        <w:rPr>
          <w:rFonts w:hint="eastAsia" w:ascii="宋体" w:hAnsi="宋体" w:eastAsia="宋体" w:cs="宋体"/>
          <w:color w:val="auto"/>
          <w:sz w:val="21"/>
          <w:szCs w:val="21"/>
          <w:highlight w:val="none"/>
        </w:rPr>
        <w:t xml:space="preserve">工程专业至少1名）（若注册证书上无法体现专业的，还需另行提供证明专业的证明材料）； </w:t>
      </w:r>
    </w:p>
    <w:p w14:paraId="31072C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（6）承诺书1：投标人对所提供的上述材料作出承诺，若投标人存在弄虚作假，提供虚假资料的，若中标，则取消中标资格。（承诺书格式自拟并注明开标日期，加盖投标单位公章）</w:t>
      </w:r>
    </w:p>
    <w:p w14:paraId="34F2FB4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2AB1D02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定代表人（或委托代理人）、项目负责人、项目组其他成员须持有社保部门出具的本单位为其缴纳的投标前近三个月内任意一月的养老保险证明（含官网在线打印件，证明文件两个月内有效），或投标人提供承诺已为上述人员缴纳养老保险证明的承诺书（格式自拟）。</w:t>
      </w:r>
    </w:p>
    <w:p w14:paraId="39E1F83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（9）投标函；</w:t>
      </w:r>
    </w:p>
    <w:p w14:paraId="1FB2B57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（10）投标人认为需要提供的其他材料</w:t>
      </w:r>
      <w:r>
        <w:rPr>
          <w:rFonts w:hint="eastAsia" w:ascii="宋体" w:hAnsi="宋体" w:eastAsia="宋体" w:cs="宋体"/>
          <w:color w:val="auto"/>
          <w:sz w:val="21"/>
          <w:szCs w:val="21"/>
          <w:highlight w:val="none"/>
          <w:lang w:val="en-US" w:eastAsia="zh-CN"/>
        </w:rPr>
        <w:t>。</w:t>
      </w:r>
    </w:p>
    <w:p w14:paraId="5241CD4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AF2E248">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2B553A7">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3C7C4C31">
      <w:pPr>
        <w:pStyle w:val="145"/>
        <w:keepNext w:val="0"/>
        <w:keepLines w:val="0"/>
        <w:pageBreakBefore w:val="0"/>
        <w:widowControl/>
        <w:kinsoku/>
        <w:wordWrap/>
        <w:overflowPunct/>
        <w:topLinePunct w:val="0"/>
        <w:autoSpaceDE/>
        <w:autoSpaceDN/>
        <w:bidi w:val="0"/>
        <w:adjustRightInd/>
        <w:snapToGrid/>
        <w:spacing w:line="480" w:lineRule="exact"/>
        <w:ind w:firstLine="180" w:firstLineChars="75"/>
        <w:textAlignment w:val="baseline"/>
        <w:rPr>
          <w:rFonts w:hint="eastAsia" w:ascii="宋体" w:hAnsi="宋体" w:eastAsia="宋体" w:cs="宋体"/>
          <w:b/>
          <w:color w:val="auto"/>
          <w:sz w:val="24"/>
          <w:szCs w:val="24"/>
          <w:highlight w:val="none"/>
        </w:rPr>
      </w:pPr>
      <w:bookmarkStart w:id="66" w:name="OLE_LINK13"/>
      <w:r>
        <w:rPr>
          <w:rFonts w:hint="eastAsia" w:ascii="宋体" w:hAnsi="宋体" w:eastAsia="宋体" w:cs="宋体"/>
          <w:color w:val="auto"/>
          <w:sz w:val="24"/>
          <w:szCs w:val="24"/>
          <w:highlight w:val="none"/>
        </w:rPr>
        <w:t>1、法定代表人身份证明</w:t>
      </w:r>
    </w:p>
    <w:p w14:paraId="3FE65E0E">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264A97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AABD6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A9B7163">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4BF87A2">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4F8F7D">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18845154">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0BC13F5F">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213C3A2">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20C552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6"/>
    <w:p w14:paraId="4D50B4FF">
      <w:pPr>
        <w:rPr>
          <w:rFonts w:hint="eastAsia" w:ascii="宋体" w:hAnsi="宋体" w:eastAsia="宋体" w:cs="宋体"/>
          <w:color w:val="auto"/>
          <w:sz w:val="24"/>
          <w:szCs w:val="24"/>
          <w:highlight w:val="none"/>
        </w:rPr>
      </w:pPr>
    </w:p>
    <w:p w14:paraId="388B6087">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7CD4687C">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7DEF253A">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68E4D63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1030172D">
      <w:pPr>
        <w:spacing w:line="480" w:lineRule="exact"/>
        <w:ind w:firstLine="480" w:firstLineChars="200"/>
        <w:rPr>
          <w:rFonts w:hint="eastAsia" w:ascii="宋体" w:eastAsia="宋体"/>
          <w:color w:val="auto"/>
          <w:sz w:val="24"/>
          <w:highlight w:val="none"/>
          <w:lang w:val="en-US" w:eastAsia="zh-CN"/>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w:t>
      </w:r>
      <w:r>
        <w:rPr>
          <w:rFonts w:hint="eastAsia" w:ascii="宋体"/>
          <w:color w:val="auto"/>
          <w:sz w:val="24"/>
          <w:highlight w:val="none"/>
          <w:lang w:val="en-US" w:eastAsia="zh-CN"/>
        </w:rPr>
        <w:t>复印件</w:t>
      </w:r>
    </w:p>
    <w:p w14:paraId="20992F9A">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48B0CB14">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6A53C5FC">
      <w:pPr>
        <w:spacing w:line="480" w:lineRule="exact"/>
        <w:ind w:firstLine="480" w:firstLineChars="200"/>
        <w:jc w:val="center"/>
        <w:rPr>
          <w:rFonts w:hint="eastAsia" w:ascii="宋体" w:hAnsi="Times New Roman" w:eastAsia="宋体" w:cs="Times New Roman"/>
          <w:color w:val="auto"/>
          <w:sz w:val="24"/>
          <w:highlight w:val="none"/>
        </w:rPr>
      </w:pPr>
      <w:r>
        <w:rPr>
          <w:rFonts w:hint="eastAsia" w:ascii="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 xml:space="preserve">委托代理人（身份证号码）：               </w:t>
      </w:r>
    </w:p>
    <w:p w14:paraId="11C4F99C">
      <w:pPr>
        <w:spacing w:line="480" w:lineRule="exact"/>
        <w:ind w:firstLine="5760" w:firstLineChars="2400"/>
        <w:jc w:val="both"/>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0A6CEF13">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4B0A2FAD">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center"/>
        <w:textAlignment w:val="auto"/>
        <w:rPr>
          <w:rFonts w:hint="eastAsia" w:ascii="宋体" w:hAnsi="宋体" w:eastAsia="宋体" w:cs="宋体"/>
          <w:b/>
          <w:bCs/>
          <w:color w:val="auto"/>
          <w:kern w:val="0"/>
          <w:sz w:val="24"/>
          <w:szCs w:val="24"/>
          <w:highlight w:val="none"/>
        </w:rPr>
      </w:pPr>
    </w:p>
    <w:p w14:paraId="34668F0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7C653597">
      <w:pPr>
        <w:pStyle w:val="43"/>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01EB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5F92FF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3748B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03E33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1CE6F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124BC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568F2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1E2D9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1520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08648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50FE4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F01E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6513E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61DEFC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3BF55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1A603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7640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53011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D5C1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B1A1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144F4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84A5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2D494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F3CE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96F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54806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49FB7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60D63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1DFE2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224D5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72BA6F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4CAF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2650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2B4F6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77067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252B7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43AAE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28C40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2B5A8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41B919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181D2010">
      <w:pPr>
        <w:jc w:val="center"/>
        <w:rPr>
          <w:rFonts w:hint="eastAsia" w:ascii="宋体" w:hAnsi="宋体" w:eastAsia="宋体" w:cs="宋体"/>
          <w:color w:val="auto"/>
          <w:sz w:val="28"/>
          <w:szCs w:val="28"/>
          <w:highlight w:val="none"/>
          <w:u w:val="single"/>
        </w:rPr>
      </w:pPr>
    </w:p>
    <w:p w14:paraId="4B2BE916">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3320B474">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（签章）</w:t>
      </w:r>
    </w:p>
    <w:p w14:paraId="7426DA1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5A1BAE45">
      <w:pPr>
        <w:jc w:val="center"/>
        <w:rPr>
          <w:rFonts w:hint="eastAsia" w:ascii="宋体" w:hAnsi="宋体" w:eastAsia="宋体" w:cs="宋体"/>
          <w:b/>
          <w:bCs/>
          <w:color w:val="auto"/>
          <w:sz w:val="28"/>
          <w:szCs w:val="28"/>
          <w:highlight w:val="none"/>
        </w:rPr>
      </w:pPr>
    </w:p>
    <w:p w14:paraId="08E068B8">
      <w:pPr>
        <w:pStyle w:val="2"/>
        <w:rPr>
          <w:rFonts w:hint="eastAsia"/>
          <w:color w:val="auto"/>
          <w:highlight w:val="none"/>
        </w:rPr>
      </w:pPr>
    </w:p>
    <w:p w14:paraId="00F15810">
      <w:pPr>
        <w:jc w:val="center"/>
        <w:rPr>
          <w:rFonts w:hint="eastAsia" w:ascii="宋体" w:hAnsi="宋体" w:eastAsia="宋体" w:cs="宋体"/>
          <w:b/>
          <w:bCs/>
          <w:color w:val="auto"/>
          <w:sz w:val="28"/>
          <w:szCs w:val="28"/>
          <w:highlight w:val="none"/>
        </w:rPr>
      </w:pPr>
    </w:p>
    <w:p w14:paraId="7574C65C">
      <w:pPr>
        <w:jc w:val="center"/>
        <w:rPr>
          <w:rFonts w:hint="eastAsia" w:ascii="宋体" w:hAnsi="宋体" w:eastAsia="宋体" w:cs="宋体"/>
          <w:b/>
          <w:bCs/>
          <w:color w:val="auto"/>
          <w:sz w:val="28"/>
          <w:szCs w:val="28"/>
          <w:highlight w:val="none"/>
        </w:rPr>
      </w:pPr>
    </w:p>
    <w:p w14:paraId="462A5735">
      <w:pPr>
        <w:jc w:val="center"/>
        <w:rPr>
          <w:rFonts w:hint="eastAsia" w:ascii="宋体" w:hAnsi="宋体" w:eastAsia="宋体" w:cs="宋体"/>
          <w:b/>
          <w:bCs/>
          <w:color w:val="auto"/>
          <w:sz w:val="28"/>
          <w:szCs w:val="28"/>
          <w:highlight w:val="none"/>
        </w:rPr>
      </w:pPr>
    </w:p>
    <w:p w14:paraId="18E14270">
      <w:pPr>
        <w:jc w:val="center"/>
        <w:rPr>
          <w:rFonts w:hint="eastAsia" w:ascii="宋体" w:hAnsi="宋体" w:eastAsia="宋体" w:cs="宋体"/>
          <w:b/>
          <w:bCs/>
          <w:color w:val="auto"/>
          <w:sz w:val="28"/>
          <w:szCs w:val="28"/>
          <w:highlight w:val="none"/>
        </w:rPr>
      </w:pPr>
    </w:p>
    <w:p w14:paraId="2BAAB443">
      <w:pPr>
        <w:jc w:val="center"/>
        <w:rPr>
          <w:rFonts w:hint="eastAsia" w:ascii="宋体" w:hAnsi="宋体" w:eastAsia="宋体" w:cs="宋体"/>
          <w:b/>
          <w:bCs/>
          <w:color w:val="auto"/>
          <w:sz w:val="28"/>
          <w:szCs w:val="28"/>
          <w:highlight w:val="none"/>
        </w:rPr>
      </w:pPr>
    </w:p>
    <w:p w14:paraId="4D1FFAE7">
      <w:pPr>
        <w:jc w:val="center"/>
        <w:rPr>
          <w:rFonts w:hint="eastAsia" w:ascii="宋体" w:hAnsi="宋体" w:eastAsia="宋体" w:cs="宋体"/>
          <w:b/>
          <w:bCs/>
          <w:color w:val="auto"/>
          <w:sz w:val="28"/>
          <w:szCs w:val="28"/>
          <w:highlight w:val="none"/>
        </w:rPr>
      </w:pPr>
    </w:p>
    <w:p w14:paraId="28F771DF">
      <w:pPr>
        <w:jc w:val="center"/>
        <w:rPr>
          <w:rFonts w:hint="eastAsia" w:ascii="宋体" w:hAnsi="宋体" w:eastAsia="宋体" w:cs="宋体"/>
          <w:b/>
          <w:bCs/>
          <w:color w:val="auto"/>
          <w:sz w:val="28"/>
          <w:szCs w:val="28"/>
          <w:highlight w:val="none"/>
        </w:rPr>
      </w:pPr>
    </w:p>
    <w:p w14:paraId="111377F0">
      <w:pPr>
        <w:jc w:val="center"/>
        <w:rPr>
          <w:rFonts w:hint="eastAsia" w:ascii="宋体" w:hAnsi="宋体" w:eastAsia="宋体" w:cs="宋体"/>
          <w:b/>
          <w:bCs/>
          <w:color w:val="auto"/>
          <w:sz w:val="28"/>
          <w:szCs w:val="28"/>
          <w:highlight w:val="none"/>
        </w:rPr>
      </w:pPr>
    </w:p>
    <w:p w14:paraId="5E6DC2E1">
      <w:pPr>
        <w:jc w:val="center"/>
        <w:rPr>
          <w:rFonts w:hint="eastAsia" w:ascii="宋体" w:hAnsi="宋体" w:eastAsia="宋体" w:cs="宋体"/>
          <w:b/>
          <w:bCs/>
          <w:color w:val="auto"/>
          <w:sz w:val="28"/>
          <w:szCs w:val="28"/>
          <w:highlight w:val="none"/>
        </w:rPr>
      </w:pPr>
    </w:p>
    <w:p w14:paraId="7BD723CC">
      <w:pPr>
        <w:jc w:val="center"/>
        <w:rPr>
          <w:rFonts w:hint="eastAsia" w:ascii="宋体" w:hAnsi="宋体" w:eastAsia="宋体" w:cs="宋体"/>
          <w:b/>
          <w:bCs/>
          <w:color w:val="auto"/>
          <w:sz w:val="28"/>
          <w:szCs w:val="28"/>
          <w:highlight w:val="none"/>
        </w:rPr>
      </w:pPr>
    </w:p>
    <w:p w14:paraId="621BBF3A">
      <w:pPr>
        <w:jc w:val="center"/>
        <w:rPr>
          <w:rFonts w:hint="eastAsia" w:ascii="宋体" w:hAnsi="宋体" w:eastAsia="宋体" w:cs="宋体"/>
          <w:b/>
          <w:bCs/>
          <w:color w:val="auto"/>
          <w:sz w:val="28"/>
          <w:szCs w:val="28"/>
          <w:highlight w:val="none"/>
        </w:rPr>
      </w:pPr>
    </w:p>
    <w:p w14:paraId="532739CE">
      <w:pPr>
        <w:jc w:val="center"/>
        <w:rPr>
          <w:rFonts w:hint="eastAsia" w:ascii="宋体" w:hAnsi="宋体" w:eastAsia="宋体" w:cs="宋体"/>
          <w:b/>
          <w:bCs/>
          <w:color w:val="auto"/>
          <w:sz w:val="28"/>
          <w:szCs w:val="28"/>
          <w:highlight w:val="none"/>
        </w:rPr>
      </w:pPr>
    </w:p>
    <w:p w14:paraId="15112AB6">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34BAFF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6AEBC8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5D8B68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32AC994D">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w:t>
      </w:r>
      <w:r>
        <w:rPr>
          <w:rFonts w:hint="eastAsia" w:ascii="宋体" w:hAnsi="宋体" w:eastAsia="宋体" w:cs="宋体"/>
          <w:b/>
          <w:bCs/>
          <w:color w:val="auto"/>
          <w:szCs w:val="21"/>
          <w:highlight w:val="none"/>
        </w:rPr>
        <w:t>基本费</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lang w:val="en-US" w:eastAsia="zh-CN"/>
        </w:rPr>
        <w:t>元</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审核成果费率</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在10日内对施工单位报送的项目结算资料进行完整性检查，一次性书面告知，限期补充齐全；在施工单位报送的项目结算资料完整后的</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lang w:eastAsia="zh-CN"/>
        </w:rPr>
        <w:t>日内完成，并出具审核报告</w:t>
      </w:r>
      <w:r>
        <w:rPr>
          <w:rFonts w:hint="eastAsia" w:ascii="宋体" w:hAnsi="宋体" w:eastAsia="宋体" w:cs="宋体"/>
          <w:color w:val="auto"/>
          <w:szCs w:val="21"/>
          <w:highlight w:val="none"/>
        </w:rPr>
        <w:t>。</w:t>
      </w:r>
    </w:p>
    <w:p w14:paraId="09766A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348ACE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061E90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5F7EE5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1C10978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3379384B">
      <w:pPr>
        <w:pStyle w:val="2"/>
        <w:spacing w:line="360" w:lineRule="auto"/>
        <w:rPr>
          <w:rFonts w:hint="eastAsia" w:ascii="宋体" w:hAnsi="宋体" w:eastAsia="宋体" w:cs="宋体"/>
          <w:color w:val="auto"/>
          <w:szCs w:val="21"/>
          <w:highlight w:val="none"/>
        </w:rPr>
      </w:pPr>
    </w:p>
    <w:p w14:paraId="2FAF3EDC">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E5F8458">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484CF246">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（签章）</w:t>
      </w:r>
      <w:r>
        <w:rPr>
          <w:rFonts w:hint="eastAsia" w:ascii="宋体" w:hAnsi="宋体" w:eastAsia="宋体" w:cs="宋体"/>
          <w:color w:val="auto"/>
          <w:szCs w:val="21"/>
          <w:highlight w:val="none"/>
        </w:rPr>
        <w:t xml:space="preserve">         </w:t>
      </w:r>
    </w:p>
    <w:p w14:paraId="04B7159C">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59A5313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1B803C1A">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33C439E">
      <w:pPr>
        <w:spacing w:line="360" w:lineRule="auto"/>
        <w:rPr>
          <w:rFonts w:hint="eastAsia" w:ascii="宋体" w:hAnsi="宋体" w:cs="宋体"/>
          <w:b/>
          <w:color w:val="auto"/>
          <w:sz w:val="28"/>
          <w:szCs w:val="28"/>
          <w:highlight w:val="none"/>
          <w:lang w:val="en-US" w:eastAsia="zh-CN"/>
        </w:rPr>
      </w:pPr>
    </w:p>
    <w:p w14:paraId="06542E01">
      <w:pPr>
        <w:spacing w:line="360" w:lineRule="auto"/>
        <w:rPr>
          <w:rFonts w:hint="eastAsia" w:ascii="宋体" w:hAnsi="宋体" w:cs="宋体"/>
          <w:b/>
          <w:color w:val="auto"/>
          <w:sz w:val="28"/>
          <w:szCs w:val="28"/>
          <w:highlight w:val="none"/>
          <w:lang w:val="en-US" w:eastAsia="zh-CN"/>
        </w:rPr>
      </w:pPr>
    </w:p>
    <w:p w14:paraId="531FE74D">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系统填报的投标费率与本投标函不一致时，以本投标函为准</w:t>
      </w:r>
    </w:p>
    <w:p w14:paraId="3E6166FC">
      <w:pPr>
        <w:pStyle w:val="6"/>
        <w:spacing w:before="0" w:after="0"/>
        <w:rPr>
          <w:rFonts w:hint="eastAsia" w:ascii="宋体" w:hAnsi="宋体" w:eastAsia="宋体" w:cs="宋体"/>
          <w:color w:val="auto"/>
          <w:highlight w:val="none"/>
          <w:lang w:val="en-US" w:eastAsia="zh-CN"/>
        </w:rPr>
      </w:pPr>
      <w:bookmarkStart w:id="67" w:name="_Toc31498"/>
      <w:r>
        <w:rPr>
          <w:rFonts w:hint="eastAsia" w:ascii="宋体" w:hAnsi="宋体" w:eastAsia="宋体" w:cs="宋体"/>
          <w:color w:val="auto"/>
          <w:highlight w:val="none"/>
          <w:lang w:val="en-US" w:eastAsia="zh-CN"/>
        </w:rPr>
        <w:t>第五章 招标单位、招标代理机构对本招标文件的确认</w:t>
      </w:r>
      <w:bookmarkEnd w:id="67"/>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054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7" w:hRule="atLeast"/>
        </w:trPr>
        <w:tc>
          <w:tcPr>
            <w:tcW w:w="9689" w:type="dxa"/>
          </w:tcPr>
          <w:p w14:paraId="19668AC7">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p>
          <w:p w14:paraId="5AF9E29E">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滁州市安置小区二次供水改造项目（二标段）</w:t>
            </w:r>
            <w:r>
              <w:rPr>
                <w:rFonts w:hint="eastAsia" w:ascii="宋体" w:hAnsi="宋体" w:cs="宋体"/>
                <w:color w:val="auto"/>
                <w:sz w:val="28"/>
                <w:szCs w:val="28"/>
                <w:highlight w:val="none"/>
                <w:u w:val="single"/>
                <w:lang w:val="en-US" w:eastAsia="zh-CN"/>
              </w:rPr>
              <w:t>结算复核服务项目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8540516">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p>
          <w:p w14:paraId="779B7F23">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cs="宋体"/>
                <w:color w:val="auto"/>
                <w:sz w:val="28"/>
                <w:szCs w:val="28"/>
                <w:highlight w:val="none"/>
                <w:lang w:val="en-US" w:eastAsia="zh-CN"/>
              </w:rPr>
              <w:t>滁州市重点工程建设管理处</w:t>
            </w:r>
          </w:p>
          <w:p w14:paraId="3DAEEC76">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张学茜</w:t>
            </w:r>
          </w:p>
          <w:p w14:paraId="775EEA1F">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0550-2599820</w:t>
            </w:r>
          </w:p>
          <w:p w14:paraId="1B7C1FA9">
            <w:pPr>
              <w:keepNext w:val="0"/>
              <w:keepLines w:val="0"/>
              <w:suppressLineNumbers w:val="0"/>
              <w:spacing w:before="0" w:beforeAutospacing="0" w:after="0" w:afterAutospacing="0" w:line="500" w:lineRule="exact"/>
              <w:ind w:left="0" w:right="0" w:firstLine="280" w:firstLineChars="100"/>
              <w:rPr>
                <w:rFonts w:hint="eastAsia" w:ascii="宋体" w:hAnsi="宋体" w:eastAsia="宋体" w:cs="宋体"/>
                <w:color w:val="auto"/>
                <w:sz w:val="28"/>
                <w:szCs w:val="28"/>
                <w:highlight w:val="none"/>
              </w:rPr>
            </w:pPr>
          </w:p>
          <w:p w14:paraId="13ECF116">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p>
          <w:p w14:paraId="3196663B">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146854BC">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p>
        </w:tc>
      </w:tr>
      <w:tr w14:paraId="0549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9689" w:type="dxa"/>
          </w:tcPr>
          <w:p w14:paraId="026CD1B0">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p>
          <w:p w14:paraId="08118679">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07D1262D">
            <w:pPr>
              <w:keepNext w:val="0"/>
              <w:keepLines w:val="0"/>
              <w:suppressLineNumbers w:val="0"/>
              <w:spacing w:before="0" w:beforeAutospacing="0" w:after="0" w:afterAutospacing="0" w:line="320" w:lineRule="atLeast"/>
              <w:ind w:left="0" w:right="0" w:firstLine="560" w:firstLineChars="2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杨韦</w:t>
            </w:r>
          </w:p>
          <w:p w14:paraId="1CEF736D">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cs="宋体"/>
                <w:color w:val="auto"/>
                <w:sz w:val="28"/>
                <w:szCs w:val="28"/>
                <w:highlight w:val="none"/>
                <w:lang w:eastAsia="zh-CN"/>
              </w:rPr>
              <w:t>0550-3</w:t>
            </w:r>
            <w:r>
              <w:rPr>
                <w:rFonts w:hint="eastAsia" w:ascii="宋体" w:hAnsi="宋体" w:cs="宋体"/>
                <w:color w:val="auto"/>
                <w:sz w:val="28"/>
                <w:szCs w:val="28"/>
                <w:highlight w:val="none"/>
                <w:lang w:val="en-US" w:eastAsia="zh-CN"/>
              </w:rPr>
              <w:t>519590</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18005500950</w:t>
            </w:r>
          </w:p>
          <w:p w14:paraId="233251E3">
            <w:pPr>
              <w:keepNext w:val="0"/>
              <w:keepLines w:val="0"/>
              <w:suppressLineNumbers w:val="0"/>
              <w:spacing w:before="0" w:beforeAutospacing="0" w:after="0" w:afterAutospacing="0"/>
              <w:ind w:left="0" w:right="0"/>
              <w:rPr>
                <w:rFonts w:hint="eastAsia" w:ascii="宋体" w:hAnsi="宋体" w:eastAsia="宋体" w:cs="宋体"/>
                <w:color w:val="auto"/>
                <w:sz w:val="28"/>
                <w:szCs w:val="28"/>
                <w:highlight w:val="none"/>
              </w:rPr>
            </w:pPr>
          </w:p>
          <w:p w14:paraId="1D9698A2">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6EC11D0">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F5B94CB">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p>
        </w:tc>
      </w:tr>
    </w:tbl>
    <w:p w14:paraId="752A2772">
      <w:pPr>
        <w:pStyle w:val="21"/>
        <w:jc w:val="left"/>
        <w:rPr>
          <w:rFonts w:hint="eastAsia" w:ascii="宋体" w:hAnsi="宋体" w:eastAsia="宋体" w:cs="宋体"/>
          <w:color w:val="auto"/>
          <w:kern w:val="0"/>
          <w:sz w:val="24"/>
          <w:szCs w:val="24"/>
          <w:highlight w:val="none"/>
        </w:rPr>
      </w:pPr>
    </w:p>
    <w:p w14:paraId="3B96FAB1">
      <w:pPr>
        <w:pStyle w:val="21"/>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odIcon">
    <w:altName w:val="ksdb"/>
    <w:panose1 w:val="00000000000000000000"/>
    <w:charset w:val="00"/>
    <w:family w:val="auto"/>
    <w:pitch w:val="default"/>
    <w:sig w:usb0="00000000" w:usb1="00000000" w:usb2="00000000" w:usb3="00000000" w:csb0="00000000" w:csb1="00000000"/>
  </w:font>
  <w:font w:name="ActionIcon">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E5BA">
    <w:pPr>
      <w:pStyle w:val="31"/>
      <w:rPr>
        <w:rStyle w:val="49"/>
      </w:rPr>
    </w:pPr>
  </w:p>
  <w:p w14:paraId="7CC7626B">
    <w:pPr>
      <w:pStyle w:val="31"/>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35092407"/>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35092407"/>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70EA">
    <w:pPr>
      <w:pStyle w:val="31"/>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2930">
    <w:pPr>
      <w:pStyle w:val="31"/>
      <w:rPr>
        <w:rStyle w:val="49"/>
      </w:rPr>
    </w:pPr>
  </w:p>
  <w:p w14:paraId="2007F422">
    <w:pPr>
      <w:pStyle w:val="31"/>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9E391FB"/>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29E391FB"/>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E664">
    <w:pPr>
      <w:pStyle w:val="31"/>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701F10">
                          <w:pPr>
                            <w:pStyle w:val="31"/>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08701F10">
                    <w:pPr>
                      <w:pStyle w:val="31"/>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142B4">
    <w:pPr>
      <w:pStyle w:val="31"/>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923BD">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7923BD">
                    <w:pPr>
                      <w:pStyle w:val="31"/>
                    </w:pPr>
                    <w:r>
                      <w:fldChar w:fldCharType="begin"/>
                    </w:r>
                    <w:r>
                      <w:instrText xml:space="preserve"> PAGE  \* MERGEFORMAT </w:instrText>
                    </w:r>
                    <w:r>
                      <w:fldChar w:fldCharType="separate"/>
                    </w:r>
                    <w:r>
                      <w:t>2</w:t>
                    </w:r>
                    <w:r>
                      <w:fldChar w:fldCharType="end"/>
                    </w:r>
                  </w:p>
                </w:txbxContent>
              </v:textbox>
            </v:shape>
          </w:pict>
        </mc:Fallback>
      </mc:AlternateContent>
    </w:r>
  </w:p>
  <w:p w14:paraId="19ACD234">
    <w:pPr>
      <w:pStyle w:val="31"/>
      <w:ind w:right="360"/>
      <w:rPr>
        <w:kern w:val="0"/>
      </w:rPr>
    </w:pPr>
    <w:r>
      <mc:AlternateContent>
        <mc:Choice Requires="wps">
          <w:drawing>
            <wp:anchor distT="0" distB="0" distL="114300" distR="114300" simplePos="0" relativeHeight="251662336"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9"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8FE0E6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2336;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e/7c4rkBAAB1AwAADgAAAAAAAAABACAAAAApAQAAZHJzL2Uyb0RvYy54bWxQ&#10;SwUGAAAAAAYABgBZAQAAVAUAAAAA&#10;">
              <v:fill on="f" focussize="0,0"/>
              <v:stroke on="f"/>
              <v:imagedata o:title=""/>
              <o:lock v:ext="edit" aspectratio="f"/>
              <v:textbox inset="0mm,0mm,0mm,0mm">
                <w:txbxContent>
                  <w:p w14:paraId="48FE0E6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0C24">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8BF0">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NhOGFiZDlmMmFjZDZlMWZjN2IzMmRmNzQ3ND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D5986"/>
    <w:rsid w:val="00EE5A0A"/>
    <w:rsid w:val="00EE7AEC"/>
    <w:rsid w:val="00F10FD4"/>
    <w:rsid w:val="00F12999"/>
    <w:rsid w:val="00F16AA1"/>
    <w:rsid w:val="00F407A6"/>
    <w:rsid w:val="00F738CB"/>
    <w:rsid w:val="00F82A9A"/>
    <w:rsid w:val="00F83340"/>
    <w:rsid w:val="00FB2776"/>
    <w:rsid w:val="00FD0DE5"/>
    <w:rsid w:val="00FE4E55"/>
    <w:rsid w:val="00FF64C5"/>
    <w:rsid w:val="010C450B"/>
    <w:rsid w:val="019B1886"/>
    <w:rsid w:val="023C4E17"/>
    <w:rsid w:val="02860CE1"/>
    <w:rsid w:val="028D0613"/>
    <w:rsid w:val="02A06DF6"/>
    <w:rsid w:val="02AD40CA"/>
    <w:rsid w:val="03311B51"/>
    <w:rsid w:val="035607B0"/>
    <w:rsid w:val="035A0B08"/>
    <w:rsid w:val="03BE185C"/>
    <w:rsid w:val="03DD3435"/>
    <w:rsid w:val="04880F3B"/>
    <w:rsid w:val="049251C3"/>
    <w:rsid w:val="04BB1052"/>
    <w:rsid w:val="04C2712A"/>
    <w:rsid w:val="05080FE1"/>
    <w:rsid w:val="052E2468"/>
    <w:rsid w:val="058F191A"/>
    <w:rsid w:val="0591547A"/>
    <w:rsid w:val="061B4D44"/>
    <w:rsid w:val="064047AA"/>
    <w:rsid w:val="07023E8A"/>
    <w:rsid w:val="073060B3"/>
    <w:rsid w:val="073F34F8"/>
    <w:rsid w:val="07FD79C9"/>
    <w:rsid w:val="084F5179"/>
    <w:rsid w:val="08891FDF"/>
    <w:rsid w:val="08EE1782"/>
    <w:rsid w:val="090619B4"/>
    <w:rsid w:val="090B57DF"/>
    <w:rsid w:val="094625ED"/>
    <w:rsid w:val="098A2126"/>
    <w:rsid w:val="098C0FAE"/>
    <w:rsid w:val="0A1370D9"/>
    <w:rsid w:val="0A426CE3"/>
    <w:rsid w:val="0A783487"/>
    <w:rsid w:val="0A920A74"/>
    <w:rsid w:val="0B1A05CF"/>
    <w:rsid w:val="0B212DFC"/>
    <w:rsid w:val="0B3B4932"/>
    <w:rsid w:val="0B8A5AE2"/>
    <w:rsid w:val="0BB27EF8"/>
    <w:rsid w:val="0C30371E"/>
    <w:rsid w:val="0C47209B"/>
    <w:rsid w:val="0CDE4AF1"/>
    <w:rsid w:val="0CEC2F96"/>
    <w:rsid w:val="0D2F7233"/>
    <w:rsid w:val="0DB0649C"/>
    <w:rsid w:val="0E2234E7"/>
    <w:rsid w:val="0E832759"/>
    <w:rsid w:val="0ECF7747"/>
    <w:rsid w:val="0F096081"/>
    <w:rsid w:val="0F9D46EF"/>
    <w:rsid w:val="1034712E"/>
    <w:rsid w:val="124026B6"/>
    <w:rsid w:val="128B0826"/>
    <w:rsid w:val="12C329EB"/>
    <w:rsid w:val="13054DB2"/>
    <w:rsid w:val="137A735A"/>
    <w:rsid w:val="13AC7923"/>
    <w:rsid w:val="13B24508"/>
    <w:rsid w:val="13E54BBD"/>
    <w:rsid w:val="149D101A"/>
    <w:rsid w:val="14D25167"/>
    <w:rsid w:val="152F63E2"/>
    <w:rsid w:val="156D4E90"/>
    <w:rsid w:val="158272E5"/>
    <w:rsid w:val="15D60886"/>
    <w:rsid w:val="16212692"/>
    <w:rsid w:val="163B0AEA"/>
    <w:rsid w:val="16762FA5"/>
    <w:rsid w:val="16A220B2"/>
    <w:rsid w:val="16A677CD"/>
    <w:rsid w:val="16AB249D"/>
    <w:rsid w:val="16E538DC"/>
    <w:rsid w:val="17153410"/>
    <w:rsid w:val="17F802E5"/>
    <w:rsid w:val="1822515D"/>
    <w:rsid w:val="19475149"/>
    <w:rsid w:val="19FB0CBC"/>
    <w:rsid w:val="1A1E40F3"/>
    <w:rsid w:val="1AF847D0"/>
    <w:rsid w:val="1BDB6FF7"/>
    <w:rsid w:val="1BE85EDE"/>
    <w:rsid w:val="1C136BB6"/>
    <w:rsid w:val="1C4B5EA8"/>
    <w:rsid w:val="1CDA78FB"/>
    <w:rsid w:val="1DD50EE3"/>
    <w:rsid w:val="1E1554ED"/>
    <w:rsid w:val="1E66223E"/>
    <w:rsid w:val="1EC61154"/>
    <w:rsid w:val="1EED050B"/>
    <w:rsid w:val="1FB63338"/>
    <w:rsid w:val="204729D7"/>
    <w:rsid w:val="205253AE"/>
    <w:rsid w:val="207B6E01"/>
    <w:rsid w:val="211B1C44"/>
    <w:rsid w:val="21311468"/>
    <w:rsid w:val="21F200C1"/>
    <w:rsid w:val="22124523"/>
    <w:rsid w:val="224A075F"/>
    <w:rsid w:val="22516E18"/>
    <w:rsid w:val="22E66E8E"/>
    <w:rsid w:val="233D5EA2"/>
    <w:rsid w:val="23816BA4"/>
    <w:rsid w:val="23B802A0"/>
    <w:rsid w:val="23DF30CA"/>
    <w:rsid w:val="2417094C"/>
    <w:rsid w:val="25073DF8"/>
    <w:rsid w:val="25E4098B"/>
    <w:rsid w:val="26252182"/>
    <w:rsid w:val="265122FF"/>
    <w:rsid w:val="265E174C"/>
    <w:rsid w:val="2686038F"/>
    <w:rsid w:val="26EF5515"/>
    <w:rsid w:val="27AA5AD0"/>
    <w:rsid w:val="281178FD"/>
    <w:rsid w:val="287B03F4"/>
    <w:rsid w:val="28C72B2B"/>
    <w:rsid w:val="29E75E0C"/>
    <w:rsid w:val="29F23E8A"/>
    <w:rsid w:val="2A241E9E"/>
    <w:rsid w:val="2A552F76"/>
    <w:rsid w:val="2B2C4202"/>
    <w:rsid w:val="2B367DA6"/>
    <w:rsid w:val="2C416A03"/>
    <w:rsid w:val="2C7D3C0D"/>
    <w:rsid w:val="2C874AAF"/>
    <w:rsid w:val="2C8E66A6"/>
    <w:rsid w:val="2CAA4AF5"/>
    <w:rsid w:val="2CAF5168"/>
    <w:rsid w:val="2CBB47F9"/>
    <w:rsid w:val="2D0A7F39"/>
    <w:rsid w:val="2D4A1910"/>
    <w:rsid w:val="2DFF7667"/>
    <w:rsid w:val="2EA61852"/>
    <w:rsid w:val="2EB45BB2"/>
    <w:rsid w:val="2EE0388D"/>
    <w:rsid w:val="2EE45BBD"/>
    <w:rsid w:val="2EFD1D1D"/>
    <w:rsid w:val="2F1C5505"/>
    <w:rsid w:val="2F3A186E"/>
    <w:rsid w:val="2FE563D7"/>
    <w:rsid w:val="30185CCC"/>
    <w:rsid w:val="30840ACC"/>
    <w:rsid w:val="31FB42D0"/>
    <w:rsid w:val="322C3CB1"/>
    <w:rsid w:val="32852601"/>
    <w:rsid w:val="32D3700E"/>
    <w:rsid w:val="32F07192"/>
    <w:rsid w:val="332433C5"/>
    <w:rsid w:val="3376156C"/>
    <w:rsid w:val="33DB598F"/>
    <w:rsid w:val="348E387D"/>
    <w:rsid w:val="35A46FAE"/>
    <w:rsid w:val="35C6441D"/>
    <w:rsid w:val="36C51A8B"/>
    <w:rsid w:val="37026723"/>
    <w:rsid w:val="37526B7E"/>
    <w:rsid w:val="376B26FD"/>
    <w:rsid w:val="37CC72C2"/>
    <w:rsid w:val="38036F04"/>
    <w:rsid w:val="385F78F9"/>
    <w:rsid w:val="38D96215"/>
    <w:rsid w:val="398960D8"/>
    <w:rsid w:val="39E8421F"/>
    <w:rsid w:val="3A066436"/>
    <w:rsid w:val="3A1C285D"/>
    <w:rsid w:val="3A2516BB"/>
    <w:rsid w:val="3A5E6F6F"/>
    <w:rsid w:val="3A766411"/>
    <w:rsid w:val="3B3C635C"/>
    <w:rsid w:val="3C1D466B"/>
    <w:rsid w:val="3CCB04A6"/>
    <w:rsid w:val="3CD37326"/>
    <w:rsid w:val="3E7850FA"/>
    <w:rsid w:val="3EED354E"/>
    <w:rsid w:val="3F1410DB"/>
    <w:rsid w:val="3F173AB4"/>
    <w:rsid w:val="3F7A539C"/>
    <w:rsid w:val="3FB112F9"/>
    <w:rsid w:val="3FB5783A"/>
    <w:rsid w:val="3FD11DF9"/>
    <w:rsid w:val="4004001B"/>
    <w:rsid w:val="408338D7"/>
    <w:rsid w:val="411B4DE1"/>
    <w:rsid w:val="41510996"/>
    <w:rsid w:val="42147451"/>
    <w:rsid w:val="428E1E1E"/>
    <w:rsid w:val="42DF08CC"/>
    <w:rsid w:val="43727992"/>
    <w:rsid w:val="43881670"/>
    <w:rsid w:val="438D20D6"/>
    <w:rsid w:val="43E563C8"/>
    <w:rsid w:val="43E82525"/>
    <w:rsid w:val="44592EA6"/>
    <w:rsid w:val="44A8055A"/>
    <w:rsid w:val="44F7334E"/>
    <w:rsid w:val="45303661"/>
    <w:rsid w:val="45AF30FD"/>
    <w:rsid w:val="45B95DC5"/>
    <w:rsid w:val="45C857C3"/>
    <w:rsid w:val="45ED41DB"/>
    <w:rsid w:val="46420BB9"/>
    <w:rsid w:val="465B3014"/>
    <w:rsid w:val="46AF04F5"/>
    <w:rsid w:val="472F5293"/>
    <w:rsid w:val="473A07C7"/>
    <w:rsid w:val="47DB0FE0"/>
    <w:rsid w:val="47DB3D58"/>
    <w:rsid w:val="47EB386F"/>
    <w:rsid w:val="485A4022"/>
    <w:rsid w:val="48986B3F"/>
    <w:rsid w:val="492E7EB7"/>
    <w:rsid w:val="494476DB"/>
    <w:rsid w:val="49B66251"/>
    <w:rsid w:val="4A125037"/>
    <w:rsid w:val="4A397CD7"/>
    <w:rsid w:val="4A965D14"/>
    <w:rsid w:val="4AB455FC"/>
    <w:rsid w:val="4B4C6831"/>
    <w:rsid w:val="4BAF24FB"/>
    <w:rsid w:val="4BB93099"/>
    <w:rsid w:val="4CA21C4A"/>
    <w:rsid w:val="4CD8563B"/>
    <w:rsid w:val="4E87606B"/>
    <w:rsid w:val="4ED1777D"/>
    <w:rsid w:val="4F443F90"/>
    <w:rsid w:val="4F627A2B"/>
    <w:rsid w:val="4F8A1859"/>
    <w:rsid w:val="4FC95B04"/>
    <w:rsid w:val="4FCD4721"/>
    <w:rsid w:val="502D24E4"/>
    <w:rsid w:val="504773D5"/>
    <w:rsid w:val="507B1BFA"/>
    <w:rsid w:val="50EC70D4"/>
    <w:rsid w:val="511E5BAD"/>
    <w:rsid w:val="513918A9"/>
    <w:rsid w:val="517F3DD4"/>
    <w:rsid w:val="51A742B0"/>
    <w:rsid w:val="51BC2AE8"/>
    <w:rsid w:val="51F619A5"/>
    <w:rsid w:val="52244348"/>
    <w:rsid w:val="52CE5689"/>
    <w:rsid w:val="540B63EF"/>
    <w:rsid w:val="541C54DC"/>
    <w:rsid w:val="558A3D0F"/>
    <w:rsid w:val="559A68B9"/>
    <w:rsid w:val="569E5C28"/>
    <w:rsid w:val="56B17EF3"/>
    <w:rsid w:val="57313D11"/>
    <w:rsid w:val="578D69F6"/>
    <w:rsid w:val="58311B26"/>
    <w:rsid w:val="58F64A9D"/>
    <w:rsid w:val="59254E33"/>
    <w:rsid w:val="597E4543"/>
    <w:rsid w:val="599A4762"/>
    <w:rsid w:val="59B44408"/>
    <w:rsid w:val="59B94A33"/>
    <w:rsid w:val="59C42C57"/>
    <w:rsid w:val="5A45619F"/>
    <w:rsid w:val="5AA951D5"/>
    <w:rsid w:val="5AFB2C32"/>
    <w:rsid w:val="5AFC7B78"/>
    <w:rsid w:val="5B2F036B"/>
    <w:rsid w:val="5B5877E2"/>
    <w:rsid w:val="5BA9771F"/>
    <w:rsid w:val="5BAC7A1D"/>
    <w:rsid w:val="5BAE0EF6"/>
    <w:rsid w:val="5BE3458F"/>
    <w:rsid w:val="5C3929A3"/>
    <w:rsid w:val="5C7B1A0A"/>
    <w:rsid w:val="5CAF3149"/>
    <w:rsid w:val="5DC22821"/>
    <w:rsid w:val="5DD0286D"/>
    <w:rsid w:val="5DF75DF1"/>
    <w:rsid w:val="5E3E24F3"/>
    <w:rsid w:val="5EA41270"/>
    <w:rsid w:val="5ED32B9B"/>
    <w:rsid w:val="5EEA0F2A"/>
    <w:rsid w:val="5F8D458F"/>
    <w:rsid w:val="5F9D1CA2"/>
    <w:rsid w:val="5FC627A0"/>
    <w:rsid w:val="5FD300DB"/>
    <w:rsid w:val="5FE25B93"/>
    <w:rsid w:val="603F3AE9"/>
    <w:rsid w:val="60885CA7"/>
    <w:rsid w:val="608C59E7"/>
    <w:rsid w:val="60B16A2C"/>
    <w:rsid w:val="60FD39DD"/>
    <w:rsid w:val="61051B53"/>
    <w:rsid w:val="61095D5D"/>
    <w:rsid w:val="612754C0"/>
    <w:rsid w:val="61284751"/>
    <w:rsid w:val="629F458E"/>
    <w:rsid w:val="62B80AC5"/>
    <w:rsid w:val="64D37E39"/>
    <w:rsid w:val="64F222D0"/>
    <w:rsid w:val="652A5B5F"/>
    <w:rsid w:val="655541D3"/>
    <w:rsid w:val="65594766"/>
    <w:rsid w:val="65AE22F3"/>
    <w:rsid w:val="65C12033"/>
    <w:rsid w:val="66465782"/>
    <w:rsid w:val="66AF6E4C"/>
    <w:rsid w:val="670A4733"/>
    <w:rsid w:val="672F3E8A"/>
    <w:rsid w:val="67DE5EA5"/>
    <w:rsid w:val="68B4049D"/>
    <w:rsid w:val="68E615DD"/>
    <w:rsid w:val="6907286A"/>
    <w:rsid w:val="6908397B"/>
    <w:rsid w:val="696142E5"/>
    <w:rsid w:val="696A0640"/>
    <w:rsid w:val="697274F4"/>
    <w:rsid w:val="69855479"/>
    <w:rsid w:val="6A16299D"/>
    <w:rsid w:val="6A22501A"/>
    <w:rsid w:val="6A94006A"/>
    <w:rsid w:val="6B080110"/>
    <w:rsid w:val="6BE75F78"/>
    <w:rsid w:val="6CC00CAD"/>
    <w:rsid w:val="6D0B604A"/>
    <w:rsid w:val="6DAC05BE"/>
    <w:rsid w:val="6E2337BB"/>
    <w:rsid w:val="6E802F39"/>
    <w:rsid w:val="6EF17676"/>
    <w:rsid w:val="6F5F3A74"/>
    <w:rsid w:val="6F8373FF"/>
    <w:rsid w:val="6FDE7145"/>
    <w:rsid w:val="701268B7"/>
    <w:rsid w:val="7025059A"/>
    <w:rsid w:val="708446DD"/>
    <w:rsid w:val="713E6246"/>
    <w:rsid w:val="716F0EE9"/>
    <w:rsid w:val="7181008E"/>
    <w:rsid w:val="71D05043"/>
    <w:rsid w:val="725809D6"/>
    <w:rsid w:val="73840989"/>
    <w:rsid w:val="73875405"/>
    <w:rsid w:val="73B74532"/>
    <w:rsid w:val="742E508B"/>
    <w:rsid w:val="744228E5"/>
    <w:rsid w:val="74425F26"/>
    <w:rsid w:val="74CC7CBB"/>
    <w:rsid w:val="75847F67"/>
    <w:rsid w:val="76D62696"/>
    <w:rsid w:val="76D96158"/>
    <w:rsid w:val="77185B7F"/>
    <w:rsid w:val="774E2667"/>
    <w:rsid w:val="77910BE3"/>
    <w:rsid w:val="78270463"/>
    <w:rsid w:val="78EA3B59"/>
    <w:rsid w:val="79652BD2"/>
    <w:rsid w:val="797A042B"/>
    <w:rsid w:val="7A141457"/>
    <w:rsid w:val="7AF01661"/>
    <w:rsid w:val="7B2726C7"/>
    <w:rsid w:val="7B360113"/>
    <w:rsid w:val="7C016BE2"/>
    <w:rsid w:val="7C8660BD"/>
    <w:rsid w:val="7C8B1F44"/>
    <w:rsid w:val="7C934347"/>
    <w:rsid w:val="7CA05978"/>
    <w:rsid w:val="7E9B156F"/>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90"/>
    <w:qFormat/>
    <w:uiPriority w:val="99"/>
    <w:pPr>
      <w:keepNext w:val="0"/>
      <w:keepLines w:val="0"/>
      <w:widowControl w:val="0"/>
      <w:suppressLineNumbers w:val="0"/>
      <w:spacing w:before="0" w:beforeAutospacing="0" w:after="0" w:afterAutospacing="0" w:line="500" w:lineRule="exact"/>
      <w:ind w:left="0" w:right="0" w:firstLine="420" w:firstLineChars="200"/>
      <w:jc w:val="both"/>
    </w:pPr>
    <w:rPr>
      <w:rFonts w:hint="default" w:ascii="Times New Roman" w:hAnsi="Times New Roman" w:eastAsia="宋体" w:cs="Times New Roman"/>
      <w:kern w:val="2"/>
      <w:sz w:val="28"/>
      <w:szCs w:val="28"/>
      <w:lang w:val="en-US" w:eastAsia="zh-CN" w:bidi="ar"/>
    </w:r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15">
    <w:name w:val="toc 7"/>
    <w:basedOn w:val="1"/>
    <w:next w:val="1"/>
    <w:semiHidden/>
    <w:qFormat/>
    <w:uiPriority w:val="99"/>
    <w:pPr>
      <w:ind w:left="2520" w:leftChars="1200"/>
    </w:pPr>
    <w:rPr>
      <w:rFonts w:ascii="Calibri" w:hAnsi="Calibri" w:cs="Calibri"/>
    </w:rPr>
  </w:style>
  <w:style w:type="paragraph" w:styleId="16">
    <w:name w:val="Normal Indent"/>
    <w:basedOn w:val="1"/>
    <w:qFormat/>
    <w:uiPriority w:val="99"/>
    <w:pPr>
      <w:adjustRightInd w:val="0"/>
      <w:spacing w:line="360" w:lineRule="atLeast"/>
      <w:ind w:firstLine="482"/>
      <w:textAlignment w:val="baseline"/>
    </w:pPr>
    <w:rPr>
      <w:kern w:val="0"/>
      <w:sz w:val="24"/>
      <w:szCs w:val="24"/>
    </w:rPr>
  </w:style>
  <w:style w:type="paragraph" w:styleId="17">
    <w:name w:val="caption"/>
    <w:basedOn w:val="1"/>
    <w:next w:val="1"/>
    <w:qFormat/>
    <w:uiPriority w:val="99"/>
    <w:rPr>
      <w:rFonts w:ascii="Cambria" w:hAnsi="Cambria" w:eastAsia="黑体" w:cs="Cambria"/>
      <w:sz w:val="20"/>
      <w:szCs w:val="20"/>
    </w:rPr>
  </w:style>
  <w:style w:type="paragraph" w:styleId="18">
    <w:name w:val="Document Map"/>
    <w:basedOn w:val="1"/>
    <w:link w:val="73"/>
    <w:semiHidden/>
    <w:qFormat/>
    <w:uiPriority w:val="99"/>
    <w:pPr>
      <w:shd w:val="clear" w:color="auto" w:fill="000080"/>
    </w:pPr>
    <w:rPr>
      <w:kern w:val="0"/>
      <w:sz w:val="20"/>
      <w:szCs w:val="20"/>
      <w:shd w:val="clear" w:color="auto" w:fill="000080"/>
    </w:rPr>
  </w:style>
  <w:style w:type="paragraph" w:styleId="19">
    <w:name w:val="annotation text"/>
    <w:basedOn w:val="1"/>
    <w:link w:val="74"/>
    <w:semiHidden/>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20">
    <w:name w:val="Body Text 3"/>
    <w:basedOn w:val="1"/>
    <w:link w:val="75"/>
    <w:qFormat/>
    <w:uiPriority w:val="99"/>
    <w:rPr>
      <w:rFonts w:ascii="宋体" w:cs="宋体"/>
      <w:sz w:val="24"/>
      <w:szCs w:val="24"/>
    </w:rPr>
  </w:style>
  <w:style w:type="paragraph" w:styleId="21">
    <w:name w:val="Body Text"/>
    <w:basedOn w:val="1"/>
    <w:link w:val="76"/>
    <w:qFormat/>
    <w:uiPriority w:val="99"/>
    <w:pPr>
      <w:jc w:val="center"/>
    </w:pPr>
    <w:rPr>
      <w:b/>
      <w:bCs/>
      <w:sz w:val="44"/>
      <w:szCs w:val="44"/>
    </w:rPr>
  </w:style>
  <w:style w:type="paragraph" w:styleId="22">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3">
    <w:name w:val="index 4"/>
    <w:basedOn w:val="1"/>
    <w:next w:val="1"/>
    <w:semiHidden/>
    <w:qFormat/>
    <w:uiPriority w:val="99"/>
    <w:pPr>
      <w:ind w:left="600" w:leftChars="600"/>
    </w:pPr>
  </w:style>
  <w:style w:type="paragraph" w:styleId="24">
    <w:name w:val="toc 5"/>
    <w:basedOn w:val="1"/>
    <w:next w:val="1"/>
    <w:semiHidden/>
    <w:qFormat/>
    <w:uiPriority w:val="99"/>
    <w:pPr>
      <w:tabs>
        <w:tab w:val="right" w:leader="dot" w:pos="8296"/>
      </w:tabs>
      <w:ind w:left="1050" w:leftChars="500"/>
    </w:pPr>
    <w:rPr>
      <w:rFonts w:ascii="Calibri" w:hAnsi="Calibri" w:cs="Calibri"/>
    </w:rPr>
  </w:style>
  <w:style w:type="paragraph" w:styleId="25">
    <w:name w:val="toc 3"/>
    <w:basedOn w:val="1"/>
    <w:next w:val="1"/>
    <w:semiHidden/>
    <w:qFormat/>
    <w:uiPriority w:val="99"/>
    <w:pPr>
      <w:ind w:left="840" w:leftChars="400"/>
    </w:pPr>
    <w:rPr>
      <w:rFonts w:ascii="Calibri" w:hAnsi="Calibri" w:cs="Calibri"/>
    </w:rPr>
  </w:style>
  <w:style w:type="paragraph" w:styleId="26">
    <w:name w:val="Plain Text"/>
    <w:basedOn w:val="1"/>
    <w:next w:val="1"/>
    <w:link w:val="78"/>
    <w:qFormat/>
    <w:uiPriority w:val="99"/>
    <w:rPr>
      <w:rFonts w:ascii="宋体" w:hAnsi="Courier New" w:cs="宋体"/>
    </w:rPr>
  </w:style>
  <w:style w:type="paragraph" w:styleId="27">
    <w:name w:val="toc 8"/>
    <w:basedOn w:val="1"/>
    <w:next w:val="1"/>
    <w:semiHidden/>
    <w:qFormat/>
    <w:uiPriority w:val="99"/>
    <w:pPr>
      <w:ind w:left="2940" w:leftChars="1400"/>
    </w:pPr>
    <w:rPr>
      <w:rFonts w:ascii="Calibri" w:hAnsi="Calibri" w:cs="Calibri"/>
    </w:rPr>
  </w:style>
  <w:style w:type="paragraph" w:styleId="28">
    <w:name w:val="Date"/>
    <w:basedOn w:val="1"/>
    <w:next w:val="1"/>
    <w:link w:val="79"/>
    <w:qFormat/>
    <w:uiPriority w:val="99"/>
    <w:rPr>
      <w:rFonts w:ascii="仿宋_GB2312" w:eastAsia="仿宋_GB2312" w:cs="仿宋_GB2312"/>
      <w:sz w:val="30"/>
      <w:szCs w:val="30"/>
    </w:rPr>
  </w:style>
  <w:style w:type="paragraph" w:styleId="29">
    <w:name w:val="Body Text Indent 2"/>
    <w:basedOn w:val="1"/>
    <w:link w:val="80"/>
    <w:qFormat/>
    <w:uiPriority w:val="99"/>
    <w:pPr>
      <w:spacing w:line="360" w:lineRule="exact"/>
      <w:ind w:firstLine="600" w:firstLineChars="250"/>
      <w:jc w:val="left"/>
    </w:pPr>
    <w:rPr>
      <w:sz w:val="24"/>
      <w:szCs w:val="24"/>
    </w:rPr>
  </w:style>
  <w:style w:type="paragraph" w:styleId="30">
    <w:name w:val="Balloon Text"/>
    <w:basedOn w:val="1"/>
    <w:link w:val="81"/>
    <w:semiHidden/>
    <w:qFormat/>
    <w:uiPriority w:val="99"/>
    <w:rPr>
      <w:sz w:val="18"/>
      <w:szCs w:val="18"/>
    </w:rPr>
  </w:style>
  <w:style w:type="paragraph" w:styleId="31">
    <w:name w:val="footer"/>
    <w:basedOn w:val="1"/>
    <w:link w:val="82"/>
    <w:qFormat/>
    <w:uiPriority w:val="99"/>
    <w:pPr>
      <w:tabs>
        <w:tab w:val="center" w:pos="4153"/>
        <w:tab w:val="right" w:pos="8306"/>
      </w:tabs>
      <w:snapToGrid w:val="0"/>
      <w:jc w:val="left"/>
    </w:pPr>
    <w:rPr>
      <w:sz w:val="18"/>
      <w:szCs w:val="18"/>
    </w:rPr>
  </w:style>
  <w:style w:type="paragraph" w:styleId="32">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4">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5">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6">
    <w:name w:val="footnote text"/>
    <w:basedOn w:val="1"/>
    <w:link w:val="85"/>
    <w:semiHidden/>
    <w:qFormat/>
    <w:uiPriority w:val="99"/>
    <w:rPr>
      <w:sz w:val="20"/>
      <w:szCs w:val="20"/>
    </w:rPr>
  </w:style>
  <w:style w:type="paragraph" w:styleId="37">
    <w:name w:val="toc 6"/>
    <w:basedOn w:val="1"/>
    <w:next w:val="1"/>
    <w:semiHidden/>
    <w:qFormat/>
    <w:uiPriority w:val="99"/>
    <w:pPr>
      <w:ind w:left="2100" w:leftChars="1000"/>
    </w:pPr>
    <w:rPr>
      <w:rFonts w:ascii="Calibri" w:hAnsi="Calibri" w:cs="Calibri"/>
    </w:rPr>
  </w:style>
  <w:style w:type="paragraph" w:styleId="38">
    <w:name w:val="Body Text Indent 3"/>
    <w:basedOn w:val="1"/>
    <w:link w:val="86"/>
    <w:qFormat/>
    <w:uiPriority w:val="99"/>
    <w:pPr>
      <w:spacing w:after="120"/>
      <w:ind w:left="420" w:leftChars="200"/>
    </w:pPr>
    <w:rPr>
      <w:sz w:val="16"/>
      <w:szCs w:val="16"/>
    </w:rPr>
  </w:style>
  <w:style w:type="paragraph" w:styleId="39">
    <w:name w:val="table of figures"/>
    <w:basedOn w:val="1"/>
    <w:next w:val="1"/>
    <w:semiHidden/>
    <w:qFormat/>
    <w:uiPriority w:val="99"/>
    <w:pPr>
      <w:ind w:left="200" w:leftChars="200" w:hanging="200" w:hangingChars="200"/>
    </w:pPr>
  </w:style>
  <w:style w:type="paragraph" w:styleId="40">
    <w:name w:val="toc 2"/>
    <w:basedOn w:val="1"/>
    <w:next w:val="1"/>
    <w:semiHidden/>
    <w:qFormat/>
    <w:uiPriority w:val="99"/>
    <w:pPr>
      <w:ind w:left="420" w:leftChars="200"/>
    </w:pPr>
    <w:rPr>
      <w:rFonts w:ascii="宋体" w:cs="宋体"/>
      <w:b/>
      <w:bCs/>
      <w:sz w:val="28"/>
      <w:szCs w:val="28"/>
    </w:rPr>
  </w:style>
  <w:style w:type="paragraph" w:styleId="41">
    <w:name w:val="toc 9"/>
    <w:basedOn w:val="1"/>
    <w:next w:val="1"/>
    <w:semiHidden/>
    <w:qFormat/>
    <w:uiPriority w:val="99"/>
    <w:pPr>
      <w:ind w:left="3360" w:leftChars="1600"/>
    </w:pPr>
    <w:rPr>
      <w:rFonts w:ascii="Calibri" w:hAnsi="Calibri" w:cs="Calibri"/>
    </w:rPr>
  </w:style>
  <w:style w:type="paragraph" w:styleId="42">
    <w:name w:val="Body Text 2"/>
    <w:basedOn w:val="1"/>
    <w:link w:val="87"/>
    <w:qFormat/>
    <w:uiPriority w:val="99"/>
    <w:pPr>
      <w:spacing w:line="440" w:lineRule="exact"/>
    </w:pPr>
    <w:rPr>
      <w:sz w:val="28"/>
      <w:szCs w:val="28"/>
    </w:rPr>
  </w:style>
  <w:style w:type="paragraph" w:styleId="43">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annotation subject"/>
    <w:basedOn w:val="19"/>
    <w:next w:val="19"/>
    <w:link w:val="89"/>
    <w:semiHidden/>
    <w:qFormat/>
    <w:uiPriority w:val="99"/>
    <w:rPr>
      <w:rFonts w:ascii="宋体" w:cs="宋体"/>
      <w:b/>
      <w:bCs/>
      <w:kern w:val="0"/>
      <w:sz w:val="28"/>
      <w:szCs w:val="28"/>
    </w:rPr>
  </w:style>
  <w:style w:type="table" w:styleId="46">
    <w:name w:val="Table Grid"/>
    <w:basedOn w:val="45"/>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7"/>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8"/>
    <w:qFormat/>
    <w:locked/>
    <w:uiPriority w:val="99"/>
    <w:rPr>
      <w:rFonts w:eastAsia="宋体" w:cs="Times New Roman"/>
      <w:b/>
      <w:bCs/>
      <w:kern w:val="2"/>
      <w:sz w:val="32"/>
      <w:szCs w:val="32"/>
      <w:lang w:val="en-US" w:eastAsia="zh-CN"/>
    </w:rPr>
  </w:style>
  <w:style w:type="character" w:customStyle="1" w:styleId="67">
    <w:name w:val="Heading 4 Char"/>
    <w:basedOn w:val="47"/>
    <w:link w:val="9"/>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10"/>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1"/>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2"/>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3"/>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4"/>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8"/>
    <w:qFormat/>
    <w:locked/>
    <w:uiPriority w:val="99"/>
    <w:rPr>
      <w:rFonts w:cs="Times New Roman"/>
      <w:sz w:val="24"/>
      <w:szCs w:val="24"/>
      <w:shd w:val="clear" w:color="auto" w:fill="000080"/>
    </w:rPr>
  </w:style>
  <w:style w:type="character" w:customStyle="1" w:styleId="74">
    <w:name w:val="Comment Text Char"/>
    <w:basedOn w:val="47"/>
    <w:link w:val="19"/>
    <w:qFormat/>
    <w:locked/>
    <w:uiPriority w:val="99"/>
    <w:rPr>
      <w:rFonts w:cs="Times New Roman"/>
      <w:kern w:val="2"/>
      <w:sz w:val="22"/>
      <w:szCs w:val="22"/>
    </w:rPr>
  </w:style>
  <w:style w:type="character" w:customStyle="1" w:styleId="75">
    <w:name w:val="Body Text 3 Char"/>
    <w:basedOn w:val="47"/>
    <w:link w:val="20"/>
    <w:semiHidden/>
    <w:qFormat/>
    <w:locked/>
    <w:uiPriority w:val="99"/>
    <w:rPr>
      <w:rFonts w:cs="Times New Roman"/>
      <w:sz w:val="16"/>
      <w:szCs w:val="16"/>
    </w:rPr>
  </w:style>
  <w:style w:type="character" w:customStyle="1" w:styleId="76">
    <w:name w:val="Body Text Char"/>
    <w:basedOn w:val="47"/>
    <w:link w:val="21"/>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6"/>
    <w:semiHidden/>
    <w:qFormat/>
    <w:locked/>
    <w:uiPriority w:val="99"/>
    <w:rPr>
      <w:rFonts w:ascii="宋体" w:hAnsi="Courier New" w:cs="Courier New"/>
      <w:sz w:val="21"/>
      <w:szCs w:val="21"/>
    </w:rPr>
  </w:style>
  <w:style w:type="character" w:customStyle="1" w:styleId="79">
    <w:name w:val="Date Char"/>
    <w:basedOn w:val="47"/>
    <w:link w:val="28"/>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9"/>
    <w:semiHidden/>
    <w:qFormat/>
    <w:locked/>
    <w:uiPriority w:val="99"/>
    <w:rPr>
      <w:rFonts w:cs="Times New Roman"/>
      <w:sz w:val="21"/>
      <w:szCs w:val="21"/>
    </w:rPr>
  </w:style>
  <w:style w:type="character" w:customStyle="1" w:styleId="81">
    <w:name w:val="Balloon Text Char"/>
    <w:basedOn w:val="47"/>
    <w:link w:val="30"/>
    <w:semiHidden/>
    <w:qFormat/>
    <w:locked/>
    <w:uiPriority w:val="99"/>
    <w:rPr>
      <w:rFonts w:cs="Times New Roman"/>
      <w:sz w:val="2"/>
    </w:rPr>
  </w:style>
  <w:style w:type="character" w:customStyle="1" w:styleId="82">
    <w:name w:val="Footer Char"/>
    <w:basedOn w:val="47"/>
    <w:link w:val="31"/>
    <w:qFormat/>
    <w:locked/>
    <w:uiPriority w:val="99"/>
    <w:rPr>
      <w:rFonts w:eastAsia="宋体" w:cs="Times New Roman"/>
      <w:kern w:val="2"/>
      <w:sz w:val="18"/>
      <w:szCs w:val="18"/>
      <w:lang w:val="en-US" w:eastAsia="zh-CN"/>
    </w:rPr>
  </w:style>
  <w:style w:type="character" w:customStyle="1" w:styleId="83">
    <w:name w:val="Header Char"/>
    <w:basedOn w:val="47"/>
    <w:link w:val="32"/>
    <w:qFormat/>
    <w:locked/>
    <w:uiPriority w:val="99"/>
    <w:rPr>
      <w:rFonts w:eastAsia="宋体" w:cs="Times New Roman"/>
      <w:kern w:val="2"/>
      <w:sz w:val="18"/>
      <w:szCs w:val="18"/>
      <w:lang w:val="en-US" w:eastAsia="zh-CN"/>
    </w:rPr>
  </w:style>
  <w:style w:type="character" w:customStyle="1" w:styleId="84">
    <w:name w:val="Subtitle Char"/>
    <w:basedOn w:val="47"/>
    <w:link w:val="35"/>
    <w:qFormat/>
    <w:locked/>
    <w:uiPriority w:val="99"/>
    <w:rPr>
      <w:rFonts w:ascii="Cambria" w:hAnsi="Cambria" w:cs="Cambria"/>
      <w:b/>
      <w:bCs/>
      <w:kern w:val="28"/>
      <w:sz w:val="32"/>
      <w:szCs w:val="32"/>
    </w:rPr>
  </w:style>
  <w:style w:type="character" w:customStyle="1" w:styleId="85">
    <w:name w:val="Footnote Text Char"/>
    <w:basedOn w:val="47"/>
    <w:link w:val="36"/>
    <w:semiHidden/>
    <w:qFormat/>
    <w:locked/>
    <w:uiPriority w:val="99"/>
    <w:rPr>
      <w:rFonts w:cs="Times New Roman"/>
      <w:sz w:val="18"/>
      <w:szCs w:val="18"/>
    </w:rPr>
  </w:style>
  <w:style w:type="character" w:customStyle="1" w:styleId="86">
    <w:name w:val="Body Text Indent 3 Char"/>
    <w:basedOn w:val="47"/>
    <w:link w:val="38"/>
    <w:semiHidden/>
    <w:qFormat/>
    <w:locked/>
    <w:uiPriority w:val="99"/>
    <w:rPr>
      <w:rFonts w:cs="Times New Roman"/>
      <w:sz w:val="16"/>
      <w:szCs w:val="16"/>
    </w:rPr>
  </w:style>
  <w:style w:type="character" w:customStyle="1" w:styleId="87">
    <w:name w:val="Body Text 2 Char"/>
    <w:basedOn w:val="47"/>
    <w:link w:val="42"/>
    <w:semiHidden/>
    <w:qFormat/>
    <w:locked/>
    <w:uiPriority w:val="99"/>
    <w:rPr>
      <w:rFonts w:cs="Times New Roman"/>
      <w:sz w:val="21"/>
      <w:szCs w:val="21"/>
    </w:rPr>
  </w:style>
  <w:style w:type="character" w:customStyle="1" w:styleId="88">
    <w:name w:val="Title Char"/>
    <w:basedOn w:val="47"/>
    <w:link w:val="5"/>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3"/>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8"/>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time"/>
    <w:basedOn w:val="47"/>
    <w:qFormat/>
    <w:uiPriority w:val="0"/>
  </w:style>
  <w:style w:type="character" w:customStyle="1" w:styleId="159">
    <w:name w:val="status"/>
    <w:basedOn w:val="47"/>
    <w:qFormat/>
    <w:uiPriority w:val="0"/>
    <w:rPr>
      <w:color w:val="0776DD"/>
    </w:rPr>
  </w:style>
  <w:style w:type="character" w:customStyle="1" w:styleId="160">
    <w:name w:val="19"/>
    <w:basedOn w:val="47"/>
    <w:qFormat/>
    <w:uiPriority w:val="0"/>
    <w:rPr>
      <w:rFonts w:hint="eastAsia" w:ascii="仿宋_GB2312" w:eastAsia="仿宋_GB2312" w:cs="仿宋_GB2312"/>
      <w:color w:val="000000"/>
      <w:sz w:val="24"/>
      <w:szCs w:val="24"/>
    </w:rPr>
  </w:style>
  <w:style w:type="character" w:customStyle="1" w:styleId="161">
    <w:name w:val="16"/>
    <w:basedOn w:val="47"/>
    <w:qFormat/>
    <w:uiPriority w:val="0"/>
    <w:rPr>
      <w:rFonts w:hint="eastAsia" w:ascii="仿宋" w:hAnsi="仿宋" w:eastAsia="仿宋" w:cs="仿宋"/>
      <w:b/>
      <w:color w:val="000000"/>
      <w:sz w:val="32"/>
      <w:szCs w:val="32"/>
    </w:rPr>
  </w:style>
  <w:style w:type="character" w:customStyle="1" w:styleId="162">
    <w:name w:val="17"/>
    <w:basedOn w:val="47"/>
    <w:qFormat/>
    <w:uiPriority w:val="0"/>
    <w:rPr>
      <w:rFonts w:hint="eastAsia" w:ascii="仿宋" w:hAnsi="仿宋" w:eastAsia="仿宋" w:cs="仿宋"/>
      <w:color w:val="000000"/>
      <w:sz w:val="24"/>
      <w:szCs w:val="24"/>
      <w:u w:val="single"/>
    </w:rPr>
  </w:style>
  <w:style w:type="character" w:customStyle="1" w:styleId="163">
    <w:name w:val="10"/>
    <w:basedOn w:val="47"/>
    <w:qFormat/>
    <w:uiPriority w:val="0"/>
    <w:rPr>
      <w:rFonts w:hint="default" w:ascii="Times New Roman" w:hAnsi="Times New Roman" w:cs="Times New Roman"/>
    </w:rPr>
  </w:style>
  <w:style w:type="character" w:customStyle="1" w:styleId="164">
    <w:name w:val="23"/>
    <w:basedOn w:val="47"/>
    <w:qFormat/>
    <w:uiPriority w:val="0"/>
    <w:rPr>
      <w:rFonts w:hint="default" w:ascii="Times New Roman" w:hAnsi="Times New Roman" w:cs="Times New Roman"/>
    </w:rPr>
  </w:style>
  <w:style w:type="character" w:customStyle="1" w:styleId="165">
    <w:name w:val="15"/>
    <w:basedOn w:val="47"/>
    <w:qFormat/>
    <w:uiPriority w:val="0"/>
    <w:rPr>
      <w:rFonts w:hint="default" w:ascii="Times New Roman" w:hAnsi="Times New Roman" w:cs="Times New Roman"/>
      <w:color w:val="000000"/>
      <w:sz w:val="24"/>
      <w:szCs w:val="24"/>
    </w:rPr>
  </w:style>
  <w:style w:type="character" w:customStyle="1" w:styleId="166">
    <w:name w:val="18"/>
    <w:basedOn w:val="47"/>
    <w:qFormat/>
    <w:uiPriority w:val="0"/>
    <w:rPr>
      <w:rFonts w:hint="eastAsia" w:ascii="仿宋" w:hAnsi="仿宋" w:eastAsia="仿宋" w:cs="仿宋"/>
      <w:b/>
      <w:color w:val="000000"/>
      <w:sz w:val="32"/>
      <w:szCs w:val="32"/>
    </w:rPr>
  </w:style>
  <w:style w:type="character" w:customStyle="1" w:styleId="167">
    <w:name w:val="20"/>
    <w:basedOn w:val="47"/>
    <w:qFormat/>
    <w:uiPriority w:val="0"/>
    <w:rPr>
      <w:rFonts w:hint="eastAsia" w:ascii="仿宋" w:hAnsi="仿宋" w:eastAsia="仿宋" w:cs="仿宋"/>
      <w:color w:val="000000"/>
      <w:sz w:val="24"/>
      <w:szCs w:val="24"/>
    </w:rPr>
  </w:style>
  <w:style w:type="character" w:customStyle="1" w:styleId="168">
    <w:name w:val="21"/>
    <w:basedOn w:val="47"/>
    <w:qFormat/>
    <w:uiPriority w:val="0"/>
    <w:rPr>
      <w:rFonts w:hint="eastAsia" w:ascii="仿宋" w:hAnsi="仿宋" w:eastAsia="仿宋" w:cs="仿宋"/>
      <w:color w:val="000000"/>
      <w:sz w:val="24"/>
      <w:szCs w:val="24"/>
    </w:rPr>
  </w:style>
  <w:style w:type="character" w:customStyle="1" w:styleId="169">
    <w:name w:val="22"/>
    <w:basedOn w:val="47"/>
    <w:qFormat/>
    <w:uiPriority w:val="0"/>
    <w:rPr>
      <w:rFonts w:hint="default" w:ascii="Times New Roman" w:hAnsi="Times New Roman" w:cs="Times New Roman"/>
      <w:sz w:val="21"/>
      <w:szCs w:val="21"/>
    </w:rPr>
  </w:style>
  <w:style w:type="character" w:customStyle="1" w:styleId="170">
    <w:name w:val="first-child"/>
    <w:basedOn w:val="47"/>
    <w:uiPriority w:val="0"/>
    <w:rPr>
      <w:bdr w:val="none" w:color="auto" w:sz="0" w:space="0"/>
    </w:rPr>
  </w:style>
  <w:style w:type="character" w:customStyle="1" w:styleId="171">
    <w:name w:val="layui-layer-tabnow"/>
    <w:basedOn w:val="47"/>
    <w:uiPriority w:val="0"/>
    <w:rPr>
      <w:bdr w:val="single" w:color="CCCCCC" w:sz="6" w:space="0"/>
      <w:shd w:val="clear" w:fill="FFFFFF"/>
    </w:rPr>
  </w:style>
  <w:style w:type="character" w:customStyle="1" w:styleId="172">
    <w:name w:val="timeaxis"/>
    <w:basedOn w:val="47"/>
    <w:uiPriority w:val="0"/>
  </w:style>
  <w:style w:type="character" w:customStyle="1" w:styleId="173">
    <w:name w:val="room"/>
    <w:basedOn w:val="47"/>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35</Pages>
  <Words>18214</Words>
  <Characters>19855</Characters>
  <Lines>1</Lines>
  <Paragraphs>1</Paragraphs>
  <TotalTime>2</TotalTime>
  <ScaleCrop>false</ScaleCrop>
  <LinksUpToDate>false</LinksUpToDate>
  <CharactersWithSpaces>21229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韦韦</cp:lastModifiedBy>
  <cp:lastPrinted>2024-12-19T02:48:00Z</cp:lastPrinted>
  <dcterms:modified xsi:type="dcterms:W3CDTF">2026-05-28T04:33:26Z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86717CE9608D47DFB7D00BC0CB6E8D85_13</vt:lpwstr>
  </property>
  <property fmtid="{D5CDD505-2E9C-101B-9397-08002B2CF9AE}" pid="4" name="KSOTemplateDocerSaveRecord">
    <vt:lpwstr>eyJoZGlkIjoiZmQ5MGI3YTdkMjVkZTZjM2ZjZTQ5YjMxYTJjZjRlOWEiLCJ1c2VySWQiOiIzNjE4MjQ5In0=</vt:lpwstr>
  </property>
</Properties>
</file>