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0C430">
      <w:pPr>
        <w:tabs>
          <w:tab w:val="left" w:pos="315"/>
          <w:tab w:val="left" w:pos="8820"/>
        </w:tabs>
        <w:spacing w:before="240" w:beforeLines="100" w:after="120" w:afterLines="50" w:line="500" w:lineRule="exact"/>
        <w:ind w:right="254" w:rightChars="127"/>
        <w:jc w:val="center"/>
        <w:rPr>
          <w:b/>
          <w:bCs/>
          <w:color w:val="auto"/>
          <w:sz w:val="52"/>
          <w:szCs w:val="52"/>
          <w:highlight w:val="none"/>
          <w:vertAlign w:val="superscript"/>
        </w:rPr>
      </w:pPr>
    </w:p>
    <w:p w14:paraId="0E6112D8">
      <w:pPr>
        <w:tabs>
          <w:tab w:val="left" w:pos="315"/>
          <w:tab w:val="left" w:pos="8820"/>
        </w:tabs>
        <w:spacing w:before="240" w:beforeLines="100" w:after="120" w:afterLines="50" w:line="500" w:lineRule="exact"/>
        <w:ind w:right="254" w:rightChars="127"/>
        <w:jc w:val="center"/>
        <w:rPr>
          <w:b/>
          <w:bCs/>
          <w:color w:val="auto"/>
          <w:sz w:val="52"/>
          <w:szCs w:val="52"/>
          <w:highlight w:val="none"/>
        </w:rPr>
      </w:pPr>
    </w:p>
    <w:p w14:paraId="2079EE63">
      <w:pPr>
        <w:tabs>
          <w:tab w:val="left" w:pos="315"/>
          <w:tab w:val="left" w:pos="8820"/>
        </w:tabs>
        <w:spacing w:before="240" w:beforeLines="100" w:after="120" w:afterLines="50" w:line="500" w:lineRule="exact"/>
        <w:ind w:right="254" w:rightChars="127"/>
        <w:jc w:val="center"/>
        <w:rPr>
          <w:rFonts w:hint="eastAsia" w:eastAsia="宋体"/>
          <w:b/>
          <w:bCs/>
          <w:color w:val="auto"/>
          <w:sz w:val="52"/>
          <w:szCs w:val="52"/>
          <w:highlight w:val="none"/>
          <w:lang w:eastAsia="zh-CN"/>
        </w:rPr>
      </w:pPr>
      <w:bookmarkStart w:id="0" w:name="_Hlk9544796"/>
      <w:r>
        <w:rPr>
          <w:rFonts w:hint="eastAsia"/>
          <w:b/>
          <w:bCs/>
          <w:color w:val="auto"/>
          <w:sz w:val="52"/>
          <w:szCs w:val="52"/>
          <w:highlight w:val="none"/>
          <w:lang w:val="en-US" w:eastAsia="zh-CN"/>
        </w:rPr>
        <w:t>安徽省</w:t>
      </w:r>
      <w:r>
        <w:rPr>
          <w:rFonts w:hint="eastAsia"/>
          <w:b/>
          <w:bCs/>
          <w:color w:val="auto"/>
          <w:sz w:val="52"/>
          <w:szCs w:val="52"/>
          <w:highlight w:val="none"/>
        </w:rPr>
        <w:t>政府采购</w:t>
      </w:r>
      <w:r>
        <w:rPr>
          <w:rFonts w:hint="eastAsia"/>
          <w:b/>
          <w:bCs/>
          <w:color w:val="auto"/>
          <w:sz w:val="52"/>
          <w:szCs w:val="52"/>
          <w:highlight w:val="none"/>
          <w:lang w:eastAsia="zh-CN"/>
        </w:rPr>
        <w:t>项目</w:t>
      </w:r>
    </w:p>
    <w:p w14:paraId="70BA8ABB">
      <w:pPr>
        <w:tabs>
          <w:tab w:val="left" w:pos="315"/>
          <w:tab w:val="left" w:pos="8820"/>
        </w:tabs>
        <w:spacing w:before="240" w:beforeLines="100" w:after="120" w:afterLines="50" w:line="500" w:lineRule="exact"/>
        <w:ind w:right="254" w:rightChars="127"/>
        <w:jc w:val="center"/>
        <w:rPr>
          <w:b/>
          <w:bCs/>
          <w:color w:val="auto"/>
          <w:sz w:val="52"/>
          <w:szCs w:val="52"/>
          <w:highlight w:val="none"/>
        </w:rPr>
      </w:pPr>
      <w:r>
        <w:rPr>
          <w:rFonts w:hint="eastAsia"/>
          <w:b/>
          <w:bCs/>
          <w:color w:val="auto"/>
          <w:sz w:val="52"/>
          <w:szCs w:val="52"/>
          <w:highlight w:val="none"/>
        </w:rPr>
        <w:t>竞争性磋商文件示范文本（工程类）</w:t>
      </w:r>
    </w:p>
    <w:p w14:paraId="77738FDC">
      <w:pPr>
        <w:tabs>
          <w:tab w:val="left" w:pos="315"/>
          <w:tab w:val="left" w:pos="8820"/>
        </w:tabs>
        <w:spacing w:before="240" w:beforeLines="100" w:after="120" w:afterLines="50" w:line="500" w:lineRule="exact"/>
        <w:ind w:right="254" w:rightChars="127"/>
        <w:jc w:val="center"/>
        <w:rPr>
          <w:b/>
          <w:bCs/>
          <w:color w:val="auto"/>
          <w:sz w:val="52"/>
          <w:szCs w:val="52"/>
          <w:highlight w:val="none"/>
        </w:rPr>
      </w:pPr>
      <w:r>
        <w:rPr>
          <w:rFonts w:hint="eastAsia"/>
          <w:b/>
          <w:bCs/>
          <w:color w:val="auto"/>
          <w:sz w:val="52"/>
          <w:szCs w:val="52"/>
          <w:highlight w:val="none"/>
        </w:rPr>
        <w:t>（</w:t>
      </w:r>
      <w:r>
        <w:rPr>
          <w:rFonts w:hint="eastAsia"/>
          <w:b/>
          <w:bCs/>
          <w:color w:val="auto"/>
          <w:sz w:val="52"/>
          <w:szCs w:val="52"/>
          <w:highlight w:val="none"/>
          <w:lang w:val="en-US" w:eastAsia="zh-CN"/>
        </w:rPr>
        <w:t>2026版本</w:t>
      </w:r>
      <w:r>
        <w:rPr>
          <w:rFonts w:hint="eastAsia"/>
          <w:b/>
          <w:bCs/>
          <w:color w:val="auto"/>
          <w:sz w:val="52"/>
          <w:szCs w:val="52"/>
          <w:highlight w:val="none"/>
        </w:rPr>
        <w:t>）</w:t>
      </w:r>
    </w:p>
    <w:bookmarkEnd w:id="0"/>
    <w:p w14:paraId="1F710565">
      <w:pPr>
        <w:tabs>
          <w:tab w:val="left" w:pos="315"/>
          <w:tab w:val="left" w:pos="8820"/>
        </w:tabs>
        <w:spacing w:before="240" w:beforeLines="100" w:after="120" w:afterLines="50" w:line="500" w:lineRule="exact"/>
        <w:ind w:right="254" w:rightChars="127"/>
        <w:jc w:val="center"/>
        <w:rPr>
          <w:bCs/>
          <w:color w:val="auto"/>
          <w:sz w:val="44"/>
          <w:szCs w:val="44"/>
          <w:highlight w:val="none"/>
        </w:rPr>
      </w:pPr>
    </w:p>
    <w:p w14:paraId="0079A0BD">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14:paraId="2DFEB201">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14:paraId="6E6C5A70">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14:paraId="4EBD2A7B">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14:paraId="31BCE5C3">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14:paraId="1C8F831B">
      <w:pPr>
        <w:tabs>
          <w:tab w:val="left" w:pos="2410"/>
        </w:tabs>
        <w:autoSpaceDE w:val="0"/>
        <w:autoSpaceDN w:val="0"/>
        <w:adjustRightInd w:val="0"/>
        <w:snapToGrid w:val="0"/>
        <w:spacing w:line="360" w:lineRule="auto"/>
        <w:rPr>
          <w:rFonts w:hint="default"/>
          <w:b/>
          <w:color w:val="auto"/>
          <w:spacing w:val="20"/>
          <w:sz w:val="32"/>
          <w:szCs w:val="32"/>
          <w:highlight w:val="none"/>
          <w:u w:val="single"/>
          <w:lang w:val="en-US" w:eastAsia="zh-CN"/>
        </w:rPr>
      </w:pPr>
      <w:r>
        <w:rPr>
          <w:rFonts w:hint="eastAsia"/>
          <w:b/>
          <w:color w:val="auto"/>
          <w:spacing w:val="20"/>
          <w:sz w:val="32"/>
          <w:szCs w:val="32"/>
          <w:highlight w:val="none"/>
        </w:rPr>
        <w:t>项目名称：</w:t>
      </w:r>
      <w:r>
        <w:rPr>
          <w:rFonts w:hint="eastAsia"/>
          <w:b/>
          <w:color w:val="auto"/>
          <w:spacing w:val="20"/>
          <w:sz w:val="32"/>
          <w:szCs w:val="32"/>
          <w:highlight w:val="none"/>
          <w:u w:val="single"/>
          <w:lang w:val="en-US" w:eastAsia="zh-CN"/>
        </w:rPr>
        <w:t>花园路上跨京沪铁路枢纽项目附属配套绿化工程</w:t>
      </w:r>
    </w:p>
    <w:p w14:paraId="60987956">
      <w:pPr>
        <w:tabs>
          <w:tab w:val="left" w:pos="2410"/>
        </w:tabs>
        <w:autoSpaceDE w:val="0"/>
        <w:autoSpaceDN w:val="0"/>
        <w:adjustRightInd w:val="0"/>
        <w:snapToGrid w:val="0"/>
        <w:spacing w:line="360" w:lineRule="auto"/>
        <w:rPr>
          <w:rFonts w:hint="eastAsia"/>
          <w:b/>
          <w:color w:val="auto"/>
          <w:spacing w:val="20"/>
          <w:sz w:val="32"/>
          <w:szCs w:val="32"/>
          <w:highlight w:val="none"/>
          <w:u w:val="single"/>
          <w:lang w:val="en-US" w:eastAsia="zh-CN"/>
        </w:rPr>
      </w:pPr>
      <w:r>
        <w:rPr>
          <w:rFonts w:hint="eastAsia"/>
          <w:b/>
          <w:color w:val="auto"/>
          <w:spacing w:val="20"/>
          <w:sz w:val="32"/>
          <w:szCs w:val="32"/>
          <w:highlight w:val="none"/>
        </w:rPr>
        <w:t>项目编号：</w:t>
      </w:r>
      <w:r>
        <w:rPr>
          <w:rFonts w:hint="default"/>
          <w:b/>
          <w:color w:val="auto"/>
          <w:spacing w:val="20"/>
          <w:sz w:val="32"/>
          <w:szCs w:val="32"/>
          <w:highlight w:val="none"/>
          <w:u w:val="single"/>
          <w:lang w:val="en-US" w:eastAsia="zh-CN"/>
        </w:rPr>
        <w:t>czsjcg202602-016</w:t>
      </w:r>
    </w:p>
    <w:p w14:paraId="0D138822">
      <w:pPr>
        <w:tabs>
          <w:tab w:val="left" w:pos="2410"/>
        </w:tabs>
        <w:autoSpaceDE w:val="0"/>
        <w:autoSpaceDN w:val="0"/>
        <w:adjustRightInd w:val="0"/>
        <w:snapToGrid w:val="0"/>
        <w:spacing w:line="360" w:lineRule="auto"/>
        <w:rPr>
          <w:rFonts w:hint="eastAsia"/>
          <w:b/>
          <w:color w:val="auto"/>
          <w:spacing w:val="20"/>
          <w:sz w:val="32"/>
          <w:szCs w:val="32"/>
          <w:highlight w:val="none"/>
          <w:u w:val="single"/>
          <w:lang w:val="en-US" w:eastAsia="zh-CN"/>
        </w:rPr>
      </w:pPr>
      <w:r>
        <w:rPr>
          <w:rFonts w:hint="eastAsia"/>
          <w:b/>
          <w:color w:val="auto"/>
          <w:spacing w:val="20"/>
          <w:sz w:val="32"/>
          <w:szCs w:val="32"/>
          <w:highlight w:val="none"/>
        </w:rPr>
        <w:t>采 购 人：</w:t>
      </w:r>
      <w:r>
        <w:rPr>
          <w:rFonts w:hint="eastAsia"/>
          <w:b/>
          <w:color w:val="auto"/>
          <w:spacing w:val="20"/>
          <w:sz w:val="32"/>
          <w:szCs w:val="32"/>
          <w:highlight w:val="none"/>
          <w:u w:val="single"/>
          <w:lang w:val="en-US" w:eastAsia="zh-CN"/>
        </w:rPr>
        <w:t>滁州市重点工程建设管理处</w:t>
      </w:r>
    </w:p>
    <w:p w14:paraId="69FBF24F">
      <w:pPr>
        <w:tabs>
          <w:tab w:val="left" w:pos="2410"/>
        </w:tabs>
        <w:autoSpaceDE w:val="0"/>
        <w:autoSpaceDN w:val="0"/>
        <w:adjustRightInd w:val="0"/>
        <w:snapToGrid w:val="0"/>
        <w:spacing w:line="360" w:lineRule="auto"/>
        <w:rPr>
          <w:b/>
          <w:color w:val="auto"/>
          <w:spacing w:val="20"/>
          <w:sz w:val="32"/>
          <w:szCs w:val="32"/>
          <w:highlight w:val="none"/>
        </w:rPr>
      </w:pPr>
      <w:r>
        <w:rPr>
          <w:rFonts w:hint="eastAsia"/>
          <w:b/>
          <w:color w:val="auto"/>
          <w:spacing w:val="20"/>
          <w:sz w:val="32"/>
          <w:szCs w:val="32"/>
          <w:highlight w:val="none"/>
        </w:rPr>
        <w:t>采购代理机构：</w:t>
      </w:r>
      <w:r>
        <w:rPr>
          <w:rFonts w:hint="eastAsia" w:ascii="宋体" w:hAnsi="宋体" w:cs="宋体"/>
          <w:b/>
          <w:color w:val="auto"/>
          <w:sz w:val="32"/>
          <w:szCs w:val="32"/>
          <w:highlight w:val="none"/>
          <w:u w:val="single"/>
        </w:rPr>
        <w:t>滁州市城投工程咨询管理有限公司</w:t>
      </w:r>
    </w:p>
    <w:p w14:paraId="5E805831">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14:paraId="289E1684">
      <w:pPr>
        <w:tabs>
          <w:tab w:val="left" w:pos="2410"/>
        </w:tabs>
        <w:autoSpaceDE w:val="0"/>
        <w:autoSpaceDN w:val="0"/>
        <w:adjustRightInd w:val="0"/>
        <w:snapToGrid w:val="0"/>
        <w:spacing w:line="360" w:lineRule="auto"/>
        <w:jc w:val="center"/>
        <w:rPr>
          <w:b/>
          <w:color w:val="auto"/>
          <w:sz w:val="36"/>
          <w:highlight w:val="none"/>
        </w:rPr>
      </w:pPr>
    </w:p>
    <w:p w14:paraId="6ADDE832">
      <w:pPr>
        <w:tabs>
          <w:tab w:val="left" w:pos="2410"/>
        </w:tabs>
        <w:autoSpaceDE w:val="0"/>
        <w:autoSpaceDN w:val="0"/>
        <w:adjustRightInd w:val="0"/>
        <w:snapToGrid w:val="0"/>
        <w:spacing w:line="360" w:lineRule="auto"/>
        <w:jc w:val="center"/>
        <w:rPr>
          <w:b/>
          <w:color w:val="auto"/>
          <w:sz w:val="36"/>
          <w:highlight w:val="none"/>
        </w:rPr>
      </w:pPr>
      <w:r>
        <w:rPr>
          <w:rFonts w:hint="eastAsia"/>
          <w:b/>
          <w:color w:val="auto"/>
          <w:sz w:val="36"/>
          <w:highlight w:val="none"/>
          <w:u w:val="single"/>
          <w:lang w:val="en-US" w:eastAsia="zh-CN"/>
        </w:rPr>
        <w:t>2026</w:t>
      </w:r>
      <w:r>
        <w:rPr>
          <w:rFonts w:hint="eastAsia"/>
          <w:b/>
          <w:color w:val="auto"/>
          <w:sz w:val="36"/>
          <w:highlight w:val="none"/>
        </w:rPr>
        <w:t>年</w:t>
      </w:r>
      <w:r>
        <w:rPr>
          <w:rFonts w:hint="eastAsia"/>
          <w:b/>
          <w:color w:val="auto"/>
          <w:sz w:val="36"/>
          <w:highlight w:val="none"/>
          <w:u w:val="single"/>
          <w:lang w:val="en-US" w:eastAsia="zh-CN"/>
        </w:rPr>
        <w:t>2</w:t>
      </w:r>
      <w:r>
        <w:rPr>
          <w:rFonts w:hint="eastAsia"/>
          <w:b/>
          <w:color w:val="auto"/>
          <w:sz w:val="36"/>
          <w:highlight w:val="none"/>
        </w:rPr>
        <w:t>月</w:t>
      </w:r>
      <w:r>
        <w:rPr>
          <w:b/>
          <w:color w:val="auto"/>
          <w:sz w:val="36"/>
          <w:highlight w:val="none"/>
        </w:rPr>
        <w:br w:type="page"/>
      </w:r>
    </w:p>
    <w:p w14:paraId="0A80D35B">
      <w:pPr>
        <w:tabs>
          <w:tab w:val="left" w:pos="2410"/>
        </w:tabs>
        <w:autoSpaceDE w:val="0"/>
        <w:autoSpaceDN w:val="0"/>
        <w:adjustRightInd w:val="0"/>
        <w:snapToGrid w:val="0"/>
        <w:spacing w:line="360" w:lineRule="auto"/>
        <w:jc w:val="center"/>
        <w:rPr>
          <w:b/>
          <w:color w:val="auto"/>
          <w:sz w:val="28"/>
          <w:highlight w:val="none"/>
        </w:rPr>
      </w:pPr>
      <w:r>
        <w:rPr>
          <w:rFonts w:hint="eastAsia"/>
          <w:b/>
          <w:color w:val="auto"/>
          <w:sz w:val="28"/>
          <w:highlight w:val="none"/>
        </w:rPr>
        <w:t>目  录</w:t>
      </w:r>
    </w:p>
    <w:p w14:paraId="18F3B0BA">
      <w:pPr>
        <w:tabs>
          <w:tab w:val="left" w:pos="2410"/>
        </w:tabs>
        <w:autoSpaceDE w:val="0"/>
        <w:autoSpaceDN w:val="0"/>
        <w:adjustRightInd w:val="0"/>
        <w:snapToGrid w:val="0"/>
        <w:spacing w:line="360" w:lineRule="auto"/>
        <w:jc w:val="center"/>
        <w:rPr>
          <w:b/>
          <w:color w:val="auto"/>
          <w:sz w:val="28"/>
          <w:highlight w:val="none"/>
        </w:rPr>
      </w:pPr>
    </w:p>
    <w:p w14:paraId="59DF1163">
      <w:pPr>
        <w:pStyle w:val="35"/>
        <w:tabs>
          <w:tab w:val="right" w:leader="dot" w:pos="8279"/>
        </w:tabs>
        <w:rPr>
          <w:rFonts w:hint="eastAsia" w:ascii="宋体" w:hAnsi="宋体" w:eastAsia="宋体" w:cs="宋体"/>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TOC \o "1-2" \h \z \u </w:instrText>
      </w:r>
      <w:r>
        <w:rPr>
          <w:rFonts w:hint="eastAsia" w:ascii="宋体" w:hAnsi="宋体" w:eastAsia="宋体" w:cs="宋体"/>
          <w:b/>
          <w:color w:val="auto"/>
          <w:sz w:val="24"/>
          <w:szCs w:val="24"/>
          <w:highlight w:val="none"/>
        </w:rPr>
        <w:fldChar w:fldCharType="separate"/>
      </w: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_Toc11403 </w:instrText>
      </w:r>
      <w:r>
        <w:rPr>
          <w:rFonts w:hint="eastAsia" w:ascii="宋体" w:hAnsi="宋体" w:eastAsia="宋体" w:cs="宋体"/>
          <w:szCs w:val="24"/>
          <w:highlight w:val="none"/>
        </w:rPr>
        <w:fldChar w:fldCharType="separate"/>
      </w:r>
      <w:r>
        <w:rPr>
          <w:rFonts w:hint="eastAsia" w:ascii="宋体" w:hAnsi="宋体" w:eastAsia="宋体" w:cs="宋体"/>
          <w:highlight w:val="none"/>
        </w:rPr>
        <w:t>第一章  磋商邀请</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_Toc11403 \h </w:instrText>
      </w:r>
      <w:r>
        <w:rPr>
          <w:rFonts w:hint="eastAsia" w:ascii="宋体" w:hAnsi="宋体" w:eastAsia="宋体" w:cs="宋体"/>
          <w:highlight w:val="none"/>
        </w:rPr>
        <w:fldChar w:fldCharType="separate"/>
      </w:r>
      <w:r>
        <w:rPr>
          <w:rFonts w:hint="eastAsia" w:ascii="宋体" w:hAnsi="宋体" w:eastAsia="宋体" w:cs="宋体"/>
          <w:highlight w:val="none"/>
        </w:rPr>
        <w:t>1</w:t>
      </w:r>
      <w:r>
        <w:rPr>
          <w:rFonts w:hint="eastAsia" w:ascii="宋体" w:hAnsi="宋体" w:eastAsia="宋体" w:cs="宋体"/>
          <w:highlight w:val="none"/>
        </w:rPr>
        <w:fldChar w:fldCharType="end"/>
      </w:r>
      <w:r>
        <w:rPr>
          <w:rFonts w:hint="eastAsia" w:ascii="宋体" w:hAnsi="宋体" w:eastAsia="宋体" w:cs="宋体"/>
          <w:color w:val="auto"/>
          <w:szCs w:val="24"/>
          <w:highlight w:val="none"/>
        </w:rPr>
        <w:fldChar w:fldCharType="end"/>
      </w:r>
    </w:p>
    <w:p w14:paraId="179442B6">
      <w:pPr>
        <w:pStyle w:val="35"/>
        <w:tabs>
          <w:tab w:val="right" w:leader="dot" w:pos="8279"/>
        </w:tabs>
        <w:rPr>
          <w:rFonts w:hint="eastAsia" w:ascii="宋体" w:hAnsi="宋体" w:eastAsia="宋体" w:cs="宋体"/>
          <w:highlight w:val="none"/>
          <w:lang w:val="en-US" w:eastAsia="zh-CN"/>
        </w:rPr>
      </w:pPr>
      <w:r>
        <w:rPr>
          <w:rFonts w:hint="eastAsia" w:ascii="宋体" w:hAnsi="宋体" w:eastAsia="宋体" w:cs="宋体"/>
          <w:highlight w:val="none"/>
          <w:lang w:val="en-US" w:eastAsia="zh-CN"/>
        </w:rPr>
        <w:fldChar w:fldCharType="begin"/>
      </w:r>
      <w:r>
        <w:rPr>
          <w:rFonts w:hint="eastAsia" w:ascii="宋体" w:hAnsi="宋体" w:eastAsia="宋体" w:cs="宋体"/>
          <w:highlight w:val="none"/>
          <w:lang w:val="en-US" w:eastAsia="zh-CN"/>
        </w:rPr>
        <w:instrText xml:space="preserve"> HYPERLINK \l _Toc28080 </w:instrText>
      </w:r>
      <w:r>
        <w:rPr>
          <w:rFonts w:hint="eastAsia" w:ascii="宋体" w:hAnsi="宋体" w:eastAsia="宋体" w:cs="宋体"/>
          <w:highlight w:val="none"/>
          <w:lang w:val="en-US" w:eastAsia="zh-CN"/>
        </w:rPr>
        <w:fldChar w:fldCharType="separate"/>
      </w:r>
      <w:r>
        <w:rPr>
          <w:rFonts w:hint="eastAsia" w:ascii="宋体" w:hAnsi="宋体" w:eastAsia="宋体" w:cs="宋体"/>
          <w:highlight w:val="none"/>
          <w:lang w:val="en-US" w:eastAsia="zh-CN"/>
        </w:rPr>
        <w:t>第二章  供应商须知</w:t>
      </w:r>
      <w:r>
        <w:rPr>
          <w:rFonts w:hint="eastAsia" w:ascii="宋体" w:hAnsi="宋体" w:eastAsia="宋体" w:cs="宋体"/>
          <w:highlight w:val="none"/>
          <w:lang w:val="en-US" w:eastAsia="zh-CN"/>
        </w:rPr>
        <w:tab/>
      </w:r>
      <w:r>
        <w:rPr>
          <w:rFonts w:hint="eastAsia" w:ascii="宋体" w:hAnsi="宋体" w:eastAsia="宋体" w:cs="宋体"/>
          <w:highlight w:val="none"/>
          <w:lang w:val="en-US" w:eastAsia="zh-CN"/>
        </w:rPr>
        <w:t>5</w:t>
      </w:r>
      <w:r>
        <w:rPr>
          <w:rFonts w:hint="eastAsia" w:ascii="宋体" w:hAnsi="宋体" w:eastAsia="宋体" w:cs="宋体"/>
          <w:highlight w:val="none"/>
          <w:lang w:val="en-US" w:eastAsia="zh-CN"/>
        </w:rPr>
        <w:fldChar w:fldCharType="end"/>
      </w:r>
    </w:p>
    <w:p w14:paraId="54835936">
      <w:pPr>
        <w:pStyle w:val="35"/>
        <w:tabs>
          <w:tab w:val="right" w:leader="dot" w:pos="8279"/>
        </w:tabs>
        <w:rPr>
          <w:rFonts w:hint="eastAsia" w:ascii="宋体" w:hAnsi="宋体" w:eastAsia="宋体" w:cs="宋体"/>
          <w:highlight w:val="none"/>
          <w:lang w:val="en-US" w:eastAsia="zh-CN"/>
        </w:rPr>
      </w:pPr>
      <w:r>
        <w:rPr>
          <w:rFonts w:hint="eastAsia" w:ascii="宋体" w:hAnsi="宋体" w:eastAsia="宋体" w:cs="宋体"/>
          <w:highlight w:val="none"/>
          <w:lang w:val="en-US" w:eastAsia="zh-CN"/>
        </w:rPr>
        <w:fldChar w:fldCharType="begin"/>
      </w:r>
      <w:r>
        <w:rPr>
          <w:rFonts w:hint="eastAsia" w:ascii="宋体" w:hAnsi="宋体" w:eastAsia="宋体" w:cs="宋体"/>
          <w:highlight w:val="none"/>
          <w:lang w:val="en-US" w:eastAsia="zh-CN"/>
        </w:rPr>
        <w:instrText xml:space="preserve"> HYPERLINK \l _Toc30873 </w:instrText>
      </w:r>
      <w:r>
        <w:rPr>
          <w:rFonts w:hint="eastAsia" w:ascii="宋体" w:hAnsi="宋体" w:eastAsia="宋体" w:cs="宋体"/>
          <w:highlight w:val="none"/>
          <w:lang w:val="en-US" w:eastAsia="zh-CN"/>
        </w:rPr>
        <w:fldChar w:fldCharType="separate"/>
      </w:r>
      <w:r>
        <w:rPr>
          <w:rFonts w:hint="eastAsia" w:ascii="宋体" w:hAnsi="宋体" w:eastAsia="宋体" w:cs="宋体"/>
          <w:highlight w:val="none"/>
          <w:lang w:val="en-US" w:eastAsia="zh-CN"/>
        </w:rPr>
        <w:t>第三章  采购需求</w:t>
      </w:r>
      <w:r>
        <w:rPr>
          <w:rFonts w:hint="eastAsia" w:ascii="宋体" w:hAnsi="宋体" w:eastAsia="宋体" w:cs="宋体"/>
          <w:highlight w:val="none"/>
          <w:lang w:val="en-US" w:eastAsia="zh-CN"/>
        </w:rPr>
        <w:tab/>
      </w:r>
      <w:r>
        <w:rPr>
          <w:rFonts w:hint="eastAsia" w:ascii="宋体" w:hAnsi="宋体" w:eastAsia="宋体" w:cs="宋体"/>
          <w:highlight w:val="none"/>
          <w:lang w:val="en-US" w:eastAsia="zh-CN"/>
        </w:rPr>
        <w:t>2</w:t>
      </w:r>
      <w:r>
        <w:rPr>
          <w:rFonts w:hint="eastAsia" w:ascii="宋体" w:hAnsi="宋体" w:eastAsia="宋体" w:cs="宋体"/>
          <w:highlight w:val="none"/>
          <w:lang w:val="en-US" w:eastAsia="zh-CN"/>
        </w:rPr>
        <w:fldChar w:fldCharType="end"/>
      </w:r>
      <w:r>
        <w:rPr>
          <w:rFonts w:hint="eastAsia" w:ascii="宋体" w:hAnsi="宋体" w:eastAsia="宋体" w:cs="宋体"/>
          <w:highlight w:val="none"/>
          <w:lang w:val="en-US" w:eastAsia="zh-CN"/>
        </w:rPr>
        <w:t>7</w:t>
      </w:r>
    </w:p>
    <w:p w14:paraId="625AC819">
      <w:pPr>
        <w:pStyle w:val="35"/>
        <w:tabs>
          <w:tab w:val="right" w:leader="dot" w:pos="8279"/>
        </w:tabs>
        <w:rPr>
          <w:rFonts w:hint="eastAsia" w:ascii="宋体" w:hAnsi="宋体" w:eastAsia="宋体" w:cs="宋体"/>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_Toc11353 </w:instrText>
      </w:r>
      <w:r>
        <w:rPr>
          <w:rFonts w:hint="eastAsia" w:ascii="宋体" w:hAnsi="宋体" w:eastAsia="宋体" w:cs="宋体"/>
          <w:szCs w:val="24"/>
          <w:highlight w:val="none"/>
        </w:rPr>
        <w:fldChar w:fldCharType="separate"/>
      </w:r>
      <w:r>
        <w:rPr>
          <w:rFonts w:hint="eastAsia" w:ascii="宋体" w:hAnsi="宋体" w:eastAsia="宋体" w:cs="宋体"/>
          <w:highlight w:val="none"/>
        </w:rPr>
        <w:t>第四章  评审方法和标准</w:t>
      </w:r>
      <w:r>
        <w:rPr>
          <w:rFonts w:hint="eastAsia" w:ascii="宋体" w:hAnsi="宋体" w:eastAsia="宋体" w:cs="宋体"/>
          <w:highlight w:val="none"/>
        </w:rPr>
        <w:tab/>
      </w:r>
      <w:r>
        <w:rPr>
          <w:rFonts w:hint="eastAsia" w:ascii="宋体" w:hAnsi="宋体" w:eastAsia="宋体" w:cs="宋体"/>
          <w:highlight w:val="none"/>
          <w:lang w:val="en-US" w:eastAsia="zh-CN"/>
        </w:rPr>
        <w:t>2</w:t>
      </w:r>
      <w:r>
        <w:rPr>
          <w:rFonts w:hint="eastAsia" w:ascii="宋体" w:hAnsi="宋体" w:eastAsia="宋体" w:cs="宋体"/>
          <w:color w:val="auto"/>
          <w:szCs w:val="24"/>
          <w:highlight w:val="none"/>
        </w:rPr>
        <w:fldChar w:fldCharType="end"/>
      </w:r>
      <w:r>
        <w:rPr>
          <w:rFonts w:hint="eastAsia" w:ascii="宋体" w:hAnsi="宋体" w:eastAsia="宋体" w:cs="宋体"/>
          <w:color w:val="auto"/>
          <w:szCs w:val="24"/>
          <w:highlight w:val="none"/>
          <w:lang w:val="en-US" w:eastAsia="zh-CN"/>
        </w:rPr>
        <w:t>9</w:t>
      </w:r>
    </w:p>
    <w:p w14:paraId="6B39CC35">
      <w:pPr>
        <w:pStyle w:val="35"/>
        <w:tabs>
          <w:tab w:val="right" w:leader="dot" w:pos="8279"/>
        </w:tabs>
        <w:rPr>
          <w:rFonts w:hint="eastAsia" w:ascii="宋体" w:hAnsi="宋体" w:eastAsia="宋体" w:cs="宋体"/>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_Toc31277 </w:instrText>
      </w:r>
      <w:r>
        <w:rPr>
          <w:rFonts w:hint="eastAsia" w:ascii="宋体" w:hAnsi="宋体" w:eastAsia="宋体" w:cs="宋体"/>
          <w:szCs w:val="24"/>
          <w:highlight w:val="none"/>
        </w:rPr>
        <w:fldChar w:fldCharType="separate"/>
      </w:r>
      <w:r>
        <w:rPr>
          <w:rFonts w:hint="eastAsia" w:ascii="宋体" w:hAnsi="宋体" w:eastAsia="宋体" w:cs="宋体"/>
          <w:highlight w:val="none"/>
        </w:rPr>
        <w:t>第五章  政府采购合同</w:t>
      </w:r>
      <w:r>
        <w:rPr>
          <w:rFonts w:hint="eastAsia" w:ascii="宋体" w:hAnsi="宋体" w:eastAsia="宋体" w:cs="宋体"/>
          <w:highlight w:val="none"/>
        </w:rPr>
        <w:tab/>
      </w:r>
      <w:r>
        <w:rPr>
          <w:rFonts w:hint="eastAsia" w:ascii="宋体" w:hAnsi="宋体" w:eastAsia="宋体" w:cs="宋体"/>
          <w:highlight w:val="none"/>
          <w:lang w:val="en-US" w:eastAsia="zh-CN"/>
        </w:rPr>
        <w:t>4</w:t>
      </w:r>
      <w:r>
        <w:rPr>
          <w:rFonts w:hint="eastAsia" w:ascii="宋体" w:hAnsi="宋体" w:eastAsia="宋体" w:cs="宋体"/>
          <w:color w:val="auto"/>
          <w:szCs w:val="24"/>
          <w:highlight w:val="none"/>
        </w:rPr>
        <w:fldChar w:fldCharType="end"/>
      </w:r>
      <w:r>
        <w:rPr>
          <w:rFonts w:hint="eastAsia" w:ascii="宋体" w:hAnsi="宋体" w:eastAsia="宋体" w:cs="宋体"/>
          <w:color w:val="auto"/>
          <w:szCs w:val="24"/>
          <w:highlight w:val="none"/>
          <w:lang w:val="en-US" w:eastAsia="zh-CN"/>
        </w:rPr>
        <w:t>1</w:t>
      </w:r>
    </w:p>
    <w:p w14:paraId="5EC0F1D2">
      <w:pPr>
        <w:pStyle w:val="35"/>
        <w:tabs>
          <w:tab w:val="right" w:leader="dot" w:pos="8279"/>
        </w:tabs>
        <w:rPr>
          <w:rFonts w:hint="eastAsia" w:ascii="宋体" w:hAnsi="宋体" w:eastAsia="宋体" w:cs="宋体"/>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_Toc22734 </w:instrText>
      </w:r>
      <w:r>
        <w:rPr>
          <w:rFonts w:hint="eastAsia" w:ascii="宋体" w:hAnsi="宋体" w:eastAsia="宋体" w:cs="宋体"/>
          <w:szCs w:val="24"/>
          <w:highlight w:val="none"/>
        </w:rPr>
        <w:fldChar w:fldCharType="separate"/>
      </w:r>
      <w:r>
        <w:rPr>
          <w:rFonts w:hint="eastAsia" w:ascii="宋体" w:hAnsi="宋体" w:eastAsia="宋体" w:cs="宋体"/>
          <w:highlight w:val="none"/>
        </w:rPr>
        <w:t>第六章  响应文件格式</w:t>
      </w:r>
      <w:r>
        <w:rPr>
          <w:rFonts w:hint="eastAsia" w:ascii="宋体" w:hAnsi="宋体" w:eastAsia="宋体" w:cs="宋体"/>
          <w:highlight w:val="none"/>
        </w:rPr>
        <w:tab/>
      </w:r>
      <w:r>
        <w:rPr>
          <w:rFonts w:hint="eastAsia" w:ascii="宋体" w:hAnsi="宋体" w:eastAsia="宋体" w:cs="宋体"/>
          <w:highlight w:val="none"/>
          <w:lang w:val="en-US" w:eastAsia="zh-CN"/>
        </w:rPr>
        <w:t>9</w:t>
      </w:r>
      <w:r>
        <w:rPr>
          <w:rFonts w:hint="eastAsia" w:ascii="宋体" w:hAnsi="宋体" w:eastAsia="宋体" w:cs="宋体"/>
          <w:color w:val="auto"/>
          <w:szCs w:val="24"/>
          <w:highlight w:val="none"/>
        </w:rPr>
        <w:fldChar w:fldCharType="end"/>
      </w:r>
      <w:r>
        <w:rPr>
          <w:rFonts w:hint="eastAsia" w:ascii="宋体" w:hAnsi="宋体" w:eastAsia="宋体" w:cs="宋体"/>
          <w:color w:val="auto"/>
          <w:szCs w:val="24"/>
          <w:highlight w:val="none"/>
          <w:lang w:val="en-US" w:eastAsia="zh-CN"/>
        </w:rPr>
        <w:t>7</w:t>
      </w:r>
    </w:p>
    <w:p w14:paraId="17C68126">
      <w:pPr>
        <w:pStyle w:val="35"/>
        <w:tabs>
          <w:tab w:val="right" w:leader="dot" w:pos="8279"/>
        </w:tabs>
        <w:rPr>
          <w:rFonts w:hint="eastAsia" w:ascii="宋体" w:hAnsi="宋体" w:eastAsia="宋体" w:cs="宋体"/>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_Toc24879 </w:instrText>
      </w:r>
      <w:r>
        <w:rPr>
          <w:rFonts w:hint="eastAsia" w:ascii="宋体" w:hAnsi="宋体" w:eastAsia="宋体" w:cs="宋体"/>
          <w:szCs w:val="24"/>
          <w:highlight w:val="none"/>
        </w:rPr>
        <w:fldChar w:fldCharType="separate"/>
      </w:r>
      <w:r>
        <w:rPr>
          <w:rFonts w:hint="eastAsia" w:ascii="宋体" w:hAnsi="宋体" w:eastAsia="宋体" w:cs="宋体"/>
          <w:bCs/>
          <w:highlight w:val="none"/>
        </w:rPr>
        <w:t>第</w:t>
      </w:r>
      <w:r>
        <w:rPr>
          <w:rFonts w:hint="eastAsia" w:ascii="宋体" w:hAnsi="宋体" w:eastAsia="宋体" w:cs="宋体"/>
          <w:bCs/>
          <w:highlight w:val="none"/>
          <w:lang w:val="en-US" w:eastAsia="zh-CN"/>
        </w:rPr>
        <w:t>七</w:t>
      </w:r>
      <w:r>
        <w:rPr>
          <w:rFonts w:hint="eastAsia" w:ascii="宋体" w:hAnsi="宋体" w:eastAsia="宋体" w:cs="宋体"/>
          <w:bCs/>
          <w:highlight w:val="none"/>
        </w:rPr>
        <w:t>章  政府采购</w:t>
      </w:r>
      <w:r>
        <w:rPr>
          <w:rFonts w:hint="eastAsia" w:ascii="宋体" w:hAnsi="宋体" w:eastAsia="宋体" w:cs="宋体"/>
          <w:highlight w:val="none"/>
        </w:rPr>
        <w:t>供应</w:t>
      </w:r>
      <w:r>
        <w:rPr>
          <w:rFonts w:hint="eastAsia" w:ascii="宋体" w:hAnsi="宋体" w:eastAsia="宋体" w:cs="宋体"/>
          <w:bCs/>
          <w:highlight w:val="none"/>
        </w:rPr>
        <w:t>商询问函和质疑函范本</w:t>
      </w:r>
      <w:r>
        <w:rPr>
          <w:rFonts w:hint="eastAsia" w:ascii="宋体" w:hAnsi="宋体" w:eastAsia="宋体" w:cs="宋体"/>
          <w:highlight w:val="none"/>
        </w:rPr>
        <w:tab/>
      </w:r>
      <w:r>
        <w:rPr>
          <w:rFonts w:hint="eastAsia" w:ascii="宋体" w:hAnsi="宋体" w:eastAsia="宋体" w:cs="宋体"/>
          <w:highlight w:val="none"/>
          <w:lang w:val="en-US" w:eastAsia="zh-CN"/>
        </w:rPr>
        <w:t>1</w:t>
      </w:r>
      <w:r>
        <w:rPr>
          <w:rFonts w:hint="eastAsia" w:ascii="宋体" w:hAnsi="宋体" w:eastAsia="宋体" w:cs="宋体"/>
          <w:color w:val="auto"/>
          <w:szCs w:val="24"/>
          <w:highlight w:val="none"/>
        </w:rPr>
        <w:fldChar w:fldCharType="end"/>
      </w:r>
      <w:r>
        <w:rPr>
          <w:rFonts w:hint="eastAsia" w:ascii="宋体" w:hAnsi="宋体" w:eastAsia="宋体" w:cs="宋体"/>
          <w:color w:val="auto"/>
          <w:szCs w:val="24"/>
          <w:highlight w:val="none"/>
          <w:lang w:val="en-US" w:eastAsia="zh-CN"/>
        </w:rPr>
        <w:t>23</w:t>
      </w:r>
    </w:p>
    <w:p w14:paraId="1317E34F">
      <w:pPr>
        <w:pStyle w:val="45"/>
        <w:tabs>
          <w:tab w:val="right" w:leader="dot" w:pos="8296"/>
        </w:tabs>
        <w:rPr>
          <w:rFonts w:asciiTheme="minorEastAsia" w:hAnsiTheme="minorEastAsia"/>
          <w:b/>
          <w:color w:val="auto"/>
          <w:szCs w:val="24"/>
          <w:highlight w:val="none"/>
        </w:rPr>
      </w:pPr>
      <w:r>
        <w:rPr>
          <w:rFonts w:hint="eastAsia" w:ascii="宋体" w:hAnsi="宋体" w:eastAsia="宋体" w:cs="宋体"/>
          <w:color w:val="auto"/>
          <w:szCs w:val="24"/>
          <w:highlight w:val="none"/>
        </w:rPr>
        <w:fldChar w:fldCharType="end"/>
      </w:r>
    </w:p>
    <w:p w14:paraId="0A7C1527">
      <w:pPr>
        <w:pStyle w:val="4"/>
        <w:rPr>
          <w:highlight w:val="none"/>
        </w:rPr>
        <w:sectPr>
          <w:headerReference r:id="rId3" w:type="default"/>
          <w:footerReference r:id="rId4" w:type="default"/>
          <w:pgSz w:w="11907" w:h="16840"/>
          <w:pgMar w:top="1474" w:right="1814" w:bottom="1474" w:left="1814" w:header="851" w:footer="992" w:gutter="0"/>
          <w:cols w:space="720" w:num="1"/>
          <w:docGrid w:linePitch="462" w:charSpace="0"/>
        </w:sectPr>
      </w:pPr>
    </w:p>
    <w:p w14:paraId="5F60CF7E">
      <w:pPr>
        <w:spacing w:line="360" w:lineRule="auto"/>
        <w:jc w:val="center"/>
        <w:outlineLvl w:val="0"/>
        <w:rPr>
          <w:rFonts w:asciiTheme="minorEastAsia" w:hAnsiTheme="minorEastAsia" w:eastAsiaTheme="minorEastAsia"/>
          <w:b/>
          <w:color w:val="auto"/>
          <w:sz w:val="28"/>
          <w:highlight w:val="none"/>
        </w:rPr>
      </w:pPr>
      <w:bookmarkStart w:id="1" w:name="_Toc11403"/>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磋商邀请</w:t>
      </w:r>
      <w:bookmarkEnd w:id="1"/>
    </w:p>
    <w:p w14:paraId="17997859">
      <w:pPr>
        <w:keepNext/>
        <w:keepLines/>
        <w:pageBreakBefore w:val="0"/>
        <w:widowControl w:val="0"/>
        <w:kinsoku/>
        <w:wordWrap/>
        <w:overflowPunct/>
        <w:topLinePunct w:val="0"/>
        <w:autoSpaceDE/>
        <w:autoSpaceDN/>
        <w:bidi w:val="0"/>
        <w:adjustRightInd/>
        <w:snapToGrid/>
        <w:spacing w:before="0" w:after="0" w:line="360" w:lineRule="auto"/>
        <w:ind w:firstLine="480" w:firstLineChars="200"/>
        <w:textAlignment w:val="auto"/>
        <w:outlineLvl w:val="9"/>
        <w:rPr>
          <w:rFonts w:hint="eastAsia" w:ascii="宋体" w:hAnsi="宋体" w:eastAsia="宋体" w:cs="宋体"/>
          <w:b w:val="0"/>
          <w:color w:val="auto"/>
          <w:sz w:val="24"/>
          <w:szCs w:val="24"/>
          <w:highlight w:val="none"/>
        </w:rPr>
      </w:pPr>
      <w:bookmarkStart w:id="2" w:name="_Toc8770"/>
      <w:bookmarkStart w:id="3" w:name="_Toc18492"/>
      <w:bookmarkStart w:id="4" w:name="_Toc13220"/>
      <w:r>
        <w:rPr>
          <w:rFonts w:hint="eastAsia" w:ascii="宋体" w:hAnsi="宋体" w:eastAsia="宋体" w:cs="宋体"/>
          <w:b w:val="0"/>
          <w:color w:val="auto"/>
          <w:sz w:val="24"/>
          <w:szCs w:val="24"/>
          <w:highlight w:val="none"/>
        </w:rPr>
        <w:t>项目概况</w:t>
      </w:r>
    </w:p>
    <w:p w14:paraId="314B0C2B">
      <w:pPr>
        <w:keepNext/>
        <w:keepLines/>
        <w:pageBreakBefore w:val="0"/>
        <w:widowControl w:val="0"/>
        <w:kinsoku/>
        <w:wordWrap w:val="0"/>
        <w:overflowPunct/>
        <w:topLinePunct w:val="0"/>
        <w:autoSpaceDE/>
        <w:autoSpaceDN/>
        <w:bidi w:val="0"/>
        <w:adjustRightInd/>
        <w:snapToGrid/>
        <w:spacing w:before="0" w:after="0" w:line="360" w:lineRule="auto"/>
        <w:ind w:firstLine="480" w:firstLineChars="200"/>
        <w:textAlignment w:val="auto"/>
        <w:outlineLvl w:val="9"/>
        <w:rPr>
          <w:rFonts w:hint="eastAsia" w:ascii="宋体" w:hAnsi="宋体" w:eastAsia="宋体" w:cs="宋体"/>
          <w:b w:val="0"/>
          <w:color w:val="auto"/>
          <w:sz w:val="24"/>
          <w:szCs w:val="24"/>
          <w:highlight w:val="none"/>
        </w:rPr>
      </w:pPr>
      <w:r>
        <w:rPr>
          <w:rFonts w:hint="eastAsia" w:cs="宋体"/>
          <w:b w:val="0"/>
          <w:color w:val="auto"/>
          <w:sz w:val="24"/>
          <w:szCs w:val="24"/>
          <w:highlight w:val="none"/>
          <w:u w:val="single"/>
          <w:lang w:val="en-US" w:eastAsia="zh-CN"/>
        </w:rPr>
        <w:t>花园路上跨京沪铁路枢纽项目附属配套绿化工程</w:t>
      </w:r>
      <w:r>
        <w:rPr>
          <w:rFonts w:hint="eastAsia" w:ascii="宋体" w:hAnsi="宋体" w:eastAsia="宋体" w:cs="宋体"/>
          <w:b w:val="0"/>
          <w:color w:val="auto"/>
          <w:sz w:val="24"/>
          <w:szCs w:val="24"/>
          <w:highlight w:val="none"/>
        </w:rPr>
        <w:t>的潜在</w:t>
      </w:r>
      <w:r>
        <w:rPr>
          <w:rFonts w:hint="eastAsia" w:ascii="宋体" w:hAnsi="宋体" w:eastAsia="宋体" w:cs="宋体"/>
          <w:b w:val="0"/>
          <w:color w:val="auto"/>
          <w:sz w:val="24"/>
          <w:szCs w:val="24"/>
          <w:highlight w:val="none"/>
          <w:lang w:eastAsia="zh-CN"/>
        </w:rPr>
        <w:t>供应商</w:t>
      </w:r>
      <w:r>
        <w:rPr>
          <w:rFonts w:hint="eastAsia" w:ascii="宋体" w:hAnsi="宋体" w:eastAsia="宋体" w:cs="宋体"/>
          <w:b w:val="0"/>
          <w:color w:val="auto"/>
          <w:sz w:val="24"/>
          <w:szCs w:val="24"/>
          <w:highlight w:val="none"/>
        </w:rPr>
        <w:t>应在</w:t>
      </w:r>
      <w:r>
        <w:rPr>
          <w:rFonts w:hint="eastAsia" w:ascii="宋体" w:hAnsi="宋体" w:eastAsia="宋体" w:cs="宋体"/>
          <w:b w:val="0"/>
          <w:color w:val="auto"/>
          <w:sz w:val="24"/>
          <w:szCs w:val="24"/>
          <w:highlight w:val="none"/>
          <w:u w:val="single"/>
        </w:rPr>
        <w:t>滁州市公共资源交易中心网（http：//ggzy.chuzhou.gov.cn/）</w:t>
      </w:r>
      <w:r>
        <w:rPr>
          <w:rFonts w:hint="eastAsia" w:ascii="宋体" w:hAnsi="宋体" w:eastAsia="宋体" w:cs="宋体"/>
          <w:b w:val="0"/>
          <w:color w:val="auto"/>
          <w:sz w:val="24"/>
          <w:szCs w:val="24"/>
          <w:highlight w:val="none"/>
        </w:rPr>
        <w:t>获取</w:t>
      </w:r>
      <w:r>
        <w:rPr>
          <w:rFonts w:hint="eastAsia" w:ascii="宋体" w:hAnsi="宋体" w:eastAsia="宋体" w:cs="宋体"/>
          <w:b w:val="0"/>
          <w:color w:val="auto"/>
          <w:sz w:val="24"/>
          <w:szCs w:val="24"/>
          <w:highlight w:val="none"/>
          <w:lang w:val="en-US" w:eastAsia="zh-CN"/>
        </w:rPr>
        <w:t>采购</w:t>
      </w:r>
      <w:r>
        <w:rPr>
          <w:rFonts w:hint="eastAsia" w:ascii="宋体" w:hAnsi="宋体" w:eastAsia="宋体" w:cs="宋体"/>
          <w:b w:val="0"/>
          <w:color w:val="auto"/>
          <w:sz w:val="24"/>
          <w:szCs w:val="24"/>
          <w:highlight w:val="none"/>
        </w:rPr>
        <w:t>文件，并于</w:t>
      </w:r>
      <w:r>
        <w:rPr>
          <w:rFonts w:hint="eastAsia" w:ascii="宋体" w:hAnsi="宋体" w:eastAsia="宋体" w:cs="宋体"/>
          <w:b w:val="0"/>
          <w:color w:val="auto"/>
          <w:sz w:val="24"/>
          <w:szCs w:val="24"/>
          <w:highlight w:val="none"/>
          <w:u w:val="single"/>
          <w:lang w:val="en-US" w:eastAsia="zh-CN"/>
        </w:rPr>
        <w:t>202</w:t>
      </w:r>
      <w:r>
        <w:rPr>
          <w:rFonts w:hint="eastAsia" w:cs="宋体"/>
          <w:b w:val="0"/>
          <w:color w:val="auto"/>
          <w:sz w:val="24"/>
          <w:szCs w:val="24"/>
          <w:highlight w:val="none"/>
          <w:u w:val="single"/>
          <w:lang w:val="en-US" w:eastAsia="zh-CN"/>
        </w:rPr>
        <w:t>6</w:t>
      </w:r>
      <w:r>
        <w:rPr>
          <w:rFonts w:hint="eastAsia" w:ascii="宋体" w:hAnsi="宋体" w:eastAsia="宋体" w:cs="宋体"/>
          <w:b w:val="0"/>
          <w:color w:val="auto"/>
          <w:sz w:val="24"/>
          <w:szCs w:val="24"/>
          <w:highlight w:val="none"/>
          <w:u w:val="single"/>
        </w:rPr>
        <w:t>年</w:t>
      </w:r>
      <w:r>
        <w:rPr>
          <w:rFonts w:hint="eastAsia" w:cs="宋体"/>
          <w:b w:val="0"/>
          <w:color w:val="auto"/>
          <w:sz w:val="24"/>
          <w:szCs w:val="24"/>
          <w:highlight w:val="none"/>
          <w:u w:val="single"/>
          <w:lang w:val="en-US" w:eastAsia="zh-CN"/>
        </w:rPr>
        <w:t>2</w:t>
      </w:r>
      <w:r>
        <w:rPr>
          <w:rFonts w:hint="eastAsia" w:ascii="宋体" w:hAnsi="宋体" w:eastAsia="宋体" w:cs="宋体"/>
          <w:b w:val="0"/>
          <w:color w:val="auto"/>
          <w:sz w:val="24"/>
          <w:szCs w:val="24"/>
          <w:highlight w:val="none"/>
          <w:u w:val="single"/>
        </w:rPr>
        <w:t>月</w:t>
      </w:r>
      <w:r>
        <w:rPr>
          <w:rFonts w:hint="eastAsia" w:cs="宋体"/>
          <w:b w:val="0"/>
          <w:color w:val="auto"/>
          <w:sz w:val="24"/>
          <w:szCs w:val="24"/>
          <w:highlight w:val="none"/>
          <w:u w:val="single"/>
          <w:lang w:val="en-US" w:eastAsia="zh-CN"/>
        </w:rPr>
        <w:t>28</w:t>
      </w:r>
      <w:r>
        <w:rPr>
          <w:rFonts w:hint="eastAsia" w:ascii="宋体" w:hAnsi="宋体" w:eastAsia="宋体" w:cs="宋体"/>
          <w:b w:val="0"/>
          <w:color w:val="auto"/>
          <w:sz w:val="24"/>
          <w:szCs w:val="24"/>
          <w:highlight w:val="none"/>
          <w:u w:val="single"/>
        </w:rPr>
        <w:t>日</w:t>
      </w:r>
      <w:r>
        <w:rPr>
          <w:rFonts w:hint="eastAsia" w:ascii="宋体" w:hAnsi="宋体" w:eastAsia="宋体" w:cs="宋体"/>
          <w:b w:val="0"/>
          <w:color w:val="auto"/>
          <w:sz w:val="24"/>
          <w:szCs w:val="24"/>
          <w:highlight w:val="none"/>
          <w:u w:val="single"/>
          <w:lang w:val="en-US" w:eastAsia="zh-CN"/>
        </w:rPr>
        <w:t>8</w:t>
      </w:r>
      <w:r>
        <w:rPr>
          <w:rFonts w:hint="eastAsia" w:ascii="宋体" w:hAnsi="宋体" w:eastAsia="宋体" w:cs="宋体"/>
          <w:b w:val="0"/>
          <w:color w:val="auto"/>
          <w:sz w:val="24"/>
          <w:szCs w:val="24"/>
          <w:highlight w:val="none"/>
          <w:u w:val="single"/>
        </w:rPr>
        <w:t>点</w:t>
      </w:r>
      <w:r>
        <w:rPr>
          <w:rFonts w:hint="eastAsia" w:cs="宋体"/>
          <w:b w:val="0"/>
          <w:color w:val="auto"/>
          <w:sz w:val="24"/>
          <w:szCs w:val="24"/>
          <w:highlight w:val="none"/>
          <w:u w:val="single"/>
          <w:lang w:val="en-US" w:eastAsia="zh-CN"/>
        </w:rPr>
        <w:t>5</w:t>
      </w:r>
      <w:r>
        <w:rPr>
          <w:rFonts w:hint="eastAsia" w:ascii="宋体" w:hAnsi="宋体" w:eastAsia="宋体" w:cs="宋体"/>
          <w:b w:val="0"/>
          <w:color w:val="auto"/>
          <w:sz w:val="24"/>
          <w:szCs w:val="24"/>
          <w:highlight w:val="none"/>
          <w:u w:val="single"/>
          <w:lang w:val="en-US" w:eastAsia="zh-CN"/>
        </w:rPr>
        <w:t>0</w:t>
      </w:r>
      <w:r>
        <w:rPr>
          <w:rFonts w:hint="eastAsia" w:ascii="宋体" w:hAnsi="宋体" w:eastAsia="宋体" w:cs="宋体"/>
          <w:b w:val="0"/>
          <w:color w:val="auto"/>
          <w:sz w:val="24"/>
          <w:szCs w:val="24"/>
          <w:highlight w:val="none"/>
          <w:u w:val="single"/>
        </w:rPr>
        <w:t>分</w:t>
      </w:r>
      <w:r>
        <w:rPr>
          <w:rFonts w:hint="eastAsia" w:ascii="宋体" w:hAnsi="宋体" w:eastAsia="宋体" w:cs="宋体"/>
          <w:b w:val="0"/>
          <w:color w:val="auto"/>
          <w:sz w:val="24"/>
          <w:szCs w:val="24"/>
          <w:highlight w:val="none"/>
        </w:rPr>
        <w:t>（北京时间）前递交</w:t>
      </w:r>
      <w:r>
        <w:rPr>
          <w:rFonts w:hint="eastAsia" w:ascii="宋体" w:hAnsi="宋体" w:eastAsia="宋体" w:cs="宋体"/>
          <w:b w:val="0"/>
          <w:color w:val="auto"/>
          <w:sz w:val="24"/>
          <w:szCs w:val="24"/>
          <w:highlight w:val="none"/>
          <w:lang w:eastAsia="zh-CN"/>
        </w:rPr>
        <w:t>响应</w:t>
      </w:r>
      <w:r>
        <w:rPr>
          <w:rFonts w:hint="eastAsia" w:ascii="宋体" w:hAnsi="宋体" w:eastAsia="宋体" w:cs="宋体"/>
          <w:b w:val="0"/>
          <w:color w:val="auto"/>
          <w:sz w:val="24"/>
          <w:szCs w:val="24"/>
          <w:highlight w:val="none"/>
        </w:rPr>
        <w:t>文件。</w:t>
      </w:r>
    </w:p>
    <w:p w14:paraId="015BDE6B">
      <w:pPr>
        <w:spacing w:line="360" w:lineRule="auto"/>
        <w:ind w:firstLine="437"/>
        <w:outlineLvl w:val="1"/>
        <w:rPr>
          <w:rFonts w:hint="eastAsia" w:ascii="宋体" w:hAnsi="宋体" w:eastAsia="宋体"/>
          <w:b/>
          <w:color w:val="auto"/>
          <w:sz w:val="24"/>
          <w:highlight w:val="none"/>
          <w:lang w:val="en-US" w:eastAsia="zh-CN"/>
        </w:rPr>
      </w:pPr>
      <w:r>
        <w:rPr>
          <w:rFonts w:hint="eastAsia" w:ascii="宋体" w:hAnsi="宋体" w:eastAsia="宋体"/>
          <w:b/>
          <w:color w:val="auto"/>
          <w:sz w:val="24"/>
          <w:highlight w:val="none"/>
          <w:lang w:val="en-US" w:eastAsia="zh-CN"/>
        </w:rPr>
        <w:t>一、项目基本情况</w:t>
      </w:r>
    </w:p>
    <w:p w14:paraId="00EBA47D">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项目编号：</w:t>
      </w:r>
      <w:r>
        <w:rPr>
          <w:rFonts w:hint="default" w:ascii="宋体" w:hAnsi="宋体" w:eastAsia="宋体"/>
          <w:color w:val="auto"/>
          <w:sz w:val="24"/>
          <w:szCs w:val="24"/>
          <w:highlight w:val="none"/>
          <w:lang w:val="en-US" w:eastAsia="zh-CN"/>
        </w:rPr>
        <w:t>czsjcg202602-016</w:t>
      </w:r>
    </w:p>
    <w:p w14:paraId="45DEE8F6">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default"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项目名称：花园路上跨京沪铁路枢纽项目附属配套绿化工程</w:t>
      </w:r>
    </w:p>
    <w:p w14:paraId="6FDFD8E6">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采购方式：竞争性磋商</w:t>
      </w:r>
    </w:p>
    <w:p w14:paraId="74AF0428">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default"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预算金额：193</w:t>
      </w:r>
      <w:r>
        <w:rPr>
          <w:rFonts w:hint="eastAsia"/>
          <w:color w:val="auto"/>
          <w:sz w:val="24"/>
          <w:szCs w:val="24"/>
          <w:highlight w:val="none"/>
          <w:lang w:val="en-US" w:eastAsia="zh-CN"/>
        </w:rPr>
        <w:t>1000</w:t>
      </w:r>
      <w:r>
        <w:rPr>
          <w:rFonts w:hint="eastAsia" w:ascii="宋体" w:hAnsi="宋体" w:eastAsia="宋体"/>
          <w:color w:val="auto"/>
          <w:sz w:val="24"/>
          <w:szCs w:val="24"/>
          <w:highlight w:val="none"/>
          <w:lang w:val="en-US" w:eastAsia="zh-CN"/>
        </w:rPr>
        <w:t>元</w:t>
      </w:r>
    </w:p>
    <w:p w14:paraId="1E02FBE8">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最高限价：</w:t>
      </w:r>
      <w:r>
        <w:rPr>
          <w:rFonts w:hint="eastAsia"/>
          <w:color w:val="auto"/>
          <w:sz w:val="24"/>
          <w:szCs w:val="24"/>
          <w:highlight w:val="none"/>
          <w:lang w:val="en-US" w:eastAsia="zh-CN"/>
        </w:rPr>
        <w:t>1930993.16</w:t>
      </w:r>
      <w:r>
        <w:rPr>
          <w:rFonts w:hint="eastAsia" w:ascii="宋体" w:hAnsi="宋体" w:eastAsia="宋体"/>
          <w:color w:val="auto"/>
          <w:sz w:val="24"/>
          <w:szCs w:val="24"/>
          <w:highlight w:val="none"/>
          <w:lang w:val="en-US" w:eastAsia="zh-CN"/>
        </w:rPr>
        <w:t>元，响应报价高于最高限价的，其响应文件按无效响应处理。</w:t>
      </w:r>
    </w:p>
    <w:p w14:paraId="02CA0B83">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采购需求：道路中央分隔带（8m）、道路两侧分隔带（2m）、行道树。行道树植物选用香樟间距6m，侧分带植物选用月季定植，间距3棵/组，每棵间距1.5m，每组间距7m，中央分隔带以草坪为主。</w:t>
      </w:r>
    </w:p>
    <w:p w14:paraId="7C8CF807">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合同履行期限：自合同签订之日起，不高于30个日历天完工。养护期1年。供应商自报的承诺工期为考核标准。因供应商原因造成的工期延误，每推迟一天，按合同价款（扣除暂估价和暂列金）万分之二处以违约金。</w:t>
      </w:r>
    </w:p>
    <w:p w14:paraId="46DB86E6">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本项目不接受联合体参与。</w:t>
      </w:r>
    </w:p>
    <w:p w14:paraId="477E1B7B">
      <w:pPr>
        <w:spacing w:line="360" w:lineRule="auto"/>
        <w:ind w:firstLine="437"/>
        <w:outlineLvl w:val="1"/>
        <w:rPr>
          <w:rFonts w:hint="eastAsia" w:ascii="宋体" w:hAnsi="宋体" w:eastAsia="宋体"/>
          <w:b/>
          <w:color w:val="auto"/>
          <w:sz w:val="24"/>
          <w:highlight w:val="none"/>
          <w:lang w:val="en-US" w:eastAsia="zh-CN"/>
        </w:rPr>
      </w:pPr>
      <w:bookmarkStart w:id="5" w:name="_Toc35393630"/>
      <w:bookmarkStart w:id="6" w:name="_Toc28359090"/>
      <w:bookmarkStart w:id="7" w:name="_Toc28359013"/>
      <w:bookmarkStart w:id="8" w:name="_Toc35393799"/>
      <w:r>
        <w:rPr>
          <w:rFonts w:hint="eastAsia" w:ascii="宋体" w:hAnsi="宋体" w:eastAsia="宋体"/>
          <w:b/>
          <w:color w:val="auto"/>
          <w:sz w:val="24"/>
          <w:highlight w:val="none"/>
          <w:lang w:val="en-US" w:eastAsia="zh-CN"/>
        </w:rPr>
        <w:t>二、申请人的资格要求：</w:t>
      </w:r>
      <w:bookmarkEnd w:id="5"/>
      <w:bookmarkEnd w:id="6"/>
      <w:bookmarkEnd w:id="7"/>
      <w:bookmarkEnd w:id="8"/>
    </w:p>
    <w:p w14:paraId="0B09C630">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1.满足《中华人民共和国政府采购法》第二十二条规定；</w:t>
      </w:r>
    </w:p>
    <w:p w14:paraId="68E62089">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eastAsia="zh-CN"/>
        </w:rPr>
      </w:pPr>
      <w:bookmarkStart w:id="9" w:name="_Toc28359014"/>
      <w:bookmarkStart w:id="10" w:name="_Toc28359091"/>
      <w:r>
        <w:rPr>
          <w:rFonts w:hint="eastAsia" w:ascii="宋体" w:hAnsi="宋体" w:eastAsia="宋体"/>
          <w:color w:val="auto"/>
          <w:sz w:val="24"/>
          <w:szCs w:val="24"/>
          <w:highlight w:val="none"/>
        </w:rPr>
        <w:t>2.落实政府采购政策需满足的资格要求：按照财政部、工业和信息化部制定的《政府采购促进中小企业发展管理办法》，本项目为专门面向中小企业采购项目。企业划型标准按照《关于印发中小企业划型标准规定的通知》（工信部联企业〔2011〕300号）规定执行</w:t>
      </w:r>
      <w:r>
        <w:rPr>
          <w:rFonts w:hint="eastAsia" w:ascii="宋体" w:hAnsi="宋体" w:eastAsia="宋体"/>
          <w:color w:val="auto"/>
          <w:sz w:val="24"/>
          <w:szCs w:val="24"/>
          <w:highlight w:val="none"/>
          <w:lang w:eastAsia="zh-CN"/>
        </w:rPr>
        <w:t>。</w:t>
      </w:r>
    </w:p>
    <w:p w14:paraId="1454EBB4">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3.本项目的特定资格要求：</w:t>
      </w:r>
      <w:bookmarkStart w:id="11" w:name="_Toc35393631"/>
      <w:bookmarkStart w:id="12" w:name="_Toc35393800"/>
    </w:p>
    <w:p w14:paraId="344D1719">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拟任项目负责人须具备园林绿化相关专业中级（或以上）职称或市政公用工程专业贰级（或以上）注册建造师资格</w:t>
      </w:r>
      <w:r>
        <w:rPr>
          <w:rFonts w:hint="eastAsia" w:ascii="宋体" w:hAnsi="宋体" w:eastAsia="宋体"/>
          <w:color w:val="auto"/>
          <w:sz w:val="24"/>
          <w:szCs w:val="24"/>
          <w:highlight w:val="none"/>
          <w:lang w:eastAsia="zh-CN"/>
        </w:rPr>
        <w:t>；</w:t>
      </w:r>
    </w:p>
    <w:p w14:paraId="6CEDA7E6">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t>4</w:t>
      </w:r>
      <w:r>
        <w:rPr>
          <w:rFonts w:hint="eastAsia" w:ascii="宋体" w:hAnsi="宋体" w:eastAsia="宋体"/>
          <w:color w:val="auto"/>
          <w:sz w:val="24"/>
          <w:szCs w:val="24"/>
          <w:highlight w:val="none"/>
        </w:rPr>
        <w:t>.信誉要求：</w:t>
      </w:r>
      <w:r>
        <w:rPr>
          <w:rFonts w:hint="eastAsia" w:ascii="宋体" w:hAnsi="宋体" w:eastAsia="宋体"/>
          <w:color w:val="auto"/>
          <w:sz w:val="24"/>
          <w:szCs w:val="24"/>
          <w:highlight w:val="none"/>
          <w:lang w:eastAsia="zh-CN"/>
        </w:rPr>
        <w:t>供应商</w:t>
      </w:r>
      <w:r>
        <w:rPr>
          <w:rFonts w:hint="eastAsia" w:ascii="宋体" w:hAnsi="宋体" w:eastAsia="宋体"/>
          <w:color w:val="auto"/>
          <w:sz w:val="24"/>
          <w:szCs w:val="24"/>
          <w:highlight w:val="none"/>
        </w:rPr>
        <w:t>不得存在以下情形：</w:t>
      </w:r>
    </w:p>
    <w:p w14:paraId="2683DD5A">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①被列入“信用中国”网站“失信被执行人”的；</w:t>
      </w:r>
    </w:p>
    <w:p w14:paraId="092C6E12">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②被列入“信用中国”网站“重大税收违法失信主体”的；</w:t>
      </w:r>
    </w:p>
    <w:p w14:paraId="438763AC">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③被列入“信用中国”网站 “严重失信主体名单”的；</w:t>
      </w:r>
    </w:p>
    <w:p w14:paraId="15D67545">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④在“信用中国”网站上披露的仍在公示期的严重失信行为(具体行为类别及判定依据见“信用中国”查询的严重失信行为类别及判定依据)的。</w:t>
      </w:r>
    </w:p>
    <w:p w14:paraId="4A164205">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⑤被列入国家企业信用信息公示系统网站“经营异常名录”或者“严重违法失信名单”的。</w:t>
      </w:r>
    </w:p>
    <w:p w14:paraId="4E258197">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⑥被列入中国政府采购网站“政府采购严重违法失信行为信息记录”的。</w:t>
      </w:r>
    </w:p>
    <w:p w14:paraId="3C938177">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⑦前三年有行贿犯罪行为的单位和个人</w:t>
      </w:r>
      <w:r>
        <w:rPr>
          <w:rFonts w:hint="eastAsia" w:ascii="宋体" w:hAnsi="宋体" w:eastAsia="宋体"/>
          <w:color w:val="auto"/>
          <w:sz w:val="24"/>
          <w:szCs w:val="24"/>
          <w:highlight w:val="none"/>
          <w:lang w:eastAsia="zh-CN"/>
        </w:rPr>
        <w:t>。</w:t>
      </w:r>
    </w:p>
    <w:p w14:paraId="635DBD25">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t>5</w:t>
      </w:r>
      <w:r>
        <w:rPr>
          <w:rFonts w:hint="eastAsia" w:ascii="宋体" w:hAnsi="宋体" w:eastAsia="宋体"/>
          <w:color w:val="auto"/>
          <w:sz w:val="24"/>
          <w:szCs w:val="24"/>
          <w:highlight w:val="none"/>
        </w:rPr>
        <w:t>.供应商所属分公司、办事处等分支机构存在第4条信誉要求①-⑦项情形之一的，接受供应商</w:t>
      </w:r>
      <w:r>
        <w:rPr>
          <w:rFonts w:hint="eastAsia" w:ascii="宋体" w:hAnsi="宋体" w:eastAsia="宋体"/>
          <w:color w:val="auto"/>
          <w:sz w:val="24"/>
          <w:szCs w:val="24"/>
          <w:highlight w:val="none"/>
          <w:lang w:val="en-US" w:eastAsia="zh-CN"/>
        </w:rPr>
        <w:t>参加本项目</w:t>
      </w:r>
      <w:r>
        <w:rPr>
          <w:rFonts w:hint="eastAsia" w:ascii="宋体" w:hAnsi="宋体" w:eastAsia="宋体"/>
          <w:color w:val="auto"/>
          <w:sz w:val="24"/>
          <w:szCs w:val="24"/>
          <w:highlight w:val="none"/>
        </w:rPr>
        <w:t>。</w:t>
      </w:r>
    </w:p>
    <w:p w14:paraId="6BC67A79">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备注：第4、5条按照“关于联合惩戒失信行为加强信用查询管理的通知”查询或承诺</w:t>
      </w:r>
      <w:r>
        <w:rPr>
          <w:rFonts w:hint="eastAsia" w:ascii="宋体" w:hAnsi="宋体" w:eastAsia="宋体"/>
          <w:color w:val="auto"/>
          <w:sz w:val="24"/>
          <w:szCs w:val="24"/>
          <w:highlight w:val="none"/>
          <w:lang w:eastAsia="zh-CN"/>
        </w:rPr>
        <w:t>。</w:t>
      </w:r>
    </w:p>
    <w:p w14:paraId="400C0406">
      <w:pPr>
        <w:spacing w:line="360" w:lineRule="auto"/>
        <w:ind w:firstLine="437"/>
        <w:outlineLvl w:val="1"/>
        <w:rPr>
          <w:rFonts w:hint="eastAsia" w:ascii="宋体" w:hAnsi="宋体" w:eastAsia="宋体"/>
          <w:b/>
          <w:color w:val="auto"/>
          <w:sz w:val="24"/>
          <w:highlight w:val="none"/>
          <w:lang w:val="en-US" w:eastAsia="zh-CN"/>
        </w:rPr>
      </w:pPr>
      <w:r>
        <w:rPr>
          <w:rFonts w:hint="eastAsia" w:ascii="宋体" w:hAnsi="宋体" w:eastAsia="宋体"/>
          <w:b/>
          <w:color w:val="auto"/>
          <w:sz w:val="24"/>
          <w:highlight w:val="none"/>
          <w:lang w:val="en-US" w:eastAsia="zh-CN"/>
        </w:rPr>
        <w:t>三、获取采购文件</w:t>
      </w:r>
      <w:bookmarkEnd w:id="9"/>
      <w:bookmarkEnd w:id="10"/>
      <w:bookmarkEnd w:id="11"/>
      <w:bookmarkEnd w:id="12"/>
    </w:p>
    <w:p w14:paraId="3D9DCE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i w:val="0"/>
          <w:iCs/>
          <w:color w:val="auto"/>
          <w:sz w:val="24"/>
          <w:szCs w:val="24"/>
          <w:highlight w:val="none"/>
          <w:u w:val="single"/>
        </w:rPr>
      </w:pPr>
      <w:r>
        <w:rPr>
          <w:rFonts w:hint="eastAsia" w:ascii="宋体" w:hAnsi="宋体" w:eastAsia="宋体" w:cs="宋体"/>
          <w:color w:val="auto"/>
          <w:sz w:val="24"/>
          <w:szCs w:val="24"/>
          <w:highlight w:val="none"/>
        </w:rPr>
        <w:t>时间：</w:t>
      </w:r>
      <w:r>
        <w:rPr>
          <w:rFonts w:hint="eastAsia" w:ascii="宋体" w:hAnsi="宋体" w:eastAsia="宋体" w:cs="宋体"/>
          <w:color w:val="auto"/>
          <w:sz w:val="24"/>
          <w:szCs w:val="24"/>
          <w:highlight w:val="none"/>
          <w:u w:val="single"/>
          <w:lang w:val="en-US" w:eastAsia="zh-CN"/>
        </w:rPr>
        <w:t>202</w:t>
      </w:r>
      <w:r>
        <w:rPr>
          <w:rFonts w:hint="eastAsia" w:cs="宋体"/>
          <w:color w:val="auto"/>
          <w:sz w:val="24"/>
          <w:szCs w:val="24"/>
          <w:highlight w:val="none"/>
          <w:u w:val="single"/>
          <w:lang w:val="en-US" w:eastAsia="zh-CN"/>
        </w:rPr>
        <w:t>6</w:t>
      </w:r>
      <w:r>
        <w:rPr>
          <w:rFonts w:hint="eastAsia" w:ascii="宋体" w:hAnsi="宋体" w:eastAsia="宋体" w:cs="宋体"/>
          <w:color w:val="auto"/>
          <w:sz w:val="24"/>
          <w:szCs w:val="24"/>
          <w:highlight w:val="none"/>
          <w:u w:val="single"/>
        </w:rPr>
        <w:t>年</w:t>
      </w:r>
      <w:r>
        <w:rPr>
          <w:rFonts w:hint="eastAsia"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月</w:t>
      </w:r>
      <w:r>
        <w:rPr>
          <w:rFonts w:hint="eastAsia" w:cs="宋体"/>
          <w:color w:val="auto"/>
          <w:sz w:val="24"/>
          <w:szCs w:val="24"/>
          <w:highlight w:val="none"/>
          <w:u w:val="single"/>
          <w:lang w:val="en-US" w:eastAsia="zh-CN"/>
        </w:rPr>
        <w:t>13</w:t>
      </w:r>
      <w:r>
        <w:rPr>
          <w:rFonts w:hint="eastAsia" w:ascii="宋体" w:hAnsi="宋体" w:eastAsia="宋体" w:cs="宋体"/>
          <w:color w:val="auto"/>
          <w:sz w:val="24"/>
          <w:szCs w:val="24"/>
          <w:highlight w:val="none"/>
          <w:u w:val="single"/>
        </w:rPr>
        <w:t>日</w:t>
      </w:r>
      <w:r>
        <w:rPr>
          <w:rFonts w:hint="eastAsia" w:ascii="宋体" w:hAnsi="宋体" w:eastAsia="宋体" w:cs="宋体"/>
          <w:color w:val="auto"/>
          <w:sz w:val="24"/>
          <w:szCs w:val="24"/>
          <w:highlight w:val="none"/>
        </w:rPr>
        <w:t>至</w:t>
      </w:r>
      <w:r>
        <w:rPr>
          <w:rFonts w:hint="eastAsia" w:ascii="宋体" w:hAnsi="宋体" w:eastAsia="宋体" w:cs="宋体"/>
          <w:color w:val="auto"/>
          <w:sz w:val="24"/>
          <w:szCs w:val="24"/>
          <w:highlight w:val="none"/>
          <w:u w:val="single"/>
          <w:lang w:val="en-US" w:eastAsia="zh-CN"/>
        </w:rPr>
        <w:t>202</w:t>
      </w:r>
      <w:r>
        <w:rPr>
          <w:rFonts w:hint="eastAsia" w:cs="宋体"/>
          <w:color w:val="auto"/>
          <w:sz w:val="24"/>
          <w:szCs w:val="24"/>
          <w:highlight w:val="none"/>
          <w:u w:val="single"/>
          <w:lang w:val="en-US" w:eastAsia="zh-CN"/>
        </w:rPr>
        <w:t>6</w:t>
      </w:r>
      <w:r>
        <w:rPr>
          <w:rFonts w:hint="eastAsia" w:ascii="宋体" w:hAnsi="宋体" w:eastAsia="宋体" w:cs="宋体"/>
          <w:color w:val="auto"/>
          <w:sz w:val="24"/>
          <w:szCs w:val="24"/>
          <w:highlight w:val="none"/>
          <w:u w:val="single"/>
        </w:rPr>
        <w:t>年</w:t>
      </w:r>
      <w:r>
        <w:rPr>
          <w:rFonts w:hint="eastAsia"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月</w:t>
      </w:r>
      <w:r>
        <w:rPr>
          <w:rFonts w:hint="eastAsia" w:cs="宋体"/>
          <w:color w:val="auto"/>
          <w:sz w:val="24"/>
          <w:szCs w:val="24"/>
          <w:highlight w:val="none"/>
          <w:u w:val="single"/>
          <w:lang w:val="en-US" w:eastAsia="zh-CN"/>
        </w:rPr>
        <w:t>28</w:t>
      </w:r>
      <w:r>
        <w:rPr>
          <w:rFonts w:hint="eastAsia" w:ascii="宋体" w:hAnsi="宋体" w:eastAsia="宋体" w:cs="宋体"/>
          <w:color w:val="auto"/>
          <w:sz w:val="24"/>
          <w:szCs w:val="24"/>
          <w:highlight w:val="none"/>
          <w:u w:val="single"/>
        </w:rPr>
        <w:t>日</w:t>
      </w:r>
      <w:r>
        <w:rPr>
          <w:rFonts w:hint="eastAsia" w:ascii="宋体" w:hAnsi="宋体" w:eastAsia="宋体" w:cs="宋体"/>
          <w:i w:val="0"/>
          <w:iCs/>
          <w:color w:val="auto"/>
          <w:sz w:val="24"/>
          <w:szCs w:val="24"/>
          <w:highlight w:val="none"/>
          <w:u w:val="single"/>
        </w:rPr>
        <w:t>（磋商文件的发售期限自开始之日起不得少于5个工作日）</w:t>
      </w:r>
    </w:p>
    <w:p w14:paraId="127DFF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地点：滁州市公共资源交易中心网</w:t>
      </w:r>
    </w:p>
    <w:p w14:paraId="75AFD9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方式：</w:t>
      </w:r>
      <w:r>
        <w:rPr>
          <w:rFonts w:hint="eastAsia" w:ascii="宋体" w:hAnsi="宋体" w:eastAsia="宋体" w:cs="宋体"/>
          <w:color w:val="auto"/>
          <w:sz w:val="24"/>
          <w:szCs w:val="24"/>
          <w:highlight w:val="none"/>
          <w:lang w:eastAsia="zh-CN"/>
        </w:rPr>
        <w:t>网上下载</w:t>
      </w:r>
    </w:p>
    <w:p w14:paraId="60262E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售价：</w:t>
      </w:r>
      <w:r>
        <w:rPr>
          <w:rFonts w:hint="eastAsia" w:ascii="宋体" w:hAnsi="宋体" w:eastAsia="宋体" w:cs="宋体"/>
          <w:color w:val="auto"/>
          <w:sz w:val="24"/>
          <w:szCs w:val="24"/>
          <w:highlight w:val="none"/>
          <w:lang w:val="en-US" w:eastAsia="zh-CN"/>
        </w:rPr>
        <w:t>0元</w:t>
      </w:r>
    </w:p>
    <w:p w14:paraId="5C713176">
      <w:pPr>
        <w:spacing w:line="360" w:lineRule="auto"/>
        <w:ind w:firstLine="437"/>
        <w:outlineLvl w:val="1"/>
        <w:rPr>
          <w:rFonts w:hint="eastAsia" w:ascii="宋体" w:hAnsi="宋体" w:eastAsia="宋体"/>
          <w:b/>
          <w:color w:val="auto"/>
          <w:sz w:val="24"/>
          <w:highlight w:val="none"/>
          <w:lang w:val="en-US" w:eastAsia="zh-CN"/>
        </w:rPr>
      </w:pPr>
      <w:bookmarkStart w:id="13" w:name="_Toc35393801"/>
      <w:bookmarkStart w:id="14" w:name="_Toc28359092"/>
      <w:bookmarkStart w:id="15" w:name="_Toc28359015"/>
      <w:bookmarkStart w:id="16" w:name="_Toc35393632"/>
      <w:r>
        <w:rPr>
          <w:rFonts w:hint="eastAsia" w:ascii="宋体" w:hAnsi="宋体" w:eastAsia="宋体"/>
          <w:b/>
          <w:color w:val="auto"/>
          <w:sz w:val="24"/>
          <w:highlight w:val="none"/>
          <w:lang w:val="en-US" w:eastAsia="zh-CN"/>
        </w:rPr>
        <w:t>四、响应文件提交</w:t>
      </w:r>
      <w:bookmarkEnd w:id="13"/>
      <w:bookmarkEnd w:id="14"/>
      <w:bookmarkEnd w:id="15"/>
      <w:bookmarkEnd w:id="16"/>
    </w:p>
    <w:p w14:paraId="1C55D769">
      <w:pPr>
        <w:keepNext w:val="0"/>
        <w:keepLines w:val="0"/>
        <w:widowControl w:val="0"/>
        <w:suppressLineNumbers w:val="0"/>
        <w:autoSpaceDE w:val="0"/>
        <w:autoSpaceDN/>
        <w:spacing w:before="0" w:beforeAutospacing="0" w:after="0" w:afterAutospacing="0" w:line="360" w:lineRule="auto"/>
        <w:ind w:left="0" w:right="0" w:firstLine="480" w:firstLineChars="200"/>
        <w:jc w:val="both"/>
        <w:rPr>
          <w:rFonts w:hint="eastAsia" w:ascii="宋体" w:hAnsi="宋体" w:eastAsia="宋体" w:cs="宋体"/>
          <w:i/>
          <w:color w:val="auto"/>
          <w:sz w:val="24"/>
          <w:szCs w:val="24"/>
          <w:highlight w:val="none"/>
          <w:u w:val="single"/>
        </w:rPr>
      </w:pP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u w:val="single"/>
          <w:lang w:val="en-US" w:eastAsia="zh-CN"/>
        </w:rPr>
        <w:t>202</w:t>
      </w:r>
      <w:r>
        <w:rPr>
          <w:rFonts w:hint="eastAsia" w:cs="宋体"/>
          <w:color w:val="auto"/>
          <w:sz w:val="24"/>
          <w:szCs w:val="24"/>
          <w:highlight w:val="none"/>
          <w:u w:val="single"/>
          <w:lang w:val="en-US" w:eastAsia="zh-CN"/>
        </w:rPr>
        <w:t>6</w:t>
      </w:r>
      <w:r>
        <w:rPr>
          <w:rFonts w:hint="eastAsia" w:ascii="宋体" w:hAnsi="宋体" w:eastAsia="宋体" w:cs="宋体"/>
          <w:bCs/>
          <w:color w:val="auto"/>
          <w:sz w:val="24"/>
          <w:szCs w:val="24"/>
          <w:highlight w:val="none"/>
          <w:u w:val="single"/>
        </w:rPr>
        <w:t>年</w:t>
      </w:r>
      <w:r>
        <w:rPr>
          <w:rFonts w:hint="eastAsia" w:cs="宋体"/>
          <w:bCs/>
          <w:color w:val="auto"/>
          <w:sz w:val="24"/>
          <w:szCs w:val="24"/>
          <w:highlight w:val="none"/>
          <w:u w:val="single"/>
          <w:lang w:val="en-US" w:eastAsia="zh-CN"/>
        </w:rPr>
        <w:t>2</w:t>
      </w:r>
      <w:r>
        <w:rPr>
          <w:rFonts w:hint="eastAsia" w:ascii="宋体" w:hAnsi="宋体" w:eastAsia="宋体" w:cs="宋体"/>
          <w:bCs/>
          <w:color w:val="auto"/>
          <w:sz w:val="24"/>
          <w:szCs w:val="24"/>
          <w:highlight w:val="none"/>
          <w:u w:val="single"/>
        </w:rPr>
        <w:t>月</w:t>
      </w:r>
      <w:r>
        <w:rPr>
          <w:rFonts w:hint="eastAsia" w:cs="宋体"/>
          <w:bCs/>
          <w:color w:val="auto"/>
          <w:sz w:val="24"/>
          <w:szCs w:val="24"/>
          <w:highlight w:val="none"/>
          <w:u w:val="single"/>
          <w:lang w:val="en-US" w:eastAsia="zh-CN"/>
        </w:rPr>
        <w:t>28</w:t>
      </w:r>
      <w:r>
        <w:rPr>
          <w:rFonts w:hint="eastAsia" w:ascii="宋体" w:hAnsi="宋体" w:eastAsia="宋体" w:cs="宋体"/>
          <w:bCs/>
          <w:color w:val="auto"/>
          <w:sz w:val="24"/>
          <w:szCs w:val="24"/>
          <w:highlight w:val="none"/>
          <w:u w:val="single"/>
        </w:rPr>
        <w:t>日</w:t>
      </w:r>
      <w:r>
        <w:rPr>
          <w:rFonts w:hint="eastAsia" w:cs="宋体"/>
          <w:bCs/>
          <w:color w:val="auto"/>
          <w:sz w:val="24"/>
          <w:szCs w:val="24"/>
          <w:highlight w:val="none"/>
          <w:u w:val="single"/>
          <w:lang w:val="en-US" w:eastAsia="zh-CN"/>
        </w:rPr>
        <w:t>8</w:t>
      </w:r>
      <w:r>
        <w:rPr>
          <w:rFonts w:hint="eastAsia" w:ascii="宋体" w:hAnsi="宋体" w:eastAsia="宋体" w:cs="宋体"/>
          <w:bCs/>
          <w:color w:val="auto"/>
          <w:sz w:val="24"/>
          <w:szCs w:val="24"/>
          <w:highlight w:val="none"/>
          <w:u w:val="single"/>
        </w:rPr>
        <w:t>点</w:t>
      </w:r>
      <w:r>
        <w:rPr>
          <w:rFonts w:hint="eastAsia" w:cs="宋体"/>
          <w:bCs/>
          <w:color w:val="auto"/>
          <w:sz w:val="24"/>
          <w:szCs w:val="24"/>
          <w:highlight w:val="none"/>
          <w:u w:val="single"/>
          <w:lang w:val="en-US" w:eastAsia="zh-CN"/>
        </w:rPr>
        <w:t>5</w:t>
      </w:r>
      <w:r>
        <w:rPr>
          <w:rFonts w:hint="eastAsia" w:ascii="宋体" w:hAnsi="宋体" w:eastAsia="宋体" w:cs="宋体"/>
          <w:bCs/>
          <w:color w:val="auto"/>
          <w:sz w:val="24"/>
          <w:szCs w:val="24"/>
          <w:highlight w:val="none"/>
          <w:u w:val="single"/>
          <w:lang w:val="en-US" w:eastAsia="zh-CN"/>
        </w:rPr>
        <w:t>0</w:t>
      </w:r>
      <w:r>
        <w:rPr>
          <w:rFonts w:hint="eastAsia" w:ascii="宋体" w:hAnsi="宋体" w:eastAsia="宋体" w:cs="宋体"/>
          <w:bCs/>
          <w:color w:val="auto"/>
          <w:sz w:val="24"/>
          <w:szCs w:val="24"/>
          <w:highlight w:val="none"/>
          <w:u w:val="single"/>
        </w:rPr>
        <w:t>分</w:t>
      </w:r>
      <w:r>
        <w:rPr>
          <w:rFonts w:hint="eastAsia" w:ascii="宋体" w:hAnsi="宋体" w:eastAsia="宋体" w:cs="宋体"/>
          <w:bCs/>
          <w:color w:val="auto"/>
          <w:sz w:val="24"/>
          <w:szCs w:val="24"/>
          <w:highlight w:val="none"/>
        </w:rPr>
        <w:t>（北京时间）</w:t>
      </w:r>
      <w:r>
        <w:rPr>
          <w:rFonts w:hint="eastAsia" w:ascii="宋体" w:hAnsi="宋体" w:eastAsia="宋体" w:cs="宋体"/>
          <w:color w:val="auto"/>
          <w:sz w:val="24"/>
          <w:szCs w:val="24"/>
          <w:highlight w:val="none"/>
          <w:u w:val="single"/>
          <w:lang w:val="en-US" w:eastAsia="zh-CN"/>
        </w:rPr>
        <w:t>（从磋商文件开始发出之日起至供应商提交首次响应文件截止之日止不得少于10日）</w:t>
      </w:r>
    </w:p>
    <w:p w14:paraId="71524577">
      <w:pPr>
        <w:spacing w:line="360" w:lineRule="auto"/>
        <w:ind w:firstLine="480" w:firstLineChars="200"/>
        <w:rPr>
          <w:rFonts w:hint="eastAsia" w:ascii="宋体" w:hAnsi="宋体" w:eastAsia="宋体" w:cs="宋体"/>
          <w:bCs/>
          <w:color w:val="auto"/>
          <w:sz w:val="24"/>
          <w:szCs w:val="24"/>
          <w:highlight w:val="none"/>
          <w:u w:val="single"/>
        </w:rPr>
      </w:pPr>
      <w:r>
        <w:rPr>
          <w:rFonts w:hint="eastAsia" w:ascii="宋体" w:hAnsi="宋体" w:eastAsia="宋体" w:cs="宋体"/>
          <w:color w:val="auto"/>
          <w:sz w:val="24"/>
          <w:szCs w:val="24"/>
          <w:highlight w:val="none"/>
        </w:rPr>
        <w:t>地点：滁州市公共资源交易平台电子交易系统。</w:t>
      </w:r>
    </w:p>
    <w:p w14:paraId="0FC047F1">
      <w:pPr>
        <w:spacing w:line="360" w:lineRule="auto"/>
        <w:ind w:firstLine="437"/>
        <w:outlineLvl w:val="1"/>
        <w:rPr>
          <w:rFonts w:hint="eastAsia" w:ascii="宋体" w:hAnsi="宋体" w:eastAsia="宋体"/>
          <w:b/>
          <w:color w:val="auto"/>
          <w:sz w:val="24"/>
          <w:highlight w:val="none"/>
          <w:lang w:val="en-US" w:eastAsia="zh-CN"/>
        </w:rPr>
      </w:pPr>
      <w:r>
        <w:rPr>
          <w:rFonts w:hint="eastAsia" w:ascii="宋体" w:hAnsi="宋体" w:eastAsia="宋体"/>
          <w:b/>
          <w:color w:val="auto"/>
          <w:sz w:val="24"/>
          <w:highlight w:val="none"/>
          <w:lang w:val="en-US" w:eastAsia="zh-CN"/>
        </w:rPr>
        <w:t>五、开启</w:t>
      </w:r>
    </w:p>
    <w:p w14:paraId="1F331D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Cs/>
          <w:color w:val="auto"/>
          <w:sz w:val="24"/>
          <w:szCs w:val="24"/>
          <w:highlight w:val="none"/>
          <w:u w:val="single"/>
        </w:rPr>
      </w:pPr>
      <w:r>
        <w:rPr>
          <w:rFonts w:hint="eastAsia" w:ascii="宋体" w:hAnsi="宋体" w:eastAsia="宋体" w:cs="宋体"/>
          <w:color w:val="auto"/>
          <w:sz w:val="24"/>
          <w:szCs w:val="24"/>
          <w:highlight w:val="none"/>
        </w:rPr>
        <w:t>时间：</w:t>
      </w:r>
      <w:r>
        <w:rPr>
          <w:rFonts w:hint="eastAsia" w:ascii="宋体" w:hAnsi="宋体" w:eastAsia="宋体" w:cs="宋体"/>
          <w:color w:val="auto"/>
          <w:sz w:val="24"/>
          <w:szCs w:val="24"/>
          <w:highlight w:val="none"/>
          <w:u w:val="single"/>
          <w:lang w:val="en-US" w:eastAsia="zh-CN"/>
        </w:rPr>
        <w:t>202</w:t>
      </w:r>
      <w:r>
        <w:rPr>
          <w:rFonts w:hint="eastAsia" w:cs="宋体"/>
          <w:color w:val="auto"/>
          <w:sz w:val="24"/>
          <w:szCs w:val="24"/>
          <w:highlight w:val="none"/>
          <w:u w:val="single"/>
          <w:lang w:val="en-US" w:eastAsia="zh-CN"/>
        </w:rPr>
        <w:t>6</w:t>
      </w:r>
      <w:r>
        <w:rPr>
          <w:rFonts w:hint="eastAsia" w:ascii="宋体" w:hAnsi="宋体" w:eastAsia="宋体" w:cs="宋体"/>
          <w:bCs/>
          <w:color w:val="auto"/>
          <w:sz w:val="24"/>
          <w:szCs w:val="24"/>
          <w:highlight w:val="none"/>
          <w:u w:val="single"/>
        </w:rPr>
        <w:t>年</w:t>
      </w:r>
      <w:r>
        <w:rPr>
          <w:rFonts w:hint="eastAsia" w:cs="宋体"/>
          <w:bCs/>
          <w:color w:val="auto"/>
          <w:sz w:val="24"/>
          <w:szCs w:val="24"/>
          <w:highlight w:val="none"/>
          <w:u w:val="single"/>
          <w:lang w:val="en-US" w:eastAsia="zh-CN"/>
        </w:rPr>
        <w:t>2</w:t>
      </w:r>
      <w:r>
        <w:rPr>
          <w:rFonts w:hint="eastAsia" w:ascii="宋体" w:hAnsi="宋体" w:eastAsia="宋体" w:cs="宋体"/>
          <w:bCs/>
          <w:color w:val="auto"/>
          <w:sz w:val="24"/>
          <w:szCs w:val="24"/>
          <w:highlight w:val="none"/>
          <w:u w:val="single"/>
        </w:rPr>
        <w:t>月</w:t>
      </w:r>
      <w:r>
        <w:rPr>
          <w:rFonts w:hint="eastAsia" w:cs="宋体"/>
          <w:bCs/>
          <w:color w:val="auto"/>
          <w:sz w:val="24"/>
          <w:szCs w:val="24"/>
          <w:highlight w:val="none"/>
          <w:u w:val="single"/>
          <w:lang w:val="en-US" w:eastAsia="zh-CN"/>
        </w:rPr>
        <w:t>28</w:t>
      </w:r>
      <w:r>
        <w:rPr>
          <w:rFonts w:hint="eastAsia" w:ascii="宋体" w:hAnsi="宋体" w:eastAsia="宋体" w:cs="宋体"/>
          <w:bCs/>
          <w:color w:val="auto"/>
          <w:sz w:val="24"/>
          <w:szCs w:val="24"/>
          <w:highlight w:val="none"/>
          <w:u w:val="single"/>
        </w:rPr>
        <w:t>日</w:t>
      </w:r>
      <w:r>
        <w:rPr>
          <w:rFonts w:hint="eastAsia" w:cs="宋体"/>
          <w:bCs/>
          <w:color w:val="auto"/>
          <w:sz w:val="24"/>
          <w:szCs w:val="24"/>
          <w:highlight w:val="none"/>
          <w:u w:val="single"/>
          <w:lang w:val="en-US" w:eastAsia="zh-CN"/>
        </w:rPr>
        <w:t>8</w:t>
      </w:r>
      <w:r>
        <w:rPr>
          <w:rFonts w:hint="eastAsia" w:ascii="宋体" w:hAnsi="宋体" w:eastAsia="宋体" w:cs="宋体"/>
          <w:bCs/>
          <w:color w:val="auto"/>
          <w:sz w:val="24"/>
          <w:szCs w:val="24"/>
          <w:highlight w:val="none"/>
          <w:u w:val="single"/>
        </w:rPr>
        <w:t>点</w:t>
      </w:r>
      <w:r>
        <w:rPr>
          <w:rFonts w:hint="eastAsia" w:cs="宋体"/>
          <w:bCs/>
          <w:color w:val="auto"/>
          <w:sz w:val="24"/>
          <w:szCs w:val="24"/>
          <w:highlight w:val="none"/>
          <w:u w:val="single"/>
          <w:lang w:val="en-US" w:eastAsia="zh-CN"/>
        </w:rPr>
        <w:t>5</w:t>
      </w:r>
      <w:r>
        <w:rPr>
          <w:rFonts w:hint="eastAsia" w:ascii="宋体" w:hAnsi="宋体" w:eastAsia="宋体" w:cs="宋体"/>
          <w:bCs/>
          <w:color w:val="auto"/>
          <w:sz w:val="24"/>
          <w:szCs w:val="24"/>
          <w:highlight w:val="none"/>
          <w:u w:val="single"/>
          <w:lang w:val="en-US" w:eastAsia="zh-CN"/>
        </w:rPr>
        <w:t>0</w:t>
      </w:r>
      <w:r>
        <w:rPr>
          <w:rFonts w:hint="eastAsia" w:ascii="宋体" w:hAnsi="宋体" w:eastAsia="宋体" w:cs="宋体"/>
          <w:bCs/>
          <w:color w:val="auto"/>
          <w:sz w:val="24"/>
          <w:szCs w:val="24"/>
          <w:highlight w:val="none"/>
          <w:u w:val="single"/>
        </w:rPr>
        <w:t>分</w:t>
      </w:r>
      <w:r>
        <w:rPr>
          <w:rFonts w:hint="eastAsia" w:ascii="宋体" w:hAnsi="宋体" w:eastAsia="宋体" w:cs="宋体"/>
          <w:bCs/>
          <w:color w:val="auto"/>
          <w:sz w:val="24"/>
          <w:szCs w:val="24"/>
          <w:highlight w:val="none"/>
        </w:rPr>
        <w:t>（北京时间）</w:t>
      </w:r>
    </w:p>
    <w:p w14:paraId="50B3763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地点：滁州市公共资源交易平台电子交易系统。</w:t>
      </w:r>
    </w:p>
    <w:p w14:paraId="004C4EC7">
      <w:pPr>
        <w:spacing w:line="360" w:lineRule="auto"/>
        <w:ind w:firstLine="437"/>
        <w:outlineLvl w:val="1"/>
        <w:rPr>
          <w:rFonts w:hint="eastAsia" w:ascii="宋体" w:hAnsi="宋体" w:eastAsia="宋体"/>
          <w:b/>
          <w:color w:val="auto"/>
          <w:sz w:val="24"/>
          <w:highlight w:val="none"/>
          <w:lang w:val="en-US" w:eastAsia="zh-CN"/>
        </w:rPr>
      </w:pPr>
      <w:r>
        <w:rPr>
          <w:rFonts w:hint="eastAsia" w:ascii="宋体" w:hAnsi="宋体" w:eastAsia="宋体"/>
          <w:b/>
          <w:color w:val="auto"/>
          <w:sz w:val="24"/>
          <w:highlight w:val="none"/>
          <w:lang w:val="en-US" w:eastAsia="zh-CN"/>
        </w:rPr>
        <w:t>六、公告期限</w:t>
      </w:r>
    </w:p>
    <w:p w14:paraId="531245C2">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lang w:eastAsia="zh-CN"/>
        </w:rPr>
        <w:t>自本公告发布之日起</w:t>
      </w:r>
      <w:r>
        <w:rPr>
          <w:rFonts w:hint="eastAsia" w:ascii="宋体" w:hAnsi="宋体" w:eastAsia="宋体"/>
          <w:color w:val="auto"/>
          <w:sz w:val="24"/>
          <w:szCs w:val="24"/>
          <w:highlight w:val="none"/>
          <w:lang w:val="en-US" w:eastAsia="zh-CN"/>
        </w:rPr>
        <w:t>3</w:t>
      </w:r>
      <w:r>
        <w:rPr>
          <w:rFonts w:hint="eastAsia" w:ascii="宋体" w:hAnsi="宋体" w:eastAsia="宋体"/>
          <w:color w:val="auto"/>
          <w:sz w:val="24"/>
          <w:szCs w:val="24"/>
          <w:highlight w:val="none"/>
          <w:lang w:eastAsia="zh-CN"/>
        </w:rPr>
        <w:t>个工作日。</w:t>
      </w:r>
    </w:p>
    <w:p w14:paraId="3A9E1BC4">
      <w:pPr>
        <w:spacing w:line="360" w:lineRule="auto"/>
        <w:ind w:firstLine="437"/>
        <w:outlineLvl w:val="1"/>
        <w:rPr>
          <w:rFonts w:hint="default" w:ascii="宋体" w:hAnsi="宋体" w:eastAsia="宋体"/>
          <w:b/>
          <w:color w:val="auto"/>
          <w:sz w:val="24"/>
          <w:highlight w:val="none"/>
          <w:lang w:val="en-US" w:eastAsia="zh-CN"/>
        </w:rPr>
      </w:pPr>
      <w:r>
        <w:rPr>
          <w:rFonts w:hint="eastAsia" w:ascii="宋体" w:hAnsi="宋体" w:eastAsia="宋体"/>
          <w:b/>
          <w:color w:val="auto"/>
          <w:sz w:val="24"/>
          <w:highlight w:val="none"/>
          <w:lang w:val="en-US" w:eastAsia="zh-CN"/>
        </w:rPr>
        <w:t>七、其他补充事宜</w:t>
      </w:r>
    </w:p>
    <w:p w14:paraId="31643003">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1.本项目只接受在安徽省公共资源交易市场主体库（http://ggzy.ah.gov.cn/ahggfwpt-zhutiku/dengludenglu）登记并进行信息确认提交的</w:t>
      </w:r>
      <w:r>
        <w:rPr>
          <w:rFonts w:hint="eastAsia"/>
          <w:color w:val="auto"/>
          <w:sz w:val="24"/>
          <w:szCs w:val="24"/>
          <w:highlight w:val="none"/>
          <w:lang w:val="en-US" w:eastAsia="zh-CN"/>
        </w:rPr>
        <w:t>供应商参与</w:t>
      </w:r>
      <w:r>
        <w:rPr>
          <w:rFonts w:hint="eastAsia" w:ascii="宋体" w:hAnsi="宋体" w:eastAsia="宋体"/>
          <w:color w:val="auto"/>
          <w:sz w:val="24"/>
          <w:szCs w:val="24"/>
          <w:highlight w:val="none"/>
        </w:rPr>
        <w:t>，未登记的</w:t>
      </w:r>
      <w:r>
        <w:rPr>
          <w:rFonts w:hint="eastAsia"/>
          <w:color w:val="auto"/>
          <w:sz w:val="24"/>
          <w:szCs w:val="24"/>
          <w:highlight w:val="none"/>
          <w:lang w:val="en-US" w:eastAsia="zh-CN"/>
        </w:rPr>
        <w:t>供应商</w:t>
      </w:r>
      <w:r>
        <w:rPr>
          <w:rFonts w:hint="eastAsia" w:ascii="宋体" w:hAnsi="宋体" w:eastAsia="宋体"/>
          <w:color w:val="auto"/>
          <w:sz w:val="24"/>
          <w:szCs w:val="24"/>
          <w:highlight w:val="none"/>
        </w:rPr>
        <w:t>请及时办理CA数字证书并登录安徽省公共资源交易市场主体库进行信息填写及确认提交；已办理过CA数字证书视为已在省库登记，进行信息更新及确认提交即可。办理流程为登录滁州市公共资源交易中心网&gt;服务指南&gt;办事指南中的“CA数字证书和电子签章”及“市场主体登记”。相关服务电话：（1）安徽省公共资源交易市场主体库使用相关问题（系统登录、信息登记、录入及提交、数字证书关联等）：010-86483801转5-2 ；（2） CA数字证书有关问题：安徽CA客服400-615-8899、0550-3019013（工作日）,CFCA客服025-66085508 、0550-3801669（工作日）；（3）市场主体招标环节和投标环节系统使用问题：0512-58188516（8:00-21:00）、0550-3801701（工作日）。因未及时通过CA数字证书登录省主体库对相关信息进行补充完善并确认提交，导致无法</w:t>
      </w:r>
      <w:r>
        <w:rPr>
          <w:rFonts w:hint="eastAsia"/>
          <w:color w:val="auto"/>
          <w:sz w:val="24"/>
          <w:szCs w:val="24"/>
          <w:highlight w:val="none"/>
          <w:lang w:val="en-US" w:eastAsia="zh-CN"/>
        </w:rPr>
        <w:t>参与</w:t>
      </w:r>
      <w:r>
        <w:rPr>
          <w:rFonts w:hint="eastAsia" w:ascii="宋体" w:hAnsi="宋体" w:eastAsia="宋体"/>
          <w:color w:val="auto"/>
          <w:sz w:val="24"/>
          <w:szCs w:val="24"/>
          <w:highlight w:val="none"/>
        </w:rPr>
        <w:t>的，责任自负。为保证系统使用过程中产生的问题能够及时得到解决，请各主体在工作时间进行主体信息登记、更新、</w:t>
      </w:r>
      <w:r>
        <w:rPr>
          <w:rFonts w:hint="eastAsia"/>
          <w:color w:val="auto"/>
          <w:sz w:val="24"/>
          <w:szCs w:val="24"/>
          <w:highlight w:val="none"/>
          <w:lang w:val="en-US" w:eastAsia="zh-CN"/>
        </w:rPr>
        <w:t>响应</w:t>
      </w:r>
      <w:r>
        <w:rPr>
          <w:rFonts w:hint="eastAsia" w:ascii="宋体" w:hAnsi="宋体" w:eastAsia="宋体"/>
          <w:color w:val="auto"/>
          <w:sz w:val="24"/>
          <w:szCs w:val="24"/>
          <w:highlight w:val="none"/>
        </w:rPr>
        <w:t>文件制作等相关操作。</w:t>
      </w:r>
    </w:p>
    <w:p w14:paraId="64FDC309">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2.请供应商登录滁州市公共资源交易中心网站查看参加本项目的程序。（具体操作步骤和程序请参见服务指南&gt;交易须知&gt;投标人填写投标信息、下载文件及网上提问操作手册）。</w:t>
      </w:r>
    </w:p>
    <w:p w14:paraId="4107F6AC">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3.本项目采用不见面（远程解密)方式，开启时供应商无须至现场进行解密，采取远程解密方式解密响应文件，解密方式为：供应商在开启时间前使用CA数字证书登录滁州市“不见面开标系统”，网址为https://ggzy.chuzhou.gov.cn/BidOpening,等待开启并按系统提示进行相应的供应商解密等事项，无需到现场。采用本方式可以观看开启现场音视频直播并进行互动交流。具体操作方法见中心网站&gt;服务指南&gt;交易须知中的《滁州市不见面开标系统操作手册》。</w:t>
      </w:r>
    </w:p>
    <w:p w14:paraId="0025ED6B">
      <w:pPr>
        <w:spacing w:line="360" w:lineRule="auto"/>
        <w:ind w:firstLine="435"/>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rPr>
        <w:t>4.供应商接到远程解密指令后，须在规定时间内解密。因供应商自身原因导致响应文件在规定时间内未能解密、解密失败或解密超时，响应文件无效；因采购代理机构原因或网上平台发生故障，导致无法按时完成响应文件解密的，经采购代理机构申请后可延迟解密时间</w:t>
      </w:r>
      <w:r>
        <w:rPr>
          <w:rFonts w:hint="eastAsia" w:ascii="宋体" w:hAnsi="宋体" w:eastAsia="宋体"/>
          <w:color w:val="auto"/>
          <w:sz w:val="24"/>
          <w:szCs w:val="24"/>
          <w:highlight w:val="none"/>
          <w:lang w:val="en-US" w:eastAsia="zh-CN"/>
        </w:rPr>
        <w:t>。</w:t>
      </w:r>
    </w:p>
    <w:p w14:paraId="18D1E069">
      <w:pPr>
        <w:spacing w:line="360" w:lineRule="auto"/>
        <w:ind w:firstLine="437"/>
        <w:outlineLvl w:val="1"/>
        <w:rPr>
          <w:b/>
          <w:bCs/>
          <w:color w:val="auto"/>
          <w:sz w:val="24"/>
          <w:szCs w:val="18"/>
          <w:highlight w:val="none"/>
        </w:rPr>
      </w:pPr>
      <w:r>
        <w:rPr>
          <w:rFonts w:hint="eastAsia"/>
          <w:b/>
          <w:color w:val="auto"/>
          <w:sz w:val="24"/>
          <w:highlight w:val="none"/>
          <w:lang w:val="en-US" w:eastAsia="zh-CN"/>
        </w:rPr>
        <w:t>八</w:t>
      </w:r>
      <w:r>
        <w:rPr>
          <w:rFonts w:hint="eastAsia" w:ascii="宋体" w:hAnsi="宋体" w:eastAsia="宋体"/>
          <w:b/>
          <w:color w:val="auto"/>
          <w:sz w:val="24"/>
          <w:highlight w:val="none"/>
        </w:rPr>
        <w:t>、</w:t>
      </w:r>
      <w:r>
        <w:rPr>
          <w:rFonts w:hint="eastAsia" w:ascii="宋体" w:hAnsi="宋体" w:eastAsia="宋体"/>
          <w:b/>
          <w:bCs/>
          <w:color w:val="auto"/>
          <w:sz w:val="24"/>
          <w:szCs w:val="18"/>
          <w:highlight w:val="none"/>
        </w:rPr>
        <w:t>对本次</w:t>
      </w:r>
      <w:r>
        <w:rPr>
          <w:rFonts w:hint="eastAsia"/>
          <w:b/>
          <w:bCs/>
          <w:color w:val="auto"/>
          <w:sz w:val="24"/>
          <w:szCs w:val="18"/>
          <w:highlight w:val="none"/>
          <w:lang w:val="en-US" w:eastAsia="zh-CN"/>
        </w:rPr>
        <w:t>采购</w:t>
      </w:r>
      <w:r>
        <w:rPr>
          <w:rFonts w:hint="eastAsia" w:ascii="宋体" w:hAnsi="宋体" w:eastAsia="宋体"/>
          <w:b/>
          <w:bCs/>
          <w:color w:val="auto"/>
          <w:sz w:val="24"/>
          <w:szCs w:val="18"/>
          <w:highlight w:val="none"/>
        </w:rPr>
        <w:t>提出询问，请按以下方式联系</w:t>
      </w:r>
    </w:p>
    <w:bookmarkEnd w:id="2"/>
    <w:bookmarkEnd w:id="3"/>
    <w:p w14:paraId="3F71EB18">
      <w:pPr>
        <w:keepNext w:val="0"/>
        <w:keepLines w:val="0"/>
        <w:pageBreakBefore w:val="0"/>
        <w:widowControl w:val="0"/>
        <w:kinsoku/>
        <w:wordWrap/>
        <w:overflowPunct/>
        <w:topLinePunct w:val="0"/>
        <w:autoSpaceDE/>
        <w:autoSpaceDN/>
        <w:bidi w:val="0"/>
        <w:adjustRightInd/>
        <w:snapToGrid/>
        <w:spacing w:line="520" w:lineRule="exact"/>
        <w:ind w:firstLine="437"/>
        <w:textAlignment w:val="auto"/>
        <w:outlineLvl w:val="2"/>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14:paraId="67DF06B4">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eastAsia" w:ascii="宋体" w:hAnsi="宋体" w:eastAsia="宋体"/>
          <w:color w:val="auto"/>
          <w:sz w:val="24"/>
          <w:szCs w:val="18"/>
          <w:highlight w:val="none"/>
          <w:u w:val="none"/>
          <w:lang w:val="en-US" w:eastAsia="zh-CN"/>
        </w:rPr>
      </w:pPr>
      <w:r>
        <w:rPr>
          <w:rFonts w:hint="eastAsia" w:ascii="宋体" w:hAnsi="宋体" w:eastAsia="宋体" w:cs="宋体"/>
          <w:color w:val="auto"/>
          <w:sz w:val="24"/>
          <w:szCs w:val="24"/>
          <w:highlight w:val="none"/>
          <w:u w:val="none"/>
          <w:lang w:val="en-US" w:eastAsia="zh-CN"/>
        </w:rPr>
        <w:t>名称</w:t>
      </w:r>
      <w:r>
        <w:rPr>
          <w:rFonts w:hint="eastAsia" w:ascii="宋体" w:hAnsi="宋体" w:eastAsia="宋体"/>
          <w:color w:val="auto"/>
          <w:sz w:val="24"/>
          <w:szCs w:val="18"/>
          <w:highlight w:val="none"/>
          <w:u w:val="none"/>
        </w:rPr>
        <w:t>：滁州市重点工程建设管理处</w:t>
      </w:r>
    </w:p>
    <w:p w14:paraId="5180461D">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ascii="宋体" w:hAnsi="宋体" w:eastAsia="宋体"/>
          <w:color w:val="auto"/>
          <w:sz w:val="24"/>
          <w:szCs w:val="18"/>
          <w:highlight w:val="none"/>
          <w:u w:val="none"/>
        </w:rPr>
      </w:pPr>
      <w:r>
        <w:rPr>
          <w:rFonts w:hint="eastAsia" w:ascii="宋体" w:hAnsi="宋体" w:eastAsia="宋体"/>
          <w:color w:val="auto"/>
          <w:sz w:val="24"/>
          <w:szCs w:val="18"/>
          <w:highlight w:val="none"/>
          <w:u w:val="none"/>
        </w:rPr>
        <w:t>地址：滁州市琅琊西路81号</w:t>
      </w:r>
    </w:p>
    <w:p w14:paraId="0997BFD9">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eastAsia" w:ascii="宋体" w:hAnsi="宋体" w:eastAsia="宋体"/>
          <w:color w:val="auto"/>
          <w:sz w:val="24"/>
          <w:szCs w:val="18"/>
          <w:highlight w:val="none"/>
          <w:u w:val="none"/>
          <w:lang w:val="en-US" w:eastAsia="zh-CN"/>
        </w:rPr>
      </w:pPr>
      <w:r>
        <w:rPr>
          <w:rFonts w:hint="eastAsia" w:ascii="宋体" w:hAnsi="宋体" w:eastAsia="宋体"/>
          <w:color w:val="auto"/>
          <w:sz w:val="24"/>
          <w:szCs w:val="18"/>
          <w:highlight w:val="none"/>
          <w:u w:val="none"/>
          <w:lang w:val="en-US" w:eastAsia="zh-CN"/>
        </w:rPr>
        <w:t>联系人：</w:t>
      </w:r>
      <w:r>
        <w:rPr>
          <w:rFonts w:hint="eastAsia"/>
          <w:color w:val="auto"/>
          <w:sz w:val="24"/>
          <w:szCs w:val="18"/>
          <w:highlight w:val="none"/>
          <w:u w:val="none"/>
          <w:lang w:val="en-US" w:eastAsia="zh-CN"/>
        </w:rPr>
        <w:t>顾莉</w:t>
      </w:r>
    </w:p>
    <w:p w14:paraId="365567D5">
      <w:pPr>
        <w:keepNext w:val="0"/>
        <w:keepLines w:val="0"/>
        <w:pageBreakBefore w:val="0"/>
        <w:widowControl w:val="0"/>
        <w:kinsoku/>
        <w:wordWrap/>
        <w:overflowPunct/>
        <w:topLinePunct w:val="0"/>
        <w:autoSpaceDE/>
        <w:autoSpaceDN/>
        <w:bidi w:val="0"/>
        <w:adjustRightInd/>
        <w:snapToGrid/>
        <w:spacing w:line="520" w:lineRule="exact"/>
        <w:ind w:firstLine="437"/>
        <w:textAlignment w:val="auto"/>
        <w:outlineLvl w:val="2"/>
        <w:rPr>
          <w:rFonts w:hint="eastAsia" w:ascii="宋体" w:hAnsi="宋体" w:eastAsia="宋体"/>
          <w:color w:val="auto"/>
          <w:sz w:val="24"/>
          <w:szCs w:val="18"/>
          <w:highlight w:val="none"/>
          <w:u w:val="none"/>
          <w:lang w:val="en-US" w:eastAsia="zh-CN"/>
        </w:rPr>
      </w:pPr>
      <w:r>
        <w:rPr>
          <w:rFonts w:hint="eastAsia" w:ascii="宋体" w:hAnsi="宋体" w:eastAsia="宋体"/>
          <w:color w:val="auto"/>
          <w:sz w:val="24"/>
          <w:szCs w:val="18"/>
          <w:highlight w:val="none"/>
          <w:u w:val="none"/>
        </w:rPr>
        <w:t>联系</w:t>
      </w:r>
      <w:r>
        <w:rPr>
          <w:rFonts w:hint="eastAsia" w:ascii="宋体" w:hAnsi="宋体" w:eastAsia="宋体"/>
          <w:color w:val="auto"/>
          <w:sz w:val="24"/>
          <w:szCs w:val="18"/>
          <w:highlight w:val="none"/>
          <w:u w:val="none"/>
          <w:lang w:val="en-US" w:eastAsia="zh-CN"/>
        </w:rPr>
        <w:t>方式</w:t>
      </w:r>
      <w:r>
        <w:rPr>
          <w:rFonts w:hint="eastAsia" w:ascii="宋体" w:hAnsi="宋体" w:eastAsia="宋体"/>
          <w:color w:val="auto"/>
          <w:sz w:val="24"/>
          <w:szCs w:val="18"/>
          <w:highlight w:val="none"/>
          <w:u w:val="none"/>
        </w:rPr>
        <w:t>：</w:t>
      </w:r>
      <w:r>
        <w:rPr>
          <w:rFonts w:hint="eastAsia"/>
          <w:color w:val="auto"/>
          <w:sz w:val="24"/>
          <w:szCs w:val="18"/>
          <w:highlight w:val="none"/>
          <w:u w:val="none"/>
          <w:lang w:eastAsia="zh-CN"/>
        </w:rPr>
        <w:t>0550-2599817</w:t>
      </w:r>
    </w:p>
    <w:p w14:paraId="1638E407">
      <w:pPr>
        <w:keepNext w:val="0"/>
        <w:keepLines w:val="0"/>
        <w:pageBreakBefore w:val="0"/>
        <w:widowControl w:val="0"/>
        <w:kinsoku/>
        <w:wordWrap/>
        <w:overflowPunct/>
        <w:topLinePunct w:val="0"/>
        <w:autoSpaceDE/>
        <w:autoSpaceDN/>
        <w:bidi w:val="0"/>
        <w:adjustRightInd/>
        <w:snapToGrid/>
        <w:spacing w:line="520" w:lineRule="exact"/>
        <w:ind w:firstLine="437"/>
        <w:textAlignment w:val="auto"/>
        <w:outlineLvl w:val="2"/>
        <w:rPr>
          <w:rFonts w:hint="eastAsia" w:ascii="宋体" w:hAnsi="宋体" w:eastAsia="宋体"/>
          <w:color w:val="auto"/>
          <w:sz w:val="24"/>
          <w:szCs w:val="18"/>
          <w:highlight w:val="none"/>
          <w:u w:val="none"/>
          <w:lang w:val="en-US" w:eastAsia="zh-CN"/>
        </w:rPr>
      </w:pPr>
      <w:r>
        <w:rPr>
          <w:rFonts w:ascii="宋体" w:hAnsi="宋体" w:eastAsia="宋体"/>
          <w:color w:val="auto"/>
          <w:sz w:val="24"/>
          <w:szCs w:val="18"/>
          <w:highlight w:val="none"/>
          <w:u w:val="none"/>
        </w:rPr>
        <w:t>2.采购代理机构</w:t>
      </w:r>
      <w:r>
        <w:rPr>
          <w:rFonts w:hint="eastAsia" w:ascii="宋体" w:hAnsi="宋体" w:eastAsia="宋体"/>
          <w:color w:val="auto"/>
          <w:sz w:val="24"/>
          <w:szCs w:val="18"/>
          <w:highlight w:val="none"/>
          <w:u w:val="none"/>
          <w:lang w:val="en-US" w:eastAsia="zh-CN"/>
        </w:rPr>
        <w:t>信息</w:t>
      </w:r>
    </w:p>
    <w:p w14:paraId="7F90D2A9">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ascii="宋体" w:hAnsi="宋体" w:eastAsia="宋体"/>
          <w:color w:val="auto"/>
          <w:sz w:val="24"/>
          <w:szCs w:val="18"/>
          <w:highlight w:val="none"/>
          <w:u w:val="none"/>
        </w:rPr>
      </w:pPr>
      <w:r>
        <w:rPr>
          <w:rFonts w:hint="eastAsia" w:ascii="宋体" w:hAnsi="宋体" w:eastAsia="宋体" w:cs="宋体"/>
          <w:color w:val="auto"/>
          <w:sz w:val="24"/>
          <w:szCs w:val="24"/>
          <w:highlight w:val="none"/>
          <w:u w:val="none"/>
          <w:lang w:val="en-US" w:eastAsia="zh-CN"/>
        </w:rPr>
        <w:t>名称</w:t>
      </w:r>
      <w:r>
        <w:rPr>
          <w:rFonts w:hint="eastAsia" w:ascii="宋体" w:hAnsi="宋体" w:eastAsia="宋体"/>
          <w:color w:val="auto"/>
          <w:sz w:val="24"/>
          <w:szCs w:val="18"/>
          <w:highlight w:val="none"/>
          <w:u w:val="none"/>
        </w:rPr>
        <w:t>：滁州市城投工程咨询管理有限公司</w:t>
      </w:r>
    </w:p>
    <w:p w14:paraId="308BFFD9">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eastAsia" w:ascii="宋体" w:hAnsi="宋体" w:eastAsia="宋体"/>
          <w:color w:val="auto"/>
          <w:sz w:val="24"/>
          <w:szCs w:val="18"/>
          <w:highlight w:val="none"/>
          <w:u w:val="none"/>
          <w:lang w:eastAsia="zh-CN"/>
        </w:rPr>
      </w:pPr>
      <w:r>
        <w:rPr>
          <w:rFonts w:hint="eastAsia" w:ascii="宋体" w:hAnsi="宋体" w:eastAsia="宋体"/>
          <w:color w:val="auto"/>
          <w:sz w:val="24"/>
          <w:szCs w:val="18"/>
          <w:highlight w:val="none"/>
          <w:u w:val="none"/>
        </w:rPr>
        <w:t>地</w:t>
      </w:r>
      <w:r>
        <w:rPr>
          <w:rFonts w:ascii="宋体" w:hAnsi="宋体" w:eastAsia="宋体"/>
          <w:color w:val="auto"/>
          <w:sz w:val="24"/>
          <w:szCs w:val="18"/>
          <w:highlight w:val="none"/>
          <w:u w:val="none"/>
        </w:rPr>
        <w:t>址：</w:t>
      </w:r>
      <w:r>
        <w:rPr>
          <w:rFonts w:hint="eastAsia"/>
          <w:color w:val="auto"/>
          <w:sz w:val="24"/>
          <w:szCs w:val="18"/>
          <w:highlight w:val="none"/>
          <w:u w:val="none"/>
          <w:lang w:eastAsia="zh-CN"/>
        </w:rPr>
        <w:t>滁州市龙蟠大道109号房产商务大厦6楼</w:t>
      </w:r>
    </w:p>
    <w:p w14:paraId="6289BC30">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default" w:eastAsia="宋体"/>
          <w:color w:val="auto"/>
          <w:highlight w:val="none"/>
          <w:u w:val="none"/>
          <w:lang w:val="en-US" w:eastAsia="zh-CN"/>
        </w:rPr>
      </w:pPr>
      <w:r>
        <w:rPr>
          <w:rFonts w:hint="eastAsia" w:ascii="宋体" w:hAnsi="宋体" w:eastAsia="宋体"/>
          <w:color w:val="auto"/>
          <w:sz w:val="24"/>
          <w:szCs w:val="18"/>
          <w:highlight w:val="none"/>
          <w:u w:val="none"/>
          <w:lang w:val="en-US" w:eastAsia="zh-CN"/>
        </w:rPr>
        <w:t>联</w:t>
      </w:r>
      <w:r>
        <w:rPr>
          <w:rFonts w:hint="eastAsia"/>
          <w:color w:val="auto"/>
          <w:sz w:val="24"/>
          <w:szCs w:val="18"/>
          <w:highlight w:val="none"/>
          <w:u w:val="none"/>
          <w:lang w:val="en-US" w:eastAsia="zh-CN"/>
        </w:rPr>
        <w:t xml:space="preserve"> </w:t>
      </w:r>
      <w:r>
        <w:rPr>
          <w:rFonts w:hint="eastAsia" w:ascii="宋体" w:hAnsi="宋体" w:eastAsia="宋体"/>
          <w:color w:val="auto"/>
          <w:sz w:val="24"/>
          <w:szCs w:val="18"/>
          <w:highlight w:val="none"/>
          <w:u w:val="none"/>
          <w:lang w:val="en-US" w:eastAsia="zh-CN"/>
        </w:rPr>
        <w:t>系</w:t>
      </w:r>
      <w:r>
        <w:rPr>
          <w:rFonts w:hint="eastAsia"/>
          <w:color w:val="auto"/>
          <w:sz w:val="24"/>
          <w:szCs w:val="18"/>
          <w:highlight w:val="none"/>
          <w:u w:val="none"/>
          <w:lang w:val="en-US" w:eastAsia="zh-CN"/>
        </w:rPr>
        <w:t xml:space="preserve"> </w:t>
      </w:r>
      <w:r>
        <w:rPr>
          <w:rFonts w:hint="eastAsia" w:ascii="宋体" w:hAnsi="宋体" w:eastAsia="宋体"/>
          <w:color w:val="auto"/>
          <w:sz w:val="24"/>
          <w:szCs w:val="18"/>
          <w:highlight w:val="none"/>
          <w:u w:val="none"/>
          <w:lang w:val="en-US" w:eastAsia="zh-CN"/>
        </w:rPr>
        <w:t>人：</w:t>
      </w:r>
      <w:r>
        <w:rPr>
          <w:rFonts w:hint="eastAsia"/>
          <w:color w:val="auto"/>
          <w:sz w:val="24"/>
          <w:szCs w:val="18"/>
          <w:highlight w:val="none"/>
          <w:u w:val="none"/>
          <w:lang w:val="en-US" w:eastAsia="zh-CN"/>
        </w:rPr>
        <w:t>周蓓蕾</w:t>
      </w:r>
    </w:p>
    <w:p w14:paraId="040DF881">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default"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联系方式：</w:t>
      </w:r>
      <w:r>
        <w:rPr>
          <w:rFonts w:hint="eastAsia" w:cs="宋体"/>
          <w:color w:val="auto"/>
          <w:sz w:val="24"/>
          <w:szCs w:val="24"/>
          <w:highlight w:val="none"/>
          <w:u w:val="none"/>
          <w:lang w:val="en-US" w:eastAsia="zh-CN"/>
        </w:rPr>
        <w:t>0550-3519519、18005505728</w:t>
      </w:r>
    </w:p>
    <w:p w14:paraId="26E273D6">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3.政府采购监督管理部门信息</w:t>
      </w:r>
    </w:p>
    <w:p w14:paraId="2172701E">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名称：滁州市公共资源交易监督管理局</w:t>
      </w:r>
    </w:p>
    <w:p w14:paraId="47EC9A69">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地址：滁州市龙蟠大道109号房产商务大厦3楼</w:t>
      </w:r>
    </w:p>
    <w:p w14:paraId="564DE358">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default"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联系方式：0550-38016</w:t>
      </w:r>
      <w:r>
        <w:rPr>
          <w:rFonts w:hint="eastAsia" w:cs="宋体"/>
          <w:color w:val="auto"/>
          <w:sz w:val="24"/>
          <w:szCs w:val="24"/>
          <w:highlight w:val="none"/>
          <w:u w:val="none"/>
          <w:lang w:val="en-US" w:eastAsia="zh-CN"/>
        </w:rPr>
        <w:t>01</w:t>
      </w:r>
    </w:p>
    <w:bookmarkEnd w:id="4"/>
    <w:p w14:paraId="384FC5D9">
      <w:pPr>
        <w:spacing w:line="360" w:lineRule="auto"/>
        <w:ind w:firstLine="435"/>
        <w:rPr>
          <w:color w:val="auto"/>
          <w:sz w:val="24"/>
          <w:szCs w:val="18"/>
          <w:highlight w:val="none"/>
        </w:rPr>
      </w:pPr>
      <w:r>
        <w:rPr>
          <w:color w:val="auto"/>
          <w:sz w:val="24"/>
          <w:szCs w:val="18"/>
          <w:highlight w:val="none"/>
        </w:rPr>
        <w:br w:type="page"/>
      </w:r>
    </w:p>
    <w:p w14:paraId="58EE2BFC">
      <w:pPr>
        <w:spacing w:line="360" w:lineRule="auto"/>
        <w:jc w:val="center"/>
        <w:outlineLvl w:val="0"/>
        <w:rPr>
          <w:rFonts w:asciiTheme="minorEastAsia" w:hAnsiTheme="minorEastAsia" w:eastAsiaTheme="minorEastAsia"/>
          <w:b/>
          <w:color w:val="auto"/>
          <w:sz w:val="28"/>
          <w:highlight w:val="none"/>
        </w:rPr>
      </w:pPr>
      <w:bookmarkStart w:id="17" w:name="_Toc28080"/>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17"/>
    </w:p>
    <w:p w14:paraId="370FE04A">
      <w:pPr>
        <w:spacing w:line="360" w:lineRule="auto"/>
        <w:jc w:val="center"/>
        <w:outlineLvl w:val="1"/>
        <w:rPr>
          <w:rFonts w:asciiTheme="minorEastAsia" w:hAnsiTheme="minorEastAsia" w:eastAsiaTheme="minorEastAsia"/>
          <w:b/>
          <w:color w:val="auto"/>
          <w:sz w:val="24"/>
          <w:highlight w:val="none"/>
        </w:rPr>
      </w:pPr>
      <w:bookmarkStart w:id="18" w:name="_Toc18621"/>
      <w:bookmarkStart w:id="19" w:name="_Toc12027"/>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18"/>
      <w:bookmarkEnd w:id="19"/>
    </w:p>
    <w:p w14:paraId="2E3B4C10">
      <w:pPr>
        <w:spacing w:line="360" w:lineRule="auto"/>
        <w:ind w:firstLine="435"/>
        <w:rPr>
          <w:color w:val="auto"/>
          <w:sz w:val="24"/>
          <w:szCs w:val="18"/>
          <w:highlight w:val="none"/>
        </w:rPr>
      </w:pPr>
      <w:r>
        <w:rPr>
          <w:rFonts w:hint="eastAsia"/>
          <w:b/>
          <w:bCs/>
          <w:color w:val="auto"/>
          <w:sz w:val="24"/>
          <w:szCs w:val="18"/>
          <w:highlight w:val="none"/>
        </w:rPr>
        <w:t>注：</w:t>
      </w:r>
      <w:r>
        <w:rPr>
          <w:rFonts w:hint="eastAsia"/>
          <w:color w:val="auto"/>
          <w:sz w:val="24"/>
          <w:szCs w:val="18"/>
          <w:highlight w:val="none"/>
        </w:rPr>
        <w:t>本表是本项目的具体要求，是对供应商须知的具体补充和修改，如有不一致，以本表为准。</w:t>
      </w:r>
    </w:p>
    <w:tbl>
      <w:tblPr>
        <w:tblStyle w:val="55"/>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1711"/>
        <w:gridCol w:w="6229"/>
      </w:tblGrid>
      <w:tr w14:paraId="571AF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628ADB11">
            <w:pPr>
              <w:pStyle w:val="76"/>
              <w:widowControl w:val="0"/>
              <w:spacing w:before="0" w:beforeAutospacing="0" w:after="0" w:afterAutospacing="0" w:line="360" w:lineRule="auto"/>
              <w:rPr>
                <w:bCs w:val="0"/>
                <w:color w:val="auto"/>
                <w:kern w:val="2"/>
                <w:sz w:val="24"/>
                <w:szCs w:val="20"/>
                <w:highlight w:val="none"/>
              </w:rPr>
            </w:pPr>
            <w:r>
              <w:rPr>
                <w:rFonts w:hint="eastAsia"/>
                <w:bCs w:val="0"/>
                <w:color w:val="auto"/>
                <w:kern w:val="2"/>
                <w:sz w:val="24"/>
                <w:szCs w:val="20"/>
                <w:highlight w:val="none"/>
              </w:rPr>
              <w:t>条款号</w:t>
            </w:r>
          </w:p>
        </w:tc>
        <w:tc>
          <w:tcPr>
            <w:tcW w:w="977" w:type="pct"/>
            <w:vAlign w:val="center"/>
          </w:tcPr>
          <w:p w14:paraId="006ABCD9">
            <w:pPr>
              <w:pStyle w:val="76"/>
              <w:widowControl w:val="0"/>
              <w:spacing w:before="0" w:beforeAutospacing="0" w:after="0" w:afterAutospacing="0" w:line="360" w:lineRule="auto"/>
              <w:rPr>
                <w:bCs w:val="0"/>
                <w:color w:val="auto"/>
                <w:kern w:val="2"/>
                <w:sz w:val="24"/>
                <w:szCs w:val="20"/>
                <w:highlight w:val="none"/>
              </w:rPr>
            </w:pPr>
            <w:r>
              <w:rPr>
                <w:rFonts w:hint="eastAsia"/>
                <w:bCs w:val="0"/>
                <w:color w:val="auto"/>
                <w:kern w:val="2"/>
                <w:sz w:val="24"/>
                <w:szCs w:val="20"/>
                <w:highlight w:val="none"/>
              </w:rPr>
              <w:t>条款名称</w:t>
            </w:r>
          </w:p>
        </w:tc>
        <w:tc>
          <w:tcPr>
            <w:tcW w:w="3556" w:type="pct"/>
            <w:vAlign w:val="center"/>
          </w:tcPr>
          <w:p w14:paraId="64A1A7FA">
            <w:pPr>
              <w:pStyle w:val="76"/>
              <w:widowControl w:val="0"/>
              <w:spacing w:before="0" w:beforeAutospacing="0" w:after="0" w:afterAutospacing="0" w:line="360" w:lineRule="auto"/>
              <w:rPr>
                <w:bCs w:val="0"/>
                <w:color w:val="auto"/>
                <w:kern w:val="2"/>
                <w:sz w:val="24"/>
                <w:szCs w:val="20"/>
                <w:highlight w:val="none"/>
              </w:rPr>
            </w:pPr>
            <w:r>
              <w:rPr>
                <w:rFonts w:hint="eastAsia"/>
                <w:bCs w:val="0"/>
                <w:color w:val="auto"/>
                <w:kern w:val="2"/>
                <w:sz w:val="24"/>
                <w:szCs w:val="20"/>
                <w:highlight w:val="none"/>
              </w:rPr>
              <w:t>内容、说明与要求</w:t>
            </w:r>
          </w:p>
        </w:tc>
      </w:tr>
      <w:tr w14:paraId="6580B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213016A6">
            <w:pPr>
              <w:pStyle w:val="7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2</w:t>
            </w:r>
          </w:p>
        </w:tc>
        <w:tc>
          <w:tcPr>
            <w:tcW w:w="977" w:type="pct"/>
            <w:vAlign w:val="center"/>
          </w:tcPr>
          <w:p w14:paraId="186EF350">
            <w:pPr>
              <w:pStyle w:val="76"/>
              <w:widowControl w:val="0"/>
              <w:spacing w:before="0" w:beforeAutospacing="0" w:after="0" w:afterAutospacing="0" w:line="360" w:lineRule="auto"/>
              <w:jc w:val="left"/>
              <w:rPr>
                <w:b w:val="0"/>
                <w:color w:val="auto"/>
                <w:sz w:val="24"/>
                <w:highlight w:val="none"/>
              </w:rPr>
            </w:pPr>
            <w:r>
              <w:rPr>
                <w:rFonts w:hint="eastAsia" w:ascii="宋体" w:hAnsi="宋体" w:eastAsia="宋体"/>
                <w:b w:val="0"/>
                <w:color w:val="auto"/>
                <w:sz w:val="24"/>
                <w:highlight w:val="none"/>
              </w:rPr>
              <w:t>现场考察</w:t>
            </w:r>
            <w:r>
              <w:rPr>
                <w:rFonts w:hint="eastAsia" w:ascii="宋体" w:hAnsi="宋体" w:eastAsia="宋体"/>
                <w:b w:val="0"/>
                <w:color w:val="auto"/>
                <w:sz w:val="24"/>
                <w:highlight w:val="none"/>
                <w:lang w:val="en-US" w:eastAsia="zh-CN"/>
              </w:rPr>
              <w:t>或标前答疑会</w:t>
            </w:r>
          </w:p>
        </w:tc>
        <w:tc>
          <w:tcPr>
            <w:tcW w:w="3556" w:type="pct"/>
            <w:vAlign w:val="center"/>
          </w:tcPr>
          <w:p w14:paraId="3AFE97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color w:val="auto"/>
                <w:sz w:val="24"/>
                <w:szCs w:val="24"/>
                <w:highlight w:val="none"/>
              </w:rPr>
              <w:t>不组织</w:t>
            </w:r>
            <w:r>
              <w:rPr>
                <w:rFonts w:hint="eastAsia" w:ascii="宋体" w:hAnsi="宋体" w:eastAsia="宋体" w:cs="宋体"/>
                <w:color w:val="auto"/>
                <w:sz w:val="24"/>
                <w:szCs w:val="24"/>
                <w:highlight w:val="none"/>
                <w:lang w:val="en-US" w:eastAsia="zh-CN"/>
              </w:rPr>
              <w:t>或不召开</w:t>
            </w:r>
          </w:p>
          <w:p w14:paraId="02CE48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bCs/>
                <w:color w:val="auto"/>
                <w:sz w:val="24"/>
                <w:szCs w:val="24"/>
                <w:highlight w:val="none"/>
              </w:rPr>
              <w:t>统一组织</w:t>
            </w:r>
            <w:r>
              <w:rPr>
                <w:rFonts w:hint="eastAsia" w:ascii="宋体" w:hAnsi="宋体" w:eastAsia="宋体" w:cs="宋体"/>
                <w:bCs/>
                <w:color w:val="auto"/>
                <w:sz w:val="24"/>
                <w:szCs w:val="24"/>
                <w:highlight w:val="none"/>
                <w:lang w:val="en-US" w:eastAsia="zh-CN"/>
              </w:rPr>
              <w:t>或统一召开</w:t>
            </w:r>
          </w:p>
          <w:p w14:paraId="771579F3">
            <w:pPr>
              <w:keepNext w:val="0"/>
              <w:keepLines w:val="0"/>
              <w:pageBreakBefore w:val="0"/>
              <w:suppressLineNumbers w:val="0"/>
              <w:kinsoku/>
              <w:overflowPunct/>
              <w:autoSpaceDE/>
              <w:autoSpaceDN/>
              <w:bidi w:val="0"/>
              <w:spacing w:before="0" w:beforeAutospacing="0" w:after="0" w:afterAutospacing="0" w:line="520" w:lineRule="exact"/>
              <w:ind w:left="0" w:right="0"/>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时间：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时</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分</w:t>
            </w:r>
          </w:p>
          <w:p w14:paraId="589C52CA">
            <w:pPr>
              <w:keepNext w:val="0"/>
              <w:keepLines w:val="0"/>
              <w:pageBreakBefore w:val="0"/>
              <w:suppressLineNumbers w:val="0"/>
              <w:kinsoku/>
              <w:overflowPunct/>
              <w:autoSpaceDE/>
              <w:autoSpaceDN/>
              <w:bidi w:val="0"/>
              <w:spacing w:before="0" w:beforeAutospacing="0" w:after="0" w:afterAutospacing="0" w:line="520" w:lineRule="exact"/>
              <w:ind w:left="0" w:right="0"/>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地点：</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rPr>
              <w:t xml:space="preserve">                      </w:t>
            </w:r>
          </w:p>
          <w:p w14:paraId="360BD0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联系人及联系电话：</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rPr>
              <w:t xml:space="preserve">         </w:t>
            </w:r>
          </w:p>
          <w:p w14:paraId="47A89B4F">
            <w:pPr>
              <w:pStyle w:val="76"/>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未参加采购人统一组织的现场考察</w:t>
            </w:r>
            <w:r>
              <w:rPr>
                <w:rFonts w:hint="eastAsia" w:ascii="宋体" w:hAnsi="宋体" w:eastAsia="宋体"/>
                <w:bCs w:val="0"/>
                <w:color w:val="auto"/>
                <w:sz w:val="24"/>
                <w:highlight w:val="none"/>
                <w:lang w:val="en-US" w:eastAsia="zh-CN"/>
              </w:rPr>
              <w:t>或采购人统一召开的标前答疑会</w:t>
            </w:r>
            <w:r>
              <w:rPr>
                <w:rFonts w:hint="eastAsia" w:ascii="宋体" w:hAnsi="宋体" w:eastAsia="宋体"/>
                <w:bCs w:val="0"/>
                <w:color w:val="auto"/>
                <w:sz w:val="24"/>
                <w:highlight w:val="none"/>
              </w:rPr>
              <w:t>，视同放弃现场考察</w:t>
            </w:r>
            <w:r>
              <w:rPr>
                <w:rFonts w:hint="eastAsia" w:ascii="宋体" w:hAnsi="宋体" w:eastAsia="宋体"/>
                <w:bCs w:val="0"/>
                <w:color w:val="auto"/>
                <w:sz w:val="24"/>
                <w:highlight w:val="none"/>
                <w:lang w:val="en-US" w:eastAsia="zh-CN"/>
              </w:rPr>
              <w:t>或标前答疑会</w:t>
            </w:r>
            <w:r>
              <w:rPr>
                <w:rFonts w:hint="eastAsia" w:ascii="宋体" w:hAnsi="宋体" w:eastAsia="宋体"/>
                <w:bCs w:val="0"/>
                <w:color w:val="auto"/>
                <w:sz w:val="24"/>
                <w:highlight w:val="none"/>
              </w:rPr>
              <w:t>，由此引起的一切责任由</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自行承担。</w:t>
            </w:r>
          </w:p>
        </w:tc>
      </w:tr>
      <w:tr w14:paraId="672CD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5116C3C4">
            <w:pPr>
              <w:pStyle w:val="7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6</w:t>
            </w:r>
            <w:r>
              <w:rPr>
                <w:bCs/>
                <w:color w:val="auto"/>
                <w:kern w:val="2"/>
                <w:highlight w:val="none"/>
              </w:rPr>
              <w:t>.1</w:t>
            </w:r>
          </w:p>
        </w:tc>
        <w:tc>
          <w:tcPr>
            <w:tcW w:w="977" w:type="pct"/>
            <w:vAlign w:val="center"/>
          </w:tcPr>
          <w:p w14:paraId="11FAF766">
            <w:pPr>
              <w:pStyle w:val="76"/>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网上询问截止时间</w:t>
            </w:r>
          </w:p>
        </w:tc>
        <w:tc>
          <w:tcPr>
            <w:tcW w:w="3556" w:type="pct"/>
            <w:vAlign w:val="center"/>
          </w:tcPr>
          <w:p w14:paraId="17961FE2">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u w:val="single"/>
                <w:lang w:val="en-US" w:eastAsia="zh-CN"/>
              </w:rPr>
              <w:t>2026</w:t>
            </w:r>
            <w:r>
              <w:rPr>
                <w:b w:val="0"/>
                <w:color w:val="auto"/>
                <w:sz w:val="24"/>
                <w:highlight w:val="none"/>
              </w:rPr>
              <w:t>年</w:t>
            </w:r>
            <w:r>
              <w:rPr>
                <w:rFonts w:hint="eastAsia"/>
                <w:b w:val="0"/>
                <w:color w:val="auto"/>
                <w:sz w:val="24"/>
                <w:highlight w:val="none"/>
                <w:u w:val="single"/>
                <w:lang w:val="en-US" w:eastAsia="zh-CN"/>
              </w:rPr>
              <w:t>2</w:t>
            </w:r>
            <w:r>
              <w:rPr>
                <w:b w:val="0"/>
                <w:color w:val="auto"/>
                <w:sz w:val="24"/>
                <w:highlight w:val="none"/>
              </w:rPr>
              <w:t>月</w:t>
            </w:r>
            <w:r>
              <w:rPr>
                <w:rFonts w:hint="eastAsia"/>
                <w:b w:val="0"/>
                <w:color w:val="auto"/>
                <w:sz w:val="24"/>
                <w:highlight w:val="none"/>
                <w:u w:val="single"/>
                <w:lang w:val="en-US" w:eastAsia="zh-CN"/>
              </w:rPr>
              <w:t>25</w:t>
            </w:r>
            <w:bookmarkStart w:id="719" w:name="_GoBack"/>
            <w:bookmarkEnd w:id="719"/>
            <w:r>
              <w:rPr>
                <w:b w:val="0"/>
                <w:color w:val="auto"/>
                <w:sz w:val="24"/>
                <w:highlight w:val="none"/>
              </w:rPr>
              <w:t>日</w:t>
            </w:r>
            <w:r>
              <w:rPr>
                <w:rFonts w:hint="eastAsia"/>
                <w:b w:val="0"/>
                <w:color w:val="auto"/>
                <w:sz w:val="24"/>
                <w:highlight w:val="none"/>
                <w:u w:val="single"/>
                <w:lang w:val="en-US" w:eastAsia="zh-CN"/>
              </w:rPr>
              <w:t>8</w:t>
            </w:r>
            <w:r>
              <w:rPr>
                <w:b w:val="0"/>
                <w:color w:val="auto"/>
                <w:sz w:val="24"/>
                <w:highlight w:val="none"/>
              </w:rPr>
              <w:t>时</w:t>
            </w:r>
            <w:r>
              <w:rPr>
                <w:rFonts w:hint="eastAsia"/>
                <w:b w:val="0"/>
                <w:color w:val="auto"/>
                <w:sz w:val="24"/>
                <w:highlight w:val="none"/>
                <w:u w:val="single"/>
                <w:lang w:val="en-US" w:eastAsia="zh-CN"/>
              </w:rPr>
              <w:t>30</w:t>
            </w:r>
            <w:r>
              <w:rPr>
                <w:rFonts w:hint="eastAsia"/>
                <w:b w:val="0"/>
                <w:color w:val="auto"/>
                <w:sz w:val="24"/>
                <w:highlight w:val="none"/>
              </w:rPr>
              <w:t>分</w:t>
            </w:r>
          </w:p>
        </w:tc>
      </w:tr>
      <w:tr w14:paraId="51903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465" w:type="pct"/>
            <w:vAlign w:val="center"/>
          </w:tcPr>
          <w:p w14:paraId="576AC7EA">
            <w:pPr>
              <w:pStyle w:val="7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7</w:t>
            </w:r>
            <w:r>
              <w:rPr>
                <w:bCs/>
                <w:color w:val="auto"/>
                <w:kern w:val="2"/>
                <w:highlight w:val="none"/>
              </w:rPr>
              <w:t>.1</w:t>
            </w:r>
          </w:p>
        </w:tc>
        <w:tc>
          <w:tcPr>
            <w:tcW w:w="977" w:type="pct"/>
            <w:vAlign w:val="center"/>
          </w:tcPr>
          <w:p w14:paraId="7026D976">
            <w:pPr>
              <w:pStyle w:val="76"/>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包别划分</w:t>
            </w:r>
          </w:p>
        </w:tc>
        <w:tc>
          <w:tcPr>
            <w:tcW w:w="3556" w:type="pct"/>
            <w:vAlign w:val="center"/>
          </w:tcPr>
          <w:p w14:paraId="67D762E5">
            <w:pPr>
              <w:pStyle w:val="76"/>
              <w:widowControl w:val="0"/>
              <w:spacing w:before="0" w:beforeAutospacing="0" w:after="0" w:afterAutospacing="0" w:line="360" w:lineRule="auto"/>
              <w:jc w:val="both"/>
              <w:rPr>
                <w:b w:val="0"/>
                <w:color w:val="auto"/>
                <w:sz w:val="24"/>
                <w:highlight w:val="none"/>
              </w:rPr>
            </w:pPr>
            <w:r>
              <w:rPr>
                <w:rFonts w:hint="eastAsia"/>
                <w:b w:val="0"/>
                <w:bCs w:val="0"/>
                <w:color w:val="auto"/>
                <w:sz w:val="24"/>
                <w:szCs w:val="24"/>
                <w:highlight w:val="none"/>
                <w:lang w:eastAsia="zh-CN"/>
              </w:rPr>
              <w:t>☑</w:t>
            </w:r>
            <w:r>
              <w:rPr>
                <w:b w:val="0"/>
                <w:color w:val="auto"/>
                <w:sz w:val="24"/>
                <w:highlight w:val="none"/>
              </w:rPr>
              <w:t>不分包     □分为</w:t>
            </w:r>
            <w:r>
              <w:rPr>
                <w:rFonts w:hint="eastAsia"/>
                <w:b w:val="0"/>
                <w:color w:val="auto"/>
                <w:sz w:val="24"/>
                <w:highlight w:val="none"/>
                <w:lang w:val="en-US" w:eastAsia="zh-CN"/>
              </w:rPr>
              <w:t>/</w:t>
            </w:r>
            <w:r>
              <w:rPr>
                <w:b w:val="0"/>
                <w:color w:val="auto"/>
                <w:sz w:val="24"/>
                <w:highlight w:val="none"/>
              </w:rPr>
              <w:t>个包</w:t>
            </w:r>
          </w:p>
          <w:p w14:paraId="19006EF2">
            <w:pPr>
              <w:pStyle w:val="76"/>
              <w:widowControl w:val="0"/>
              <w:spacing w:before="0" w:beforeAutospacing="0" w:after="0" w:afterAutospacing="0" w:line="360" w:lineRule="auto"/>
              <w:jc w:val="both"/>
              <w:rPr>
                <w:b w:val="0"/>
                <w:color w:val="auto"/>
                <w:sz w:val="24"/>
                <w:highlight w:val="none"/>
              </w:rPr>
            </w:pPr>
            <w:r>
              <w:rPr>
                <w:rFonts w:hint="eastAsia"/>
                <w:b w:val="0"/>
                <w:bCs w:val="0"/>
                <w:color w:val="auto"/>
                <w:sz w:val="24"/>
                <w:szCs w:val="24"/>
                <w:highlight w:val="none"/>
              </w:rPr>
              <w:t>供应商参加多个包磋商的成交</w:t>
            </w:r>
            <w:r>
              <w:rPr>
                <w:b w:val="0"/>
                <w:bCs w:val="0"/>
                <w:color w:val="auto"/>
                <w:sz w:val="24"/>
                <w:szCs w:val="24"/>
                <w:highlight w:val="none"/>
              </w:rPr>
              <w:t>包</w:t>
            </w:r>
            <w:r>
              <w:rPr>
                <w:rFonts w:hint="eastAsia"/>
                <w:b w:val="0"/>
                <w:bCs w:val="0"/>
                <w:color w:val="auto"/>
                <w:sz w:val="24"/>
                <w:szCs w:val="24"/>
                <w:highlight w:val="none"/>
              </w:rPr>
              <w:t>数规定：</w:t>
            </w:r>
            <w:r>
              <w:rPr>
                <w:rFonts w:hint="eastAsia"/>
                <w:b w:val="0"/>
                <w:bCs w:val="0"/>
                <w:color w:val="auto"/>
                <w:sz w:val="24"/>
                <w:szCs w:val="18"/>
                <w:highlight w:val="none"/>
                <w:u w:val="single"/>
              </w:rPr>
              <w:t xml:space="preserve"> </w:t>
            </w:r>
            <w:r>
              <w:rPr>
                <w:b w:val="0"/>
                <w:bCs w:val="0"/>
                <w:color w:val="auto"/>
                <w:sz w:val="24"/>
                <w:szCs w:val="18"/>
                <w:highlight w:val="none"/>
                <w:u w:val="single"/>
              </w:rPr>
              <w:t xml:space="preserve">   </w:t>
            </w:r>
            <w:r>
              <w:rPr>
                <w:rFonts w:hint="eastAsia"/>
                <w:b w:val="0"/>
                <w:bCs w:val="0"/>
                <w:color w:val="auto"/>
                <w:sz w:val="24"/>
                <w:szCs w:val="18"/>
                <w:highlight w:val="none"/>
                <w:u w:val="single"/>
                <w:lang w:val="en-US" w:eastAsia="zh-CN"/>
              </w:rPr>
              <w:t>/</w:t>
            </w:r>
            <w:r>
              <w:rPr>
                <w:b w:val="0"/>
                <w:bCs w:val="0"/>
                <w:color w:val="auto"/>
                <w:sz w:val="24"/>
                <w:szCs w:val="18"/>
                <w:highlight w:val="none"/>
                <w:u w:val="single"/>
              </w:rPr>
              <w:t xml:space="preserve">    </w:t>
            </w:r>
          </w:p>
        </w:tc>
      </w:tr>
      <w:tr w14:paraId="1C7CC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465" w:type="pct"/>
            <w:vAlign w:val="center"/>
          </w:tcPr>
          <w:p w14:paraId="18640B59">
            <w:pPr>
              <w:pStyle w:val="77"/>
              <w:pBdr>
                <w:bottom w:val="none" w:color="auto" w:sz="0" w:space="0"/>
              </w:pBdr>
              <w:tabs>
                <w:tab w:val="clear" w:pos="4153"/>
                <w:tab w:val="clear" w:pos="8306"/>
              </w:tabs>
              <w:adjustRightInd/>
              <w:spacing w:line="24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0</w:t>
            </w:r>
            <w:r>
              <w:rPr>
                <w:bCs/>
                <w:color w:val="auto"/>
                <w:kern w:val="2"/>
                <w:highlight w:val="none"/>
              </w:rPr>
              <w:t>.1</w:t>
            </w:r>
          </w:p>
        </w:tc>
        <w:tc>
          <w:tcPr>
            <w:tcW w:w="977" w:type="pct"/>
            <w:vAlign w:val="center"/>
          </w:tcPr>
          <w:p w14:paraId="6CF7A031">
            <w:pPr>
              <w:pStyle w:val="76"/>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磋商保证金</w:t>
            </w:r>
          </w:p>
        </w:tc>
        <w:tc>
          <w:tcPr>
            <w:tcW w:w="3556" w:type="pct"/>
            <w:vAlign w:val="center"/>
          </w:tcPr>
          <w:p w14:paraId="70AB614D">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不收取</w:t>
            </w:r>
          </w:p>
        </w:tc>
      </w:tr>
      <w:tr w14:paraId="092F3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6A6DDB7C">
            <w:pPr>
              <w:pStyle w:val="7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1</w:t>
            </w:r>
            <w:r>
              <w:rPr>
                <w:bCs/>
                <w:color w:val="auto"/>
                <w:kern w:val="2"/>
                <w:highlight w:val="none"/>
              </w:rPr>
              <w:t>.1</w:t>
            </w:r>
          </w:p>
        </w:tc>
        <w:tc>
          <w:tcPr>
            <w:tcW w:w="977" w:type="pct"/>
            <w:vAlign w:val="center"/>
          </w:tcPr>
          <w:p w14:paraId="2B95BD20">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磋商有效期</w:t>
            </w:r>
          </w:p>
        </w:tc>
        <w:tc>
          <w:tcPr>
            <w:tcW w:w="3556" w:type="pct"/>
            <w:vAlign w:val="center"/>
          </w:tcPr>
          <w:p w14:paraId="530296D3">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u w:val="single"/>
                <w:lang w:val="en-US" w:eastAsia="zh-CN"/>
              </w:rPr>
              <w:t>90</w:t>
            </w:r>
            <w:r>
              <w:rPr>
                <w:rFonts w:hint="eastAsia"/>
                <w:b w:val="0"/>
                <w:color w:val="auto"/>
                <w:sz w:val="24"/>
                <w:highlight w:val="none"/>
                <w:u w:val="single"/>
              </w:rPr>
              <w:t xml:space="preserve"> </w:t>
            </w:r>
            <w:r>
              <w:rPr>
                <w:rFonts w:hint="eastAsia"/>
                <w:b w:val="0"/>
                <w:color w:val="auto"/>
                <w:sz w:val="24"/>
                <w:highlight w:val="none"/>
              </w:rPr>
              <w:t>日历日</w:t>
            </w:r>
          </w:p>
        </w:tc>
      </w:tr>
      <w:tr w14:paraId="53C6B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76D2A6C5">
            <w:pPr>
              <w:pStyle w:val="7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2</w:t>
            </w:r>
            <w:r>
              <w:rPr>
                <w:bCs/>
                <w:color w:val="auto"/>
                <w:kern w:val="2"/>
                <w:highlight w:val="none"/>
              </w:rPr>
              <w:t>.3</w:t>
            </w:r>
          </w:p>
        </w:tc>
        <w:tc>
          <w:tcPr>
            <w:tcW w:w="977" w:type="pct"/>
            <w:vAlign w:val="center"/>
          </w:tcPr>
          <w:p w14:paraId="1ADB9331">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响应文件解密时间</w:t>
            </w:r>
          </w:p>
        </w:tc>
        <w:tc>
          <w:tcPr>
            <w:tcW w:w="3556" w:type="pct"/>
            <w:vAlign w:val="center"/>
          </w:tcPr>
          <w:p w14:paraId="5209EDC1">
            <w:pPr>
              <w:pStyle w:val="76"/>
              <w:widowControl w:val="0"/>
              <w:spacing w:before="0" w:beforeAutospacing="0" w:after="0" w:afterAutospacing="0" w:line="360" w:lineRule="auto"/>
              <w:jc w:val="both"/>
              <w:rPr>
                <w:b w:val="0"/>
                <w:color w:val="auto"/>
                <w:sz w:val="24"/>
                <w:highlight w:val="none"/>
                <w:u w:val="single"/>
              </w:rPr>
            </w:pPr>
            <w:r>
              <w:rPr>
                <w:rFonts w:hint="eastAsia"/>
                <w:b w:val="0"/>
                <w:color w:val="auto"/>
                <w:sz w:val="24"/>
                <w:highlight w:val="none"/>
                <w:u w:val="none"/>
              </w:rPr>
              <w:t>响应文件提交截止时间后</w:t>
            </w:r>
            <w:r>
              <w:rPr>
                <w:rFonts w:hint="eastAsia"/>
                <w:b w:val="0"/>
                <w:color w:val="auto"/>
                <w:sz w:val="24"/>
                <w:highlight w:val="none"/>
                <w:u w:val="single"/>
                <w:lang w:val="en-US" w:eastAsia="zh-CN"/>
              </w:rPr>
              <w:t xml:space="preserve">60 </w:t>
            </w:r>
            <w:r>
              <w:rPr>
                <w:rFonts w:hint="eastAsia"/>
                <w:b w:val="0"/>
                <w:color w:val="auto"/>
                <w:sz w:val="24"/>
                <w:highlight w:val="none"/>
                <w:u w:val="none"/>
              </w:rPr>
              <w:t>分钟内</w:t>
            </w:r>
            <w:r>
              <w:rPr>
                <w:rFonts w:hint="eastAsia" w:ascii="宋体" w:hAnsi="宋体" w:eastAsia="宋体" w:cs="宋体"/>
                <w:b w:val="0"/>
                <w:color w:val="auto"/>
                <w:sz w:val="24"/>
                <w:highlight w:val="none"/>
                <w:u w:val="none"/>
              </w:rPr>
              <w:t>（以本项目网上招投标系统解密倒计时为准）</w:t>
            </w:r>
          </w:p>
        </w:tc>
      </w:tr>
      <w:tr w14:paraId="3137A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476CA974">
            <w:pPr>
              <w:pStyle w:val="7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4</w:t>
            </w:r>
            <w:r>
              <w:rPr>
                <w:rFonts w:hint="eastAsia"/>
                <w:bCs/>
                <w:color w:val="auto"/>
                <w:kern w:val="2"/>
                <w:highlight w:val="none"/>
              </w:rPr>
              <w:t>.3</w:t>
            </w:r>
          </w:p>
        </w:tc>
        <w:tc>
          <w:tcPr>
            <w:tcW w:w="977" w:type="pct"/>
            <w:vAlign w:val="center"/>
          </w:tcPr>
          <w:p w14:paraId="24CC240D">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评审方法</w:t>
            </w:r>
          </w:p>
        </w:tc>
        <w:tc>
          <w:tcPr>
            <w:tcW w:w="3556" w:type="pct"/>
            <w:vAlign w:val="center"/>
          </w:tcPr>
          <w:p w14:paraId="35A7040F">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u w:val="none"/>
              </w:rPr>
              <w:t>综合评分法</w:t>
            </w:r>
          </w:p>
        </w:tc>
      </w:tr>
      <w:tr w14:paraId="003BC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6327A479">
            <w:pPr>
              <w:pStyle w:val="7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17</w:t>
            </w:r>
            <w:r>
              <w:rPr>
                <w:bCs/>
                <w:color w:val="auto"/>
                <w:kern w:val="2"/>
                <w:highlight w:val="none"/>
              </w:rPr>
              <w:t>.</w:t>
            </w:r>
            <w:r>
              <w:rPr>
                <w:rFonts w:hint="eastAsia"/>
                <w:bCs/>
                <w:color w:val="auto"/>
                <w:kern w:val="2"/>
                <w:highlight w:val="none"/>
              </w:rPr>
              <w:t>4</w:t>
            </w:r>
          </w:p>
        </w:tc>
        <w:tc>
          <w:tcPr>
            <w:tcW w:w="977" w:type="pct"/>
            <w:vAlign w:val="center"/>
          </w:tcPr>
          <w:p w14:paraId="1BE0F5A8">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最后报价扣除</w:t>
            </w:r>
          </w:p>
          <w:p w14:paraId="36F35D5C">
            <w:pPr>
              <w:pStyle w:val="76"/>
              <w:widowControl w:val="0"/>
              <w:spacing w:before="0" w:beforeAutospacing="0" w:after="0" w:afterAutospacing="0" w:line="360" w:lineRule="auto"/>
              <w:jc w:val="both"/>
              <w:rPr>
                <w:b w:val="0"/>
                <w:color w:val="auto"/>
                <w:sz w:val="24"/>
                <w:highlight w:val="none"/>
              </w:rPr>
            </w:pPr>
            <w:r>
              <w:rPr>
                <w:rFonts w:hint="eastAsia"/>
                <w:b w:val="0"/>
                <w:i/>
                <w:color w:val="auto"/>
                <w:sz w:val="24"/>
                <w:highlight w:val="none"/>
              </w:rPr>
              <w:t>（非专门面向中小企业采购项目适用）</w:t>
            </w:r>
          </w:p>
        </w:tc>
        <w:tc>
          <w:tcPr>
            <w:tcW w:w="3556" w:type="pct"/>
            <w:vAlign w:val="center"/>
          </w:tcPr>
          <w:p w14:paraId="0B988EFD">
            <w:pPr>
              <w:pStyle w:val="7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rPr>
              <w:t>对小型和微型企业产品的价格给予</w:t>
            </w:r>
            <w:r>
              <w:rPr>
                <w:rFonts w:hint="eastAsia"/>
                <w:b w:val="0"/>
                <w:color w:val="auto"/>
                <w:sz w:val="24"/>
                <w:highlight w:val="none"/>
                <w:u w:val="single"/>
                <w:lang w:val="en-US" w:eastAsia="zh-CN"/>
              </w:rPr>
              <w:t>10</w:t>
            </w:r>
            <w:r>
              <w:rPr>
                <w:rFonts w:hint="eastAsia" w:ascii="宋体" w:hAnsi="宋体" w:eastAsia="宋体"/>
                <w:b w:val="0"/>
                <w:color w:val="auto"/>
                <w:sz w:val="24"/>
                <w:highlight w:val="none"/>
                <w:u w:val="single"/>
              </w:rPr>
              <w:t>%的扣除后参与评审</w:t>
            </w:r>
            <w:r>
              <w:rPr>
                <w:rFonts w:hint="eastAsia"/>
                <w:b w:val="0"/>
                <w:color w:val="auto"/>
                <w:sz w:val="24"/>
                <w:highlight w:val="none"/>
                <w:u w:val="single"/>
                <w:lang w:eastAsia="zh-CN"/>
              </w:rPr>
              <w:t>；其评审价=最终响应报价*（90%）</w:t>
            </w:r>
            <w:r>
              <w:rPr>
                <w:rFonts w:hint="eastAsia" w:ascii="宋体" w:hAnsi="宋体" w:eastAsia="宋体"/>
                <w:b w:val="0"/>
                <w:color w:val="auto"/>
                <w:sz w:val="24"/>
                <w:highlight w:val="none"/>
              </w:rPr>
              <w:t>。</w:t>
            </w:r>
          </w:p>
          <w:p w14:paraId="77AE2312">
            <w:pPr>
              <w:pStyle w:val="7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14:paraId="36159E14">
            <w:pPr>
              <w:pStyle w:val="7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14:paraId="7DE8FA87">
            <w:pPr>
              <w:pStyle w:val="7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sz w:val="24"/>
                <w:highlight w:val="none"/>
                <w:u w:val="single"/>
              </w:rPr>
              <w:t>联合体投标的，小型、微型企业的协议合同金额占联合体协议合同总金额30%以上的，价格给予联合体4%的扣除后参与评审；其评审价=投标报价*96%；联合体各方均为小型、微型企业的，联合体视同为小型、微型企业，其评审价按（1）款执行</w:t>
            </w:r>
            <w:r>
              <w:rPr>
                <w:rFonts w:hint="eastAsia" w:ascii="宋体" w:hAnsi="宋体" w:eastAsia="宋体"/>
                <w:b w:val="0"/>
                <w:color w:val="auto"/>
                <w:sz w:val="24"/>
                <w:highlight w:val="none"/>
              </w:rPr>
              <w:t>。</w:t>
            </w:r>
          </w:p>
          <w:p w14:paraId="6EB6BD0E">
            <w:pPr>
              <w:pStyle w:val="76"/>
              <w:widowControl w:val="0"/>
              <w:spacing w:before="0" w:beforeAutospacing="0" w:after="0" w:afterAutospacing="0" w:line="360" w:lineRule="auto"/>
              <w:jc w:val="both"/>
              <w:rPr>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b w:val="0"/>
                <w:color w:val="auto"/>
                <w:sz w:val="24"/>
                <w:highlight w:val="none"/>
                <w:u w:val="single"/>
                <w:lang w:val="en-US"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14:paraId="7C8E3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Merge w:val="restart"/>
            <w:vAlign w:val="center"/>
          </w:tcPr>
          <w:p w14:paraId="51C34DB0">
            <w:pPr>
              <w:pStyle w:val="7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19</w:t>
            </w:r>
            <w:r>
              <w:rPr>
                <w:bCs/>
                <w:color w:val="auto"/>
                <w:kern w:val="2"/>
                <w:highlight w:val="none"/>
              </w:rPr>
              <w:t>.</w:t>
            </w:r>
            <w:r>
              <w:rPr>
                <w:rFonts w:hint="eastAsia"/>
                <w:bCs/>
                <w:color w:val="auto"/>
                <w:kern w:val="2"/>
                <w:highlight w:val="none"/>
              </w:rPr>
              <w:t>1</w:t>
            </w:r>
          </w:p>
        </w:tc>
        <w:tc>
          <w:tcPr>
            <w:tcW w:w="977" w:type="pct"/>
            <w:vMerge w:val="restart"/>
            <w:vAlign w:val="center"/>
          </w:tcPr>
          <w:p w14:paraId="622C21A0">
            <w:pPr>
              <w:pStyle w:val="76"/>
              <w:widowControl w:val="0"/>
              <w:spacing w:before="0" w:beforeAutospacing="0" w:after="0" w:afterAutospacing="0" w:line="360" w:lineRule="auto"/>
              <w:jc w:val="both"/>
              <w:rPr>
                <w:b w:val="0"/>
                <w:color w:val="auto"/>
                <w:sz w:val="24"/>
                <w:highlight w:val="none"/>
              </w:rPr>
            </w:pPr>
            <w:r>
              <w:rPr>
                <w:rFonts w:hint="eastAsia" w:asciiTheme="minorEastAsia" w:hAnsiTheme="minorEastAsia" w:eastAsiaTheme="minorEastAsia"/>
                <w:b w:val="0"/>
                <w:color w:val="auto"/>
                <w:sz w:val="24"/>
                <w:highlight w:val="none"/>
              </w:rPr>
              <w:t>确定成交候选供应商和成交供应商</w:t>
            </w:r>
          </w:p>
        </w:tc>
        <w:tc>
          <w:tcPr>
            <w:tcW w:w="3556" w:type="pct"/>
            <w:vAlign w:val="center"/>
          </w:tcPr>
          <w:p w14:paraId="76178504">
            <w:pPr>
              <w:pStyle w:val="76"/>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b w:val="0"/>
                <w:color w:val="auto"/>
                <w:sz w:val="24"/>
                <w:highlight w:val="none"/>
              </w:rPr>
              <w:t>磋商小组推荐成交</w:t>
            </w:r>
            <w:r>
              <w:rPr>
                <w:b w:val="0"/>
                <w:color w:val="auto"/>
                <w:sz w:val="24"/>
                <w:highlight w:val="none"/>
              </w:rPr>
              <w:t>候选</w:t>
            </w:r>
            <w:r>
              <w:rPr>
                <w:rFonts w:hint="eastAsia"/>
                <w:b w:val="0"/>
                <w:color w:val="auto"/>
                <w:sz w:val="24"/>
                <w:highlight w:val="none"/>
              </w:rPr>
              <w:t>供应商的</w:t>
            </w:r>
            <w:r>
              <w:rPr>
                <w:b w:val="0"/>
                <w:color w:val="auto"/>
                <w:sz w:val="24"/>
                <w:highlight w:val="none"/>
              </w:rPr>
              <w:t>数量</w:t>
            </w:r>
            <w:r>
              <w:rPr>
                <w:rFonts w:hint="eastAsia"/>
                <w:b w:val="0"/>
                <w:color w:val="auto"/>
                <w:sz w:val="24"/>
                <w:highlight w:val="none"/>
              </w:rPr>
              <w:t>：</w:t>
            </w:r>
            <w:r>
              <w:rPr>
                <w:rFonts w:hint="eastAsia" w:ascii="宋体" w:hAnsi="宋体" w:eastAsia="宋体"/>
                <w:b w:val="0"/>
                <w:color w:val="auto"/>
                <w:sz w:val="24"/>
                <w:highlight w:val="none"/>
              </w:rPr>
              <w:t>3家</w:t>
            </w:r>
            <w:r>
              <w:rPr>
                <w:rFonts w:hint="eastAsia" w:ascii="宋体" w:hAnsi="宋体" w:eastAsia="宋体"/>
                <w:b w:val="0"/>
                <w:color w:val="auto"/>
                <w:sz w:val="24"/>
                <w:highlight w:val="none"/>
                <w:lang w:val="en-US" w:eastAsia="zh-CN"/>
              </w:rPr>
              <w:t>以上</w:t>
            </w:r>
          </w:p>
          <w:p w14:paraId="29C179CC">
            <w:pPr>
              <w:pStyle w:val="76"/>
              <w:widowControl w:val="0"/>
              <w:spacing w:before="0" w:beforeAutospacing="0" w:after="0" w:afterAutospacing="0" w:line="360" w:lineRule="auto"/>
              <w:jc w:val="both"/>
              <w:rPr>
                <w:b w:val="0"/>
                <w:color w:val="auto"/>
                <w:sz w:val="24"/>
                <w:highlight w:val="none"/>
                <w:u w:val="single"/>
              </w:rPr>
            </w:pPr>
            <w:r>
              <w:rPr>
                <w:rFonts w:hint="eastAsia" w:ascii="宋体" w:hAnsi="宋体" w:eastAsia="宋体"/>
                <w:b w:val="0"/>
                <w:color w:val="auto"/>
                <w:sz w:val="24"/>
                <w:highlight w:val="none"/>
                <w:lang w:val="en-US" w:eastAsia="zh-CN"/>
              </w:rPr>
              <w:t>注：法律、法规另有规定的，从其规定</w:t>
            </w:r>
          </w:p>
        </w:tc>
      </w:tr>
      <w:tr w14:paraId="30C61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Merge w:val="continue"/>
            <w:vAlign w:val="center"/>
          </w:tcPr>
          <w:p w14:paraId="6745B143">
            <w:pPr>
              <w:pStyle w:val="77"/>
              <w:pBdr>
                <w:bottom w:val="none" w:color="auto" w:sz="0" w:space="0"/>
              </w:pBdr>
              <w:tabs>
                <w:tab w:val="clear" w:pos="4153"/>
                <w:tab w:val="clear" w:pos="8306"/>
              </w:tabs>
              <w:adjustRightInd/>
              <w:spacing w:line="360" w:lineRule="auto"/>
              <w:textAlignment w:val="auto"/>
              <w:rPr>
                <w:bCs/>
                <w:color w:val="auto"/>
                <w:kern w:val="2"/>
                <w:highlight w:val="none"/>
              </w:rPr>
            </w:pPr>
          </w:p>
        </w:tc>
        <w:tc>
          <w:tcPr>
            <w:tcW w:w="977" w:type="pct"/>
            <w:vMerge w:val="continue"/>
            <w:vAlign w:val="center"/>
          </w:tcPr>
          <w:p w14:paraId="031DE47F">
            <w:pPr>
              <w:pStyle w:val="76"/>
              <w:widowControl w:val="0"/>
              <w:spacing w:before="0" w:beforeAutospacing="0" w:after="0" w:afterAutospacing="0" w:line="360" w:lineRule="auto"/>
              <w:jc w:val="both"/>
              <w:rPr>
                <w:b w:val="0"/>
                <w:color w:val="auto"/>
                <w:sz w:val="24"/>
                <w:highlight w:val="none"/>
              </w:rPr>
            </w:pPr>
          </w:p>
        </w:tc>
        <w:tc>
          <w:tcPr>
            <w:tcW w:w="3556" w:type="pct"/>
            <w:vAlign w:val="center"/>
          </w:tcPr>
          <w:p w14:paraId="3E2A567D">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确定成交供应商：</w:t>
            </w:r>
          </w:p>
          <w:p w14:paraId="2B73D998">
            <w:pPr>
              <w:pStyle w:val="76"/>
              <w:widowControl w:val="0"/>
              <w:spacing w:before="0" w:beforeAutospacing="0" w:after="0" w:afterAutospacing="0" w:line="360" w:lineRule="auto"/>
              <w:jc w:val="both"/>
              <w:rPr>
                <w:b w:val="0"/>
                <w:color w:val="auto"/>
                <w:sz w:val="24"/>
                <w:highlight w:val="none"/>
              </w:rPr>
            </w:pPr>
            <w:r>
              <w:rPr>
                <w:rFonts w:hint="eastAsia" w:asciiTheme="minorEastAsia" w:hAnsiTheme="minorEastAsia"/>
                <w:b w:val="0"/>
                <w:color w:val="auto"/>
                <w:sz w:val="24"/>
                <w:szCs w:val="24"/>
                <w:highlight w:val="none"/>
              </w:rPr>
              <w:sym w:font="Wingdings" w:char="00A8"/>
            </w:r>
            <w:r>
              <w:rPr>
                <w:rFonts w:hint="eastAsia"/>
                <w:b w:val="0"/>
                <w:color w:val="auto"/>
                <w:sz w:val="24"/>
                <w:highlight w:val="none"/>
              </w:rPr>
              <w:t xml:space="preserve">采购人委托磋商小组确定 </w:t>
            </w:r>
            <w:r>
              <w:rPr>
                <w:b w:val="0"/>
                <w:color w:val="auto"/>
                <w:sz w:val="24"/>
                <w:highlight w:val="none"/>
              </w:rPr>
              <w:t xml:space="preserve">   </w:t>
            </w:r>
            <w:r>
              <w:rPr>
                <w:rFonts w:hint="eastAsia"/>
                <w:b w:val="0"/>
                <w:color w:val="auto"/>
                <w:sz w:val="24"/>
                <w:highlight w:val="none"/>
              </w:rPr>
              <w:t xml:space="preserve"> </w:t>
            </w:r>
            <w:r>
              <w:rPr>
                <w:rFonts w:hint="eastAsia"/>
                <w:b w:val="0"/>
                <w:color w:val="auto"/>
                <w:sz w:val="24"/>
                <w:highlight w:val="none"/>
                <w:lang w:eastAsia="zh-CN"/>
              </w:rPr>
              <w:t>☑</w:t>
            </w:r>
            <w:r>
              <w:rPr>
                <w:rFonts w:hint="eastAsia"/>
                <w:b w:val="0"/>
                <w:color w:val="auto"/>
                <w:sz w:val="24"/>
                <w:highlight w:val="none"/>
              </w:rPr>
              <w:t>采购人确定</w:t>
            </w:r>
          </w:p>
        </w:tc>
      </w:tr>
      <w:tr w14:paraId="520C3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17847A9E">
            <w:pPr>
              <w:pStyle w:val="7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2</w:t>
            </w:r>
            <w:r>
              <w:rPr>
                <w:rFonts w:hint="eastAsia"/>
                <w:bCs/>
                <w:color w:val="auto"/>
                <w:kern w:val="2"/>
                <w:highlight w:val="none"/>
                <w:lang w:val="en-US" w:eastAsia="zh-CN"/>
              </w:rPr>
              <w:t>2</w:t>
            </w:r>
            <w:r>
              <w:rPr>
                <w:bCs/>
                <w:color w:val="auto"/>
                <w:kern w:val="2"/>
                <w:highlight w:val="none"/>
              </w:rPr>
              <w:t>.</w:t>
            </w:r>
            <w:r>
              <w:rPr>
                <w:rFonts w:hint="eastAsia"/>
                <w:bCs/>
                <w:color w:val="auto"/>
                <w:kern w:val="2"/>
                <w:highlight w:val="none"/>
              </w:rPr>
              <w:t>2</w:t>
            </w:r>
          </w:p>
        </w:tc>
        <w:tc>
          <w:tcPr>
            <w:tcW w:w="977" w:type="pct"/>
            <w:vAlign w:val="center"/>
          </w:tcPr>
          <w:p w14:paraId="6A9A0D52">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随成交结果公告同时公告的内容</w:t>
            </w:r>
          </w:p>
        </w:tc>
        <w:tc>
          <w:tcPr>
            <w:tcW w:w="3556" w:type="pct"/>
            <w:vAlign w:val="center"/>
          </w:tcPr>
          <w:p w14:paraId="27EEF26C">
            <w:pPr>
              <w:pStyle w:val="76"/>
              <w:widowControl w:val="0"/>
              <w:numPr>
                <w:ilvl w:val="0"/>
                <w:numId w:val="2"/>
              </w:numPr>
              <w:spacing w:before="0" w:beforeAutospacing="0" w:after="0" w:afterAutospacing="0" w:line="360" w:lineRule="auto"/>
              <w:jc w:val="both"/>
              <w:rPr>
                <w:rFonts w:hint="eastAsia" w:ascii="宋体" w:hAnsi="宋体" w:eastAsia="宋体"/>
                <w:b w:val="0"/>
                <w:color w:val="auto"/>
                <w:sz w:val="24"/>
                <w:highlight w:val="none"/>
                <w:u w:val="none"/>
              </w:rPr>
            </w:pPr>
            <w:r>
              <w:rPr>
                <w:rFonts w:hint="eastAsia" w:ascii="宋体" w:hAnsi="宋体" w:eastAsia="宋体"/>
                <w:b w:val="0"/>
                <w:color w:val="auto"/>
                <w:sz w:val="24"/>
                <w:highlight w:val="none"/>
                <w:u w:val="none"/>
              </w:rPr>
              <w:t>中小企业声明函；</w:t>
            </w:r>
          </w:p>
          <w:p w14:paraId="610897A6">
            <w:pPr>
              <w:pStyle w:val="76"/>
              <w:widowControl w:val="0"/>
              <w:numPr>
                <w:ilvl w:val="0"/>
                <w:numId w:val="0"/>
              </w:numPr>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14:paraId="2E336721">
            <w:pPr>
              <w:pStyle w:val="76"/>
              <w:widowControl w:val="0"/>
              <w:spacing w:before="0" w:beforeAutospacing="0" w:after="0" w:afterAutospacing="0" w:line="360" w:lineRule="auto"/>
              <w:jc w:val="both"/>
              <w:rPr>
                <w:rFonts w:hint="eastAsia" w:eastAsia="宋体"/>
                <w:b w:val="0"/>
                <w:bCs w:val="0"/>
                <w:color w:val="auto"/>
                <w:sz w:val="24"/>
                <w:szCs w:val="24"/>
                <w:highlight w:val="none"/>
                <w:lang w:eastAsia="zh-CN"/>
              </w:rPr>
            </w:pPr>
            <w:r>
              <w:rPr>
                <w:rFonts w:hint="eastAsia" w:ascii="宋体" w:hAnsi="宋体" w:eastAsia="宋体"/>
                <w:b w:val="0"/>
                <w:color w:val="auto"/>
                <w:sz w:val="24"/>
                <w:highlight w:val="none"/>
                <w:u w:val="none"/>
                <w:lang w:eastAsia="zh-CN"/>
              </w:rPr>
              <w:t>（</w:t>
            </w:r>
            <w:r>
              <w:rPr>
                <w:rFonts w:hint="eastAsia"/>
                <w:b w:val="0"/>
                <w:color w:val="auto"/>
                <w:sz w:val="24"/>
                <w:highlight w:val="none"/>
                <w:u w:val="none"/>
                <w:lang w:val="en-US" w:eastAsia="zh-CN"/>
              </w:rPr>
              <w:t>3</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供应商的评审总得分</w:t>
            </w:r>
            <w:r>
              <w:rPr>
                <w:rFonts w:hint="eastAsia"/>
                <w:b w:val="0"/>
                <w:color w:val="auto"/>
                <w:sz w:val="24"/>
                <w:highlight w:val="none"/>
                <w:u w:val="none"/>
                <w:lang w:eastAsia="zh-CN"/>
              </w:rPr>
              <w:t>。</w:t>
            </w:r>
          </w:p>
        </w:tc>
      </w:tr>
      <w:tr w14:paraId="0F460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7060E769">
            <w:pPr>
              <w:pStyle w:val="77"/>
              <w:pBdr>
                <w:bottom w:val="none" w:color="auto" w:sz="0" w:space="0"/>
              </w:pBdr>
              <w:tabs>
                <w:tab w:val="clear" w:pos="4153"/>
                <w:tab w:val="clear" w:pos="8306"/>
              </w:tabs>
              <w:adjustRightInd/>
              <w:spacing w:line="240" w:lineRule="auto"/>
              <w:textAlignment w:val="auto"/>
              <w:rPr>
                <w:bCs/>
                <w:color w:val="auto"/>
                <w:kern w:val="2"/>
                <w:highlight w:val="none"/>
              </w:rPr>
            </w:pPr>
            <w:r>
              <w:rPr>
                <w:rFonts w:hint="eastAsia"/>
                <w:bCs/>
                <w:color w:val="auto"/>
                <w:kern w:val="2"/>
                <w:highlight w:val="none"/>
              </w:rPr>
              <w:t>2</w:t>
            </w:r>
            <w:r>
              <w:rPr>
                <w:rFonts w:hint="eastAsia"/>
                <w:bCs/>
                <w:color w:val="auto"/>
                <w:kern w:val="2"/>
                <w:highlight w:val="none"/>
                <w:lang w:val="en-US" w:eastAsia="zh-CN"/>
              </w:rPr>
              <w:t>3</w:t>
            </w:r>
            <w:r>
              <w:rPr>
                <w:bCs/>
                <w:color w:val="auto"/>
                <w:kern w:val="2"/>
                <w:highlight w:val="none"/>
              </w:rPr>
              <w:t>.1</w:t>
            </w:r>
          </w:p>
        </w:tc>
        <w:tc>
          <w:tcPr>
            <w:tcW w:w="977" w:type="pct"/>
            <w:vAlign w:val="center"/>
          </w:tcPr>
          <w:p w14:paraId="0E289BAD">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成交通知书发出的形式</w:t>
            </w:r>
          </w:p>
        </w:tc>
        <w:tc>
          <w:tcPr>
            <w:tcW w:w="3556" w:type="pct"/>
            <w:vAlign w:val="center"/>
          </w:tcPr>
          <w:p w14:paraId="3C6189A3">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 xml:space="preserve">□书面 </w:t>
            </w:r>
            <w:r>
              <w:rPr>
                <w:b w:val="0"/>
                <w:color w:val="auto"/>
                <w:sz w:val="24"/>
                <w:highlight w:val="none"/>
              </w:rPr>
              <w:t xml:space="preserve">    </w:t>
            </w:r>
            <w:r>
              <w:rPr>
                <w:rFonts w:hint="eastAsia"/>
                <w:b w:val="0"/>
                <w:bCs w:val="0"/>
                <w:color w:val="auto"/>
                <w:sz w:val="24"/>
                <w:szCs w:val="24"/>
                <w:highlight w:val="none"/>
              </w:rPr>
              <w:sym w:font="Wingdings" w:char="00FE"/>
            </w:r>
            <w:r>
              <w:rPr>
                <w:rFonts w:hint="eastAsia"/>
                <w:b w:val="0"/>
                <w:color w:val="auto"/>
                <w:sz w:val="24"/>
                <w:highlight w:val="none"/>
              </w:rPr>
              <w:t>数据电文</w:t>
            </w:r>
          </w:p>
        </w:tc>
      </w:tr>
      <w:tr w14:paraId="481F5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7D8EA391">
            <w:pPr>
              <w:pStyle w:val="77"/>
              <w:pBdr>
                <w:bottom w:val="none" w:color="auto" w:sz="0" w:space="0"/>
              </w:pBdr>
              <w:tabs>
                <w:tab w:val="clear" w:pos="4153"/>
                <w:tab w:val="clear" w:pos="8306"/>
              </w:tabs>
              <w:adjustRightInd/>
              <w:spacing w:line="240" w:lineRule="auto"/>
              <w:textAlignment w:val="auto"/>
              <w:rPr>
                <w:bCs/>
                <w:color w:val="auto"/>
                <w:kern w:val="2"/>
                <w:highlight w:val="none"/>
              </w:rPr>
            </w:pPr>
            <w:r>
              <w:rPr>
                <w:rFonts w:hint="eastAsia" w:ascii="宋体" w:hAnsi="宋体" w:eastAsia="宋体" w:cs="宋体"/>
                <w:b w:val="0"/>
                <w:bCs/>
                <w:color w:val="auto"/>
                <w:sz w:val="24"/>
                <w:szCs w:val="24"/>
                <w:highlight w:val="none"/>
                <w:lang w:val="en-US" w:eastAsia="zh-CN"/>
              </w:rPr>
              <w:t>2</w:t>
            </w:r>
            <w:r>
              <w:rPr>
                <w:rFonts w:hint="eastAsia" w:cs="宋体"/>
                <w:b w:val="0"/>
                <w:bCs/>
                <w:color w:val="auto"/>
                <w:sz w:val="24"/>
                <w:szCs w:val="24"/>
                <w:highlight w:val="none"/>
                <w:lang w:val="en-US" w:eastAsia="zh-CN"/>
              </w:rPr>
              <w:t>4</w:t>
            </w:r>
            <w:r>
              <w:rPr>
                <w:rFonts w:hint="eastAsia" w:ascii="宋体" w:hAnsi="宋体" w:eastAsia="宋体" w:cs="宋体"/>
                <w:b w:val="0"/>
                <w:bCs/>
                <w:color w:val="auto"/>
                <w:sz w:val="24"/>
                <w:szCs w:val="24"/>
                <w:highlight w:val="none"/>
                <w:lang w:val="en-US" w:eastAsia="zh-CN"/>
              </w:rPr>
              <w:t>.1</w:t>
            </w:r>
          </w:p>
        </w:tc>
        <w:tc>
          <w:tcPr>
            <w:tcW w:w="977" w:type="pct"/>
            <w:vAlign w:val="center"/>
          </w:tcPr>
          <w:p w14:paraId="1FE416F8">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告知磋商结果的形式</w:t>
            </w:r>
          </w:p>
        </w:tc>
        <w:tc>
          <w:tcPr>
            <w:tcW w:w="3556" w:type="pct"/>
            <w:vAlign w:val="center"/>
          </w:tcPr>
          <w:p w14:paraId="550D0936">
            <w:pPr>
              <w:pStyle w:val="76"/>
              <w:widowControl w:val="0"/>
              <w:spacing w:before="0" w:beforeAutospacing="0" w:after="0" w:afterAutospacing="0" w:line="360" w:lineRule="auto"/>
              <w:jc w:val="both"/>
              <w:rPr>
                <w:b w:val="0"/>
                <w:bCs w:val="0"/>
                <w:color w:val="auto"/>
                <w:sz w:val="24"/>
                <w:szCs w:val="24"/>
                <w:highlight w:val="none"/>
              </w:rPr>
            </w:pPr>
            <w:r>
              <w:rPr>
                <w:rFonts w:hint="eastAsia" w:asciiTheme="minorEastAsia" w:hAnsiTheme="minorEastAsia"/>
                <w:b w:val="0"/>
                <w:color w:val="auto"/>
                <w:sz w:val="24"/>
                <w:szCs w:val="24"/>
                <w:highlight w:val="none"/>
              </w:rPr>
              <w:sym w:font="Wingdings" w:char="00FE"/>
            </w:r>
            <w:r>
              <w:rPr>
                <w:rFonts w:hint="eastAsia"/>
                <w:b w:val="0"/>
                <w:bCs w:val="0"/>
                <w:color w:val="auto"/>
                <w:sz w:val="24"/>
                <w:szCs w:val="24"/>
                <w:highlight w:val="none"/>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b w:val="0"/>
                <w:bCs w:val="0"/>
                <w:color w:val="auto"/>
                <w:sz w:val="24"/>
                <w:szCs w:val="24"/>
                <w:highlight w:val="none"/>
              </w:rPr>
              <w:t>系统查看</w:t>
            </w:r>
          </w:p>
          <w:p w14:paraId="24426C4B">
            <w:pPr>
              <w:pStyle w:val="76"/>
              <w:widowControl w:val="0"/>
              <w:spacing w:before="0" w:beforeAutospacing="0" w:after="0" w:afterAutospacing="0" w:line="360" w:lineRule="auto"/>
              <w:jc w:val="both"/>
              <w:rPr>
                <w:rFonts w:hint="eastAsia"/>
                <w:b w:val="0"/>
                <w:color w:val="auto"/>
                <w:sz w:val="24"/>
                <w:highlight w:val="none"/>
              </w:rPr>
            </w:pPr>
            <w:r>
              <w:rPr>
                <w:rFonts w:hint="eastAsia"/>
                <w:b w:val="0"/>
                <w:color w:val="auto"/>
                <w:sz w:val="24"/>
                <w:highlight w:val="none"/>
              </w:rPr>
              <w:t>□磋商现场告知</w:t>
            </w:r>
          </w:p>
        </w:tc>
      </w:tr>
      <w:tr w14:paraId="294FF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4B024883">
            <w:pPr>
              <w:pStyle w:val="7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25</w:t>
            </w:r>
            <w:r>
              <w:rPr>
                <w:bCs/>
                <w:color w:val="auto"/>
                <w:kern w:val="2"/>
                <w:highlight w:val="none"/>
              </w:rPr>
              <w:t>.1</w:t>
            </w:r>
          </w:p>
        </w:tc>
        <w:tc>
          <w:tcPr>
            <w:tcW w:w="977" w:type="pct"/>
            <w:vAlign w:val="center"/>
          </w:tcPr>
          <w:p w14:paraId="2288C87E">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履约保证金</w:t>
            </w:r>
          </w:p>
        </w:tc>
        <w:tc>
          <w:tcPr>
            <w:tcW w:w="3556" w:type="pct"/>
          </w:tcPr>
          <w:p w14:paraId="7111A7A9">
            <w:pPr>
              <w:spacing w:line="360" w:lineRule="auto"/>
              <w:rPr>
                <w:bCs/>
                <w:color w:val="auto"/>
                <w:sz w:val="24"/>
                <w:szCs w:val="28"/>
                <w:highlight w:val="none"/>
              </w:rPr>
            </w:pPr>
            <w:r>
              <w:rPr>
                <w:rFonts w:hint="eastAsia"/>
                <w:bCs/>
                <w:color w:val="auto"/>
                <w:sz w:val="24"/>
                <w:szCs w:val="28"/>
                <w:highlight w:val="none"/>
              </w:rPr>
              <w:t>（1）金额：</w:t>
            </w:r>
          </w:p>
          <w:p w14:paraId="6C0CE609">
            <w:pPr>
              <w:spacing w:line="360" w:lineRule="auto"/>
              <w:rPr>
                <w:bCs/>
                <w:color w:val="auto"/>
                <w:sz w:val="24"/>
                <w:szCs w:val="28"/>
                <w:highlight w:val="none"/>
              </w:rPr>
            </w:pPr>
            <w:r>
              <w:rPr>
                <w:bCs/>
                <w:color w:val="auto"/>
                <w:sz w:val="24"/>
                <w:szCs w:val="28"/>
                <w:highlight w:val="none"/>
              </w:rPr>
              <w:t>□</w:t>
            </w:r>
            <w:r>
              <w:rPr>
                <w:rFonts w:hint="eastAsia"/>
                <w:bCs/>
                <w:color w:val="auto"/>
                <w:sz w:val="24"/>
                <w:szCs w:val="28"/>
                <w:highlight w:val="none"/>
              </w:rPr>
              <w:t>免收</w:t>
            </w:r>
          </w:p>
          <w:p w14:paraId="7EC7D754">
            <w:pPr>
              <w:spacing w:line="360" w:lineRule="auto"/>
              <w:rPr>
                <w:bCs/>
                <w:color w:val="auto"/>
                <w:sz w:val="24"/>
                <w:szCs w:val="28"/>
                <w:highlight w:val="none"/>
              </w:rPr>
            </w:pPr>
            <w:r>
              <w:rPr>
                <w:rFonts w:hint="eastAsia"/>
                <w:bCs/>
                <w:color w:val="auto"/>
                <w:sz w:val="24"/>
                <w:szCs w:val="28"/>
                <w:highlight w:val="none"/>
                <w:lang w:eastAsia="zh-CN"/>
              </w:rPr>
              <w:t>☑</w:t>
            </w:r>
            <w:r>
              <w:rPr>
                <w:rFonts w:hint="eastAsia"/>
                <w:bCs/>
                <w:color w:val="auto"/>
                <w:sz w:val="24"/>
                <w:szCs w:val="28"/>
                <w:highlight w:val="none"/>
              </w:rPr>
              <w:t>合同价的</w:t>
            </w:r>
            <w:r>
              <w:rPr>
                <w:rFonts w:hint="eastAsia"/>
                <w:bCs/>
                <w:color w:val="auto"/>
                <w:sz w:val="24"/>
                <w:szCs w:val="28"/>
                <w:highlight w:val="none"/>
                <w:u w:val="single"/>
                <w:lang w:val="en-US" w:eastAsia="zh-CN"/>
              </w:rPr>
              <w:t>2</w:t>
            </w:r>
            <w:r>
              <w:rPr>
                <w:bCs/>
                <w:color w:val="auto"/>
                <w:sz w:val="24"/>
                <w:szCs w:val="28"/>
                <w:highlight w:val="none"/>
              </w:rPr>
              <w:t>%</w:t>
            </w:r>
          </w:p>
          <w:p w14:paraId="3177661E">
            <w:pPr>
              <w:spacing w:line="360" w:lineRule="auto"/>
              <w:rPr>
                <w:bCs/>
                <w:color w:val="auto"/>
                <w:sz w:val="24"/>
                <w:szCs w:val="28"/>
                <w:highlight w:val="none"/>
              </w:rPr>
            </w:pPr>
            <w:r>
              <w:rPr>
                <w:bCs/>
                <w:color w:val="auto"/>
                <w:sz w:val="24"/>
                <w:szCs w:val="28"/>
                <w:highlight w:val="none"/>
              </w:rPr>
              <w:t>□</w:t>
            </w:r>
            <w:r>
              <w:rPr>
                <w:rFonts w:hint="eastAsia"/>
                <w:bCs/>
                <w:color w:val="auto"/>
                <w:sz w:val="24"/>
                <w:szCs w:val="28"/>
                <w:highlight w:val="none"/>
              </w:rPr>
              <w:t>定额收取：人民币</w:t>
            </w:r>
            <w:r>
              <w:rPr>
                <w:rFonts w:hint="eastAsia"/>
                <w:bCs/>
                <w:color w:val="auto"/>
                <w:sz w:val="24"/>
                <w:szCs w:val="28"/>
                <w:highlight w:val="none"/>
                <w:u w:val="single"/>
              </w:rPr>
              <w:t xml:space="preserve">     </w:t>
            </w:r>
            <w:r>
              <w:rPr>
                <w:rFonts w:hint="eastAsia"/>
                <w:bCs/>
                <w:color w:val="auto"/>
                <w:sz w:val="24"/>
                <w:szCs w:val="28"/>
                <w:highlight w:val="none"/>
                <w:u w:val="single"/>
                <w:lang w:val="en-US" w:eastAsia="zh-CN"/>
              </w:rPr>
              <w:t>/</w:t>
            </w:r>
            <w:r>
              <w:rPr>
                <w:rFonts w:hint="eastAsia"/>
                <w:bCs/>
                <w:color w:val="auto"/>
                <w:sz w:val="24"/>
                <w:szCs w:val="28"/>
                <w:highlight w:val="none"/>
                <w:u w:val="single"/>
              </w:rPr>
              <w:t xml:space="preserve">     </w:t>
            </w:r>
            <w:r>
              <w:rPr>
                <w:rFonts w:hint="eastAsia"/>
                <w:bCs/>
                <w:color w:val="auto"/>
                <w:sz w:val="24"/>
                <w:szCs w:val="28"/>
                <w:highlight w:val="none"/>
              </w:rPr>
              <w:t>元</w:t>
            </w:r>
          </w:p>
          <w:p w14:paraId="73F3B94F">
            <w:pPr>
              <w:spacing w:line="360" w:lineRule="auto"/>
              <w:rPr>
                <w:bCs/>
                <w:color w:val="auto"/>
                <w:sz w:val="24"/>
                <w:szCs w:val="28"/>
                <w:highlight w:val="none"/>
              </w:rPr>
            </w:pPr>
            <w:r>
              <w:rPr>
                <w:rFonts w:hint="eastAsia"/>
                <w:bCs/>
                <w:color w:val="auto"/>
                <w:sz w:val="24"/>
                <w:szCs w:val="28"/>
                <w:highlight w:val="none"/>
              </w:rPr>
              <w:t>（2）支付方式：</w:t>
            </w:r>
          </w:p>
          <w:p w14:paraId="2FCAB721">
            <w:pPr>
              <w:spacing w:line="360" w:lineRule="auto"/>
              <w:rPr>
                <w:bCs/>
                <w:color w:val="auto"/>
                <w:sz w:val="24"/>
                <w:szCs w:val="28"/>
                <w:highlight w:val="none"/>
              </w:rPr>
            </w:pPr>
            <w:r>
              <w:rPr>
                <w:rFonts w:hint="eastAsia"/>
                <w:bCs/>
                <w:color w:val="auto"/>
                <w:sz w:val="24"/>
                <w:szCs w:val="28"/>
                <w:highlight w:val="none"/>
              </w:rPr>
              <w:sym w:font="Wingdings" w:char="00FE"/>
            </w:r>
            <w:r>
              <w:rPr>
                <w:bCs/>
                <w:color w:val="auto"/>
                <w:sz w:val="24"/>
                <w:szCs w:val="28"/>
                <w:highlight w:val="none"/>
              </w:rPr>
              <w:t>转账/电汇</w:t>
            </w:r>
            <w:r>
              <w:rPr>
                <w:rFonts w:hint="eastAsia"/>
                <w:bCs/>
                <w:color w:val="auto"/>
                <w:sz w:val="24"/>
                <w:szCs w:val="28"/>
                <w:highlight w:val="none"/>
              </w:rPr>
              <w:t xml:space="preserve"> </w:t>
            </w:r>
            <w:r>
              <w:rPr>
                <w:rFonts w:hint="eastAsia"/>
                <w:bCs/>
                <w:color w:val="auto"/>
                <w:sz w:val="24"/>
                <w:szCs w:val="28"/>
                <w:highlight w:val="none"/>
              </w:rPr>
              <w:sym w:font="Wingdings" w:char="00FE"/>
            </w:r>
            <w:r>
              <w:rPr>
                <w:bCs/>
                <w:color w:val="auto"/>
                <w:sz w:val="24"/>
                <w:szCs w:val="28"/>
                <w:highlight w:val="none"/>
              </w:rPr>
              <w:t xml:space="preserve">支票 </w:t>
            </w:r>
            <w:r>
              <w:rPr>
                <w:rFonts w:hint="eastAsia"/>
                <w:bCs/>
                <w:color w:val="auto"/>
                <w:sz w:val="24"/>
                <w:szCs w:val="28"/>
                <w:highlight w:val="none"/>
              </w:rPr>
              <w:sym w:font="Wingdings" w:char="00FE"/>
            </w:r>
            <w:r>
              <w:rPr>
                <w:bCs/>
                <w:color w:val="auto"/>
                <w:sz w:val="24"/>
                <w:szCs w:val="28"/>
                <w:highlight w:val="none"/>
              </w:rPr>
              <w:t>汇票</w:t>
            </w:r>
            <w:r>
              <w:rPr>
                <w:rFonts w:hint="eastAsia"/>
                <w:bCs/>
                <w:color w:val="auto"/>
                <w:sz w:val="24"/>
                <w:szCs w:val="28"/>
                <w:highlight w:val="none"/>
              </w:rPr>
              <w:t xml:space="preserve"> </w:t>
            </w:r>
            <w:r>
              <w:rPr>
                <w:rFonts w:hint="eastAsia"/>
                <w:bCs/>
                <w:color w:val="auto"/>
                <w:sz w:val="24"/>
                <w:szCs w:val="28"/>
                <w:highlight w:val="none"/>
              </w:rPr>
              <w:sym w:font="Wingdings" w:char="00FE"/>
            </w:r>
            <w:r>
              <w:rPr>
                <w:rFonts w:hint="eastAsia"/>
                <w:bCs/>
                <w:color w:val="auto"/>
                <w:sz w:val="24"/>
                <w:szCs w:val="28"/>
                <w:highlight w:val="none"/>
              </w:rPr>
              <w:t xml:space="preserve">本票 </w:t>
            </w:r>
            <w:r>
              <w:rPr>
                <w:rFonts w:hint="eastAsia"/>
                <w:bCs/>
                <w:color w:val="auto"/>
                <w:sz w:val="24"/>
                <w:szCs w:val="28"/>
                <w:highlight w:val="none"/>
              </w:rPr>
              <w:sym w:font="Wingdings" w:char="00FE"/>
            </w:r>
            <w:r>
              <w:rPr>
                <w:bCs/>
                <w:color w:val="auto"/>
                <w:sz w:val="24"/>
                <w:szCs w:val="28"/>
                <w:highlight w:val="none"/>
              </w:rPr>
              <w:t>保</w:t>
            </w:r>
            <w:r>
              <w:rPr>
                <w:rFonts w:hint="eastAsia"/>
                <w:bCs/>
                <w:color w:val="auto"/>
                <w:sz w:val="24"/>
                <w:szCs w:val="28"/>
                <w:highlight w:val="none"/>
              </w:rPr>
              <w:t xml:space="preserve">险 </w:t>
            </w:r>
            <w:r>
              <w:rPr>
                <w:rFonts w:hint="eastAsia"/>
                <w:bCs/>
                <w:color w:val="auto"/>
                <w:sz w:val="24"/>
                <w:szCs w:val="28"/>
                <w:highlight w:val="none"/>
              </w:rPr>
              <w:sym w:font="Wingdings" w:char="00FE"/>
            </w:r>
            <w:r>
              <w:rPr>
                <w:rFonts w:hint="eastAsia"/>
                <w:bCs/>
                <w:color w:val="auto"/>
                <w:sz w:val="24"/>
                <w:szCs w:val="28"/>
                <w:highlight w:val="none"/>
              </w:rPr>
              <w:t>保</w:t>
            </w:r>
            <w:r>
              <w:rPr>
                <w:bCs/>
                <w:color w:val="auto"/>
                <w:sz w:val="24"/>
                <w:szCs w:val="28"/>
                <w:highlight w:val="none"/>
              </w:rPr>
              <w:t>函</w:t>
            </w:r>
          </w:p>
          <w:p w14:paraId="0690B5BD">
            <w:pPr>
              <w:keepNext w:val="0"/>
              <w:keepLines w:val="0"/>
              <w:pageBreakBefore w:val="0"/>
              <w:numPr>
                <w:ilvl w:val="0"/>
                <w:numId w:val="0"/>
              </w:numPr>
              <w:suppressLineNumbers w:val="0"/>
              <w:kinsoku/>
              <w:overflowPunct/>
              <w:autoSpaceDE/>
              <w:autoSpaceDN/>
              <w:bidi w:val="0"/>
              <w:spacing w:before="0" w:beforeAutospacing="0" w:after="0" w:afterAutospacing="0" w:line="520" w:lineRule="exact"/>
              <w:ind w:left="0" w:right="0"/>
              <w:textAlignment w:val="auto"/>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lang w:eastAsia="zh-CN"/>
              </w:rPr>
              <w:t>（</w:t>
            </w:r>
            <w:r>
              <w:rPr>
                <w:rFonts w:hint="eastAsia" w:ascii="宋体" w:hAnsi="宋体" w:eastAsia="宋体" w:cs="宋体"/>
                <w:bCs/>
                <w:color w:val="auto"/>
                <w:kern w:val="0"/>
                <w:sz w:val="24"/>
                <w:szCs w:val="24"/>
                <w:highlight w:val="none"/>
                <w:lang w:val="en-US" w:eastAsia="zh-CN"/>
              </w:rPr>
              <w:t>3</w:t>
            </w:r>
            <w:r>
              <w:rPr>
                <w:rFonts w:hint="eastAsia" w:ascii="宋体" w:hAnsi="宋体" w:eastAsia="宋体" w:cs="宋体"/>
                <w:bCs/>
                <w:color w:val="auto"/>
                <w:kern w:val="0"/>
                <w:sz w:val="24"/>
                <w:szCs w:val="24"/>
                <w:highlight w:val="none"/>
                <w:lang w:eastAsia="zh-CN"/>
              </w:rPr>
              <w:t>）</w:t>
            </w:r>
            <w:r>
              <w:rPr>
                <w:rFonts w:hint="eastAsia" w:ascii="宋体" w:hAnsi="宋体" w:eastAsia="宋体" w:cs="宋体"/>
                <w:bCs/>
                <w:color w:val="auto"/>
                <w:kern w:val="0"/>
                <w:sz w:val="24"/>
                <w:szCs w:val="24"/>
                <w:highlight w:val="none"/>
              </w:rPr>
              <w:t>收取单位：</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另行通知</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kern w:val="0"/>
                <w:sz w:val="24"/>
                <w:szCs w:val="24"/>
                <w:highlight w:val="none"/>
              </w:rPr>
              <w:t xml:space="preserve">              </w:t>
            </w:r>
          </w:p>
          <w:p w14:paraId="04487469">
            <w:pPr>
              <w:keepNext w:val="0"/>
              <w:keepLines w:val="0"/>
              <w:pageBreakBefore w:val="0"/>
              <w:suppressLineNumbers w:val="0"/>
              <w:kinsoku/>
              <w:overflowPunct/>
              <w:autoSpaceDE/>
              <w:autoSpaceDN/>
              <w:bidi w:val="0"/>
              <w:spacing w:before="0" w:beforeAutospacing="0" w:after="0" w:afterAutospacing="0" w:line="520" w:lineRule="exact"/>
              <w:ind w:left="0" w:right="0"/>
              <w:textAlignment w:val="auto"/>
              <w:rPr>
                <w:rFonts w:hint="eastAsia" w:ascii="宋体" w:hAnsi="宋体" w:eastAsia="宋体" w:cs="宋体"/>
                <w:bCs/>
                <w:color w:val="auto"/>
                <w:kern w:val="0"/>
                <w:sz w:val="24"/>
                <w:szCs w:val="24"/>
                <w:highlight w:val="none"/>
                <w:lang w:val="en-US" w:eastAsia="zh-CN"/>
              </w:rPr>
            </w:pPr>
            <w:r>
              <w:rPr>
                <w:rFonts w:hint="eastAsia" w:ascii="宋体" w:hAnsi="宋体" w:eastAsia="宋体" w:cs="宋体"/>
                <w:bCs/>
                <w:color w:val="auto"/>
                <w:kern w:val="0"/>
                <w:sz w:val="24"/>
                <w:szCs w:val="24"/>
                <w:highlight w:val="none"/>
                <w:lang w:val="en-US" w:eastAsia="zh-CN"/>
              </w:rPr>
              <w:t>（4）收取账号：</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另行通知</w:t>
            </w:r>
            <w:r>
              <w:rPr>
                <w:rFonts w:hint="eastAsia" w:ascii="宋体" w:hAnsi="宋体" w:eastAsia="宋体" w:cs="宋体"/>
                <w:bCs/>
                <w:color w:val="auto"/>
                <w:sz w:val="24"/>
                <w:szCs w:val="24"/>
                <w:highlight w:val="none"/>
                <w:u w:val="single"/>
              </w:rPr>
              <w:t xml:space="preserve"> </w:t>
            </w:r>
          </w:p>
          <w:p w14:paraId="7F524EB3">
            <w:pPr>
              <w:keepNext w:val="0"/>
              <w:keepLines w:val="0"/>
              <w:pageBreakBefore w:val="0"/>
              <w:suppressLineNumbers w:val="0"/>
              <w:kinsoku/>
              <w:overflowPunct/>
              <w:autoSpaceDE/>
              <w:autoSpaceDN/>
              <w:bidi w:val="0"/>
              <w:spacing w:before="0" w:beforeAutospacing="0" w:after="0" w:afterAutospacing="0" w:line="520" w:lineRule="exact"/>
              <w:ind w:left="0" w:right="0"/>
              <w:textAlignment w:val="auto"/>
              <w:rPr>
                <w:rFonts w:hint="eastAsia" w:ascii="宋体" w:hAnsi="宋体" w:eastAsia="宋体" w:cs="宋体"/>
                <w:sz w:val="24"/>
                <w:szCs w:val="24"/>
                <w:highlight w:val="none"/>
                <w:u w:val="single" w:color="auto"/>
                <w:lang w:val="en-US" w:eastAsia="zh-CN"/>
              </w:rPr>
            </w:pPr>
            <w:r>
              <w:rPr>
                <w:rFonts w:hint="eastAsia" w:ascii="宋体" w:hAnsi="宋体" w:eastAsia="宋体" w:cs="宋体"/>
                <w:bCs/>
                <w:color w:val="auto"/>
                <w:kern w:val="0"/>
                <w:sz w:val="24"/>
                <w:szCs w:val="24"/>
                <w:highlight w:val="none"/>
              </w:rPr>
              <w:t>（</w:t>
            </w:r>
            <w:r>
              <w:rPr>
                <w:rFonts w:hint="eastAsia" w:ascii="宋体" w:hAnsi="宋体" w:eastAsia="宋体" w:cs="宋体"/>
                <w:bCs/>
                <w:color w:val="auto"/>
                <w:kern w:val="0"/>
                <w:sz w:val="24"/>
                <w:szCs w:val="24"/>
                <w:highlight w:val="none"/>
                <w:lang w:val="en-US" w:eastAsia="zh-CN"/>
              </w:rPr>
              <w:t>5</w:t>
            </w:r>
            <w:r>
              <w:rPr>
                <w:rFonts w:hint="eastAsia" w:ascii="宋体" w:hAnsi="宋体" w:eastAsia="宋体" w:cs="宋体"/>
                <w:bCs/>
                <w:color w:val="auto"/>
                <w:kern w:val="0"/>
                <w:sz w:val="24"/>
                <w:szCs w:val="24"/>
                <w:highlight w:val="none"/>
              </w:rPr>
              <w:t>）</w:t>
            </w:r>
            <w:r>
              <w:rPr>
                <w:rFonts w:hint="eastAsia" w:ascii="宋体" w:hAnsi="宋体" w:eastAsia="宋体" w:cs="宋体"/>
                <w:color w:val="auto"/>
                <w:sz w:val="24"/>
                <w:szCs w:val="24"/>
                <w:highlight w:val="none"/>
              </w:rPr>
              <w:t>退还时间：</w:t>
            </w:r>
            <w:r>
              <w:rPr>
                <w:rFonts w:hint="eastAsia" w:ascii="宋体" w:hAnsi="宋体" w:eastAsia="宋体" w:cs="宋体"/>
                <w:bCs/>
                <w:color w:val="auto"/>
                <w:sz w:val="24"/>
                <w:szCs w:val="24"/>
                <w:highlight w:val="none"/>
                <w:u w:val="single"/>
                <w:lang w:val="en-US" w:eastAsia="zh-CN"/>
              </w:rPr>
              <w:t xml:space="preserve"> 履约保证金有效期满7日内。</w:t>
            </w:r>
          </w:p>
          <w:p w14:paraId="64C27A0E">
            <w:pPr>
              <w:spacing w:line="360" w:lineRule="auto"/>
              <w:rPr>
                <w:b/>
                <w:bCs/>
                <w:color w:val="auto"/>
                <w:sz w:val="24"/>
                <w:szCs w:val="24"/>
                <w:highlight w:val="none"/>
              </w:rPr>
            </w:pPr>
            <w:r>
              <w:rPr>
                <w:rFonts w:hint="eastAsia"/>
                <w:b/>
                <w:bCs/>
                <w:color w:val="auto"/>
                <w:sz w:val="24"/>
                <w:szCs w:val="24"/>
                <w:highlight w:val="none"/>
              </w:rPr>
              <w:t>注意事项：</w:t>
            </w:r>
          </w:p>
          <w:p w14:paraId="5FF0F573">
            <w:pPr>
              <w:spacing w:line="360" w:lineRule="auto"/>
              <w:rPr>
                <w:b/>
                <w:bCs/>
                <w:color w:val="auto"/>
                <w:sz w:val="24"/>
                <w:szCs w:val="24"/>
                <w:highlight w:val="none"/>
              </w:rPr>
            </w:pPr>
            <w:r>
              <w:rPr>
                <w:rFonts w:hint="eastAsia"/>
                <w:b/>
                <w:bCs/>
                <w:color w:val="auto"/>
                <w:sz w:val="24"/>
                <w:szCs w:val="24"/>
                <w:highlight w:val="none"/>
              </w:rPr>
              <w:t>（1）以上各类机构出具的以担保函、保证保险承担责任的方式均须满足无条件见索即付条件。</w:t>
            </w:r>
          </w:p>
          <w:p w14:paraId="154C0BB1">
            <w:pPr>
              <w:pStyle w:val="76"/>
              <w:widowControl w:val="0"/>
              <w:spacing w:before="0" w:beforeAutospacing="0" w:after="0" w:afterAutospacing="0" w:line="360" w:lineRule="auto"/>
              <w:jc w:val="both"/>
              <w:rPr>
                <w:color w:val="auto"/>
                <w:sz w:val="24"/>
                <w:highlight w:val="none"/>
              </w:rPr>
            </w:pPr>
            <w:r>
              <w:rPr>
                <w:rFonts w:hint="eastAsia"/>
                <w:bCs w:val="0"/>
                <w:color w:val="auto"/>
                <w:sz w:val="24"/>
                <w:szCs w:val="24"/>
                <w:highlight w:val="none"/>
              </w:rPr>
              <w:t>（2）以担保函、保证保险形式缴纳履约保证金的，受益人和收取单位须为采购人。</w:t>
            </w:r>
          </w:p>
        </w:tc>
      </w:tr>
      <w:tr w14:paraId="16C7B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4AE815A7">
            <w:pPr>
              <w:pStyle w:val="7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26.1</w:t>
            </w:r>
          </w:p>
        </w:tc>
        <w:tc>
          <w:tcPr>
            <w:tcW w:w="977" w:type="pct"/>
            <w:vAlign w:val="center"/>
          </w:tcPr>
          <w:p w14:paraId="488350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代理费用</w:t>
            </w:r>
          </w:p>
        </w:tc>
        <w:tc>
          <w:tcPr>
            <w:tcW w:w="3556" w:type="pct"/>
            <w:vAlign w:val="center"/>
          </w:tcPr>
          <w:p w14:paraId="6B17185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w:t>
            </w:r>
            <w:r>
              <w:rPr>
                <w:rFonts w:hint="default" w:ascii="宋体" w:hAnsi="宋体" w:eastAsia="宋体" w:cs="宋体"/>
                <w:color w:val="auto"/>
                <w:sz w:val="24"/>
                <w:szCs w:val="24"/>
                <w:highlight w:val="none"/>
                <w:u w:val="single"/>
                <w:lang w:val="en-US" w:eastAsia="zh-CN"/>
              </w:rPr>
              <w:t>收费对象</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val="en-US" w:eastAsia="zh-CN"/>
              </w:rPr>
              <w:sym w:font="Wingdings" w:char="00A8"/>
            </w:r>
            <w:r>
              <w:rPr>
                <w:rFonts w:hint="eastAsia" w:ascii="宋体" w:hAnsi="宋体" w:eastAsia="宋体" w:cs="宋体"/>
                <w:color w:val="auto"/>
                <w:sz w:val="24"/>
                <w:szCs w:val="24"/>
                <w:highlight w:val="none"/>
                <w:u w:val="single"/>
                <w:lang w:val="en-US" w:eastAsia="zh-CN"/>
              </w:rPr>
              <w:t xml:space="preserve">采购人   </w:t>
            </w:r>
            <w:r>
              <w:rPr>
                <w:rFonts w:hint="eastAsia" w:ascii="宋体" w:hAnsi="宋体" w:eastAsia="宋体" w:cs="宋体"/>
                <w:color w:val="auto"/>
                <w:sz w:val="24"/>
                <w:szCs w:val="24"/>
                <w:highlight w:val="none"/>
                <w:u w:val="single"/>
                <w:lang w:val="en-US" w:eastAsia="zh-CN"/>
              </w:rPr>
              <w:sym w:font="Wingdings" w:char="00FE"/>
            </w:r>
            <w:r>
              <w:rPr>
                <w:rFonts w:hint="eastAsia" w:ascii="宋体" w:hAnsi="宋体" w:eastAsia="宋体" w:cs="宋体"/>
                <w:color w:val="auto"/>
                <w:sz w:val="24"/>
                <w:szCs w:val="24"/>
                <w:highlight w:val="none"/>
                <w:u w:val="single"/>
                <w:lang w:val="en-US" w:eastAsia="zh-CN"/>
              </w:rPr>
              <w:t>成交供应商</w:t>
            </w:r>
          </w:p>
          <w:p w14:paraId="7EA5AD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（2）收取方式：成交供应商在获取成交通知书时一次性支付给代理机构</w:t>
            </w:r>
          </w:p>
          <w:p w14:paraId="49EBBD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（3）收费标准：代理费</w:t>
            </w:r>
            <w:r>
              <w:rPr>
                <w:rFonts w:hint="default" w:ascii="宋体" w:hAnsi="宋体" w:eastAsia="宋体" w:cs="宋体"/>
                <w:color w:val="auto"/>
                <w:sz w:val="24"/>
                <w:szCs w:val="24"/>
                <w:highlight w:val="none"/>
                <w:u w:val="single"/>
                <w:lang w:val="en-US" w:eastAsia="zh-CN"/>
              </w:rPr>
              <w:t>8260</w:t>
            </w:r>
            <w:r>
              <w:rPr>
                <w:rFonts w:hint="eastAsia" w:ascii="宋体" w:hAnsi="宋体" w:eastAsia="宋体" w:cs="宋体"/>
                <w:color w:val="auto"/>
                <w:sz w:val="24"/>
                <w:szCs w:val="24"/>
                <w:highlight w:val="none"/>
                <w:u w:val="single"/>
                <w:lang w:val="en-US" w:eastAsia="zh-CN"/>
              </w:rPr>
              <w:t>元，参考《滁州市公共资源交易代理机构及从业人员管理暂行办法》滁公管〔2022〕5号标准，以最高限价计算。</w:t>
            </w:r>
          </w:p>
        </w:tc>
      </w:tr>
      <w:tr w14:paraId="6DD2C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0F65D464">
            <w:pPr>
              <w:pStyle w:val="77"/>
              <w:pBdr>
                <w:bottom w:val="none" w:color="auto" w:sz="0" w:space="0"/>
              </w:pBdr>
              <w:tabs>
                <w:tab w:val="clear" w:pos="4153"/>
                <w:tab w:val="clear" w:pos="8306"/>
              </w:tabs>
              <w:adjustRightInd/>
              <w:spacing w:line="360" w:lineRule="auto"/>
              <w:textAlignment w:val="auto"/>
              <w:rPr>
                <w:rFonts w:hint="eastAsia" w:ascii="宋体" w:hAnsi="宋体" w:eastAsia="宋体" w:cs="@仿宋_GB2312"/>
                <w:bCs/>
                <w:color w:val="auto"/>
                <w:kern w:val="2"/>
                <w:sz w:val="24"/>
                <w:szCs w:val="20"/>
                <w:highlight w:val="none"/>
                <w:lang w:val="en-US" w:eastAsia="zh-CN" w:bidi="ar-SA"/>
              </w:rPr>
            </w:pPr>
            <w:r>
              <w:rPr>
                <w:rFonts w:hint="eastAsia"/>
                <w:bCs/>
                <w:color w:val="auto"/>
                <w:kern w:val="2"/>
                <w:highlight w:val="none"/>
                <w:lang w:val="en-US" w:eastAsia="zh-CN"/>
              </w:rPr>
              <w:t>27.1</w:t>
            </w:r>
          </w:p>
        </w:tc>
        <w:tc>
          <w:tcPr>
            <w:tcW w:w="977" w:type="pct"/>
            <w:vAlign w:val="center"/>
          </w:tcPr>
          <w:p w14:paraId="28F413C0">
            <w:pPr>
              <w:pStyle w:val="76"/>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签订合同和合同公告时间</w:t>
            </w:r>
          </w:p>
        </w:tc>
        <w:tc>
          <w:tcPr>
            <w:tcW w:w="3556" w:type="pct"/>
            <w:vAlign w:val="center"/>
          </w:tcPr>
          <w:p w14:paraId="45FF6AFF">
            <w:pPr>
              <w:pStyle w:val="5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（1）采购人与成交供应商应当自发出</w:t>
            </w:r>
            <w:r>
              <w:rPr>
                <w:rFonts w:hint="eastAsia" w:cs="宋体"/>
                <w:b w:val="0"/>
                <w:bCs w:val="0"/>
                <w:color w:val="auto"/>
                <w:sz w:val="24"/>
                <w:szCs w:val="24"/>
                <w:highlight w:val="none"/>
                <w:lang w:val="en-US" w:eastAsia="zh-CN"/>
              </w:rPr>
              <w:t>成交</w:t>
            </w:r>
            <w:r>
              <w:rPr>
                <w:rFonts w:hint="eastAsia" w:ascii="宋体" w:hAnsi="宋体" w:eastAsia="宋体" w:cs="宋体"/>
                <w:b w:val="0"/>
                <w:bCs w:val="0"/>
                <w:color w:val="auto"/>
                <w:sz w:val="24"/>
                <w:szCs w:val="24"/>
                <w:highlight w:val="none"/>
                <w:lang w:val="en-US" w:eastAsia="zh-CN"/>
              </w:rPr>
              <w:t>通知书之日起7个工作日内签订合同，采购合同签订之日起2个工作日内完成政府采购合同公开。</w:t>
            </w:r>
          </w:p>
          <w:p w14:paraId="148D5E9E">
            <w:pPr>
              <w:pStyle w:val="76"/>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cs="宋体"/>
                <w:b w:val="0"/>
                <w:bCs w:val="0"/>
                <w:color w:val="auto"/>
                <w:sz w:val="24"/>
                <w:szCs w:val="24"/>
                <w:highlight w:val="none"/>
                <w:lang w:val="en-US" w:eastAsia="zh-CN"/>
              </w:rPr>
              <w:t>（2）采购人与成交供应商</w:t>
            </w:r>
            <w:r>
              <w:rPr>
                <w:rFonts w:hint="default" w:ascii="宋体" w:hAnsi="宋体" w:eastAsia="宋体" w:cs="宋体"/>
                <w:b w:val="0"/>
                <w:bCs w:val="0"/>
                <w:color w:val="auto"/>
                <w:sz w:val="24"/>
                <w:szCs w:val="24"/>
                <w:highlight w:val="none"/>
                <w:lang w:val="en-US" w:eastAsia="zh-CN"/>
              </w:rPr>
              <w:t>不得擅自变更合同，依照政府采购法确需变更政府采购合同内容的，采购人应当自合同变更之日起2个工作日内</w:t>
            </w:r>
            <w:r>
              <w:rPr>
                <w:rFonts w:hint="eastAsia" w:ascii="宋体" w:hAnsi="宋体" w:eastAsia="宋体" w:cs="宋体"/>
                <w:b w:val="0"/>
                <w:bCs w:val="0"/>
                <w:color w:val="auto"/>
                <w:sz w:val="24"/>
                <w:szCs w:val="24"/>
                <w:highlight w:val="none"/>
                <w:lang w:val="en-US" w:eastAsia="zh-CN"/>
              </w:rPr>
              <w:t>在安徽省政府采购网</w:t>
            </w:r>
            <w:r>
              <w:rPr>
                <w:rFonts w:hint="default" w:ascii="宋体" w:hAnsi="宋体" w:eastAsia="宋体" w:cs="宋体"/>
                <w:b w:val="0"/>
                <w:bCs w:val="0"/>
                <w:color w:val="auto"/>
                <w:sz w:val="24"/>
                <w:szCs w:val="24"/>
                <w:highlight w:val="none"/>
                <w:lang w:val="en-US" w:eastAsia="zh-CN"/>
              </w:rPr>
              <w:t>发布政府采购合同变更公告</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但涉及国家秘密、商业秘密的信息和其他依法不得公开的信息除外。</w:t>
            </w:r>
          </w:p>
        </w:tc>
      </w:tr>
      <w:tr w14:paraId="2FD80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621548F1">
            <w:pPr>
              <w:pStyle w:val="77"/>
              <w:pBdr>
                <w:bottom w:val="none" w:color="auto" w:sz="0" w:space="0"/>
              </w:pBdr>
              <w:tabs>
                <w:tab w:val="clear" w:pos="4153"/>
                <w:tab w:val="clear" w:pos="8306"/>
              </w:tabs>
              <w:adjustRightInd/>
              <w:spacing w:line="360" w:lineRule="auto"/>
              <w:textAlignment w:val="auto"/>
              <w:rPr>
                <w:rFonts w:hint="default" w:eastAsia="宋体"/>
                <w:bCs/>
                <w:color w:val="auto"/>
                <w:kern w:val="2"/>
                <w:highlight w:val="none"/>
                <w:lang w:val="en-US" w:eastAsia="zh-CN"/>
              </w:rPr>
            </w:pPr>
            <w:r>
              <w:rPr>
                <w:rFonts w:hint="eastAsia"/>
                <w:bCs/>
                <w:color w:val="auto"/>
                <w:kern w:val="2"/>
                <w:highlight w:val="none"/>
                <w:lang w:val="en-US" w:eastAsia="zh-CN"/>
              </w:rPr>
              <w:t>29.3</w:t>
            </w:r>
          </w:p>
        </w:tc>
        <w:tc>
          <w:tcPr>
            <w:tcW w:w="977" w:type="pct"/>
            <w:vAlign w:val="center"/>
          </w:tcPr>
          <w:p w14:paraId="44E5FD33">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质疑函递交方式、接收部门、联系电话和通讯地址</w:t>
            </w:r>
          </w:p>
        </w:tc>
        <w:tc>
          <w:tcPr>
            <w:tcW w:w="3556" w:type="pct"/>
            <w:vAlign w:val="center"/>
          </w:tcPr>
          <w:p w14:paraId="7BD76FE2">
            <w:pPr>
              <w:pStyle w:val="76"/>
              <w:keepNext w:val="0"/>
              <w:keepLines w:val="0"/>
              <w:widowControl w:val="0"/>
              <w:suppressLineNumbers w:val="0"/>
              <w:spacing w:before="0" w:beforeAutospacing="0" w:after="0" w:afterAutospacing="0" w:line="360" w:lineRule="auto"/>
              <w:ind w:left="0" w:right="0"/>
              <w:jc w:val="both"/>
              <w:rPr>
                <w:rFonts w:hint="eastAsia" w:ascii="宋体" w:hAnsi="宋体" w:eastAsia="宋体"/>
                <w:b/>
                <w:bCs w:val="0"/>
                <w:color w:val="auto"/>
                <w:sz w:val="24"/>
                <w:highlight w:val="none"/>
                <w:u w:val="single"/>
                <w:lang w:val="en-US" w:eastAsia="zh-CN"/>
              </w:rPr>
            </w:pPr>
            <w:r>
              <w:rPr>
                <w:rFonts w:hint="eastAsia" w:ascii="宋体" w:hAnsi="宋体" w:eastAsia="宋体"/>
                <w:b w:val="0"/>
                <w:color w:val="auto"/>
                <w:sz w:val="24"/>
                <w:highlight w:val="none"/>
              </w:rPr>
              <w:t>递交方式：</w:t>
            </w:r>
            <w:r>
              <w:rPr>
                <w:rFonts w:hint="eastAsia" w:ascii="宋体" w:hAnsi="宋体" w:eastAsia="宋体"/>
                <w:b/>
                <w:bCs w:val="0"/>
                <w:color w:val="auto"/>
                <w:sz w:val="24"/>
                <w:highlight w:val="none"/>
                <w:u w:val="single"/>
                <w:lang w:val="en-US" w:eastAsia="zh-CN"/>
              </w:rPr>
              <w:t>如供应商对磋商文件有质疑，依据中华人民共和国财政部令第94号《政府采购质疑和投诉办法》规定提出质疑</w:t>
            </w:r>
            <w:r>
              <w:rPr>
                <w:rFonts w:hint="eastAsia"/>
                <w:b/>
                <w:bCs w:val="0"/>
                <w:color w:val="auto"/>
                <w:sz w:val="24"/>
                <w:highlight w:val="none"/>
                <w:u w:val="single"/>
                <w:lang w:val="en-US" w:eastAsia="zh-CN"/>
              </w:rPr>
              <w:t>；</w:t>
            </w:r>
          </w:p>
          <w:p w14:paraId="38331EF4">
            <w:pPr>
              <w:pStyle w:val="76"/>
              <w:keepNext w:val="0"/>
              <w:keepLines w:val="0"/>
              <w:widowControl w:val="0"/>
              <w:suppressLineNumbers w:val="0"/>
              <w:spacing w:before="0" w:beforeAutospacing="0" w:after="0" w:afterAutospacing="0" w:line="360" w:lineRule="auto"/>
              <w:ind w:left="0" w:right="0"/>
              <w:jc w:val="both"/>
              <w:rPr>
                <w:rFonts w:hint="default" w:ascii="宋体" w:hAnsi="宋体" w:eastAsia="宋体"/>
                <w:b/>
                <w:bCs w:val="0"/>
                <w:color w:val="auto"/>
                <w:sz w:val="24"/>
                <w:highlight w:val="none"/>
                <w:u w:val="single"/>
              </w:rPr>
            </w:pPr>
            <w:r>
              <w:rPr>
                <w:rFonts w:hint="eastAsia" w:ascii="宋体" w:hAnsi="宋体" w:eastAsia="宋体"/>
                <w:b/>
                <w:bCs w:val="0"/>
                <w:color w:val="auto"/>
                <w:sz w:val="24"/>
                <w:highlight w:val="none"/>
                <w:u w:val="single"/>
                <w:lang w:val="en-US" w:eastAsia="zh-CN"/>
              </w:rPr>
              <w:t>供应商</w:t>
            </w:r>
            <w:r>
              <w:rPr>
                <w:rFonts w:hint="eastAsia" w:ascii="宋体" w:hAnsi="宋体" w:eastAsia="宋体"/>
                <w:b/>
                <w:bCs w:val="0"/>
                <w:color w:val="auto"/>
                <w:sz w:val="24"/>
                <w:highlight w:val="none"/>
                <w:u w:val="single"/>
              </w:rPr>
              <w:t>可以通过书面形式提出，也可以通过线上提出质疑</w:t>
            </w:r>
            <w:r>
              <w:rPr>
                <w:rFonts w:hint="eastAsia" w:ascii="宋体" w:hAnsi="宋体" w:eastAsia="宋体"/>
                <w:b/>
                <w:bCs w:val="0"/>
                <w:color w:val="auto"/>
                <w:sz w:val="24"/>
                <w:highlight w:val="none"/>
                <w:u w:val="single"/>
                <w:lang w:eastAsia="zh-CN"/>
              </w:rPr>
              <w:t>【</w:t>
            </w:r>
            <w:r>
              <w:rPr>
                <w:rFonts w:hint="eastAsia" w:ascii="宋体" w:hAnsi="宋体" w:eastAsia="宋体"/>
                <w:b/>
                <w:bCs w:val="0"/>
                <w:color w:val="auto"/>
                <w:sz w:val="24"/>
                <w:highlight w:val="none"/>
                <w:u w:val="single"/>
              </w:rPr>
              <w:t>通过线上向滁州市公共资源交易中心网电子交易系统提出质疑(具体操作步骤和程序请参见服务指南&gt;交易须知&gt;在线异议、质疑和投诉操作手册)</w:t>
            </w:r>
            <w:r>
              <w:rPr>
                <w:rFonts w:hint="eastAsia" w:ascii="宋体" w:hAnsi="宋体" w:eastAsia="宋体"/>
                <w:b/>
                <w:bCs w:val="0"/>
                <w:color w:val="auto"/>
                <w:sz w:val="24"/>
                <w:highlight w:val="none"/>
                <w:u w:val="single"/>
                <w:lang w:eastAsia="zh-CN"/>
              </w:rPr>
              <w:t>】</w:t>
            </w:r>
            <w:r>
              <w:rPr>
                <w:rFonts w:hint="eastAsia" w:ascii="宋体" w:hAnsi="宋体" w:eastAsia="宋体"/>
                <w:b/>
                <w:bCs w:val="0"/>
                <w:color w:val="auto"/>
                <w:sz w:val="24"/>
                <w:highlight w:val="none"/>
                <w:u w:val="single"/>
              </w:rPr>
              <w:t>。一份质疑函只能针对一个项目提出质疑，且针对同一采购程序环节的质疑应当</w:t>
            </w:r>
            <w:r>
              <w:rPr>
                <w:rFonts w:hint="eastAsia" w:ascii="宋体" w:hAnsi="宋体" w:eastAsia="宋体"/>
                <w:b/>
                <w:bCs w:val="0"/>
                <w:color w:val="auto"/>
                <w:sz w:val="24"/>
                <w:highlight w:val="none"/>
                <w:u w:val="single"/>
                <w:lang w:val="en-US" w:eastAsia="zh-CN"/>
              </w:rPr>
              <w:t>一</w:t>
            </w:r>
            <w:r>
              <w:rPr>
                <w:rFonts w:hint="eastAsia" w:ascii="宋体" w:hAnsi="宋体" w:eastAsia="宋体"/>
                <w:b/>
                <w:bCs w:val="0"/>
                <w:color w:val="auto"/>
                <w:sz w:val="24"/>
                <w:highlight w:val="none"/>
                <w:u w:val="single"/>
              </w:rPr>
              <w:t>次性提出</w:t>
            </w:r>
          </w:p>
          <w:p w14:paraId="37FC2A55">
            <w:pPr>
              <w:pStyle w:val="76"/>
              <w:keepNext w:val="0"/>
              <w:keepLines w:val="0"/>
              <w:widowControl w:val="0"/>
              <w:suppressLineNumbers w:val="0"/>
              <w:spacing w:before="0" w:beforeAutospacing="0" w:after="0" w:afterAutospacing="0" w:line="360" w:lineRule="auto"/>
              <w:ind w:left="0" w:right="0"/>
              <w:jc w:val="both"/>
              <w:rPr>
                <w:rFonts w:hint="default"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滁州市重点工程建设管理处</w:t>
            </w:r>
            <w:r>
              <w:rPr>
                <w:rFonts w:hint="eastAsia" w:ascii="宋体" w:hAnsi="宋体" w:eastAsia="宋体"/>
                <w:bCs/>
                <w:color w:val="auto"/>
                <w:kern w:val="0"/>
                <w:sz w:val="24"/>
                <w:szCs w:val="28"/>
                <w:highlight w:val="none"/>
                <w:u w:val="single"/>
                <w:lang w:val="en-US" w:eastAsia="zh-CN"/>
              </w:rPr>
              <w:t>或滁州市城投工程咨询管理有限公司</w:t>
            </w:r>
          </w:p>
          <w:p w14:paraId="2F66C476">
            <w:pPr>
              <w:pStyle w:val="76"/>
              <w:keepNext w:val="0"/>
              <w:keepLines w:val="0"/>
              <w:widowControl w:val="0"/>
              <w:suppressLineNumbers w:val="0"/>
              <w:spacing w:before="0" w:beforeAutospacing="0" w:after="0" w:afterAutospacing="0" w:line="360" w:lineRule="auto"/>
              <w:ind w:left="0" w:right="0"/>
              <w:jc w:val="both"/>
              <w:rPr>
                <w:rFonts w:hint="eastAsia" w:ascii="宋体" w:hAnsi="宋体" w:eastAsia="宋体"/>
                <w:b w:val="0"/>
                <w:bCs w:val="0"/>
                <w:color w:val="auto"/>
                <w:sz w:val="24"/>
                <w:szCs w:val="18"/>
                <w:highlight w:val="none"/>
                <w:lang w:val="en-US" w:eastAsia="zh-CN"/>
              </w:rPr>
            </w:pPr>
            <w:r>
              <w:rPr>
                <w:rFonts w:hint="default" w:ascii="宋体" w:hAnsi="宋体" w:eastAsia="宋体"/>
                <w:b w:val="0"/>
                <w:color w:val="auto"/>
                <w:sz w:val="24"/>
                <w:highlight w:val="none"/>
              </w:rPr>
              <w:t>联系电话：</w:t>
            </w:r>
            <w:r>
              <w:rPr>
                <w:rFonts w:hint="eastAsia"/>
                <w:bCs/>
                <w:color w:val="auto"/>
                <w:kern w:val="0"/>
                <w:sz w:val="24"/>
                <w:szCs w:val="28"/>
                <w:highlight w:val="none"/>
                <w:u w:val="single"/>
                <w:lang w:eastAsia="zh-CN"/>
              </w:rPr>
              <w:t>0550-2599817、0550-3519519、18005505728</w:t>
            </w:r>
          </w:p>
          <w:p w14:paraId="68ED590E">
            <w:pPr>
              <w:pStyle w:val="76"/>
              <w:widowControl w:val="0"/>
              <w:spacing w:before="0" w:beforeAutospacing="0" w:after="0" w:afterAutospacing="0" w:line="360" w:lineRule="auto"/>
              <w:jc w:val="both"/>
              <w:rPr>
                <w:b w:val="0"/>
                <w:color w:val="auto"/>
                <w:sz w:val="24"/>
                <w:highlight w:val="none"/>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滁州市琅琊西路81号建设大厦4</w:t>
            </w:r>
            <w:r>
              <w:rPr>
                <w:rFonts w:hint="eastAsia" w:ascii="宋体" w:hAnsi="宋体" w:eastAsia="宋体"/>
                <w:bCs/>
                <w:color w:val="auto"/>
                <w:kern w:val="0"/>
                <w:sz w:val="24"/>
                <w:szCs w:val="28"/>
                <w:highlight w:val="none"/>
                <w:u w:val="single"/>
                <w:lang w:val="en-US" w:eastAsia="zh-CN"/>
              </w:rPr>
              <w:t>楼、</w:t>
            </w:r>
            <w:r>
              <w:rPr>
                <w:rFonts w:hint="eastAsia"/>
                <w:bCs/>
                <w:color w:val="auto"/>
                <w:kern w:val="0"/>
                <w:sz w:val="24"/>
                <w:szCs w:val="28"/>
                <w:highlight w:val="none"/>
                <w:u w:val="single"/>
                <w:lang w:eastAsia="zh-CN"/>
              </w:rPr>
              <w:t>滁州市龙蟠大道109号房产商务大厦6楼</w:t>
            </w:r>
          </w:p>
        </w:tc>
      </w:tr>
      <w:tr w14:paraId="579A1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2151567F">
            <w:pPr>
              <w:pStyle w:val="7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rFonts w:hint="eastAsia"/>
                <w:bCs/>
                <w:color w:val="auto"/>
                <w:kern w:val="2"/>
                <w:highlight w:val="none"/>
              </w:rPr>
              <w:t>3</w:t>
            </w:r>
            <w:r>
              <w:rPr>
                <w:rFonts w:hint="eastAsia"/>
                <w:bCs/>
                <w:color w:val="auto"/>
                <w:kern w:val="2"/>
                <w:highlight w:val="none"/>
                <w:lang w:val="en-US" w:eastAsia="zh-CN"/>
              </w:rPr>
              <w:t>0</w:t>
            </w:r>
          </w:p>
        </w:tc>
        <w:tc>
          <w:tcPr>
            <w:tcW w:w="977" w:type="pct"/>
            <w:vAlign w:val="center"/>
          </w:tcPr>
          <w:p w14:paraId="7397BED6">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其他内容</w:t>
            </w:r>
          </w:p>
        </w:tc>
        <w:tc>
          <w:tcPr>
            <w:tcW w:w="3556" w:type="pct"/>
            <w:vAlign w:val="center"/>
          </w:tcPr>
          <w:p w14:paraId="283B4135">
            <w:pPr>
              <w:pStyle w:val="76"/>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1.特别提示：</w:t>
            </w:r>
          </w:p>
          <w:p w14:paraId="7D67FADE">
            <w:pPr>
              <w:pStyle w:val="76"/>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（1）供应商应填写投标信息并下载采购文件，否则无法上传响应文件。</w:t>
            </w:r>
          </w:p>
          <w:p w14:paraId="6A5F4774">
            <w:pPr>
              <w:pStyle w:val="76"/>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注：供应商如为联合体的，牵头人必须完善供应商信息，并在上传响应文件环节添加联合体参与信息。</w:t>
            </w:r>
          </w:p>
          <w:p w14:paraId="6048D496">
            <w:pPr>
              <w:pStyle w:val="76"/>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2）本项目采用电子招标投标，请供应商在滁州市公共资源交易中心网&gt;服务指南&gt;软件下载栏目点击下载响应文件制作工具。供应商需采用最新版响应文件制作工具。软件运行需在国际互联网络通畅状态，供应商需注意更新，以免造成响应文件制作错误，如因此导致磋商小组否决其磋商资格，责任自负。如有技术问题请联系0550-3801701，0512-58188516。</w:t>
            </w:r>
          </w:p>
          <w:p w14:paraId="79FF3F87">
            <w:pPr>
              <w:pStyle w:val="76"/>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（3）如果过程中出现采购文件更改，应以最后发布的招标答疑澄清文件中的模板制作本项目最新响应文件。</w:t>
            </w:r>
          </w:p>
          <w:p w14:paraId="7877FA3C">
            <w:pPr>
              <w:pStyle w:val="76"/>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 xml:space="preserve">（4）供应商应当用本单位CA数字证书制作响应文件，制作成功后进行响应文件上传。联合体参加磋商的，磋商文件下载、响应文件编制、电子签章、网上递交标书、解密等工作均由其牵头人负责办理，其他联合体成员方按磋商文件要求提供相关材料即可。 </w:t>
            </w:r>
          </w:p>
          <w:p w14:paraId="3A9B481C">
            <w:pPr>
              <w:pStyle w:val="76"/>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5）供应商须用CA数字证书盖章和加密响应文件，建议使用主锁。（如未办理CA数字证书请及时办理，网上办理和窗口办理均可。查看办理所需资料请登录滁州市公共资源交易中心网&gt;服务指南&gt;办事指南&gt;CA数字证书和电子签章。因未及时办理CA数字证书手续导致无法投标的，责任自负。</w:t>
            </w:r>
          </w:p>
          <w:p w14:paraId="5DB23F97">
            <w:pPr>
              <w:pStyle w:val="76"/>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（6）请供应商注意加密响应文件CA数字证书的有效期，不在有效期的CA数字证书无法解密响应文件。</w:t>
            </w:r>
          </w:p>
          <w:p w14:paraId="7F61C257">
            <w:pPr>
              <w:pStyle w:val="76"/>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（7）供应商投标MAC地址一致，由磋商小组否决其磋商资格。</w:t>
            </w:r>
          </w:p>
          <w:p w14:paraId="298AD91D">
            <w:pPr>
              <w:pStyle w:val="76"/>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（8）供应商单方面出现其他供应商材料的，由磋商小组否决其响应资格。</w:t>
            </w:r>
          </w:p>
          <w:p w14:paraId="629C7D5B">
            <w:pPr>
              <w:pStyle w:val="76"/>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9）评标时查询响应文件制作机器码、文件创建标识码及造价软件加密锁号。若存在响应文件制作机器码或创建标识码或造价软件加密锁号信息与其他供应商雷同的，由磋商小组否决其磋商资格，保证金不予退还，依法依规予以处理。</w:t>
            </w:r>
          </w:p>
          <w:p w14:paraId="6BA9BA6A">
            <w:pPr>
              <w:pStyle w:val="76"/>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（10）供应商联系人或联系电话相同的，由磋商小组否决其响应资格，并报告监管部门作不良行为处理和进一步调查。</w:t>
            </w:r>
          </w:p>
          <w:p w14:paraId="145E713C">
            <w:pPr>
              <w:pStyle w:val="76"/>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（11）供应商以联合体名义参与磋商的，其质疑投诉应当由联合体全体成员共同提出。联合体成员单独进行质疑投诉的，应当书面征得联合体其他成员同意，联合体成员之间投诉的除外。</w:t>
            </w:r>
          </w:p>
          <w:p w14:paraId="0124F256">
            <w:pPr>
              <w:pStyle w:val="76"/>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12）电子加密响应文件上传到系统后，需要供应商和采购代理公司到截止时间后共同解锁，不存在商务报价等投标信息通过系统泄密的风险；截止时间前，已上传的响应文件也可以撤回修改。集中到开标截止时间前上传电子加密响应文件，可能出现由于投标企业制作电子响应文件不熟练、网络拥堵等不可预知的情况而且无法及时解决，丧失投标机会，请各投标企业提前制作、上传电子加密响应文件，否则由于无法及时上传电子加密响应文件而无效响应的情况，责任自负！</w:t>
            </w:r>
          </w:p>
          <w:p w14:paraId="4DF6057B">
            <w:pPr>
              <w:pStyle w:val="76"/>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2.评审过程中的澄清、说明或补正：</w:t>
            </w:r>
          </w:p>
          <w:p w14:paraId="2AAF3B56">
            <w:pPr>
              <w:pStyle w:val="76"/>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（1）磋商小组通过网上招投标系统将需要澄清、说明或补正的内容以询标函的形式发送给供应商，供应商应安排专人登录网上招投标系统并保持在线状态，以便及时接收磋商小组可能发出的询标函。</w:t>
            </w:r>
          </w:p>
          <w:p w14:paraId="7404B555">
            <w:pPr>
              <w:pStyle w:val="76"/>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2）因供应商未登录网上招投标系统导致无法及时接收询标函（远程网上询标）或未在规定时间内按磋商小组要求进行澄清、说明或补正内容的视同供应商放弃澄清、说明或补正内容的权利，磋商小组可按对供应商不利的解释进行判定。</w:t>
            </w:r>
          </w:p>
          <w:p w14:paraId="393ACA80">
            <w:pPr>
              <w:pStyle w:val="76"/>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3.同义词语：</w:t>
            </w:r>
          </w:p>
          <w:p w14:paraId="4ECE2FFC">
            <w:pPr>
              <w:pStyle w:val="76"/>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磋商文件第六章  响应文件格式、附件1“关于联合惩戒失信行为 加强信用查询管理的通知”等章节中 “招标人”、“投标人”，等同于“采购人”、“供应商”。</w:t>
            </w:r>
          </w:p>
          <w:p w14:paraId="0933E01E">
            <w:pPr>
              <w:pStyle w:val="76"/>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4.落实政府采购支持节能产品、环境标志产品政策。</w:t>
            </w:r>
          </w:p>
          <w:p w14:paraId="3E51E8ED">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lang w:val="en-US" w:eastAsia="zh-CN"/>
              </w:rPr>
              <w:t>5.系统中提供的表格与采购文件中不一致时，以采购文件中提供的表格格式为准。</w:t>
            </w:r>
          </w:p>
        </w:tc>
      </w:tr>
      <w:tr w14:paraId="72791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313A336F">
            <w:pPr>
              <w:pStyle w:val="7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1</w:t>
            </w:r>
          </w:p>
        </w:tc>
        <w:tc>
          <w:tcPr>
            <w:tcW w:w="977" w:type="pct"/>
            <w:vAlign w:val="center"/>
          </w:tcPr>
          <w:p w14:paraId="3AFFEAEB">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承包方式</w:t>
            </w:r>
          </w:p>
        </w:tc>
        <w:tc>
          <w:tcPr>
            <w:tcW w:w="3556" w:type="pct"/>
            <w:vAlign w:val="center"/>
          </w:tcPr>
          <w:p w14:paraId="232E9704">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 xml:space="preserve">□施工总承包  </w:t>
            </w:r>
            <w:r>
              <w:rPr>
                <w:rFonts w:hint="eastAsia"/>
                <w:b w:val="0"/>
                <w:color w:val="auto"/>
                <w:sz w:val="24"/>
                <w:highlight w:val="none"/>
                <w:lang w:eastAsia="zh-CN"/>
              </w:rPr>
              <w:t>☑</w:t>
            </w:r>
            <w:r>
              <w:rPr>
                <w:rFonts w:hint="eastAsia"/>
                <w:b w:val="0"/>
                <w:color w:val="auto"/>
                <w:sz w:val="24"/>
                <w:highlight w:val="none"/>
              </w:rPr>
              <w:t>专业承包</w:t>
            </w:r>
          </w:p>
        </w:tc>
      </w:tr>
      <w:tr w14:paraId="6ADD3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4BB55F86">
            <w:pPr>
              <w:pStyle w:val="7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2</w:t>
            </w:r>
          </w:p>
        </w:tc>
        <w:tc>
          <w:tcPr>
            <w:tcW w:w="977" w:type="pct"/>
            <w:vAlign w:val="center"/>
          </w:tcPr>
          <w:p w14:paraId="396AD061">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计价方式</w:t>
            </w:r>
          </w:p>
        </w:tc>
        <w:tc>
          <w:tcPr>
            <w:tcW w:w="3556" w:type="pct"/>
            <w:vAlign w:val="center"/>
          </w:tcPr>
          <w:p w14:paraId="7B83370A">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lang w:eastAsia="zh-CN"/>
              </w:rPr>
              <w:t>☑</w:t>
            </w:r>
            <w:r>
              <w:rPr>
                <w:rFonts w:hint="eastAsia"/>
                <w:b w:val="0"/>
                <w:color w:val="auto"/>
                <w:sz w:val="24"/>
                <w:highlight w:val="none"/>
              </w:rPr>
              <w:t>工程量清单综合单价报价法</w:t>
            </w:r>
          </w:p>
          <w:p w14:paraId="2BAB9C1B">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□全费用综合单价报价法</w:t>
            </w:r>
          </w:p>
        </w:tc>
      </w:tr>
      <w:tr w14:paraId="79E7F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38D344F3">
            <w:pPr>
              <w:pStyle w:val="7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3</w:t>
            </w:r>
          </w:p>
        </w:tc>
        <w:tc>
          <w:tcPr>
            <w:tcW w:w="977" w:type="pct"/>
            <w:vAlign w:val="center"/>
          </w:tcPr>
          <w:p w14:paraId="4DE0687A">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计划</w:t>
            </w:r>
            <w:r>
              <w:rPr>
                <w:b w:val="0"/>
                <w:color w:val="auto"/>
                <w:sz w:val="24"/>
                <w:highlight w:val="none"/>
              </w:rPr>
              <w:t>工期</w:t>
            </w:r>
          </w:p>
        </w:tc>
        <w:tc>
          <w:tcPr>
            <w:tcW w:w="3556" w:type="pct"/>
            <w:vAlign w:val="center"/>
          </w:tcPr>
          <w:p w14:paraId="2EA85FC8">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计划</w:t>
            </w:r>
            <w:r>
              <w:rPr>
                <w:b w:val="0"/>
                <w:color w:val="auto"/>
                <w:sz w:val="24"/>
                <w:highlight w:val="none"/>
              </w:rPr>
              <w:t>工期：</w:t>
            </w:r>
            <w:r>
              <w:rPr>
                <w:rFonts w:hint="eastAsia"/>
                <w:b w:val="0"/>
                <w:color w:val="auto"/>
                <w:sz w:val="24"/>
                <w:highlight w:val="none"/>
              </w:rPr>
              <w:t>自合同签订之日起，不高于</w:t>
            </w:r>
            <w:r>
              <w:rPr>
                <w:rFonts w:hint="eastAsia"/>
                <w:b w:val="0"/>
                <w:color w:val="auto"/>
                <w:sz w:val="24"/>
                <w:highlight w:val="none"/>
                <w:u w:val="single"/>
              </w:rPr>
              <w:t>30</w:t>
            </w:r>
            <w:r>
              <w:rPr>
                <w:rFonts w:hint="eastAsia"/>
                <w:b w:val="0"/>
                <w:color w:val="auto"/>
                <w:sz w:val="24"/>
                <w:highlight w:val="none"/>
              </w:rPr>
              <w:t>个日历天完工</w:t>
            </w:r>
          </w:p>
          <w:p w14:paraId="1102753E">
            <w:pPr>
              <w:pStyle w:val="76"/>
              <w:widowControl w:val="0"/>
              <w:spacing w:before="0" w:beforeAutospacing="0" w:after="0" w:afterAutospacing="0" w:line="360" w:lineRule="auto"/>
              <w:jc w:val="both"/>
              <w:rPr>
                <w:rFonts w:hint="eastAsia"/>
                <w:b w:val="0"/>
                <w:color w:val="auto"/>
                <w:sz w:val="24"/>
                <w:highlight w:val="none"/>
              </w:rPr>
            </w:pPr>
            <w:r>
              <w:rPr>
                <w:b w:val="0"/>
                <w:color w:val="auto"/>
                <w:sz w:val="24"/>
                <w:highlight w:val="none"/>
              </w:rPr>
              <w:t>计划开工日期：</w:t>
            </w:r>
            <w:r>
              <w:rPr>
                <w:b w:val="0"/>
                <w:color w:val="auto"/>
                <w:sz w:val="24"/>
                <w:highlight w:val="none"/>
                <w:u w:val="single"/>
              </w:rPr>
              <w:t xml:space="preserve">    </w:t>
            </w:r>
            <w:r>
              <w:rPr>
                <w:b w:val="0"/>
                <w:color w:val="auto"/>
                <w:sz w:val="24"/>
                <w:highlight w:val="none"/>
              </w:rPr>
              <w:t>年</w:t>
            </w:r>
            <w:r>
              <w:rPr>
                <w:b w:val="0"/>
                <w:color w:val="auto"/>
                <w:sz w:val="24"/>
                <w:highlight w:val="none"/>
                <w:u w:val="single"/>
              </w:rPr>
              <w:t xml:space="preserve">  </w:t>
            </w:r>
            <w:r>
              <w:rPr>
                <w:b w:val="0"/>
                <w:color w:val="auto"/>
                <w:sz w:val="24"/>
                <w:highlight w:val="none"/>
              </w:rPr>
              <w:t>月</w:t>
            </w:r>
            <w:r>
              <w:rPr>
                <w:b w:val="0"/>
                <w:color w:val="auto"/>
                <w:sz w:val="24"/>
                <w:highlight w:val="none"/>
                <w:u w:val="single"/>
              </w:rPr>
              <w:t xml:space="preserve">  </w:t>
            </w:r>
            <w:r>
              <w:rPr>
                <w:b w:val="0"/>
                <w:color w:val="auto"/>
                <w:sz w:val="24"/>
                <w:highlight w:val="none"/>
              </w:rPr>
              <w:t>日</w:t>
            </w:r>
            <w:r>
              <w:rPr>
                <w:rFonts w:hint="eastAsia"/>
                <w:b w:val="0"/>
                <w:color w:val="auto"/>
                <w:sz w:val="24"/>
                <w:highlight w:val="none"/>
              </w:rPr>
              <w:t>，</w:t>
            </w:r>
            <w:bookmarkStart w:id="20" w:name="EB2a2e1a22d449405a860670c095486ab8"/>
            <w:r>
              <w:rPr>
                <w:rFonts w:hint="eastAsia"/>
                <w:b w:val="0"/>
                <w:color w:val="auto"/>
                <w:sz w:val="24"/>
                <w:highlight w:val="none"/>
              </w:rPr>
              <w:t>具体开工时间以开工令为准。</w:t>
            </w:r>
            <w:bookmarkEnd w:id="20"/>
          </w:p>
          <w:p w14:paraId="1EC2F4A0">
            <w:pPr>
              <w:pStyle w:val="76"/>
              <w:widowControl w:val="0"/>
              <w:spacing w:before="0" w:beforeAutospacing="0" w:after="0" w:afterAutospacing="0" w:line="360" w:lineRule="auto"/>
              <w:jc w:val="both"/>
              <w:rPr>
                <w:rFonts w:hint="eastAsia"/>
                <w:b w:val="0"/>
                <w:color w:val="auto"/>
                <w:sz w:val="24"/>
                <w:highlight w:val="none"/>
              </w:rPr>
            </w:pPr>
            <w:r>
              <w:rPr>
                <w:rFonts w:hint="eastAsia"/>
                <w:b w:val="0"/>
                <w:color w:val="auto"/>
                <w:sz w:val="24"/>
                <w:highlight w:val="none"/>
              </w:rPr>
              <w:t>供应商自报的承诺工期为考核标准。因供应商原因造成的工期延误，每推迟一天，按合同价款（扣除暂估价和暂列金）万分之二处以违约金。</w:t>
            </w:r>
          </w:p>
        </w:tc>
      </w:tr>
      <w:tr w14:paraId="2CFA1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6D3E6637">
            <w:pPr>
              <w:pStyle w:val="7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4</w:t>
            </w:r>
          </w:p>
        </w:tc>
        <w:tc>
          <w:tcPr>
            <w:tcW w:w="977" w:type="pct"/>
            <w:vAlign w:val="center"/>
          </w:tcPr>
          <w:p w14:paraId="2C25BF6E">
            <w:pPr>
              <w:pStyle w:val="76"/>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b w:val="0"/>
                <w:color w:val="auto"/>
                <w:sz w:val="24"/>
                <w:highlight w:val="none"/>
              </w:rPr>
              <w:t>质量标准要求</w:t>
            </w:r>
          </w:p>
        </w:tc>
        <w:tc>
          <w:tcPr>
            <w:tcW w:w="3556" w:type="pct"/>
            <w:vAlign w:val="center"/>
          </w:tcPr>
          <w:p w14:paraId="5BE5AF26">
            <w:pPr>
              <w:pStyle w:val="76"/>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b w:val="0"/>
                <w:color w:val="auto"/>
                <w:sz w:val="24"/>
                <w:highlight w:val="none"/>
              </w:rPr>
              <w:t xml:space="preserve">质量标准：符合国家及项目所在地验收标准，施工质量合格，绿化成活率100%。 </w:t>
            </w:r>
          </w:p>
        </w:tc>
      </w:tr>
      <w:tr w14:paraId="691B6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0B95E801">
            <w:pPr>
              <w:pStyle w:val="7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5</w:t>
            </w:r>
          </w:p>
        </w:tc>
        <w:tc>
          <w:tcPr>
            <w:tcW w:w="977" w:type="pct"/>
            <w:vAlign w:val="center"/>
          </w:tcPr>
          <w:p w14:paraId="6FFC3E9C">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安全文明要求</w:t>
            </w:r>
          </w:p>
        </w:tc>
        <w:tc>
          <w:tcPr>
            <w:tcW w:w="3556" w:type="pct"/>
            <w:vAlign w:val="center"/>
          </w:tcPr>
          <w:p w14:paraId="28C69C41">
            <w:pPr>
              <w:pStyle w:val="76"/>
              <w:widowControl w:val="0"/>
              <w:spacing w:before="0" w:beforeAutospacing="0" w:after="0" w:afterAutospacing="0" w:line="360" w:lineRule="auto"/>
              <w:jc w:val="both"/>
              <w:rPr>
                <w:b w:val="0"/>
                <w:bCs w:val="0"/>
                <w:color w:val="auto"/>
                <w:sz w:val="24"/>
                <w:highlight w:val="none"/>
              </w:rPr>
            </w:pPr>
            <w:r>
              <w:rPr>
                <w:rFonts w:hint="eastAsia"/>
                <w:b w:val="0"/>
                <w:bCs w:val="0"/>
                <w:color w:val="auto"/>
                <w:sz w:val="24"/>
                <w:highlight w:val="none"/>
              </w:rPr>
              <w:t>必须确保安全文明施工，符合国家和项目所在地现行相关规定</w:t>
            </w:r>
          </w:p>
        </w:tc>
      </w:tr>
      <w:tr w14:paraId="1443A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17746626">
            <w:pPr>
              <w:pStyle w:val="7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6</w:t>
            </w:r>
          </w:p>
        </w:tc>
        <w:tc>
          <w:tcPr>
            <w:tcW w:w="977" w:type="pct"/>
            <w:vAlign w:val="center"/>
          </w:tcPr>
          <w:p w14:paraId="3364FFF6">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总包及分包规定</w:t>
            </w:r>
          </w:p>
        </w:tc>
        <w:tc>
          <w:tcPr>
            <w:tcW w:w="3556" w:type="pct"/>
            <w:vAlign w:val="center"/>
          </w:tcPr>
          <w:p w14:paraId="3F9F3BB3">
            <w:pPr>
              <w:spacing w:line="360" w:lineRule="auto"/>
              <w:rPr>
                <w:rFonts w:ascii="Calibri" w:hAnsi="Calibri" w:cs="Times New Roman"/>
                <w:b w:val="0"/>
                <w:bCs w:val="0"/>
                <w:color w:val="auto"/>
                <w:kern w:val="2"/>
                <w:sz w:val="24"/>
                <w:szCs w:val="28"/>
                <w:highlight w:val="none"/>
              </w:rPr>
            </w:pPr>
            <w:r>
              <w:rPr>
                <w:rFonts w:hint="eastAsia" w:ascii="Calibri" w:hAnsi="Calibri" w:cs="Times New Roman"/>
                <w:b w:val="0"/>
                <w:bCs w:val="0"/>
                <w:color w:val="auto"/>
                <w:kern w:val="2"/>
                <w:sz w:val="24"/>
                <w:szCs w:val="28"/>
                <w:highlight w:val="none"/>
              </w:rPr>
              <w:t>供应商不得在成交后将工程转包给其它施工单位。</w:t>
            </w:r>
          </w:p>
          <w:p w14:paraId="5E30B4F0">
            <w:pPr>
              <w:spacing w:line="360" w:lineRule="auto"/>
              <w:jc w:val="left"/>
              <w:rPr>
                <w:rFonts w:cs="Times New Roman"/>
                <w:b w:val="0"/>
                <w:bCs w:val="0"/>
                <w:color w:val="auto"/>
                <w:kern w:val="2"/>
                <w:sz w:val="24"/>
                <w:szCs w:val="22"/>
                <w:highlight w:val="none"/>
              </w:rPr>
            </w:pPr>
            <w:r>
              <w:rPr>
                <w:rFonts w:hint="eastAsia" w:cs="Times New Roman"/>
                <w:b w:val="0"/>
                <w:bCs w:val="0"/>
                <w:color w:val="auto"/>
                <w:kern w:val="2"/>
                <w:sz w:val="24"/>
                <w:szCs w:val="22"/>
                <w:highlight w:val="none"/>
              </w:rPr>
              <w:t>分包情况</w:t>
            </w:r>
          </w:p>
          <w:p w14:paraId="2FD786D6">
            <w:pPr>
              <w:spacing w:line="360" w:lineRule="auto"/>
              <w:jc w:val="left"/>
              <w:rPr>
                <w:rFonts w:cs="Times New Roman"/>
                <w:b w:val="0"/>
                <w:bCs w:val="0"/>
                <w:color w:val="auto"/>
                <w:kern w:val="2"/>
                <w:sz w:val="24"/>
                <w:szCs w:val="22"/>
                <w:highlight w:val="none"/>
              </w:rPr>
            </w:pPr>
            <w:r>
              <w:rPr>
                <w:rFonts w:hint="eastAsia" w:cs="Times New Roman"/>
                <w:b w:val="0"/>
                <w:bCs w:val="0"/>
                <w:color w:val="auto"/>
                <w:kern w:val="2"/>
                <w:sz w:val="24"/>
                <w:szCs w:val="22"/>
                <w:highlight w:val="none"/>
              </w:rPr>
              <w:t>□允许专业分包，</w:t>
            </w:r>
            <w:r>
              <w:rPr>
                <w:rFonts w:hint="eastAsia" w:ascii="Calibri" w:hAnsi="Calibri" w:cs="Times New Roman"/>
                <w:b w:val="0"/>
                <w:bCs w:val="0"/>
                <w:color w:val="auto"/>
                <w:kern w:val="2"/>
                <w:sz w:val="24"/>
                <w:szCs w:val="22"/>
                <w:highlight w:val="none"/>
              </w:rPr>
              <w:t>分包项目、内容及分包商须经采购人及监理单位同意和认可</w:t>
            </w:r>
          </w:p>
          <w:p w14:paraId="330EAF85">
            <w:pPr>
              <w:pStyle w:val="76"/>
              <w:widowControl w:val="0"/>
              <w:spacing w:before="0" w:beforeAutospacing="0" w:after="0" w:afterAutospacing="0" w:line="360" w:lineRule="auto"/>
              <w:jc w:val="both"/>
              <w:rPr>
                <w:b w:val="0"/>
                <w:bCs w:val="0"/>
                <w:color w:val="auto"/>
                <w:sz w:val="24"/>
                <w:highlight w:val="none"/>
              </w:rPr>
            </w:pPr>
            <w:r>
              <w:rPr>
                <w:rFonts w:hint="eastAsia" w:cs="Times New Roman"/>
                <w:b w:val="0"/>
                <w:bCs w:val="0"/>
                <w:color w:val="auto"/>
                <w:kern w:val="2"/>
                <w:sz w:val="24"/>
                <w:szCs w:val="22"/>
                <w:highlight w:val="none"/>
                <w:lang w:eastAsia="zh-CN"/>
              </w:rPr>
              <w:t>☑</w:t>
            </w:r>
            <w:r>
              <w:rPr>
                <w:rFonts w:hint="eastAsia" w:cs="Times New Roman"/>
                <w:b w:val="0"/>
                <w:bCs w:val="0"/>
                <w:color w:val="auto"/>
                <w:kern w:val="2"/>
                <w:sz w:val="24"/>
                <w:szCs w:val="22"/>
                <w:highlight w:val="none"/>
              </w:rPr>
              <w:t>不允许</w:t>
            </w:r>
          </w:p>
        </w:tc>
      </w:tr>
      <w:tr w14:paraId="214C5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37BC5DAE">
            <w:pPr>
              <w:pStyle w:val="7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7</w:t>
            </w:r>
          </w:p>
        </w:tc>
        <w:tc>
          <w:tcPr>
            <w:tcW w:w="977" w:type="pct"/>
            <w:vAlign w:val="center"/>
          </w:tcPr>
          <w:p w14:paraId="3B4C9F66">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现场条件</w:t>
            </w:r>
          </w:p>
        </w:tc>
        <w:tc>
          <w:tcPr>
            <w:tcW w:w="3556" w:type="pct"/>
            <w:vAlign w:val="center"/>
          </w:tcPr>
          <w:p w14:paraId="45B30E58">
            <w:pPr>
              <w:pStyle w:val="76"/>
              <w:widowControl w:val="0"/>
              <w:spacing w:before="0" w:beforeAutospacing="0" w:after="0" w:afterAutospacing="0" w:line="360" w:lineRule="auto"/>
              <w:jc w:val="both"/>
              <w:rPr>
                <w:b w:val="0"/>
                <w:color w:val="auto"/>
                <w:sz w:val="24"/>
                <w:highlight w:val="none"/>
              </w:rPr>
            </w:pPr>
            <w:r>
              <w:rPr>
                <w:rFonts w:hint="eastAsia"/>
                <w:b w:val="0"/>
                <w:bCs w:val="0"/>
                <w:color w:val="auto"/>
                <w:sz w:val="24"/>
                <w:highlight w:val="none"/>
              </w:rPr>
              <w:t>具备开工条件</w:t>
            </w:r>
          </w:p>
        </w:tc>
      </w:tr>
      <w:tr w14:paraId="23580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041BFB29">
            <w:pPr>
              <w:pStyle w:val="7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8</w:t>
            </w:r>
          </w:p>
        </w:tc>
        <w:tc>
          <w:tcPr>
            <w:tcW w:w="977" w:type="pct"/>
            <w:vAlign w:val="center"/>
          </w:tcPr>
          <w:p w14:paraId="5E6C73C3">
            <w:pPr>
              <w:pStyle w:val="76"/>
              <w:widowControl w:val="0"/>
              <w:spacing w:before="0" w:beforeAutospacing="0" w:after="0" w:afterAutospacing="0" w:line="360" w:lineRule="auto"/>
              <w:jc w:val="both"/>
              <w:rPr>
                <w:b w:val="0"/>
                <w:color w:val="auto"/>
                <w:sz w:val="24"/>
                <w:highlight w:val="none"/>
              </w:rPr>
            </w:pPr>
            <w:r>
              <w:rPr>
                <w:rFonts w:hint="eastAsia"/>
                <w:b w:val="0"/>
                <w:bCs w:val="0"/>
                <w:color w:val="auto"/>
                <w:sz w:val="24"/>
                <w:highlight w:val="none"/>
              </w:rPr>
              <w:t>采购人提供的资料</w:t>
            </w:r>
          </w:p>
        </w:tc>
        <w:tc>
          <w:tcPr>
            <w:tcW w:w="3556" w:type="pct"/>
            <w:vAlign w:val="center"/>
          </w:tcPr>
          <w:p w14:paraId="55157ECC">
            <w:pPr>
              <w:adjustRightInd w:val="0"/>
              <w:snapToGrid w:val="0"/>
              <w:spacing w:line="360" w:lineRule="auto"/>
              <w:jc w:val="left"/>
              <w:rPr>
                <w:bCs/>
                <w:color w:val="auto"/>
                <w:sz w:val="24"/>
                <w:szCs w:val="28"/>
                <w:highlight w:val="none"/>
              </w:rPr>
            </w:pPr>
            <w:r>
              <w:rPr>
                <w:rFonts w:hint="eastAsia"/>
                <w:bCs/>
                <w:color w:val="auto"/>
                <w:sz w:val="24"/>
                <w:szCs w:val="28"/>
                <w:highlight w:val="none"/>
                <w:lang w:eastAsia="zh-CN"/>
              </w:rPr>
              <w:t>☑</w:t>
            </w:r>
            <w:r>
              <w:rPr>
                <w:rFonts w:hint="eastAsia"/>
                <w:bCs/>
                <w:color w:val="auto"/>
                <w:sz w:val="24"/>
                <w:szCs w:val="28"/>
                <w:highlight w:val="none"/>
              </w:rPr>
              <w:t>磋商文件</w:t>
            </w:r>
          </w:p>
          <w:p w14:paraId="79C89484">
            <w:pPr>
              <w:adjustRightInd w:val="0"/>
              <w:snapToGrid w:val="0"/>
              <w:spacing w:line="360" w:lineRule="auto"/>
              <w:jc w:val="left"/>
              <w:rPr>
                <w:bCs/>
                <w:color w:val="auto"/>
                <w:sz w:val="24"/>
                <w:szCs w:val="28"/>
                <w:highlight w:val="none"/>
              </w:rPr>
            </w:pPr>
            <w:r>
              <w:rPr>
                <w:rFonts w:hint="eastAsia"/>
                <w:bCs/>
                <w:color w:val="auto"/>
                <w:sz w:val="24"/>
                <w:szCs w:val="28"/>
                <w:highlight w:val="none"/>
                <w:lang w:eastAsia="zh-CN"/>
              </w:rPr>
              <w:t>☑</w:t>
            </w:r>
            <w:r>
              <w:rPr>
                <w:rFonts w:hint="eastAsia"/>
                <w:bCs/>
                <w:color w:val="auto"/>
                <w:sz w:val="24"/>
                <w:szCs w:val="28"/>
                <w:highlight w:val="none"/>
              </w:rPr>
              <w:t>工程量清单</w:t>
            </w:r>
          </w:p>
          <w:p w14:paraId="61AE1135">
            <w:pPr>
              <w:adjustRightInd w:val="0"/>
              <w:snapToGrid w:val="0"/>
              <w:spacing w:line="360" w:lineRule="auto"/>
              <w:jc w:val="left"/>
              <w:rPr>
                <w:bCs/>
                <w:color w:val="auto"/>
                <w:sz w:val="24"/>
                <w:szCs w:val="28"/>
                <w:highlight w:val="none"/>
              </w:rPr>
            </w:pPr>
            <w:r>
              <w:rPr>
                <w:rFonts w:hint="eastAsia"/>
                <w:bCs/>
                <w:color w:val="auto"/>
                <w:sz w:val="24"/>
                <w:szCs w:val="28"/>
                <w:highlight w:val="none"/>
                <w:lang w:eastAsia="zh-CN"/>
              </w:rPr>
              <w:t>☑</w:t>
            </w:r>
            <w:r>
              <w:rPr>
                <w:rFonts w:hint="eastAsia"/>
                <w:bCs/>
                <w:color w:val="auto"/>
                <w:sz w:val="24"/>
                <w:szCs w:val="28"/>
                <w:highlight w:val="none"/>
              </w:rPr>
              <w:t>最高投标限价</w:t>
            </w:r>
          </w:p>
          <w:p w14:paraId="019412B6">
            <w:pPr>
              <w:adjustRightInd w:val="0"/>
              <w:snapToGrid w:val="0"/>
              <w:spacing w:line="360" w:lineRule="auto"/>
              <w:jc w:val="left"/>
              <w:rPr>
                <w:bCs/>
                <w:color w:val="auto"/>
                <w:sz w:val="24"/>
                <w:szCs w:val="28"/>
                <w:highlight w:val="none"/>
              </w:rPr>
            </w:pPr>
            <w:r>
              <w:rPr>
                <w:rFonts w:hint="eastAsia"/>
                <w:bCs/>
                <w:color w:val="auto"/>
                <w:sz w:val="24"/>
                <w:szCs w:val="28"/>
                <w:highlight w:val="none"/>
                <w:lang w:eastAsia="zh-CN"/>
              </w:rPr>
              <w:t>☑</w:t>
            </w:r>
            <w:r>
              <w:rPr>
                <w:rFonts w:hint="eastAsia"/>
                <w:bCs/>
                <w:color w:val="auto"/>
                <w:sz w:val="24"/>
                <w:szCs w:val="28"/>
                <w:highlight w:val="none"/>
              </w:rPr>
              <w:t>电子版图纸</w:t>
            </w:r>
          </w:p>
          <w:p w14:paraId="41D8A9C5">
            <w:pPr>
              <w:adjustRightInd w:val="0"/>
              <w:snapToGrid w:val="0"/>
              <w:spacing w:line="360" w:lineRule="auto"/>
              <w:jc w:val="left"/>
              <w:rPr>
                <w:bCs/>
                <w:color w:val="auto"/>
                <w:sz w:val="24"/>
                <w:szCs w:val="28"/>
                <w:highlight w:val="none"/>
              </w:rPr>
            </w:pPr>
            <w:r>
              <w:rPr>
                <w:rFonts w:hint="eastAsia"/>
                <w:bCs/>
                <w:color w:val="auto"/>
                <w:sz w:val="24"/>
                <w:szCs w:val="28"/>
                <w:highlight w:val="none"/>
              </w:rPr>
              <w:t>获得方式：</w:t>
            </w:r>
          </w:p>
          <w:p w14:paraId="34EC4252">
            <w:pPr>
              <w:pStyle w:val="76"/>
              <w:widowControl w:val="0"/>
              <w:spacing w:before="0" w:beforeAutospacing="0" w:after="0" w:afterAutospacing="0" w:line="360" w:lineRule="auto"/>
              <w:jc w:val="both"/>
              <w:rPr>
                <w:b w:val="0"/>
                <w:color w:val="auto"/>
                <w:sz w:val="24"/>
                <w:highlight w:val="none"/>
              </w:rPr>
            </w:pPr>
            <w:r>
              <w:rPr>
                <w:rFonts w:hint="eastAsia"/>
                <w:color w:val="auto"/>
                <w:sz w:val="24"/>
                <w:highlight w:val="none"/>
              </w:rPr>
              <w:t>上述资料请供应商在获取磋商文件后，自行登录电子交易系统下载本项目附件。</w:t>
            </w:r>
          </w:p>
        </w:tc>
      </w:tr>
      <w:tr w14:paraId="37648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43805B5C">
            <w:pPr>
              <w:pStyle w:val="7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rFonts w:hint="eastAsia"/>
                <w:bCs/>
                <w:color w:val="auto"/>
                <w:kern w:val="2"/>
                <w:highlight w:val="none"/>
                <w:lang w:val="en-US" w:eastAsia="zh-CN"/>
              </w:rPr>
              <w:t>30</w:t>
            </w:r>
            <w:r>
              <w:rPr>
                <w:bCs/>
                <w:color w:val="auto"/>
                <w:kern w:val="2"/>
                <w:highlight w:val="none"/>
              </w:rPr>
              <w:t>.</w:t>
            </w:r>
            <w:r>
              <w:rPr>
                <w:rFonts w:hint="eastAsia"/>
                <w:bCs/>
                <w:color w:val="auto"/>
                <w:kern w:val="2"/>
                <w:highlight w:val="none"/>
                <w:lang w:val="en-US" w:eastAsia="zh-CN"/>
              </w:rPr>
              <w:t>9</w:t>
            </w:r>
          </w:p>
        </w:tc>
        <w:tc>
          <w:tcPr>
            <w:tcW w:w="977" w:type="pct"/>
            <w:vAlign w:val="center"/>
          </w:tcPr>
          <w:p w14:paraId="1506C3DA">
            <w:pPr>
              <w:pStyle w:val="76"/>
              <w:widowControl w:val="0"/>
              <w:spacing w:before="0" w:beforeAutospacing="0" w:after="0" w:afterAutospacing="0" w:line="360" w:lineRule="auto"/>
              <w:jc w:val="both"/>
              <w:rPr>
                <w:b w:val="0"/>
                <w:color w:val="auto"/>
                <w:sz w:val="24"/>
                <w:highlight w:val="none"/>
              </w:rPr>
            </w:pPr>
            <w:r>
              <w:rPr>
                <w:rFonts w:hint="eastAsia"/>
                <w:b w:val="0"/>
                <w:bCs w:val="0"/>
                <w:color w:val="auto"/>
                <w:sz w:val="24"/>
                <w:highlight w:val="none"/>
              </w:rPr>
              <w:t>工程量清单和最高投标限价编制费</w:t>
            </w:r>
          </w:p>
        </w:tc>
        <w:tc>
          <w:tcPr>
            <w:tcW w:w="3556" w:type="pct"/>
            <w:vAlign w:val="center"/>
          </w:tcPr>
          <w:p w14:paraId="2C847AF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宋体" w:hAnsi="宋体" w:eastAsia="宋体" w:cs="宋体"/>
                <w:color w:val="auto"/>
                <w:sz w:val="24"/>
                <w:szCs w:val="24"/>
                <w:highlight w:val="none"/>
              </w:rPr>
            </w:pPr>
            <w:r>
              <w:rPr>
                <w:rFonts w:hint="eastAsia" w:ascii="宋体" w:hAnsi="宋体" w:eastAsia="宋体" w:cs="宋体"/>
                <w:bCs/>
                <w:color w:val="auto"/>
                <w:kern w:val="0"/>
                <w:sz w:val="24"/>
                <w:szCs w:val="24"/>
                <w:highlight w:val="none"/>
                <w:lang w:eastAsia="zh-CN"/>
              </w:rPr>
              <w:t>（</w:t>
            </w:r>
            <w:r>
              <w:rPr>
                <w:rFonts w:hint="eastAsia" w:ascii="宋体" w:hAnsi="宋体" w:eastAsia="宋体" w:cs="宋体"/>
                <w:bCs/>
                <w:color w:val="auto"/>
                <w:kern w:val="0"/>
                <w:sz w:val="24"/>
                <w:szCs w:val="24"/>
                <w:highlight w:val="none"/>
                <w:lang w:val="en-US" w:eastAsia="zh-CN"/>
              </w:rPr>
              <w:t>1</w:t>
            </w:r>
            <w:r>
              <w:rPr>
                <w:rFonts w:hint="eastAsia" w:ascii="宋体" w:hAnsi="宋体" w:eastAsia="宋体" w:cs="宋体"/>
                <w:bCs/>
                <w:color w:val="auto"/>
                <w:kern w:val="0"/>
                <w:sz w:val="24"/>
                <w:szCs w:val="24"/>
                <w:highlight w:val="none"/>
                <w:lang w:eastAsia="zh-CN"/>
              </w:rPr>
              <w:t>）</w:t>
            </w:r>
            <w:r>
              <w:rPr>
                <w:rFonts w:hint="eastAsia" w:ascii="宋体" w:hAnsi="宋体" w:eastAsia="宋体" w:cs="宋体"/>
                <w:bCs/>
                <w:color w:val="auto"/>
                <w:kern w:val="0"/>
                <w:sz w:val="24"/>
                <w:szCs w:val="24"/>
                <w:highlight w:val="none"/>
              </w:rPr>
              <w:t>收费对象</w:t>
            </w:r>
            <w:r>
              <w:rPr>
                <w:rFonts w:hint="eastAsia" w:ascii="宋体" w:hAnsi="宋体" w:eastAsia="宋体" w:cs="宋体"/>
                <w:color w:val="auto"/>
                <w:spacing w:val="-12"/>
                <w:sz w:val="24"/>
                <w:szCs w:val="24"/>
                <w:highlight w:val="none"/>
              </w:rPr>
              <w:t>：</w:t>
            </w:r>
            <w:r>
              <w:rPr>
                <w:rFonts w:hint="eastAsia" w:ascii="宋体" w:hAnsi="宋体" w:eastAsia="宋体" w:cs="宋体"/>
                <w:color w:val="auto"/>
                <w:spacing w:val="-12"/>
                <w:sz w:val="24"/>
                <w:szCs w:val="24"/>
                <w:highlight w:val="none"/>
                <w:u w:val="single"/>
                <w:lang w:val="en-US" w:eastAsia="zh-CN"/>
              </w:rPr>
              <w:t>采购人</w:t>
            </w:r>
          </w:p>
          <w:p w14:paraId="06609E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宋体" w:hAnsi="宋体" w:eastAsia="宋体" w:cs="宋体"/>
                <w:bCs/>
                <w:color w:val="auto"/>
                <w:kern w:val="0"/>
                <w:sz w:val="24"/>
                <w:szCs w:val="24"/>
                <w:highlight w:val="none"/>
                <w:u w:val="single"/>
                <w:lang w:val="en-US" w:eastAsia="zh-CN"/>
              </w:rPr>
            </w:pPr>
            <w:r>
              <w:rPr>
                <w:rFonts w:hint="eastAsia" w:ascii="宋体" w:hAnsi="宋体" w:eastAsia="宋体" w:cs="宋体"/>
                <w:bCs/>
                <w:color w:val="auto"/>
                <w:kern w:val="0"/>
                <w:sz w:val="24"/>
                <w:szCs w:val="24"/>
                <w:highlight w:val="none"/>
              </w:rPr>
              <w:t>（2）收取方式</w:t>
            </w:r>
            <w:r>
              <w:rPr>
                <w:rFonts w:hint="eastAsia" w:ascii="宋体" w:hAnsi="宋体" w:eastAsia="宋体" w:cs="宋体"/>
                <w:color w:val="auto"/>
                <w:sz w:val="24"/>
                <w:szCs w:val="24"/>
                <w:highlight w:val="none"/>
              </w:rPr>
              <w:t>：</w:t>
            </w:r>
            <w:r>
              <w:rPr>
                <w:rFonts w:hint="eastAsia" w:ascii="宋体" w:hAnsi="宋体" w:eastAsia="宋体" w:cs="宋体"/>
                <w:b w:val="0"/>
                <w:bCs/>
                <w:color w:val="auto"/>
                <w:kern w:val="0"/>
                <w:sz w:val="24"/>
                <w:szCs w:val="24"/>
                <w:highlight w:val="none"/>
                <w:u w:val="single"/>
                <w:lang w:val="en-US" w:eastAsia="zh-CN" w:bidi="ar-SA"/>
              </w:rPr>
              <w:t>双方约定为准</w:t>
            </w:r>
          </w:p>
          <w:p w14:paraId="038F21A9">
            <w:pPr>
              <w:pStyle w:val="76"/>
              <w:widowControl w:val="0"/>
              <w:spacing w:before="0" w:beforeAutospacing="0" w:after="0" w:afterAutospacing="0" w:line="360" w:lineRule="auto"/>
              <w:jc w:val="both"/>
              <w:rPr>
                <w:b w:val="0"/>
                <w:color w:val="auto"/>
                <w:sz w:val="24"/>
                <w:highlight w:val="none"/>
              </w:rPr>
            </w:pPr>
            <w:r>
              <w:rPr>
                <w:rFonts w:hint="eastAsia" w:ascii="宋体" w:hAnsi="宋体" w:eastAsia="宋体" w:cs="宋体"/>
                <w:b w:val="0"/>
                <w:bCs w:val="0"/>
                <w:color w:val="auto"/>
                <w:kern w:val="0"/>
                <w:sz w:val="24"/>
                <w:szCs w:val="24"/>
                <w:highlight w:val="none"/>
              </w:rPr>
              <w:t>（3）</w:t>
            </w:r>
            <w:r>
              <w:rPr>
                <w:rFonts w:hint="eastAsia" w:ascii="宋体" w:hAnsi="宋体" w:eastAsia="宋体" w:cs="宋体"/>
                <w:b w:val="0"/>
                <w:bCs/>
                <w:color w:val="auto"/>
                <w:kern w:val="0"/>
                <w:sz w:val="24"/>
                <w:szCs w:val="24"/>
                <w:highlight w:val="none"/>
                <w:lang w:val="en-US" w:eastAsia="zh-CN" w:bidi="ar-SA"/>
              </w:rPr>
              <w:t>收费标准：</w:t>
            </w:r>
            <w:r>
              <w:rPr>
                <w:rFonts w:hint="eastAsia" w:ascii="宋体" w:hAnsi="宋体" w:eastAsia="宋体" w:cs="宋体"/>
                <w:b w:val="0"/>
                <w:bCs/>
                <w:color w:val="auto"/>
                <w:kern w:val="0"/>
                <w:sz w:val="24"/>
                <w:szCs w:val="24"/>
                <w:highlight w:val="none"/>
                <w:u w:val="single"/>
                <w:lang w:val="en-US" w:eastAsia="zh-CN" w:bidi="ar-SA"/>
              </w:rPr>
              <w:t>双方约定为准</w:t>
            </w:r>
          </w:p>
        </w:tc>
      </w:tr>
      <w:tr w14:paraId="783C0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3E6B2BA6">
            <w:pPr>
              <w:pStyle w:val="7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.1</w:t>
            </w:r>
            <w:r>
              <w:rPr>
                <w:rFonts w:hint="eastAsia"/>
                <w:bCs/>
                <w:color w:val="auto"/>
                <w:kern w:val="2"/>
                <w:highlight w:val="none"/>
                <w:lang w:val="en-US" w:eastAsia="zh-CN"/>
              </w:rPr>
              <w:t>0</w:t>
            </w:r>
          </w:p>
        </w:tc>
        <w:tc>
          <w:tcPr>
            <w:tcW w:w="977" w:type="pct"/>
            <w:vAlign w:val="center"/>
          </w:tcPr>
          <w:p w14:paraId="096AB9F9">
            <w:pPr>
              <w:pStyle w:val="7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其他补充说明</w:t>
            </w:r>
          </w:p>
        </w:tc>
        <w:tc>
          <w:tcPr>
            <w:tcW w:w="3556" w:type="pct"/>
            <w:vAlign w:val="center"/>
          </w:tcPr>
          <w:p w14:paraId="555CAF2F">
            <w:pPr>
              <w:numPr>
                <w:ilvl w:val="0"/>
                <w:numId w:val="0"/>
              </w:numPr>
              <w:spacing w:line="360" w:lineRule="auto"/>
              <w:rPr>
                <w:rFonts w:hint="eastAsia" w:asciiTheme="minorEastAsia" w:hAnsiTheme="minorEastAsia" w:eastAsiaTheme="minorEastAsia"/>
                <w:bCs/>
                <w:color w:val="auto"/>
                <w:sz w:val="24"/>
                <w:szCs w:val="24"/>
                <w:highlight w:val="none"/>
                <w:lang w:val="en-US" w:eastAsia="zh-CN"/>
              </w:rPr>
            </w:pPr>
            <w:r>
              <w:rPr>
                <w:rFonts w:hint="eastAsia" w:asciiTheme="minorEastAsia" w:hAnsiTheme="minorEastAsia" w:eastAsiaTheme="minorEastAsia"/>
                <w:bCs/>
                <w:color w:val="auto"/>
                <w:sz w:val="24"/>
                <w:szCs w:val="24"/>
                <w:highlight w:val="none"/>
                <w:lang w:val="en-US" w:eastAsia="zh-CN"/>
              </w:rPr>
              <w:t>1、解释权：</w:t>
            </w:r>
          </w:p>
          <w:p w14:paraId="6B5543D7">
            <w:pPr>
              <w:numPr>
                <w:ilvl w:val="0"/>
                <w:numId w:val="0"/>
              </w:num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文件的各个组成文件应互为解释，互为说明；</w:t>
            </w:r>
          </w:p>
          <w:p w14:paraId="5730B61D">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14:paraId="4B1E23FC">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14:paraId="3BDF8C4A">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文件中有特别规定外，仅适用于</w:t>
            </w:r>
            <w:r>
              <w:rPr>
                <w:rFonts w:hint="eastAsia" w:asciiTheme="minorEastAsia" w:hAnsiTheme="minorEastAsia" w:eastAsiaTheme="minorEastAsia"/>
                <w:bCs/>
                <w:color w:val="auto"/>
                <w:sz w:val="24"/>
                <w:szCs w:val="24"/>
                <w:highlight w:val="none"/>
              </w:rPr>
              <w:t>磋商及响应文件提交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竞争性磋商</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磋商邀请、供应商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14:paraId="6A2D2116">
            <w:pPr>
              <w:pStyle w:val="76"/>
              <w:widowControl w:val="0"/>
              <w:spacing w:before="0" w:beforeAutospacing="0" w:after="0" w:afterAutospacing="0" w:line="360" w:lineRule="auto"/>
              <w:jc w:val="both"/>
              <w:rPr>
                <w:rFonts w:asciiTheme="minorEastAsia" w:hAnsiTheme="minorEastAsia" w:eastAsiaTheme="minorEastAsia"/>
                <w:b w:val="0"/>
                <w:color w:val="auto"/>
                <w:sz w:val="24"/>
                <w:szCs w:val="24"/>
                <w:highlight w:val="none"/>
              </w:rPr>
            </w:pPr>
            <w:r>
              <w:rPr>
                <w:rFonts w:hint="eastAsia" w:asciiTheme="minorEastAsia" w:hAnsiTheme="minorEastAsia" w:eastAsiaTheme="minorEastAsia"/>
                <w:b w:val="0"/>
                <w:color w:val="auto"/>
                <w:sz w:val="24"/>
                <w:szCs w:val="24"/>
                <w:highlight w:val="none"/>
              </w:rPr>
              <w:t>（5）</w:t>
            </w:r>
            <w:r>
              <w:rPr>
                <w:rFonts w:asciiTheme="minorEastAsia" w:hAnsiTheme="minorEastAsia" w:eastAsiaTheme="minorEastAsia"/>
                <w:b w:val="0"/>
                <w:color w:val="auto"/>
                <w:sz w:val="24"/>
                <w:szCs w:val="24"/>
                <w:highlight w:val="none"/>
              </w:rPr>
              <w:t>按本款前述规定仍不能形成结论的，由</w:t>
            </w:r>
            <w:r>
              <w:rPr>
                <w:rFonts w:hint="eastAsia" w:asciiTheme="minorEastAsia" w:hAnsiTheme="minorEastAsia" w:eastAsiaTheme="minorEastAsia"/>
                <w:b w:val="0"/>
                <w:color w:val="auto"/>
                <w:sz w:val="24"/>
                <w:szCs w:val="24"/>
                <w:highlight w:val="none"/>
              </w:rPr>
              <w:t>采购</w:t>
            </w:r>
            <w:r>
              <w:rPr>
                <w:rFonts w:asciiTheme="minorEastAsia" w:hAnsiTheme="minorEastAsia" w:eastAsiaTheme="minorEastAsia"/>
                <w:b w:val="0"/>
                <w:color w:val="auto"/>
                <w:sz w:val="24"/>
                <w:szCs w:val="24"/>
                <w:highlight w:val="none"/>
              </w:rPr>
              <w:t>人负责解释。</w:t>
            </w:r>
          </w:p>
          <w:p w14:paraId="01BBA3DB">
            <w:pPr>
              <w:pStyle w:val="76"/>
              <w:widowControl w:val="0"/>
              <w:spacing w:before="0" w:beforeAutospacing="0" w:after="0" w:afterAutospacing="0" w:line="360" w:lineRule="auto"/>
              <w:jc w:val="both"/>
              <w:rPr>
                <w:rFonts w:hint="eastAsia" w:asciiTheme="minorEastAsia" w:hAnsiTheme="minorEastAsia" w:eastAsiaTheme="minorEastAsia" w:cstheme="minorBidi"/>
                <w:b w:val="0"/>
                <w:bCs/>
                <w:color w:val="auto"/>
                <w:sz w:val="24"/>
                <w:szCs w:val="24"/>
                <w:highlight w:val="none"/>
                <w:lang w:val="en-US" w:eastAsia="zh-CN" w:bidi="ar-SA"/>
              </w:rPr>
            </w:pPr>
            <w:r>
              <w:rPr>
                <w:rFonts w:hint="eastAsia" w:asciiTheme="minorEastAsia" w:hAnsiTheme="minorEastAsia" w:eastAsiaTheme="minorEastAsia" w:cstheme="minorBidi"/>
                <w:b w:val="0"/>
                <w:bCs/>
                <w:color w:val="auto"/>
                <w:sz w:val="24"/>
                <w:szCs w:val="24"/>
                <w:highlight w:val="none"/>
                <w:lang w:val="en-US" w:eastAsia="zh-CN" w:bidi="ar-SA"/>
              </w:rPr>
              <w:t>2、“政采贷”融资指引：有融资需求的供应商在取得政府采购中标或成交通知书后，可访问安徽省政府采购网“政采贷”栏目，查看和联系第三方平台或者金融机构，商洽融资事项，确定融资意向。供应商签署政府采购中标（成交）合同后，登录“徽采云”金融服务模块，选择意向产品进行申请，并填写相关信息，“徽采云”金融服务模块将中标人融资申请信息推送第三方平台、意向金融机构。</w:t>
            </w:r>
            <w:r>
              <w:rPr>
                <w:rFonts w:hint="eastAsia" w:asciiTheme="minorEastAsia" w:hAnsiTheme="minorEastAsia" w:eastAsiaTheme="minorEastAsia" w:cstheme="minorBidi"/>
                <w:b w:val="0"/>
                <w:bCs/>
                <w:color w:val="auto"/>
                <w:sz w:val="24"/>
                <w:szCs w:val="24"/>
                <w:highlight w:val="none"/>
                <w:lang w:val="en-US" w:eastAsia="zh-CN" w:bidi="ar-SA"/>
              </w:rPr>
              <w:br w:type="textWrapping"/>
            </w:r>
            <w:r>
              <w:rPr>
                <w:rFonts w:hint="eastAsia" w:asciiTheme="minorEastAsia" w:hAnsiTheme="minorEastAsia" w:eastAsiaTheme="minorEastAsia" w:cstheme="minorBidi"/>
                <w:b w:val="0"/>
                <w:bCs/>
                <w:color w:val="auto"/>
                <w:sz w:val="24"/>
                <w:szCs w:val="24"/>
                <w:highlight w:val="none"/>
                <w:lang w:val="en-US" w:eastAsia="zh-CN" w:bidi="ar-SA"/>
              </w:rPr>
              <w:t>3、电子保函指引：成交供应商可访问安徽省政府采购网“融资/保函”栏目，申请办理电子保函（包括：履约保函、预付款保函）。</w:t>
            </w:r>
          </w:p>
          <w:p w14:paraId="75FB31B5">
            <w:pPr>
              <w:pStyle w:val="76"/>
              <w:widowControl w:val="0"/>
              <w:spacing w:before="0" w:beforeAutospacing="0" w:after="0" w:afterAutospacing="0" w:line="360" w:lineRule="auto"/>
              <w:jc w:val="both"/>
              <w:rPr>
                <w:rFonts w:hint="eastAsia" w:asciiTheme="minorEastAsia" w:hAnsiTheme="minorEastAsia" w:eastAsiaTheme="minorEastAsia" w:cstheme="minorBidi"/>
                <w:b w:val="0"/>
                <w:bCs/>
                <w:color w:val="auto"/>
                <w:sz w:val="24"/>
                <w:szCs w:val="24"/>
                <w:highlight w:val="none"/>
                <w:lang w:val="en-US" w:eastAsia="zh-CN" w:bidi="ar-SA"/>
              </w:rPr>
            </w:pPr>
            <w:r>
              <w:rPr>
                <w:rFonts w:hint="eastAsia" w:asciiTheme="minorEastAsia" w:hAnsiTheme="minorEastAsia" w:eastAsiaTheme="minorEastAsia" w:cstheme="minorBidi"/>
                <w:b w:val="0"/>
                <w:bCs/>
                <w:color w:val="auto"/>
                <w:sz w:val="24"/>
                <w:szCs w:val="24"/>
                <w:highlight w:val="none"/>
                <w:lang w:val="en-US" w:eastAsia="zh-CN" w:bidi="ar-SA"/>
              </w:rPr>
              <w:t>4、部分可提供线下政采贷的金融机构</w:t>
            </w:r>
          </w:p>
          <w:p w14:paraId="248EB71E">
            <w:pPr>
              <w:pStyle w:val="76"/>
              <w:widowControl w:val="0"/>
              <w:spacing w:before="0" w:beforeAutospacing="0" w:after="0" w:afterAutospacing="0" w:line="360" w:lineRule="auto"/>
              <w:jc w:val="both"/>
              <w:rPr>
                <w:rFonts w:hint="eastAsia" w:asciiTheme="minorEastAsia" w:hAnsiTheme="minorEastAsia" w:eastAsiaTheme="minorEastAsia" w:cstheme="minorBidi"/>
                <w:b w:val="0"/>
                <w:bCs/>
                <w:color w:val="auto"/>
                <w:sz w:val="24"/>
                <w:szCs w:val="24"/>
                <w:highlight w:val="none"/>
                <w:lang w:val="en-US" w:eastAsia="zh-CN" w:bidi="ar-SA"/>
              </w:rPr>
            </w:pPr>
            <w:r>
              <w:rPr>
                <w:rFonts w:hint="eastAsia" w:asciiTheme="minorEastAsia" w:hAnsiTheme="minorEastAsia" w:eastAsiaTheme="minorEastAsia" w:cstheme="minorBidi"/>
                <w:b w:val="0"/>
                <w:bCs/>
                <w:color w:val="auto"/>
                <w:sz w:val="24"/>
                <w:szCs w:val="24"/>
                <w:highlight w:val="none"/>
                <w:lang w:val="en-US" w:eastAsia="zh-CN" w:bidi="ar-SA"/>
              </w:rPr>
              <w:t>市本级</w:t>
            </w:r>
          </w:p>
          <w:p w14:paraId="77D1E7C2">
            <w:pPr>
              <w:pStyle w:val="76"/>
              <w:widowControl w:val="0"/>
              <w:spacing w:before="0" w:beforeAutospacing="0" w:after="0" w:afterAutospacing="0" w:line="360" w:lineRule="auto"/>
              <w:jc w:val="both"/>
              <w:rPr>
                <w:rFonts w:hint="eastAsia" w:asciiTheme="minorEastAsia" w:hAnsiTheme="minorEastAsia" w:eastAsiaTheme="minorEastAsia" w:cstheme="minorBidi"/>
                <w:b w:val="0"/>
                <w:bCs/>
                <w:color w:val="auto"/>
                <w:sz w:val="24"/>
                <w:szCs w:val="24"/>
                <w:highlight w:val="none"/>
                <w:lang w:val="en-US" w:eastAsia="zh-CN" w:bidi="ar-SA"/>
              </w:rPr>
            </w:pPr>
            <w:r>
              <w:rPr>
                <w:rFonts w:hint="eastAsia" w:asciiTheme="minorEastAsia" w:hAnsiTheme="minorEastAsia" w:eastAsiaTheme="minorEastAsia" w:cstheme="minorBidi"/>
                <w:b w:val="0"/>
                <w:bCs/>
                <w:color w:val="auto"/>
                <w:sz w:val="24"/>
                <w:szCs w:val="24"/>
                <w:highlight w:val="none"/>
                <w:lang w:val="en-US" w:eastAsia="zh-CN" w:bidi="ar-SA"/>
              </w:rPr>
              <w:t>金融机构名称：兴业银行滁州分行</w:t>
            </w:r>
          </w:p>
          <w:p w14:paraId="702F0636">
            <w:pPr>
              <w:pStyle w:val="76"/>
              <w:widowControl w:val="0"/>
              <w:spacing w:before="0" w:beforeAutospacing="0" w:after="0" w:afterAutospacing="0" w:line="360" w:lineRule="auto"/>
              <w:jc w:val="both"/>
              <w:rPr>
                <w:rFonts w:hint="eastAsia" w:asciiTheme="minorEastAsia" w:hAnsiTheme="minorEastAsia" w:eastAsiaTheme="minorEastAsia" w:cstheme="minorBidi"/>
                <w:b w:val="0"/>
                <w:bCs/>
                <w:color w:val="auto"/>
                <w:sz w:val="24"/>
                <w:szCs w:val="24"/>
                <w:highlight w:val="none"/>
                <w:lang w:val="en-US" w:eastAsia="zh-CN" w:bidi="ar-SA"/>
              </w:rPr>
            </w:pPr>
            <w:r>
              <w:rPr>
                <w:rFonts w:hint="eastAsia" w:asciiTheme="minorEastAsia" w:hAnsiTheme="minorEastAsia" w:eastAsiaTheme="minorEastAsia" w:cstheme="minorBidi"/>
                <w:b w:val="0"/>
                <w:bCs/>
                <w:color w:val="auto"/>
                <w:sz w:val="24"/>
                <w:szCs w:val="24"/>
                <w:highlight w:val="none"/>
                <w:lang w:val="en-US" w:eastAsia="zh-CN" w:bidi="ar-SA"/>
              </w:rPr>
              <w:t>安徽省滁州市琅琊区丰乐大道1090号</w:t>
            </w:r>
          </w:p>
          <w:p w14:paraId="5195E028">
            <w:pPr>
              <w:pStyle w:val="76"/>
              <w:widowControl w:val="0"/>
              <w:spacing w:before="0" w:beforeAutospacing="0" w:after="0" w:afterAutospacing="0" w:line="360" w:lineRule="auto"/>
              <w:jc w:val="both"/>
              <w:rPr>
                <w:rFonts w:hint="eastAsia" w:asciiTheme="minorEastAsia" w:hAnsiTheme="minorEastAsia" w:eastAsiaTheme="minorEastAsia" w:cstheme="minorBidi"/>
                <w:b w:val="0"/>
                <w:bCs/>
                <w:color w:val="auto"/>
                <w:sz w:val="24"/>
                <w:szCs w:val="24"/>
                <w:highlight w:val="none"/>
                <w:lang w:val="en-US" w:eastAsia="zh-CN" w:bidi="ar-SA"/>
              </w:rPr>
            </w:pPr>
            <w:r>
              <w:rPr>
                <w:rFonts w:hint="eastAsia" w:asciiTheme="minorEastAsia" w:hAnsiTheme="minorEastAsia" w:eastAsiaTheme="minorEastAsia" w:cstheme="minorBidi"/>
                <w:b w:val="0"/>
                <w:bCs/>
                <w:color w:val="auto"/>
                <w:sz w:val="24"/>
                <w:szCs w:val="24"/>
                <w:highlight w:val="none"/>
                <w:lang w:val="en-US" w:eastAsia="zh-CN" w:bidi="ar-SA"/>
              </w:rPr>
              <w:t>伏庚：17755080811</w:t>
            </w:r>
          </w:p>
        </w:tc>
      </w:tr>
      <w:tr w14:paraId="7CA62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33AC7D36">
            <w:pPr>
              <w:pStyle w:val="77"/>
              <w:pBdr>
                <w:bottom w:val="none" w:color="auto" w:sz="0" w:space="0"/>
              </w:pBdr>
              <w:tabs>
                <w:tab w:val="clear" w:pos="4153"/>
                <w:tab w:val="clear" w:pos="8306"/>
              </w:tabs>
              <w:adjustRightInd/>
              <w:spacing w:line="360" w:lineRule="auto"/>
              <w:textAlignment w:val="auto"/>
              <w:rPr>
                <w:rFonts w:hint="default"/>
                <w:bCs/>
                <w:color w:val="auto"/>
                <w:kern w:val="2"/>
                <w:highlight w:val="none"/>
                <w:lang w:val="en-US" w:eastAsia="zh-CN"/>
              </w:rPr>
            </w:pPr>
            <w:r>
              <w:rPr>
                <w:rFonts w:hint="eastAsia"/>
                <w:bCs/>
                <w:color w:val="auto"/>
                <w:kern w:val="2"/>
                <w:highlight w:val="none"/>
                <w:lang w:val="en-US" w:eastAsia="zh-CN"/>
              </w:rPr>
              <w:t>30.11</w:t>
            </w:r>
          </w:p>
        </w:tc>
        <w:tc>
          <w:tcPr>
            <w:tcW w:w="977" w:type="pct"/>
            <w:vAlign w:val="center"/>
          </w:tcPr>
          <w:p w14:paraId="67F3A401">
            <w:pPr>
              <w:pStyle w:val="76"/>
              <w:widowControl w:val="0"/>
              <w:spacing w:before="0" w:beforeAutospacing="0" w:after="0" w:afterAutospacing="0" w:line="360" w:lineRule="auto"/>
              <w:jc w:val="center"/>
              <w:rPr>
                <w:rFonts w:hint="default" w:eastAsia="宋体"/>
                <w:b w:val="0"/>
                <w:color w:val="000000"/>
                <w:sz w:val="24"/>
                <w:szCs w:val="24"/>
                <w:highlight w:val="none"/>
                <w:lang w:val="en-US" w:eastAsia="zh-CN"/>
              </w:rPr>
            </w:pPr>
            <w:r>
              <w:rPr>
                <w:rFonts w:hint="eastAsia"/>
                <w:b w:val="0"/>
                <w:color w:val="000000"/>
                <w:sz w:val="24"/>
                <w:szCs w:val="24"/>
                <w:highlight w:val="none"/>
                <w:lang w:val="en-US" w:eastAsia="zh-CN"/>
              </w:rPr>
              <w:t>重要说明</w:t>
            </w:r>
          </w:p>
        </w:tc>
        <w:tc>
          <w:tcPr>
            <w:tcW w:w="3556" w:type="pct"/>
            <w:vAlign w:val="center"/>
          </w:tcPr>
          <w:p w14:paraId="4B642A3F">
            <w:pPr>
              <w:pStyle w:val="76"/>
              <w:widowControl w:val="0"/>
              <w:spacing w:before="0" w:beforeAutospacing="0" w:after="0" w:afterAutospacing="0" w:line="360" w:lineRule="auto"/>
              <w:jc w:val="both"/>
              <w:rPr>
                <w:rFonts w:hint="eastAsia" w:ascii="宋体" w:hAnsi="宋体" w:eastAsia="宋体" w:cs="Times New Roman"/>
                <w:b w:val="0"/>
                <w:bCs/>
                <w:color w:val="000000"/>
                <w:sz w:val="24"/>
                <w:szCs w:val="24"/>
                <w:highlight w:val="none"/>
                <w:lang w:val="en-US" w:eastAsia="zh-CN" w:bidi="ar-SA"/>
              </w:rPr>
            </w:pPr>
            <w:r>
              <w:rPr>
                <w:rFonts w:hint="eastAsia" w:ascii="宋体" w:hAnsi="宋体" w:eastAsia="宋体" w:cs="Times New Roman"/>
                <w:b/>
                <w:bCs w:val="0"/>
                <w:color w:val="000000"/>
                <w:sz w:val="24"/>
                <w:szCs w:val="24"/>
                <w:highlight w:val="none"/>
                <w:lang w:val="en-US" w:eastAsia="zh-CN" w:bidi="ar-SA"/>
              </w:rPr>
              <w:t>本项目为面向中小企业预留份额的采购包，专门面向中小企业采购。专门面向中小企业采购的项目或者采购包，不再执行价格评审优惠的扶持政策。</w:t>
            </w:r>
          </w:p>
        </w:tc>
      </w:tr>
      <w:tr w14:paraId="051C2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14:paraId="1C8C7C7D">
            <w:pPr>
              <w:pStyle w:val="77"/>
              <w:pBdr>
                <w:bottom w:val="none" w:color="auto" w:sz="0" w:space="0"/>
              </w:pBdr>
              <w:tabs>
                <w:tab w:val="clear" w:pos="4153"/>
                <w:tab w:val="clear" w:pos="8306"/>
              </w:tabs>
              <w:adjustRightInd/>
              <w:spacing w:line="360" w:lineRule="auto"/>
              <w:textAlignment w:val="auto"/>
              <w:rPr>
                <w:rFonts w:hint="eastAsia"/>
                <w:bCs/>
                <w:color w:val="auto"/>
                <w:kern w:val="2"/>
                <w:highlight w:val="none"/>
                <w:lang w:val="en-US" w:eastAsia="zh-CN"/>
              </w:rPr>
            </w:pPr>
            <w:r>
              <w:rPr>
                <w:rFonts w:hint="eastAsia"/>
                <w:bCs/>
                <w:color w:val="auto"/>
                <w:kern w:val="2"/>
                <w:highlight w:val="none"/>
                <w:lang w:val="en-US" w:eastAsia="zh-CN"/>
              </w:rPr>
              <w:t>30.12</w:t>
            </w:r>
          </w:p>
        </w:tc>
        <w:tc>
          <w:tcPr>
            <w:tcW w:w="977" w:type="pct"/>
            <w:vAlign w:val="center"/>
          </w:tcPr>
          <w:p w14:paraId="72397ED7">
            <w:pPr>
              <w:pStyle w:val="76"/>
              <w:keepNext w:val="0"/>
              <w:keepLines w:val="0"/>
              <w:widowControl w:val="0"/>
              <w:suppressLineNumbers w:val="0"/>
              <w:spacing w:before="0" w:beforeAutospacing="0" w:after="0" w:afterAutospacing="0" w:line="360" w:lineRule="auto"/>
              <w:ind w:left="0" w:leftChars="0" w:right="0" w:rightChars="0"/>
              <w:jc w:val="center"/>
              <w:rPr>
                <w:rFonts w:hint="eastAsia"/>
                <w:b w:val="0"/>
                <w:color w:val="000000"/>
                <w:sz w:val="24"/>
                <w:szCs w:val="24"/>
                <w:highlight w:val="none"/>
                <w:lang w:val="en-US" w:eastAsia="zh-CN"/>
              </w:rPr>
            </w:pPr>
            <w:r>
              <w:rPr>
                <w:rFonts w:hint="eastAsia"/>
                <w:b w:val="0"/>
                <w:color w:val="auto"/>
                <w:sz w:val="24"/>
                <w:szCs w:val="24"/>
                <w:highlight w:val="none"/>
              </w:rPr>
              <w:t>现场管理</w:t>
            </w:r>
          </w:p>
        </w:tc>
        <w:tc>
          <w:tcPr>
            <w:tcW w:w="3556" w:type="pct"/>
            <w:vAlign w:val="center"/>
          </w:tcPr>
          <w:p w14:paraId="6386078D">
            <w:pPr>
              <w:pStyle w:val="76"/>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b w:val="0"/>
                <w:bCs/>
                <w:color w:val="auto"/>
                <w:sz w:val="24"/>
                <w:szCs w:val="24"/>
                <w:highlight w:val="none"/>
                <w:lang w:val="en-US" w:eastAsia="zh-CN" w:bidi="ar-SA"/>
              </w:rPr>
            </w:pPr>
            <w:r>
              <w:rPr>
                <w:rFonts w:hint="eastAsia" w:ascii="宋体" w:hAnsi="宋体" w:eastAsia="宋体" w:cs="Times New Roman"/>
                <w:b w:val="0"/>
                <w:bCs/>
                <w:color w:val="auto"/>
                <w:sz w:val="24"/>
                <w:szCs w:val="24"/>
                <w:highlight w:val="none"/>
                <w:lang w:val="en-US" w:eastAsia="zh-CN" w:bidi="ar-SA"/>
              </w:rPr>
              <w:t>1、施工过程中，项目管理及施工人员以外的无关人员一律不得留宿施工现场，项目负责人负责管理及清理出场；</w:t>
            </w:r>
          </w:p>
          <w:p w14:paraId="63274FDD">
            <w:pPr>
              <w:pStyle w:val="76"/>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b w:val="0"/>
                <w:bCs/>
                <w:color w:val="auto"/>
                <w:sz w:val="24"/>
                <w:szCs w:val="24"/>
                <w:highlight w:val="none"/>
                <w:lang w:val="en-US" w:eastAsia="zh-CN" w:bidi="ar-SA"/>
              </w:rPr>
            </w:pPr>
            <w:r>
              <w:rPr>
                <w:rFonts w:hint="eastAsia" w:ascii="宋体" w:hAnsi="宋体" w:eastAsia="宋体" w:cs="Times New Roman"/>
                <w:b w:val="0"/>
                <w:bCs/>
                <w:color w:val="auto"/>
                <w:sz w:val="24"/>
                <w:szCs w:val="24"/>
                <w:highlight w:val="none"/>
                <w:lang w:val="en-US" w:eastAsia="zh-CN" w:bidi="ar-SA"/>
              </w:rPr>
              <w:t>2、施工过程中，严格执行国家及地方针对环保、禁噪、防尘、防护等措施，必须满足当地行政主管部门相关规定及要求。</w:t>
            </w:r>
          </w:p>
          <w:p w14:paraId="3E43DAE6">
            <w:pPr>
              <w:pStyle w:val="76"/>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b w:val="0"/>
                <w:bCs/>
                <w:color w:val="auto"/>
                <w:sz w:val="24"/>
                <w:szCs w:val="24"/>
                <w:highlight w:val="none"/>
                <w:lang w:val="en-US" w:eastAsia="zh-CN" w:bidi="ar-SA"/>
              </w:rPr>
            </w:pPr>
            <w:r>
              <w:rPr>
                <w:rFonts w:hint="eastAsia" w:ascii="宋体" w:hAnsi="宋体" w:eastAsia="宋体" w:cs="Times New Roman"/>
                <w:b w:val="0"/>
                <w:bCs/>
                <w:color w:val="auto"/>
                <w:sz w:val="24"/>
                <w:szCs w:val="24"/>
                <w:highlight w:val="none"/>
                <w:lang w:val="en-US" w:eastAsia="zh-CN" w:bidi="ar-SA"/>
              </w:rPr>
              <w:t>3、施工场地及周边场地、道路、绿化、管线、围墙等，若被施工方损坏，施工方必须无偿按照原貌恢复。</w:t>
            </w:r>
          </w:p>
          <w:p w14:paraId="1392DCDB">
            <w:pPr>
              <w:pStyle w:val="76"/>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b w:val="0"/>
                <w:bCs/>
                <w:color w:val="auto"/>
                <w:sz w:val="24"/>
                <w:szCs w:val="24"/>
                <w:highlight w:val="none"/>
                <w:lang w:val="en-US" w:eastAsia="zh-CN" w:bidi="ar-SA"/>
              </w:rPr>
            </w:pPr>
            <w:r>
              <w:rPr>
                <w:rFonts w:hint="eastAsia" w:ascii="宋体" w:hAnsi="宋体" w:eastAsia="宋体" w:cs="Times New Roman"/>
                <w:b w:val="0"/>
                <w:bCs/>
                <w:color w:val="auto"/>
                <w:sz w:val="24"/>
                <w:szCs w:val="24"/>
                <w:highlight w:val="none"/>
                <w:lang w:val="en-US" w:eastAsia="zh-CN" w:bidi="ar-SA"/>
              </w:rPr>
              <w:t>4、供应商自行勘察施工现场情况，因供应商未踏勘现场而造成的损失由供应商承担。</w:t>
            </w:r>
          </w:p>
          <w:p w14:paraId="0F0F5D37">
            <w:pPr>
              <w:pStyle w:val="76"/>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b w:val="0"/>
                <w:bCs/>
                <w:color w:val="auto"/>
                <w:sz w:val="24"/>
                <w:szCs w:val="24"/>
                <w:highlight w:val="none"/>
                <w:lang w:val="en-US" w:eastAsia="zh-CN" w:bidi="ar-SA"/>
              </w:rPr>
            </w:pPr>
            <w:r>
              <w:rPr>
                <w:rFonts w:hint="eastAsia" w:ascii="宋体" w:hAnsi="宋体" w:eastAsia="宋体" w:cs="Times New Roman"/>
                <w:b w:val="0"/>
                <w:bCs/>
                <w:color w:val="auto"/>
                <w:sz w:val="24"/>
                <w:szCs w:val="24"/>
                <w:highlight w:val="none"/>
                <w:lang w:val="en-US" w:eastAsia="zh-CN" w:bidi="ar-SA"/>
              </w:rPr>
              <w:t>5、在工程建设过程中，出现质量、安全、进度、文明施工、扬尘污染、人员不在岗履职等违约行为的，发包人将给予违约处罚；如承包人拒不缴纳违约金的，发包人有权从履约保证金中直接扣除。</w:t>
            </w:r>
          </w:p>
          <w:p w14:paraId="127C1CAA">
            <w:pPr>
              <w:pStyle w:val="76"/>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b w:val="0"/>
                <w:bCs/>
                <w:color w:val="auto"/>
                <w:sz w:val="24"/>
                <w:szCs w:val="24"/>
                <w:highlight w:val="none"/>
                <w:lang w:val="en-US" w:eastAsia="zh-CN" w:bidi="ar-SA"/>
              </w:rPr>
            </w:pPr>
            <w:r>
              <w:rPr>
                <w:rFonts w:hint="eastAsia" w:ascii="宋体" w:hAnsi="宋体" w:eastAsia="宋体" w:cs="Times New Roman"/>
                <w:b w:val="0"/>
                <w:bCs/>
                <w:color w:val="auto"/>
                <w:sz w:val="24"/>
                <w:szCs w:val="24"/>
                <w:highlight w:val="none"/>
                <w:lang w:val="en-US" w:eastAsia="zh-CN" w:bidi="ar-SA"/>
              </w:rPr>
              <w:t>6、项目经理部需在醒目位置公示经监理、业主审定批准的月进度计划表，否则，当月不支付当月工程进度款。</w:t>
            </w:r>
          </w:p>
          <w:p w14:paraId="351175AD">
            <w:pPr>
              <w:pStyle w:val="76"/>
              <w:keepNext w:val="0"/>
              <w:keepLines w:val="0"/>
              <w:widowControl w:val="0"/>
              <w:suppressLineNumbers w:val="0"/>
              <w:spacing w:before="0" w:beforeAutospacing="0" w:after="0" w:afterAutospacing="0" w:line="360" w:lineRule="auto"/>
              <w:ind w:left="0" w:leftChars="0" w:right="0" w:rightChars="0"/>
              <w:jc w:val="both"/>
              <w:rPr>
                <w:rFonts w:hint="eastAsia" w:ascii="宋体" w:hAnsi="宋体" w:eastAsia="宋体" w:cs="Times New Roman"/>
                <w:b/>
                <w:bCs w:val="0"/>
                <w:color w:val="000000"/>
                <w:sz w:val="24"/>
                <w:szCs w:val="24"/>
                <w:highlight w:val="none"/>
                <w:lang w:val="en-US" w:eastAsia="zh-CN" w:bidi="ar-SA"/>
              </w:rPr>
            </w:pPr>
            <w:r>
              <w:rPr>
                <w:rFonts w:hint="eastAsia" w:ascii="宋体" w:hAnsi="宋体" w:eastAsia="宋体" w:cs="Times New Roman"/>
                <w:b w:val="0"/>
                <w:bCs/>
                <w:color w:val="auto"/>
                <w:sz w:val="24"/>
                <w:szCs w:val="24"/>
                <w:highlight w:val="none"/>
                <w:lang w:val="en-US" w:eastAsia="zh-CN" w:bidi="ar-SA"/>
              </w:rPr>
              <w:t>7、施工现场和取、弃土场内的施工便道、机械整平以及协调渣土、环保等相关部门办理相关手续、缴纳保证金及费用等由供应商自行承担，此部分费用包含在响应报价中。施工渣土、淤泥、建筑垃圾等弃置点需经相关部门批准，并报发包人备案后，方可施工，严禁违规倾倒堆存。否则，责任自负</w:t>
            </w:r>
            <w:r>
              <w:rPr>
                <w:rFonts w:hint="eastAsia" w:cs="Times New Roman"/>
                <w:b w:val="0"/>
                <w:bCs/>
                <w:color w:val="auto"/>
                <w:sz w:val="24"/>
                <w:szCs w:val="24"/>
                <w:highlight w:val="none"/>
                <w:lang w:val="en-US" w:eastAsia="zh-CN" w:bidi="ar-SA"/>
              </w:rPr>
              <w:t>。</w:t>
            </w:r>
          </w:p>
        </w:tc>
      </w:tr>
    </w:tbl>
    <w:p w14:paraId="1AC0222C">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21" w:name="_Toc18784"/>
      <w:bookmarkStart w:id="22" w:name="_Toc26858"/>
      <w:r>
        <w:rPr>
          <w:rFonts w:hint="eastAsia" w:asciiTheme="minorEastAsia" w:hAnsiTheme="minorEastAsia" w:eastAsiaTheme="minorEastAsia"/>
          <w:b/>
          <w:color w:val="auto"/>
          <w:sz w:val="24"/>
          <w:highlight w:val="none"/>
        </w:rPr>
        <w:t>二、供应商</w:t>
      </w:r>
      <w:r>
        <w:rPr>
          <w:rFonts w:asciiTheme="minorEastAsia" w:hAnsiTheme="minorEastAsia" w:eastAsiaTheme="minorEastAsia"/>
          <w:b/>
          <w:color w:val="auto"/>
          <w:sz w:val="24"/>
          <w:highlight w:val="none"/>
        </w:rPr>
        <w:t>须知</w:t>
      </w:r>
      <w:r>
        <w:rPr>
          <w:rFonts w:hint="eastAsia" w:asciiTheme="minorEastAsia" w:hAnsiTheme="minorEastAsia" w:eastAsiaTheme="minorEastAsia"/>
          <w:b/>
          <w:color w:val="auto"/>
          <w:sz w:val="24"/>
          <w:highlight w:val="none"/>
        </w:rPr>
        <w:t>正文</w:t>
      </w:r>
      <w:bookmarkEnd w:id="21"/>
      <w:bookmarkEnd w:id="22"/>
    </w:p>
    <w:p w14:paraId="459D6776">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采购人、采购代理机构及供应商</w:t>
      </w:r>
    </w:p>
    <w:p w14:paraId="5A08032D">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.1采购人：是指依法开展政府采购活动的国家机关、事业单位、团体组织。</w:t>
      </w:r>
    </w:p>
    <w:p w14:paraId="5FA69B74">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.3政府采购监督管理部门：</w:t>
      </w:r>
      <w:r>
        <w:rPr>
          <w:rFonts w:hint="eastAsia"/>
          <w:color w:val="auto"/>
          <w:sz w:val="24"/>
          <w:highlight w:val="none"/>
        </w:rPr>
        <w:t>各级人民政府指定的有关部门依法履行与政府采购活动有关的监督管理职责。</w:t>
      </w:r>
    </w:p>
    <w:p w14:paraId="4C83C2D4">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.4</w:t>
      </w:r>
      <w:r>
        <w:rPr>
          <w:rFonts w:hint="eastAsia"/>
          <w:color w:val="auto"/>
          <w:sz w:val="24"/>
          <w:highlight w:val="none"/>
        </w:rPr>
        <w:t>供应商</w:t>
      </w:r>
      <w:r>
        <w:rPr>
          <w:color w:val="auto"/>
          <w:sz w:val="24"/>
          <w:highlight w:val="none"/>
        </w:rPr>
        <w:t>：是指向采购人提供货物、工程或者服务的法人、</w:t>
      </w:r>
      <w:r>
        <w:rPr>
          <w:rFonts w:hint="eastAsia"/>
          <w:color w:val="auto"/>
          <w:sz w:val="24"/>
          <w:highlight w:val="none"/>
          <w:lang w:val="en-US" w:eastAsia="zh-CN"/>
        </w:rPr>
        <w:t>其他</w:t>
      </w:r>
      <w:r>
        <w:rPr>
          <w:color w:val="auto"/>
          <w:sz w:val="24"/>
          <w:highlight w:val="none"/>
        </w:rPr>
        <w:t>组织或者自然人。</w:t>
      </w:r>
      <w:r>
        <w:rPr>
          <w:rFonts w:hint="eastAsia"/>
          <w:color w:val="auto"/>
          <w:sz w:val="24"/>
          <w:highlight w:val="none"/>
        </w:rPr>
        <w:t>分支机构不得参加政府采购活动，但银行、保险、石油石化、电力、电信等特殊行业除外。</w:t>
      </w:r>
      <w:r>
        <w:rPr>
          <w:color w:val="auto"/>
          <w:sz w:val="24"/>
          <w:highlight w:val="none"/>
        </w:rPr>
        <w:t>本项目的</w:t>
      </w:r>
      <w:r>
        <w:rPr>
          <w:rFonts w:hint="eastAsia"/>
          <w:color w:val="auto"/>
          <w:sz w:val="24"/>
          <w:highlight w:val="none"/>
        </w:rPr>
        <w:t>供应商</w:t>
      </w:r>
      <w:r>
        <w:rPr>
          <w:color w:val="auto"/>
          <w:sz w:val="24"/>
          <w:highlight w:val="none"/>
        </w:rPr>
        <w:t>须满足以下条件：</w:t>
      </w:r>
    </w:p>
    <w:p w14:paraId="20A2E9EC">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.4.</w:t>
      </w:r>
      <w:r>
        <w:rPr>
          <w:rFonts w:hint="eastAsia"/>
          <w:color w:val="auto"/>
          <w:sz w:val="24"/>
          <w:highlight w:val="none"/>
          <w:lang w:val="en-US" w:eastAsia="zh-CN"/>
        </w:rPr>
        <w:t>1</w:t>
      </w:r>
      <w:r>
        <w:rPr>
          <w:color w:val="auto"/>
          <w:sz w:val="24"/>
          <w:highlight w:val="none"/>
        </w:rPr>
        <w:t>具备《中华人民共和国政府采购法》第二十二条关于供应商条件的规定，遵守本项目采购人本级和上级财政部门政府采购的有关规定。</w:t>
      </w:r>
    </w:p>
    <w:p w14:paraId="3D27F617">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.4.</w:t>
      </w:r>
      <w:r>
        <w:rPr>
          <w:rFonts w:hint="eastAsia"/>
          <w:color w:val="auto"/>
          <w:sz w:val="24"/>
          <w:highlight w:val="none"/>
          <w:lang w:val="en-US" w:eastAsia="zh-CN"/>
        </w:rPr>
        <w:t>2</w:t>
      </w:r>
      <w:r>
        <w:rPr>
          <w:color w:val="auto"/>
          <w:sz w:val="24"/>
          <w:highlight w:val="none"/>
        </w:rPr>
        <w:t>以采购代理机构认可的方式获得了本项目的</w:t>
      </w:r>
      <w:r>
        <w:rPr>
          <w:rFonts w:hint="eastAsia"/>
          <w:color w:val="auto"/>
          <w:sz w:val="24"/>
          <w:highlight w:val="none"/>
        </w:rPr>
        <w:t>磋商</w:t>
      </w:r>
      <w:r>
        <w:rPr>
          <w:color w:val="auto"/>
          <w:sz w:val="24"/>
          <w:highlight w:val="none"/>
        </w:rPr>
        <w:t>文件。</w:t>
      </w:r>
    </w:p>
    <w:p w14:paraId="73CA3A91">
      <w:pPr>
        <w:spacing w:line="360" w:lineRule="auto"/>
        <w:ind w:firstLine="435"/>
        <w:rPr>
          <w:color w:val="auto"/>
          <w:sz w:val="24"/>
          <w:highlight w:val="none"/>
        </w:rPr>
      </w:pPr>
      <w:r>
        <w:rPr>
          <w:rFonts w:hint="eastAsia"/>
          <w:bCs/>
          <w:color w:val="auto"/>
          <w:sz w:val="24"/>
          <w:szCs w:val="28"/>
          <w:highlight w:val="none"/>
          <w:lang w:val="en-US" w:eastAsia="zh-CN"/>
        </w:rPr>
        <w:t>1</w:t>
      </w:r>
      <w:r>
        <w:rPr>
          <w:bCs/>
          <w:color w:val="auto"/>
          <w:sz w:val="24"/>
          <w:szCs w:val="28"/>
          <w:highlight w:val="none"/>
        </w:rPr>
        <w:t>.5</w:t>
      </w:r>
      <w:r>
        <w:rPr>
          <w:rFonts w:hint="eastAsia"/>
          <w:bCs/>
          <w:color w:val="auto"/>
          <w:sz w:val="24"/>
          <w:szCs w:val="28"/>
          <w:highlight w:val="none"/>
        </w:rPr>
        <w:t>若竞争性磋商公告</w:t>
      </w:r>
      <w:r>
        <w:rPr>
          <w:bCs/>
          <w:color w:val="auto"/>
          <w:sz w:val="24"/>
          <w:szCs w:val="28"/>
          <w:highlight w:val="none"/>
        </w:rPr>
        <w:t>中允许联合体</w:t>
      </w:r>
      <w:r>
        <w:rPr>
          <w:rFonts w:hint="eastAsia"/>
          <w:bCs/>
          <w:color w:val="auto"/>
          <w:sz w:val="24"/>
          <w:szCs w:val="28"/>
          <w:highlight w:val="none"/>
        </w:rPr>
        <w:t>参加磋商</w:t>
      </w:r>
      <w:r>
        <w:rPr>
          <w:bCs/>
          <w:color w:val="auto"/>
          <w:sz w:val="24"/>
          <w:szCs w:val="28"/>
          <w:highlight w:val="none"/>
        </w:rPr>
        <w:t>，对联合体规定如下：</w:t>
      </w:r>
    </w:p>
    <w:p w14:paraId="5AE473D0">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.1</w:t>
      </w:r>
      <w:r>
        <w:rPr>
          <w:rFonts w:hint="eastAsia"/>
          <w:color w:val="auto"/>
          <w:sz w:val="24"/>
          <w:highlight w:val="none"/>
        </w:rPr>
        <w:t>两个以上供应商可以组成一个磋商联合体，以一个供应商的身份磋商</w:t>
      </w:r>
      <w:r>
        <w:rPr>
          <w:color w:val="auto"/>
          <w:sz w:val="24"/>
          <w:highlight w:val="none"/>
        </w:rPr>
        <w:t>。</w:t>
      </w:r>
      <w:r>
        <w:rPr>
          <w:b w:val="0"/>
          <w:sz w:val="24"/>
          <w:highlight w:val="none"/>
        </w:rPr>
        <w:t>联合体参加磋商的，</w:t>
      </w:r>
      <w:r>
        <w:rPr>
          <w:rFonts w:hint="eastAsia"/>
          <w:b w:val="0"/>
          <w:sz w:val="24"/>
          <w:highlight w:val="none"/>
        </w:rPr>
        <w:t>磋商文件获取</w:t>
      </w:r>
      <w:r>
        <w:rPr>
          <w:b w:val="0"/>
          <w:sz w:val="24"/>
          <w:highlight w:val="none"/>
        </w:rPr>
        <w:t>手续由联合体</w:t>
      </w:r>
      <w:r>
        <w:rPr>
          <w:rFonts w:hint="eastAsia"/>
          <w:b w:val="0"/>
          <w:sz w:val="24"/>
          <w:highlight w:val="none"/>
        </w:rPr>
        <w:t>中</w:t>
      </w:r>
      <w:r>
        <w:rPr>
          <w:b w:val="0"/>
          <w:sz w:val="24"/>
          <w:highlight w:val="none"/>
        </w:rPr>
        <w:t>任一</w:t>
      </w:r>
      <w:r>
        <w:rPr>
          <w:rFonts w:hint="eastAsia"/>
          <w:b w:val="0"/>
          <w:sz w:val="24"/>
          <w:highlight w:val="none"/>
        </w:rPr>
        <w:t>成员单位</w:t>
      </w:r>
      <w:r>
        <w:rPr>
          <w:b w:val="0"/>
          <w:sz w:val="24"/>
          <w:highlight w:val="none"/>
        </w:rPr>
        <w:t>办理均可。</w:t>
      </w:r>
    </w:p>
    <w:p w14:paraId="7783552F">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.2联合体各方均应符合《中华人民共和国政府采购法》第二十二条规定的条件。</w:t>
      </w:r>
    </w:p>
    <w:p w14:paraId="2313DDB6">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.3采购人根据采购项目对</w:t>
      </w:r>
      <w:r>
        <w:rPr>
          <w:rFonts w:hint="eastAsia"/>
          <w:color w:val="auto"/>
          <w:sz w:val="24"/>
          <w:highlight w:val="none"/>
        </w:rPr>
        <w:t>供应商</w:t>
      </w:r>
      <w:r>
        <w:rPr>
          <w:color w:val="auto"/>
          <w:sz w:val="24"/>
          <w:highlight w:val="none"/>
        </w:rPr>
        <w:t>的特殊要求，联合体中至少应当有一方符合相关规定。</w:t>
      </w:r>
    </w:p>
    <w:p w14:paraId="76E1123C">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.4联合体各方应签订</w:t>
      </w:r>
      <w:r>
        <w:rPr>
          <w:rFonts w:hint="eastAsia"/>
          <w:color w:val="auto"/>
          <w:sz w:val="24"/>
          <w:highlight w:val="none"/>
        </w:rPr>
        <w:t>联合协议</w:t>
      </w:r>
      <w:r>
        <w:rPr>
          <w:color w:val="auto"/>
          <w:sz w:val="24"/>
          <w:highlight w:val="none"/>
        </w:rPr>
        <w:t>，明确约定联合体各方承担的工作和相应的责任，并将</w:t>
      </w:r>
      <w:r>
        <w:rPr>
          <w:rFonts w:hint="eastAsia"/>
          <w:color w:val="auto"/>
          <w:sz w:val="24"/>
          <w:highlight w:val="none"/>
        </w:rPr>
        <w:t>联合协议</w:t>
      </w:r>
      <w:r>
        <w:rPr>
          <w:color w:val="auto"/>
          <w:sz w:val="24"/>
          <w:highlight w:val="none"/>
        </w:rPr>
        <w:t>作为</w:t>
      </w:r>
      <w:r>
        <w:rPr>
          <w:rFonts w:hint="eastAsia"/>
          <w:color w:val="auto"/>
          <w:sz w:val="24"/>
          <w:highlight w:val="none"/>
        </w:rPr>
        <w:t>响应</w:t>
      </w:r>
      <w:r>
        <w:rPr>
          <w:color w:val="auto"/>
          <w:sz w:val="24"/>
          <w:highlight w:val="none"/>
        </w:rPr>
        <w:t>文件</w:t>
      </w:r>
      <w:r>
        <w:rPr>
          <w:rFonts w:hint="eastAsia"/>
          <w:color w:val="auto"/>
          <w:sz w:val="24"/>
          <w:highlight w:val="none"/>
        </w:rPr>
        <w:t>的</w:t>
      </w:r>
      <w:r>
        <w:rPr>
          <w:color w:val="auto"/>
          <w:sz w:val="24"/>
          <w:highlight w:val="none"/>
        </w:rPr>
        <w:t>一部分提交。</w:t>
      </w:r>
    </w:p>
    <w:p w14:paraId="48EB2213">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.5大中型企业、其他自然人、法人或者非法人组织与小型、微型企业组成联合体共同参加</w:t>
      </w:r>
      <w:r>
        <w:rPr>
          <w:rFonts w:hint="eastAsia"/>
          <w:color w:val="auto"/>
          <w:sz w:val="24"/>
          <w:highlight w:val="none"/>
        </w:rPr>
        <w:t>磋商</w:t>
      </w:r>
      <w:r>
        <w:rPr>
          <w:color w:val="auto"/>
          <w:sz w:val="24"/>
          <w:highlight w:val="none"/>
        </w:rPr>
        <w:t>，</w:t>
      </w:r>
      <w:r>
        <w:rPr>
          <w:rFonts w:hint="eastAsia"/>
          <w:color w:val="auto"/>
          <w:sz w:val="24"/>
          <w:highlight w:val="none"/>
        </w:rPr>
        <w:t>联合协议中</w:t>
      </w:r>
      <w:r>
        <w:rPr>
          <w:color w:val="auto"/>
          <w:sz w:val="24"/>
          <w:highlight w:val="none"/>
        </w:rPr>
        <w:t>应写明小型、微型企业的协议合同金额占到</w:t>
      </w:r>
      <w:r>
        <w:rPr>
          <w:rFonts w:hint="eastAsia"/>
          <w:color w:val="auto"/>
          <w:sz w:val="24"/>
          <w:highlight w:val="none"/>
        </w:rPr>
        <w:t>联合协议合同</w:t>
      </w:r>
      <w:r>
        <w:rPr>
          <w:color w:val="auto"/>
          <w:sz w:val="24"/>
          <w:highlight w:val="none"/>
        </w:rPr>
        <w:t>总金额的比例。</w:t>
      </w:r>
    </w:p>
    <w:p w14:paraId="618450BC">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.5.6</w:t>
      </w:r>
      <w:r>
        <w:rPr>
          <w:rFonts w:hint="eastAsia"/>
          <w:color w:val="auto"/>
          <w:sz w:val="24"/>
          <w:highlight w:val="none"/>
        </w:rPr>
        <w:t>联合体中有同类资质的供应商按照联合体分工承担相同工作的，</w:t>
      </w:r>
      <w:r>
        <w:rPr>
          <w:color w:val="auto"/>
          <w:sz w:val="24"/>
          <w:highlight w:val="none"/>
        </w:rPr>
        <w:t>应当按照</w:t>
      </w:r>
      <w:r>
        <w:rPr>
          <w:rFonts w:hint="eastAsia"/>
          <w:color w:val="auto"/>
          <w:sz w:val="24"/>
          <w:highlight w:val="none"/>
        </w:rPr>
        <w:t>资质等级较低的供应商确定资质等级。</w:t>
      </w:r>
    </w:p>
    <w:p w14:paraId="2391A1AF">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.7以联合体形式参加政府采购活动的，联合体各方不得再单独参加或者与其他供应商另外组成联合体参加本项目</w:t>
      </w:r>
      <w:r>
        <w:rPr>
          <w:rFonts w:hint="eastAsia"/>
          <w:color w:val="auto"/>
          <w:sz w:val="24"/>
          <w:highlight w:val="none"/>
        </w:rPr>
        <w:t>磋商</w:t>
      </w:r>
      <w:r>
        <w:rPr>
          <w:color w:val="auto"/>
          <w:sz w:val="24"/>
          <w:highlight w:val="none"/>
        </w:rPr>
        <w:t>，否则相关</w:t>
      </w:r>
      <w:r>
        <w:rPr>
          <w:rFonts w:hint="eastAsia"/>
          <w:color w:val="auto"/>
          <w:sz w:val="24"/>
          <w:highlight w:val="none"/>
        </w:rPr>
        <w:t>响应文件将被认定为</w:t>
      </w:r>
      <w:r>
        <w:rPr>
          <w:rFonts w:hint="eastAsia"/>
          <w:b/>
          <w:color w:val="auto"/>
          <w:sz w:val="24"/>
          <w:highlight w:val="none"/>
        </w:rPr>
        <w:t>响应无效</w:t>
      </w:r>
      <w:r>
        <w:rPr>
          <w:color w:val="auto"/>
          <w:sz w:val="24"/>
          <w:highlight w:val="none"/>
        </w:rPr>
        <w:t>。</w:t>
      </w:r>
    </w:p>
    <w:p w14:paraId="14E790EA">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.8对联合体参加磋商的其他资格要求见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color w:val="auto"/>
          <w:sz w:val="24"/>
          <w:highlight w:val="none"/>
        </w:rPr>
        <w:t>。</w:t>
      </w:r>
    </w:p>
    <w:p w14:paraId="454C1112">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w:t>
      </w:r>
      <w:r>
        <w:rPr>
          <w:rFonts w:hint="eastAsia" w:asciiTheme="minorEastAsia" w:hAnsiTheme="minorEastAsia" w:eastAsiaTheme="minorEastAsia"/>
          <w:b/>
          <w:color w:val="auto"/>
          <w:sz w:val="24"/>
          <w:highlight w:val="none"/>
          <w:lang w:val="en-US" w:eastAsia="zh-CN"/>
        </w:rPr>
        <w:t>落实情况</w:t>
      </w:r>
    </w:p>
    <w:p w14:paraId="7F80891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.1本项目的采购人已获得足以支付本次磋商后所签订的合同项下的资金。</w:t>
      </w:r>
    </w:p>
    <w:p w14:paraId="3A2275CB">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磋商费用</w:t>
      </w:r>
    </w:p>
    <w:p w14:paraId="2BD832AD">
      <w:pPr>
        <w:spacing w:line="360" w:lineRule="auto"/>
        <w:ind w:firstLine="437"/>
        <w:rPr>
          <w:color w:val="auto"/>
          <w:sz w:val="24"/>
          <w:highlight w:val="none"/>
        </w:rPr>
      </w:pPr>
      <w:r>
        <w:rPr>
          <w:rFonts w:hint="eastAsia"/>
          <w:color w:val="auto"/>
          <w:sz w:val="24"/>
          <w:highlight w:val="none"/>
        </w:rPr>
        <w:t>不论磋商的结果如何，供应商应承担其所有与准备和参加磋商有关的费用。</w:t>
      </w:r>
    </w:p>
    <w:p w14:paraId="48053137">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14:paraId="04E3263F">
      <w:pPr>
        <w:spacing w:line="360" w:lineRule="auto"/>
        <w:ind w:firstLine="435"/>
        <w:rPr>
          <w:rFonts w:asciiTheme="minorEastAsia" w:hAnsiTheme="minorEastAsia" w:eastAsiaTheme="minorEastAsia"/>
          <w:color w:val="auto"/>
          <w:sz w:val="24"/>
          <w:highlight w:val="none"/>
        </w:rPr>
      </w:pPr>
      <w:r>
        <w:rPr>
          <w:rFonts w:hint="eastAsia"/>
          <w:color w:val="auto"/>
          <w:sz w:val="24"/>
          <w:highlight w:val="none"/>
        </w:rPr>
        <w:t>本项目采购人、采购代理机构、供应商、磋商小组的相关行为均受《中华人民共和国政府采购法》、《中华人民共和国政府采购法实施条例》及本项目本级和上级财政部门、政府采购监督管理部门的政府采购有关规定的约束，其权利受到上述法律法规的保护。</w:t>
      </w:r>
    </w:p>
    <w:p w14:paraId="2B141F02">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磋商文件构成</w:t>
      </w:r>
    </w:p>
    <w:p w14:paraId="336CCF9D">
      <w:pPr>
        <w:spacing w:line="360" w:lineRule="auto"/>
        <w:ind w:firstLine="435"/>
        <w:rPr>
          <w:color w:val="auto"/>
          <w:sz w:val="24"/>
          <w:highlight w:val="none"/>
        </w:rPr>
      </w:pPr>
      <w:r>
        <w:rPr>
          <w:rFonts w:hint="eastAsia"/>
          <w:color w:val="auto"/>
          <w:sz w:val="24"/>
          <w:highlight w:val="none"/>
          <w:lang w:val="en-US" w:eastAsia="zh-CN"/>
        </w:rPr>
        <w:t>5</w:t>
      </w:r>
      <w:r>
        <w:rPr>
          <w:rFonts w:hint="eastAsia"/>
          <w:color w:val="auto"/>
          <w:sz w:val="24"/>
          <w:highlight w:val="none"/>
        </w:rPr>
        <w:t>.1磋商文件包括下列内容：</w:t>
      </w:r>
    </w:p>
    <w:p w14:paraId="114351E1">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磋商邀请</w:t>
      </w:r>
    </w:p>
    <w:p w14:paraId="2ADA5460">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须知</w:t>
      </w:r>
    </w:p>
    <w:p w14:paraId="20BB4075">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14:paraId="7610C4C0">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评审方法</w:t>
      </w:r>
      <w:r>
        <w:rPr>
          <w:rFonts w:asciiTheme="minorEastAsia" w:hAnsiTheme="minorEastAsia" w:eastAsiaTheme="minorEastAsia"/>
          <w:color w:val="auto"/>
          <w:sz w:val="24"/>
          <w:highlight w:val="none"/>
        </w:rPr>
        <w:t>和标准</w:t>
      </w:r>
    </w:p>
    <w:p w14:paraId="4A85161B">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14:paraId="5F9B3459">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w:t>
      </w:r>
    </w:p>
    <w:p w14:paraId="2DAEC20B">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14:paraId="7F1C266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现场</w:t>
      </w:r>
      <w:r>
        <w:rPr>
          <w:rFonts w:hint="eastAsia" w:asciiTheme="minorEastAsia" w:hAnsiTheme="minorEastAsia" w:eastAsiaTheme="minorEastAsia"/>
          <w:color w:val="auto"/>
          <w:sz w:val="24"/>
          <w:highlight w:val="none"/>
        </w:rPr>
        <w:t>考察</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标前答疑会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14:paraId="4B8A491A">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应认真阅读</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文件所有的事项、格式、条款和技术规范等。</w:t>
      </w:r>
    </w:p>
    <w:p w14:paraId="52A629B6">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磋商文件的澄清与修改</w:t>
      </w:r>
    </w:p>
    <w:p w14:paraId="6723B396">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1供应商</w:t>
      </w:r>
      <w:r>
        <w:rPr>
          <w:rFonts w:asciiTheme="minorEastAsia" w:hAnsiTheme="minorEastAsia" w:eastAsiaTheme="minorEastAsia"/>
          <w:color w:val="auto"/>
          <w:sz w:val="24"/>
          <w:highlight w:val="none"/>
        </w:rPr>
        <w:t>如对</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文件内容有疑问，必须在</w:t>
      </w:r>
      <w:r>
        <w:rPr>
          <w:color w:val="auto"/>
          <w:sz w:val="24"/>
          <w:highlight w:val="none"/>
          <w:u w:val="single"/>
        </w:rPr>
        <w:t>供应商须知前附表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14:paraId="520484E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w:t>
      </w:r>
      <w:r>
        <w:rPr>
          <w:rFonts w:hint="eastAsia" w:asciiTheme="minorEastAsia" w:hAnsiTheme="minorEastAsia" w:eastAsiaTheme="minorEastAsia"/>
          <w:color w:val="auto"/>
          <w:sz w:val="24"/>
          <w:highlight w:val="none"/>
          <w:lang w:val="en-US" w:eastAsia="zh-CN"/>
        </w:rPr>
        <w:t>答复供应商</w:t>
      </w:r>
      <w:r>
        <w:rPr>
          <w:rFonts w:hint="eastAsia" w:asciiTheme="minorEastAsia" w:hAnsiTheme="minorEastAsia" w:eastAsiaTheme="minorEastAsia"/>
          <w:color w:val="auto"/>
          <w:sz w:val="24"/>
          <w:highlight w:val="none"/>
        </w:rPr>
        <w:t>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文件进行澄清与修改。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w:t>
      </w:r>
      <w:bookmarkStart w:id="23" w:name="_Hlk16458572"/>
      <w:r>
        <w:rPr>
          <w:rFonts w:hint="eastAsia"/>
          <w:color w:val="auto"/>
          <w:sz w:val="24"/>
          <w:szCs w:val="18"/>
          <w:highlight w:val="none"/>
        </w:rPr>
        <w:t>安徽省政府采购网</w:t>
      </w:r>
      <w:bookmarkEnd w:id="23"/>
      <w:r>
        <w:rPr>
          <w:rFonts w:hint="eastAsia" w:asciiTheme="minorEastAsia" w:hAnsiTheme="minorEastAsia" w:eastAsiaTheme="minorEastAsia"/>
          <w:color w:val="auto"/>
          <w:sz w:val="24"/>
          <w:highlight w:val="none"/>
        </w:rPr>
        <w:t>发布更正公告的方式澄清或者修改磋商文件，更正公告的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起约束作用</w:t>
      </w:r>
      <w:r>
        <w:rPr>
          <w:rFonts w:hint="eastAsia" w:asciiTheme="minorEastAsia" w:hAnsiTheme="minorEastAsia" w:eastAsiaTheme="minorEastAsia"/>
          <w:color w:val="auto"/>
          <w:sz w:val="24"/>
          <w:highlight w:val="none"/>
        </w:rPr>
        <w:t>。供应商应主动上网查询。采购代理机构不承担供应商未及时关注相关信息引发的相关责任。</w:t>
      </w:r>
    </w:p>
    <w:p w14:paraId="70308FD4">
      <w:pPr>
        <w:spacing w:line="360" w:lineRule="auto"/>
        <w:ind w:firstLine="435"/>
        <w:rPr>
          <w:color w:val="auto"/>
          <w:sz w:val="24"/>
          <w:highlight w:val="none"/>
        </w:rPr>
      </w:pPr>
      <w:r>
        <w:rPr>
          <w:rFonts w:hint="eastAsia"/>
          <w:color w:val="auto"/>
          <w:sz w:val="24"/>
          <w:highlight w:val="none"/>
          <w:lang w:val="en-US" w:eastAsia="zh-CN"/>
        </w:rPr>
        <w:t>6</w:t>
      </w:r>
      <w:r>
        <w:rPr>
          <w:rFonts w:hint="eastAsia"/>
          <w:color w:val="auto"/>
          <w:sz w:val="24"/>
          <w:highlight w:val="none"/>
        </w:rPr>
        <w:t>.3任何人或任何组织向供应商提供的任何书面或口头资料，未经采购代理机构在网上发布或书面通知，均作无效处理，不得作为磋商文件的组成部分。采购代理机构对供应商由此而做出的推论、理解和结论概不负责。</w:t>
      </w:r>
    </w:p>
    <w:p w14:paraId="40029C9B">
      <w:pPr>
        <w:spacing w:line="360" w:lineRule="auto"/>
        <w:ind w:firstLine="435"/>
        <w:rPr>
          <w:rFonts w:asciiTheme="minorEastAsia" w:hAnsiTheme="minorEastAsia" w:eastAsiaTheme="minorEastAsia"/>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询问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本磋商</w:t>
      </w:r>
      <w:r>
        <w:rPr>
          <w:rFonts w:asciiTheme="minorEastAsia" w:hAnsiTheme="minorEastAsia" w:eastAsiaTheme="minorEastAsia"/>
          <w:color w:val="auto"/>
          <w:sz w:val="24"/>
          <w:highlight w:val="none"/>
        </w:rPr>
        <w:t>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color w:val="auto"/>
          <w:sz w:val="24"/>
          <w:highlight w:val="none"/>
        </w:rPr>
        <w:t>。</w:t>
      </w:r>
    </w:p>
    <w:p w14:paraId="4A036583">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磋商范围及响应文件中标准和计量单位的使用</w:t>
      </w:r>
    </w:p>
    <w:p w14:paraId="0069B96C">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参与</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的磋商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14:paraId="6A2E48BF">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无论磋商文件中是否要求，供应商所</w:t>
      </w:r>
      <w:r>
        <w:rPr>
          <w:rFonts w:hint="eastAsia" w:asciiTheme="minorEastAsia" w:hAnsiTheme="minorEastAsia" w:eastAsiaTheme="minorEastAsia"/>
          <w:color w:val="auto"/>
          <w:sz w:val="24"/>
          <w:highlight w:val="none"/>
        </w:rPr>
        <w:t>承担</w:t>
      </w:r>
      <w:r>
        <w:rPr>
          <w:rFonts w:asciiTheme="minorEastAsia" w:hAnsiTheme="minorEastAsia" w:eastAsiaTheme="minorEastAsia"/>
          <w:color w:val="auto"/>
          <w:sz w:val="24"/>
          <w:highlight w:val="none"/>
        </w:rPr>
        <w:t>工程及伴随的货物和</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均应符合国家强制性标准。</w:t>
      </w:r>
    </w:p>
    <w:p w14:paraId="0919D37B">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供应商与采购代理机构之间与磋商有关的所有往来通知、函件和响应文件均用中文表述。供应商随响应文件提供的证明文件和资料可以为其他语言，但必须附中文译文。翻译的中文资料与外文资料如果出现差异时，以中文为准。</w:t>
      </w:r>
    </w:p>
    <w:p w14:paraId="47A2AEBA">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除磋商文件中有特殊要求外，响应文件中所使用的计量单位，应采用中华人民共和国法定计量单位。</w:t>
      </w:r>
    </w:p>
    <w:p w14:paraId="115F0A1A">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14:paraId="086E430E">
      <w:pPr>
        <w:spacing w:line="360" w:lineRule="auto"/>
        <w:ind w:firstLine="437"/>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.1供应商应完整地按磋商文件提供的响应文件格式及要求编写响应文件，具体内容详见第六章响应文件格式的相关内容。</w:t>
      </w:r>
    </w:p>
    <w:p w14:paraId="6652807D">
      <w:pPr>
        <w:spacing w:line="360" w:lineRule="auto"/>
        <w:ind w:firstLine="435"/>
        <w:rPr>
          <w:rFonts w:asciiTheme="minorEastAsia" w:hAnsiTheme="minorEastAsia" w:eastAsiaTheme="minorEastAsia"/>
          <w:color w:val="auto"/>
          <w:sz w:val="24"/>
          <w:highlight w:val="none"/>
        </w:rPr>
      </w:pPr>
      <w:r>
        <w:rPr>
          <w:rFonts w:hint="eastAsia"/>
          <w:color w:val="auto"/>
          <w:sz w:val="24"/>
          <w:highlight w:val="none"/>
          <w:lang w:val="en-US" w:eastAsia="zh-CN"/>
        </w:rPr>
        <w:t>8.2</w:t>
      </w:r>
      <w:r>
        <w:rPr>
          <w:rFonts w:hint="eastAsia"/>
          <w:color w:val="auto"/>
          <w:sz w:val="24"/>
          <w:highlight w:val="none"/>
        </w:rPr>
        <w:t>供应商应提交磋商文件要求的证明文件，证明其响应内容符合磋商文件规定。该证明文件是响应文件的一部分</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24" w:name="_Hlk11703583"/>
      <w:r>
        <w:rPr>
          <w:rFonts w:hint="eastAsia" w:asciiTheme="minorEastAsia" w:hAnsiTheme="minorEastAsia" w:eastAsiaTheme="minorEastAsia"/>
          <w:color w:val="auto"/>
          <w:sz w:val="24"/>
          <w:highlight w:val="none"/>
        </w:rPr>
        <w:t>。</w:t>
      </w:r>
      <w:bookmarkEnd w:id="24"/>
    </w:p>
    <w:p w14:paraId="640D2F4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为保证</w:t>
      </w:r>
      <w:r>
        <w:rPr>
          <w:color w:val="auto"/>
          <w:sz w:val="24"/>
          <w:highlight w:val="none"/>
        </w:rPr>
        <w:t>公平</w:t>
      </w:r>
      <w:r>
        <w:rPr>
          <w:rFonts w:asciiTheme="minorEastAsia" w:hAnsiTheme="minorEastAsia" w:eastAsiaTheme="minorEastAsia"/>
          <w:color w:val="auto"/>
          <w:sz w:val="24"/>
          <w:highlight w:val="none"/>
        </w:rPr>
        <w:t>公正，除非磋商文件另有规定或说明，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对同一项目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备选磋商</w:t>
      </w:r>
      <w:r>
        <w:rPr>
          <w:rFonts w:asciiTheme="minorEastAsia" w:hAnsiTheme="minorEastAsia" w:eastAsiaTheme="minorEastAsia"/>
          <w:color w:val="auto"/>
          <w:sz w:val="24"/>
          <w:highlight w:val="none"/>
        </w:rPr>
        <w:t>方案。</w:t>
      </w:r>
    </w:p>
    <w:p w14:paraId="7FFA45A7">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14:paraId="6B377051">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的报价应当包括满足本次</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全部</w:t>
      </w:r>
      <w:r>
        <w:rPr>
          <w:rFonts w:hint="eastAsia" w:asciiTheme="minorEastAsia" w:hAnsiTheme="minorEastAsia" w:eastAsiaTheme="minorEastAsia"/>
          <w:color w:val="auto"/>
          <w:sz w:val="24"/>
          <w:highlight w:val="none"/>
        </w:rPr>
        <w:t>内容。所有报价均应以人民币报价，供应商的磋商报价应遵守《中华人民共和国价格法》。</w:t>
      </w:r>
    </w:p>
    <w:p w14:paraId="4C75F9A3">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最后报价均不得高于磋商文件（公告）列明的项目预算</w:t>
      </w:r>
      <w:r>
        <w:rPr>
          <w:rFonts w:hint="eastAsia" w:asciiTheme="minorEastAsia" w:hAnsiTheme="minorEastAsia" w:eastAsiaTheme="minorEastAsia"/>
          <w:color w:val="auto"/>
          <w:sz w:val="24"/>
          <w:highlight w:val="none"/>
        </w:rPr>
        <w:t>、最高投标限价</w:t>
      </w:r>
      <w:r>
        <w:rPr>
          <w:rFonts w:asciiTheme="minorEastAsia" w:hAnsiTheme="minorEastAsia" w:eastAsiaTheme="minorEastAsia"/>
          <w:color w:val="auto"/>
          <w:sz w:val="24"/>
          <w:highlight w:val="none"/>
        </w:rPr>
        <w:t>，否则其响应文件将被认定为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14:paraId="539F5E33">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，其</w:t>
      </w:r>
      <w:r>
        <w:rPr>
          <w:rFonts w:hint="eastAsia" w:asciiTheme="minorEastAsia" w:hAnsiTheme="minorEastAsia" w:eastAsiaTheme="minorEastAsia"/>
          <w:color w:val="auto"/>
          <w:sz w:val="24"/>
          <w:highlight w:val="none"/>
        </w:rPr>
        <w:t>响应文件将被认定为</w:t>
      </w:r>
      <w:r>
        <w:rPr>
          <w:rFonts w:hint="eastAsia"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14:paraId="780082DF">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14:paraId="70ECBFAD">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磋商保证金</w:t>
      </w:r>
    </w:p>
    <w:p w14:paraId="055E380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10</w:t>
      </w:r>
      <w:r>
        <w:rPr>
          <w:rFonts w:asciiTheme="minorEastAsia" w:hAnsiTheme="minorEastAsia" w:eastAsiaTheme="minorEastAsia"/>
          <w:color w:val="auto"/>
          <w:sz w:val="24"/>
          <w:highlight w:val="none"/>
        </w:rPr>
        <w:t>.1本项目不收取磋商保证金。</w:t>
      </w:r>
    </w:p>
    <w:p w14:paraId="367E4FBA">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磋商有效期</w:t>
      </w:r>
    </w:p>
    <w:p w14:paraId="4EBD0919">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.1磋商有效期为从响应文件提交截止之日算起的日历天数，磋商有效期详见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14:paraId="33DD1091">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.2在磋商有效期内，供应商的磋商保持有效，供应商不得要求撤销或修改其响应文件。磋商有效期不满足要求的响应，其响应文件将被认定为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14:paraId="53962425">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为保证有充分时间签订合同，采购人或采购代理机构可根据实际情况，在原磋商有效期截止之前，要求供应商延长磋商有效期。接受该要求的供应商将不会被要求和允许修正其响应文件。供应商可以拒绝延长磋商有效期的要求，且不承担任何责任。上述要求和答复都应以书面形式提交。</w:t>
      </w:r>
    </w:p>
    <w:p w14:paraId="16845D53">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14:paraId="5A043B80">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.1响应文件的提交</w:t>
      </w:r>
    </w:p>
    <w:p w14:paraId="21556DE1">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在滁州市公共资源交易中心网，利用用户名或CA锁登录下载磋商文件(.czzf格式)后，在下载“响应文件制作工具”安装后，在线制作响应文件，制作好的响应文件格式有2种:第一种.cztf格式加密响应文件；第二种.ncztf格式是非加密响应文件。请供应商将第一种响应文件通过系统“上传响应文件”上传到系统中。</w:t>
      </w:r>
    </w:p>
    <w:p w14:paraId="08F68BEA">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（2）如果一个项目有多个标段，则需按标段下载对应标段磋商文件分别生成对应的响应文件，通过系统“上传响应文件”按标段分别上传到系统中。</w:t>
      </w:r>
    </w:p>
    <w:p w14:paraId="4841318A">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（3）请供应商通过系统下载“响应文件制作工具”制作响应文件，并利用CA锁进行上传响应文件，上传已加密的响应文件，务必通过此方式上传响应文件。</w:t>
      </w:r>
    </w:p>
    <w:p w14:paraId="0F1874B4">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（4）供应商在响应文件编制、签章、上传过程中如有任何操作的疑问请及时联系技术支持，电话：0550-3801701。</w:t>
      </w:r>
    </w:p>
    <w:p w14:paraId="5BDAAE49">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如果因供应商自身原因导致响应文件在规定时间内未能解密、解密失败或解密超时，响应文件无效；因采购代理机构原因或网上平台发生故障，导致无法按时完成响应文件解密的，经采购代理机构申请后可延迟解密时间。</w:t>
      </w:r>
    </w:p>
    <w:p w14:paraId="099DA81E">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2供应商应当在响应文件提交截止时间前完成响应文件的传输提交（以接收到电子签收凭证为准），并可以补充、修改或者撤回响应文件。响应文件提交截止时间前未完成响应文件传输的，视为撤回响应文件。未按规定加密或响应文件提交截止时间后送达的响应文件，电子交易系统应当拒收。</w:t>
      </w:r>
    </w:p>
    <w:p w14:paraId="5E6D1A8E">
      <w:pPr>
        <w:spacing w:line="360" w:lineRule="auto"/>
        <w:ind w:firstLine="435"/>
        <w:rPr>
          <w:rFonts w:hint="eastAsia" w:asciiTheme="minorEastAsia" w:hAnsiTheme="minorEastAsia" w:eastAsiaTheme="minorEastAsia"/>
          <w:color w:val="auto"/>
          <w:sz w:val="24"/>
          <w:highlight w:val="none"/>
          <w:lang w:eastAsia="zh-CN"/>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未在规定时间内进行解密的，</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b/>
          <w:color w:val="auto"/>
          <w:sz w:val="24"/>
          <w:highlight w:val="none"/>
          <w:lang w:eastAsia="zh-CN"/>
        </w:rPr>
        <w:t>。</w:t>
      </w:r>
    </w:p>
    <w:p w14:paraId="075D0BD8">
      <w:pPr>
        <w:spacing w:line="360" w:lineRule="auto"/>
        <w:ind w:firstLine="435"/>
        <w:rPr>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.4在响应文件提交截止时间之后，供应商不得对其响应文件做任何修改。</w:t>
      </w:r>
      <w:r>
        <w:rPr>
          <w:rFonts w:hint="eastAsia"/>
          <w:color w:val="auto"/>
          <w:sz w:val="24"/>
          <w:highlight w:val="none"/>
        </w:rPr>
        <w:t>但属于磋商小组在评审中发现的计算错误并进行核实的修改、按照磋商文件的变动情况和磋商小组的要求重新提交响应文件的，不在此列。</w:t>
      </w:r>
    </w:p>
    <w:p w14:paraId="49CF6BA0">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磋商小组</w:t>
      </w:r>
    </w:p>
    <w:p w14:paraId="7D3556B2">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.1本项目将依法组建磋商小组，磋商小组成员由3人以上单数组成，磋商小组及其成员应当依照政府采购的有关规定履行相关职责和义务。</w:t>
      </w:r>
    </w:p>
    <w:p w14:paraId="59AC4759">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.2磋商小组依法对响应文件进行评审，并根据磋商文件规定的程序、评定成交的标准等事项与实质性响应磋商文件要求的供应商进行磋商。</w:t>
      </w:r>
    </w:p>
    <w:p w14:paraId="4AE58BD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.3磋商小组应当从质量和服务均能满足磋商文件实质性响应要求的供应商中，按照评审</w:t>
      </w:r>
      <w:r>
        <w:rPr>
          <w:rFonts w:hint="eastAsia" w:asciiTheme="minorEastAsia" w:hAnsiTheme="minorEastAsia" w:eastAsiaTheme="minorEastAsia"/>
          <w:color w:val="auto"/>
          <w:sz w:val="24"/>
          <w:highlight w:val="none"/>
        </w:rPr>
        <w:t>方</w:t>
      </w:r>
      <w:r>
        <w:rPr>
          <w:rFonts w:asciiTheme="minorEastAsia" w:hAnsiTheme="minorEastAsia" w:eastAsiaTheme="minorEastAsia"/>
          <w:color w:val="auto"/>
          <w:sz w:val="24"/>
          <w:highlight w:val="none"/>
        </w:rPr>
        <w:t>法</w:t>
      </w:r>
      <w:r>
        <w:rPr>
          <w:rFonts w:hint="eastAsia" w:asciiTheme="minorEastAsia" w:hAnsiTheme="minorEastAsia" w:eastAsiaTheme="minorEastAsia"/>
          <w:color w:val="auto"/>
          <w:sz w:val="24"/>
          <w:highlight w:val="none"/>
        </w:rPr>
        <w:t>和标准推荐</w:t>
      </w:r>
      <w:r>
        <w:rPr>
          <w:rFonts w:asciiTheme="minorEastAsia" w:hAnsiTheme="minorEastAsia" w:eastAsiaTheme="minorEastAsia"/>
          <w:color w:val="auto"/>
          <w:sz w:val="24"/>
          <w:highlight w:val="none"/>
        </w:rPr>
        <w:t>成交候选供应商，并编写</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报告。</w:t>
      </w:r>
    </w:p>
    <w:p w14:paraId="0C560E98">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.响应文件的评审与磋商</w:t>
      </w:r>
    </w:p>
    <w:p w14:paraId="36A89164">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1采购人和采购代理机构将在</w:t>
      </w:r>
      <w:r>
        <w:rPr>
          <w:rFonts w:hint="eastAsia" w:cs="@仿宋_GB2312" w:asciiTheme="minorEastAsia" w:hAnsiTheme="minorEastAsia" w:eastAsiaTheme="minorEastAsia"/>
          <w:color w:val="auto"/>
          <w:kern w:val="2"/>
          <w:sz w:val="24"/>
          <w:highlight w:val="none"/>
          <w:u w:val="none"/>
          <w:lang w:val="en-US" w:eastAsia="zh-CN"/>
        </w:rPr>
        <w:t>竞争性磋商公告</w:t>
      </w:r>
      <w:r>
        <w:rPr>
          <w:rFonts w:hint="eastAsia" w:asciiTheme="minorEastAsia" w:hAnsiTheme="minorEastAsia" w:eastAsiaTheme="minorEastAsia"/>
          <w:color w:val="auto"/>
          <w:sz w:val="24"/>
          <w:highlight w:val="none"/>
        </w:rPr>
        <w:t>规定的时间和地点组织磋商。</w:t>
      </w:r>
    </w:p>
    <w:p w14:paraId="1D06063A">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.2竞争性磋商活动采用综合评分法评审。</w:t>
      </w:r>
    </w:p>
    <w:p w14:paraId="19D4391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综合评分法，是指响应文件满足磋商文件全部实质性要求且按评审因素的量化指标评审得分最高的供应商为成交候选供应商的评审方法。</w:t>
      </w:r>
    </w:p>
    <w:p w14:paraId="32DEA32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.3磋商小组将按照磋商文件规定的</w:t>
      </w:r>
      <w:r>
        <w:rPr>
          <w:rFonts w:asciiTheme="minorEastAsia" w:hAnsiTheme="minorEastAsia" w:eastAsiaTheme="minorEastAsia"/>
          <w:color w:val="auto"/>
          <w:sz w:val="24"/>
          <w:highlight w:val="none"/>
        </w:rPr>
        <w:t>评审</w:t>
      </w:r>
      <w:r>
        <w:rPr>
          <w:rFonts w:hint="eastAsia" w:asciiTheme="minorEastAsia" w:hAnsiTheme="minorEastAsia" w:eastAsiaTheme="minorEastAsia"/>
          <w:color w:val="auto"/>
          <w:sz w:val="24"/>
          <w:highlight w:val="none"/>
        </w:rPr>
        <w:t>方</w:t>
      </w:r>
      <w:r>
        <w:rPr>
          <w:rFonts w:asciiTheme="minorEastAsia" w:hAnsiTheme="minorEastAsia" w:eastAsiaTheme="minorEastAsia"/>
          <w:color w:val="auto"/>
          <w:sz w:val="24"/>
          <w:highlight w:val="none"/>
        </w:rPr>
        <w:t>法</w:t>
      </w:r>
      <w:r>
        <w:rPr>
          <w:rFonts w:hint="eastAsia" w:asciiTheme="minorEastAsia" w:hAnsiTheme="minorEastAsia" w:eastAsiaTheme="minorEastAsia"/>
          <w:color w:val="auto"/>
          <w:sz w:val="24"/>
          <w:highlight w:val="none"/>
        </w:rPr>
        <w:t>和标准对供应商独立进行评审。评审程序如下：</w:t>
      </w:r>
    </w:p>
    <w:p w14:paraId="725166FF">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.3.1</w:t>
      </w:r>
      <w:r>
        <w:rPr>
          <w:rFonts w:hint="eastAsia" w:asciiTheme="minorEastAsia" w:hAnsiTheme="minorEastAsia" w:eastAsiaTheme="minorEastAsia"/>
          <w:b/>
          <w:color w:val="auto"/>
          <w:sz w:val="24"/>
          <w:highlight w:val="none"/>
        </w:rPr>
        <w:t>初审</w:t>
      </w:r>
      <w:r>
        <w:rPr>
          <w:rFonts w:hint="eastAsia" w:asciiTheme="minorEastAsia" w:hAnsiTheme="minorEastAsia" w:eastAsiaTheme="minorEastAsia"/>
          <w:color w:val="auto"/>
          <w:sz w:val="24"/>
          <w:highlight w:val="none"/>
        </w:rPr>
        <w:t>。磋商小组对供应商必须满足和实质性响应的内容进行评审，供应商未实质性响应磋商文件要求导致响应无效的，磋商小组将以书面询标的方式告知有关供应商。</w:t>
      </w:r>
    </w:p>
    <w:p w14:paraId="007F92F6">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14:paraId="37012604">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将被认定为</w:t>
      </w:r>
      <w:r>
        <w:rPr>
          <w:rFonts w:hint="eastAsia" w:ascii="宋体" w:hAnsi="宋体" w:eastAsia="宋体" w:cs="宋体"/>
          <w:b/>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14:paraId="40016BA1">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p w14:paraId="08E608E2">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.3.2</w:t>
      </w:r>
      <w:r>
        <w:rPr>
          <w:rFonts w:hint="eastAsia" w:asciiTheme="minorEastAsia" w:hAnsiTheme="minorEastAsia" w:eastAsiaTheme="minorEastAsia"/>
          <w:b/>
          <w:color w:val="auto"/>
          <w:sz w:val="24"/>
          <w:highlight w:val="none"/>
        </w:rPr>
        <w:t>磋商</w:t>
      </w:r>
      <w:r>
        <w:rPr>
          <w:rFonts w:hint="eastAsia" w:asciiTheme="minorEastAsia" w:hAnsiTheme="minorEastAsia" w:eastAsiaTheme="minorEastAsia"/>
          <w:color w:val="auto"/>
          <w:sz w:val="24"/>
          <w:highlight w:val="none"/>
        </w:rPr>
        <w:t>。初审合格后，磋商小组将按网上加密电子响应文件提交顺序集中与单一供应商分别进行磋商，并给予所有参加磋商的供应商平等的磋商机会。</w:t>
      </w:r>
    </w:p>
    <w:p w14:paraId="4C5FBB64">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.3.3</w:t>
      </w:r>
      <w:r>
        <w:rPr>
          <w:rFonts w:asciiTheme="minorEastAsia" w:hAnsiTheme="minorEastAsia" w:eastAsiaTheme="minorEastAsia"/>
          <w:b/>
          <w:color w:val="auto"/>
          <w:sz w:val="24"/>
          <w:highlight w:val="none"/>
        </w:rPr>
        <w:t>报价</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磋商结束后，磋商小组应当要求所有</w:t>
      </w:r>
      <w:r>
        <w:rPr>
          <w:rFonts w:hint="eastAsia" w:asciiTheme="minorEastAsia" w:hAnsiTheme="minorEastAsia" w:eastAsiaTheme="minorEastAsia"/>
          <w:color w:val="auto"/>
          <w:sz w:val="24"/>
          <w:highlight w:val="none"/>
        </w:rPr>
        <w:t>实质性响应</w:t>
      </w:r>
      <w:r>
        <w:rPr>
          <w:rFonts w:asciiTheme="minorEastAsia" w:hAnsiTheme="minorEastAsia" w:eastAsiaTheme="minorEastAsia"/>
          <w:color w:val="auto"/>
          <w:sz w:val="24"/>
          <w:highlight w:val="none"/>
        </w:rPr>
        <w:t>的供应商在规定时间内提交最后报价</w:t>
      </w:r>
      <w:r>
        <w:rPr>
          <w:rFonts w:hint="eastAsia"/>
          <w:color w:val="auto"/>
          <w:sz w:val="24"/>
          <w:highlight w:val="none"/>
        </w:rPr>
        <w:t>。</w:t>
      </w:r>
    </w:p>
    <w:p w14:paraId="02FB9D84">
      <w:pPr>
        <w:spacing w:line="360" w:lineRule="auto"/>
        <w:ind w:firstLine="435"/>
        <w:rPr>
          <w:highlight w:val="none"/>
        </w:rPr>
      </w:pPr>
      <w:r>
        <w:rPr>
          <w:rFonts w:hint="eastAsia" w:asciiTheme="minorEastAsia" w:hAnsiTheme="minorEastAsia" w:eastAsiaTheme="minorEastAsia"/>
          <w:sz w:val="24"/>
          <w:highlight w:val="none"/>
          <w:lang w:val="en-US" w:eastAsia="zh-CN"/>
        </w:rPr>
        <w:t xml:space="preserve">14.3.4 </w:t>
      </w:r>
      <w:r>
        <w:rPr>
          <w:rFonts w:hint="eastAsia" w:asciiTheme="minorEastAsia" w:hAnsiTheme="minorEastAsia" w:eastAsiaTheme="minorEastAsia"/>
          <w:b/>
          <w:bCs/>
          <w:sz w:val="24"/>
          <w:highlight w:val="none"/>
          <w:lang w:val="en-US" w:eastAsia="zh-CN"/>
        </w:rPr>
        <w:t>异常低价响应审查。</w:t>
      </w:r>
      <w:r>
        <w:rPr>
          <w:rFonts w:hint="eastAsia" w:ascii="宋体" w:hAnsi="宋体" w:eastAsia="宋体"/>
          <w:sz w:val="24"/>
          <w:highlight w:val="none"/>
        </w:rPr>
        <w:t>根据《</w:t>
      </w:r>
      <w:r>
        <w:rPr>
          <w:rFonts w:hint="eastAsia" w:ascii="宋体" w:hAnsi="宋体" w:eastAsia="宋体"/>
          <w:sz w:val="24"/>
          <w:highlight w:val="none"/>
          <w:lang w:val="en-US" w:eastAsia="zh-CN"/>
        </w:rPr>
        <w:t>关于推进解决政府采购异常低价问题的通知</w:t>
      </w:r>
      <w:r>
        <w:rPr>
          <w:rFonts w:hint="eastAsia" w:ascii="宋体" w:hAnsi="宋体" w:eastAsia="宋体"/>
          <w:sz w:val="24"/>
          <w:highlight w:val="none"/>
        </w:rPr>
        <w:t>》（财库〔</w:t>
      </w:r>
      <w:r>
        <w:rPr>
          <w:rFonts w:ascii="宋体" w:hAnsi="宋体" w:eastAsia="宋体"/>
          <w:sz w:val="24"/>
          <w:highlight w:val="none"/>
        </w:rPr>
        <w:t>202</w:t>
      </w:r>
      <w:r>
        <w:rPr>
          <w:rFonts w:hint="eastAsia" w:ascii="宋体" w:hAnsi="宋体" w:eastAsia="宋体"/>
          <w:sz w:val="24"/>
          <w:highlight w:val="none"/>
          <w:lang w:val="en-US" w:eastAsia="zh-CN"/>
        </w:rPr>
        <w:t>6</w:t>
      </w:r>
      <w:r>
        <w:rPr>
          <w:rFonts w:ascii="宋体" w:hAnsi="宋体" w:eastAsia="宋体"/>
          <w:sz w:val="24"/>
          <w:highlight w:val="none"/>
        </w:rPr>
        <w:t>〕</w:t>
      </w:r>
      <w:r>
        <w:rPr>
          <w:rFonts w:hint="eastAsia" w:ascii="宋体" w:hAnsi="宋体" w:eastAsia="宋体"/>
          <w:sz w:val="24"/>
          <w:highlight w:val="none"/>
          <w:lang w:val="en-US" w:eastAsia="zh-CN"/>
        </w:rPr>
        <w:t>2</w:t>
      </w:r>
      <w:r>
        <w:rPr>
          <w:rFonts w:ascii="宋体" w:hAnsi="宋体" w:eastAsia="宋体"/>
          <w:sz w:val="24"/>
          <w:highlight w:val="none"/>
        </w:rPr>
        <w:t>号</w:t>
      </w:r>
      <w:r>
        <w:rPr>
          <w:rFonts w:hint="eastAsia" w:ascii="宋体" w:hAnsi="宋体" w:eastAsia="宋体"/>
          <w:sz w:val="24"/>
          <w:highlight w:val="none"/>
        </w:rPr>
        <w:t>）</w:t>
      </w:r>
      <w:r>
        <w:rPr>
          <w:rFonts w:hint="eastAsia" w:ascii="宋体" w:hAnsi="宋体" w:eastAsia="宋体"/>
          <w:sz w:val="24"/>
          <w:highlight w:val="none"/>
          <w:lang w:eastAsia="zh-CN"/>
        </w:rPr>
        <w:t>，</w:t>
      </w:r>
      <w:r>
        <w:rPr>
          <w:rFonts w:hint="eastAsia" w:ascii="宋体" w:hAnsi="宋体" w:eastAsia="宋体"/>
          <w:sz w:val="24"/>
          <w:highlight w:val="none"/>
          <w:lang w:val="en-US" w:eastAsia="zh-CN"/>
        </w:rPr>
        <w:t>磋商小组进行异常低价响应审查。</w:t>
      </w:r>
    </w:p>
    <w:p w14:paraId="6C3840D3">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lang w:val="en-US" w:eastAsia="zh-CN"/>
        </w:rPr>
        <w:t>5</w:t>
      </w:r>
      <w:r>
        <w:rPr>
          <w:rFonts w:hint="eastAsia" w:asciiTheme="minorEastAsia" w:hAnsiTheme="minorEastAsia" w:eastAsiaTheme="minorEastAsia"/>
          <w:b/>
          <w:color w:val="auto"/>
          <w:sz w:val="24"/>
          <w:highlight w:val="none"/>
        </w:rPr>
        <w:t>综合评分</w:t>
      </w:r>
      <w:r>
        <w:rPr>
          <w:rFonts w:hint="eastAsia" w:asciiTheme="minorEastAsia" w:hAnsiTheme="minorEastAsia" w:eastAsiaTheme="minorEastAsia"/>
          <w:color w:val="auto"/>
          <w:sz w:val="24"/>
          <w:highlight w:val="none"/>
        </w:rPr>
        <w:t>。磋商小组只对通过初审</w:t>
      </w:r>
      <w:r>
        <w:rPr>
          <w:rFonts w:hint="eastAsia" w:asciiTheme="minorEastAsia" w:hAnsiTheme="minorEastAsia" w:eastAsiaTheme="minorEastAsia"/>
          <w:sz w:val="24"/>
          <w:highlight w:val="none"/>
          <w:lang w:eastAsia="zh-CN"/>
        </w:rPr>
        <w:t>、</w:t>
      </w:r>
      <w:r>
        <w:rPr>
          <w:rFonts w:hint="eastAsia" w:ascii="宋体" w:hAnsi="宋体" w:eastAsia="宋体"/>
          <w:sz w:val="24"/>
          <w:highlight w:val="none"/>
          <w:lang w:val="en-US" w:eastAsia="zh-CN"/>
        </w:rPr>
        <w:t>异常低价响应审查</w:t>
      </w:r>
      <w:r>
        <w:rPr>
          <w:rFonts w:hint="eastAsia" w:asciiTheme="minorEastAsia" w:hAnsiTheme="minorEastAsia" w:eastAsiaTheme="minorEastAsia"/>
          <w:color w:val="auto"/>
          <w:sz w:val="24"/>
          <w:highlight w:val="none"/>
        </w:rPr>
        <w:t>，实质上响应磋商文件要求的响应文件进行综合评分。经磋商确定最终采购需求和提交最后报价的供应商后，由磋商小组采用综合评分法对提交最后报价的供应商的响应文件和最后报价进行综合评分。</w:t>
      </w:r>
    </w:p>
    <w:p w14:paraId="6C67F6A1">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.4相关说明。</w:t>
      </w:r>
    </w:p>
    <w:p w14:paraId="6CE5DBFA">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 xml:space="preserve">.4.1为保证磋商活动顺利进行，供应商可派相关技术人员进行网上答疑； </w:t>
      </w:r>
    </w:p>
    <w:p w14:paraId="565C80EE">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.4.2磋</w:t>
      </w:r>
      <w:r>
        <w:rPr>
          <w:rFonts w:asciiTheme="minorEastAsia" w:hAnsiTheme="minorEastAsia" w:eastAsiaTheme="minorEastAsia"/>
          <w:color w:val="auto"/>
          <w:sz w:val="24"/>
          <w:highlight w:val="none"/>
        </w:rPr>
        <w:t>商小组根据与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磋商情况可能实质性变动</w:t>
      </w:r>
      <w:r>
        <w:rPr>
          <w:rFonts w:hint="eastAsia" w:asciiTheme="minorEastAsia" w:hAnsiTheme="minorEastAsia" w:eastAsiaTheme="minorEastAsia"/>
          <w:color w:val="auto"/>
          <w:sz w:val="24"/>
          <w:highlight w:val="none"/>
        </w:rPr>
        <w:t>磋商文件</w:t>
      </w:r>
      <w:r>
        <w:rPr>
          <w:rFonts w:asciiTheme="minorEastAsia" w:hAnsiTheme="minorEastAsia" w:eastAsiaTheme="minorEastAsia"/>
          <w:color w:val="auto"/>
          <w:sz w:val="24"/>
          <w:highlight w:val="none"/>
        </w:rPr>
        <w:t>的内容，包括采购需求中的技术、服务要求以及合同草案条款。磋商文件有实质性变动的，</w:t>
      </w:r>
      <w:r>
        <w:rPr>
          <w:rFonts w:hint="eastAsia" w:asciiTheme="minorEastAsia" w:hAnsiTheme="minorEastAsia" w:eastAsiaTheme="minorEastAsia"/>
          <w:color w:val="auto"/>
          <w:sz w:val="24"/>
          <w:highlight w:val="none"/>
        </w:rPr>
        <w:t>经采购人代表确认作为磋商文件的有效组成部分，</w:t>
      </w:r>
      <w:r>
        <w:rPr>
          <w:rFonts w:asciiTheme="minorEastAsia" w:hAnsiTheme="minorEastAsia" w:eastAsiaTheme="minorEastAsia"/>
          <w:color w:val="auto"/>
          <w:sz w:val="24"/>
          <w:highlight w:val="none"/>
        </w:rPr>
        <w:t>磋商小组</w:t>
      </w:r>
      <w:r>
        <w:rPr>
          <w:rFonts w:hint="eastAsia" w:asciiTheme="minorEastAsia" w:hAnsiTheme="minorEastAsia" w:eastAsiaTheme="minorEastAsia"/>
          <w:color w:val="auto"/>
          <w:sz w:val="24"/>
          <w:highlight w:val="none"/>
        </w:rPr>
        <w:t>将</w:t>
      </w:r>
      <w:r>
        <w:rPr>
          <w:rFonts w:asciiTheme="minorEastAsia" w:hAnsiTheme="minorEastAsia" w:eastAsiaTheme="minorEastAsia"/>
          <w:color w:val="auto"/>
          <w:sz w:val="24"/>
          <w:highlight w:val="none"/>
        </w:rPr>
        <w:t>以书面形式通知所有参加磋商的供应商。</w:t>
      </w:r>
    </w:p>
    <w:p w14:paraId="1AC2193B">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无论何种原因，即使供应商</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时携带了证书材料的原件，但响应文件中未提供与之内容完全一致的</w:t>
      </w:r>
      <w:r>
        <w:rPr>
          <w:rFonts w:hint="eastAsia" w:asciiTheme="minorEastAsia" w:hAnsiTheme="minorEastAsia" w:eastAsiaTheme="minorEastAsia"/>
          <w:color w:val="auto"/>
          <w:sz w:val="24"/>
          <w:highlight w:val="none"/>
        </w:rPr>
        <w:t>扫描件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小组可以视同其未提供。</w:t>
      </w:r>
    </w:p>
    <w:p w14:paraId="56747C44">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小组决定响应文件的响应性及符合性只根据响应文件本身的内容，而不寻求其他外部证据。</w:t>
      </w:r>
    </w:p>
    <w:p w14:paraId="22DD0E42">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w:t>
      </w:r>
      <w:r>
        <w:rPr>
          <w:rFonts w:asciiTheme="minorEastAsia" w:hAnsiTheme="minorEastAsia" w:eastAsiaTheme="minorEastAsia"/>
          <w:color w:val="auto"/>
          <w:sz w:val="24"/>
          <w:highlight w:val="none"/>
        </w:rPr>
        <w:t>代表对</w:t>
      </w:r>
      <w:r>
        <w:rPr>
          <w:rFonts w:hint="eastAsia" w:asciiTheme="minorEastAsia" w:hAnsiTheme="minorEastAsia" w:eastAsiaTheme="minorEastAsia"/>
          <w:color w:val="auto"/>
          <w:sz w:val="24"/>
          <w:highlight w:val="none"/>
        </w:rPr>
        <w:t>磋商过程</w:t>
      </w:r>
      <w:r>
        <w:rPr>
          <w:rFonts w:asciiTheme="minorEastAsia" w:hAnsiTheme="minorEastAsia" w:eastAsiaTheme="minorEastAsia"/>
          <w:color w:val="auto"/>
          <w:sz w:val="24"/>
          <w:highlight w:val="none"/>
        </w:rPr>
        <w:t>有疑义，以及认为采购人、采购代理机构相关工作人员有需要回避的情形的，应当场提出询问或者回避申请</w:t>
      </w:r>
      <w:r>
        <w:rPr>
          <w:rFonts w:hint="eastAsia" w:asciiTheme="minorEastAsia" w:hAnsiTheme="minorEastAsia" w:eastAsiaTheme="minorEastAsia"/>
          <w:color w:val="auto"/>
          <w:sz w:val="24"/>
          <w:highlight w:val="none"/>
        </w:rPr>
        <w:t>，并说明理由。</w:t>
      </w:r>
      <w:r>
        <w:rPr>
          <w:rFonts w:asciiTheme="minorEastAsia" w:hAnsiTheme="minorEastAsia" w:eastAsiaTheme="minorEastAsia"/>
          <w:color w:val="auto"/>
          <w:sz w:val="24"/>
          <w:highlight w:val="none"/>
        </w:rPr>
        <w:t xml:space="preserve"> </w:t>
      </w:r>
    </w:p>
    <w:p w14:paraId="3EAAECAB">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.终止竞争性磋商</w:t>
      </w:r>
    </w:p>
    <w:p w14:paraId="6ECE4C15">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.1出现下列情况之一时，采购人和采购代理机构有权宣布终止竞争性磋商采购，并将理由通知所有供应商：</w:t>
      </w:r>
    </w:p>
    <w:p w14:paraId="334ADAE3">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（1）有效供应商数量不足，导致本次磋商缺乏竞争的；</w:t>
      </w:r>
    </w:p>
    <w:p w14:paraId="180888E4">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（2）出现影响采购公正的违法、违规行为的；</w:t>
      </w:r>
    </w:p>
    <w:p w14:paraId="78B86FBC">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（3）因重大变故，采购任务取消的；</w:t>
      </w:r>
    </w:p>
    <w:p w14:paraId="1890FF5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（4）政府采购法律法规规定的其他情形。</w:t>
      </w:r>
    </w:p>
    <w:p w14:paraId="4F5FAA95">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14:paraId="1C77C4BD">
      <w:pPr>
        <w:spacing w:line="360" w:lineRule="auto"/>
        <w:ind w:firstLine="470" w:firstLineChars="196"/>
        <w:rPr>
          <w:color w:val="auto"/>
          <w:sz w:val="24"/>
          <w:highlight w:val="none"/>
        </w:rPr>
      </w:pPr>
      <w:r>
        <w:rPr>
          <w:rFonts w:hint="eastAsia"/>
          <w:color w:val="auto"/>
          <w:sz w:val="24"/>
          <w:highlight w:val="none"/>
          <w:lang w:val="en-US" w:eastAsia="zh-CN"/>
        </w:rPr>
        <w:t>16</w:t>
      </w:r>
      <w:r>
        <w:rPr>
          <w:rFonts w:hint="eastAsia"/>
          <w:color w:val="auto"/>
          <w:sz w:val="24"/>
          <w:highlight w:val="none"/>
        </w:rPr>
        <w:t>.1磋商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14:paraId="6556DDC8">
      <w:pPr>
        <w:spacing w:line="360" w:lineRule="auto"/>
        <w:ind w:firstLine="470" w:firstLineChars="196"/>
        <w:rPr>
          <w:color w:val="auto"/>
          <w:sz w:val="24"/>
          <w:highlight w:val="none"/>
        </w:rPr>
      </w:pPr>
      <w:r>
        <w:rPr>
          <w:rFonts w:hint="eastAsia"/>
          <w:color w:val="auto"/>
          <w:sz w:val="24"/>
          <w:highlight w:val="none"/>
          <w:lang w:val="en-US" w:eastAsia="zh-CN"/>
        </w:rPr>
        <w:t>16</w:t>
      </w:r>
      <w:r>
        <w:rPr>
          <w:rFonts w:hint="eastAsia"/>
          <w:color w:val="auto"/>
          <w:sz w:val="24"/>
          <w:highlight w:val="none"/>
        </w:rPr>
        <w:t>.2磋商小组要求供应商澄清、说明或者更正响应文件应当以书面形式（询标）作出。供应商的澄清、说明或者更正应当由法定代表人或其授权代表签字或者加盖公章</w:t>
      </w:r>
      <w:r>
        <w:rPr>
          <w:rFonts w:hint="eastAsia"/>
          <w:color w:val="auto"/>
          <w:sz w:val="24"/>
          <w:highlight w:val="none"/>
          <w:lang w:eastAsia="zh-CN"/>
        </w:rPr>
        <w:t>（</w:t>
      </w:r>
      <w:r>
        <w:rPr>
          <w:rFonts w:hint="eastAsia"/>
          <w:color w:val="auto"/>
          <w:sz w:val="24"/>
          <w:highlight w:val="none"/>
          <w:lang w:val="en-US" w:eastAsia="zh-CN"/>
        </w:rPr>
        <w:t>电子签章</w:t>
      </w:r>
      <w:r>
        <w:rPr>
          <w:rFonts w:hint="eastAsia"/>
          <w:color w:val="auto"/>
          <w:sz w:val="24"/>
          <w:highlight w:val="none"/>
          <w:lang w:eastAsia="zh-CN"/>
        </w:rPr>
        <w:t>）</w:t>
      </w:r>
      <w:r>
        <w:rPr>
          <w:rFonts w:hint="eastAsia"/>
          <w:color w:val="auto"/>
          <w:sz w:val="24"/>
          <w:highlight w:val="none"/>
        </w:rPr>
        <w:t>。</w:t>
      </w:r>
    </w:p>
    <w:p w14:paraId="2FC10C2E">
      <w:pPr>
        <w:spacing w:line="360" w:lineRule="auto"/>
        <w:ind w:firstLine="435"/>
        <w:rPr>
          <w:rFonts w:hint="eastAsia"/>
          <w:b/>
          <w:color w:val="auto"/>
          <w:sz w:val="24"/>
          <w:highlight w:val="none"/>
        </w:rPr>
      </w:pPr>
      <w:r>
        <w:rPr>
          <w:rFonts w:hint="eastAsia"/>
          <w:b/>
          <w:color w:val="auto"/>
          <w:sz w:val="24"/>
          <w:highlight w:val="none"/>
        </w:rPr>
        <w:t>如有询标，授权代表（或法定代表人）可通过远程登录的方式接受网上询标，也可凭本人有效身份证明参加询标。因授权代表联系不上</w:t>
      </w:r>
      <w:r>
        <w:rPr>
          <w:rFonts w:hint="eastAsia"/>
          <w:b/>
          <w:bCs/>
          <w:color w:val="auto"/>
          <w:sz w:val="24"/>
          <w:highlight w:val="none"/>
        </w:rPr>
        <w:t>、没有及时登录系统等情形</w:t>
      </w:r>
      <w:r>
        <w:rPr>
          <w:rFonts w:hint="eastAsia"/>
          <w:b/>
          <w:color w:val="auto"/>
          <w:sz w:val="24"/>
          <w:highlight w:val="none"/>
        </w:rPr>
        <w:t>而无法接受磋商小组询标的，供应商自行承担相关风险。</w:t>
      </w:r>
    </w:p>
    <w:p w14:paraId="3E9017B3">
      <w:pPr>
        <w:spacing w:line="360" w:lineRule="auto"/>
        <w:ind w:firstLine="437"/>
        <w:outlineLvl w:val="2"/>
        <w:rPr>
          <w:rFonts w:hint="eastAsia"/>
          <w:b/>
          <w:color w:val="auto"/>
          <w:sz w:val="24"/>
          <w:highlight w:val="none"/>
        </w:rPr>
      </w:pPr>
      <w:r>
        <w:rPr>
          <w:rFonts w:hint="eastAsia" w:ascii="宋体" w:hAnsi="宋体" w:eastAsia="宋体"/>
          <w:b/>
          <w:color w:val="auto"/>
          <w:sz w:val="24"/>
          <w:highlight w:val="none"/>
        </w:rPr>
        <w:t>本项目采用远程开标，具体操作方法详见服务指南&gt;交易须知&gt;开标大厅远程解密、质疑(异议)及回复以及评标过程中询标流程操作手册。</w:t>
      </w:r>
    </w:p>
    <w:p w14:paraId="731C8E93">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.最后报价</w:t>
      </w:r>
    </w:p>
    <w:p w14:paraId="6812ECF1">
      <w:pPr>
        <w:spacing w:line="360" w:lineRule="auto"/>
        <w:ind w:firstLine="435"/>
        <w:rPr>
          <w:rFonts w:hint="eastAsia" w:ascii="宋体" w:hAnsi="宋体" w:eastAsia="宋体" w:cs="宋体"/>
          <w:color w:val="auto"/>
          <w:sz w:val="24"/>
          <w:highlight w:val="none"/>
          <w:lang w:eastAsia="zh-CN"/>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磋商并不限定只进行二轮报价，如果磋商小组认为有必要，可以要求供应商进行多轮报价。</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本项目约定为两次报价</w:t>
      </w:r>
      <w:r>
        <w:rPr>
          <w:rFonts w:hint="eastAsia" w:ascii="宋体" w:hAnsi="宋体" w:eastAsia="宋体" w:cs="宋体"/>
          <w:color w:val="auto"/>
          <w:sz w:val="24"/>
          <w:highlight w:val="none"/>
          <w:lang w:eastAsia="zh-CN"/>
        </w:rPr>
        <w:t>）</w:t>
      </w:r>
    </w:p>
    <w:p w14:paraId="26F7F99B">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eastAsia" w:ascii="宋体" w:hAnsi="宋体" w:eastAsia="宋体" w:cs="宋体"/>
          <w:color w:val="auto"/>
          <w:sz w:val="24"/>
          <w:highlight w:val="none"/>
          <w:lang w:eastAsia="zh-CN"/>
        </w:rPr>
      </w:pPr>
      <w:r>
        <w:rPr>
          <w:rFonts w:hint="eastAsia" w:ascii="宋体" w:hAnsi="宋体" w:eastAsia="宋体" w:cs="Times New Roman"/>
          <w:b/>
          <w:color w:val="auto"/>
          <w:kern w:val="0"/>
          <w:sz w:val="24"/>
          <w:szCs w:val="20"/>
          <w:highlight w:val="none"/>
          <w:lang w:val="en-US" w:eastAsia="zh-CN" w:bidi="ar-SA"/>
        </w:rPr>
        <w:t>本次磋商实行两次报价。第一次报价为供应商在响应文件中填报的报价，第二次报价在响应文件通过评审后，由磋商小组通过评标系统以询标方式，向响应文件评审有效的各供应商进行询标，各供应商应在评标系统询标规定的时间内，通过“评标澄清回复”进行二次报价。各供应商应及时查看系统质询问题并及时进行二次报价，第二次报价即为最后报价，若供应商未在系统询标规定的时间内进行二次报价（最后报价）或二次报价被磋商小组认为不符合要求的，磋商小组默认其响应文件中填报的价格为供应商的最后报价，磋商价格分以供应商的最后报价为准，即满足磋商文件要求且最后报价最低的供应商的价格为磋商基准价，其价格分为满分。供应商最后报价均不得高于磋商文件（公告）列明的项目预算、最高投标限价，否则其响应文件将被认定为响应无效。望各供应商务必全程在线，及时进行回复，否则，因此给其造成相关后果，自行承担。采用分项报价的项目，最后报价的各分项结合一次报价中的各项单价按总价同比例下浮，价款结算时按成交下浮比率进行调整。</w:t>
      </w:r>
    </w:p>
    <w:p w14:paraId="2575E720">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在磋商内容不做实质性变更或重大调整的前提下，供应商下轮报价不得高于上一轮报价</w:t>
      </w:r>
      <w:r>
        <w:rPr>
          <w:rFonts w:hint="eastAsia" w:asciiTheme="minorEastAsia" w:hAnsiTheme="minorEastAsia" w:eastAsiaTheme="minorEastAsia"/>
          <w:color w:val="auto"/>
          <w:sz w:val="24"/>
          <w:highlight w:val="none"/>
        </w:rPr>
        <w:t>。</w:t>
      </w:r>
    </w:p>
    <w:p w14:paraId="756B1F30">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最后报价是供应商响应文件的有效组成部分，最后报价也是签订合同的依据。</w:t>
      </w:r>
    </w:p>
    <w:p w14:paraId="3C0787AA">
      <w:pPr>
        <w:spacing w:line="360" w:lineRule="auto"/>
        <w:ind w:firstLine="435"/>
        <w:rPr>
          <w:rFonts w:asciiTheme="majorEastAsia" w:hAnsiTheme="majorEastAsia" w:eastAsiaTheme="majorEastAsia"/>
          <w:color w:val="auto"/>
          <w:sz w:val="24"/>
          <w:highlight w:val="none"/>
        </w:rPr>
      </w:pPr>
      <w:bookmarkStart w:id="25" w:name="_Hlk60607655"/>
      <w:r>
        <w:rPr>
          <w:rFonts w:hint="eastAsia" w:asciiTheme="majorEastAsia" w:hAnsiTheme="majorEastAsia" w:eastAsiaTheme="majorEastAsia"/>
          <w:color w:val="auto"/>
          <w:sz w:val="24"/>
          <w:highlight w:val="none"/>
          <w:lang w:val="en-US" w:eastAsia="zh-CN"/>
        </w:rPr>
        <w:t>17</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根据《政府采购促进中小企业发展管理办法》（财库〔</w:t>
      </w:r>
      <w:r>
        <w:rPr>
          <w:rFonts w:asciiTheme="majorEastAsia" w:hAnsiTheme="majorEastAsia" w:eastAsiaTheme="majorEastAsia"/>
          <w:color w:val="auto"/>
          <w:sz w:val="24"/>
          <w:highlight w:val="none"/>
        </w:rPr>
        <w:t>2020〕46号</w:t>
      </w:r>
      <w:r>
        <w:rPr>
          <w:rFonts w:hint="eastAsia" w:asciiTheme="majorEastAsia" w:hAnsiTheme="majorEastAsia" w:eastAsiaTheme="majorEastAsia"/>
          <w:color w:val="auto"/>
          <w:sz w:val="24"/>
          <w:highlight w:val="none"/>
        </w:rPr>
        <w:t>）、《三部门联合发布关于促进残疾人就业政府采购政策的通知》（财库〔2017〕141号）和《</w:t>
      </w:r>
      <w:r>
        <w:rPr>
          <w:rFonts w:asciiTheme="majorEastAsia" w:hAnsiTheme="majorEastAsia" w:eastAsiaTheme="majorEastAsia"/>
          <w:color w:val="auto"/>
          <w:sz w:val="24"/>
          <w:highlight w:val="none"/>
        </w:rPr>
        <w:t>财政部司法部关于政府采购支持监狱企业发展有关问题的通知</w:t>
      </w:r>
      <w:r>
        <w:rPr>
          <w:rFonts w:hint="eastAsia" w:asciiTheme="majorEastAsia" w:hAnsiTheme="majorEastAsia" w:eastAsiaTheme="majorEastAsia"/>
          <w:color w:val="auto"/>
          <w:sz w:val="24"/>
          <w:highlight w:val="none"/>
        </w:rPr>
        <w:t>》（财库〔2014〕68号）的规定，对满足价格扣除条件且在响应文件中提交了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中规定的标准扣除后的价格参与评审。对于同时属于小微企业、监狱企业或残疾人福利性单位的，不重复进行最后报价扣除。</w:t>
      </w:r>
    </w:p>
    <w:p w14:paraId="66CC0D37">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组成联合体或者接受分包的小微企业与联合体内其他企业、分包企业之间存在直接控股、管理关系的，不享受价格扣除优惠政策。</w:t>
      </w:r>
    </w:p>
    <w:p w14:paraId="5B9D846D">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以联合体形式参加政府采购活动，联合体各方均为中小企业的，联合体视同中小企业。其中，联合体各方均为小微企业的，联合体视同小微企业。</w:t>
      </w:r>
      <w:bookmarkEnd w:id="25"/>
    </w:p>
    <w:p w14:paraId="10EF17A3">
      <w:pPr>
        <w:spacing w:line="360" w:lineRule="auto"/>
        <w:ind w:firstLine="435"/>
        <w:rPr>
          <w:rFonts w:cs="@仿宋_GB2312"/>
          <w:color w:val="auto"/>
          <w:kern w:val="2"/>
          <w:sz w:val="24"/>
          <w:szCs w:val="22"/>
          <w:highlight w:val="none"/>
        </w:rPr>
      </w:pPr>
      <w:r>
        <w:rPr>
          <w:rFonts w:hint="eastAsia" w:cs="@仿宋_GB2312"/>
          <w:color w:val="auto"/>
          <w:kern w:val="2"/>
          <w:sz w:val="24"/>
          <w:szCs w:val="22"/>
          <w:highlight w:val="none"/>
          <w:lang w:val="en-US" w:eastAsia="zh-CN"/>
        </w:rPr>
        <w:t>17</w:t>
      </w:r>
      <w:r>
        <w:rPr>
          <w:rFonts w:hint="eastAsia" w:cs="@仿宋_GB2312"/>
          <w:color w:val="auto"/>
          <w:kern w:val="2"/>
          <w:sz w:val="24"/>
          <w:szCs w:val="22"/>
          <w:highlight w:val="none"/>
        </w:rPr>
        <w:t>.</w:t>
      </w:r>
      <w:r>
        <w:rPr>
          <w:rFonts w:hint="eastAsia" w:cs="@仿宋_GB2312"/>
          <w:color w:val="auto"/>
          <w:kern w:val="2"/>
          <w:sz w:val="24"/>
          <w:szCs w:val="22"/>
          <w:highlight w:val="none"/>
          <w:lang w:val="en-US" w:eastAsia="zh-CN"/>
        </w:rPr>
        <w:t>5</w:t>
      </w:r>
      <w:r>
        <w:rPr>
          <w:rFonts w:hint="eastAsia" w:cs="@仿宋_GB2312"/>
          <w:color w:val="auto"/>
          <w:kern w:val="2"/>
          <w:sz w:val="24"/>
          <w:szCs w:val="22"/>
          <w:highlight w:val="none"/>
        </w:rPr>
        <w:t>供应商应当按照企业定额或项目所在地最新建设工程计价依据以及材料市场价格信息等，结合自身实力、施工经验、现场环境以及磋商文件的要求自主报价。</w:t>
      </w:r>
    </w:p>
    <w:p w14:paraId="5A485CE8">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w:t>
      </w:r>
      <w:r>
        <w:rPr>
          <w:rFonts w:hint="eastAsia"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6</w:t>
      </w:r>
      <w:r>
        <w:rPr>
          <w:rFonts w:hint="eastAsia" w:cs="@仿宋_GB2312" w:asciiTheme="minorEastAsia" w:hAnsiTheme="minorEastAsia" w:eastAsiaTheme="minorEastAsia"/>
          <w:color w:val="auto"/>
          <w:kern w:val="2"/>
          <w:sz w:val="24"/>
          <w:highlight w:val="none"/>
        </w:rPr>
        <w:t>除非采购人对磋商文件予以澄清、修改，否则供应商应按采购人提供的工程量清单中列出的工程项目和工程量逐项填报综合单价和合价。供应商不得在工程量清单中任意增删、修改清单项目与工程量及项目排列顺序。</w:t>
      </w:r>
    </w:p>
    <w:p w14:paraId="582DCE33">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w:t>
      </w:r>
      <w:r>
        <w:rPr>
          <w:rFonts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7</w:t>
      </w:r>
      <w:r>
        <w:rPr>
          <w:rFonts w:hint="eastAsia" w:cs="@仿宋_GB2312" w:asciiTheme="minorEastAsia" w:hAnsiTheme="minorEastAsia" w:eastAsiaTheme="minorEastAsia"/>
          <w:color w:val="auto"/>
          <w:kern w:val="2"/>
          <w:sz w:val="24"/>
          <w:highlight w:val="none"/>
        </w:rPr>
        <w:t>除非合同中另有规定，供应商在工程量清单报价书中所报的价格包括完成磋商文件规定的全部工程内容及为达到质量和工期目标、安全文明、环境保护等要求的分部分项工程费，措施项目费，不可竞争费，其他项目费，税金等所有费用。为满足工程建设标准和技术规范要求所发生的费用应包括在报价中。报价为供应商在响应文件中提出的各项支付金额的总和。每一清单项目只允许有一个报价，任何有选择的报价将不予接受。供应商未填综合单价或合价的清单项目，将被视为该项费用已包括在其他有价款的综合单价或合价以及总价内，供应商必须按合同要求完成工程量清单中未填综合单价或合价的工程项目，任何与未填综合单价或合价的工程项目有关的工程价款，采购人将不再另行支付。</w:t>
      </w:r>
    </w:p>
    <w:p w14:paraId="3B2B0764">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w:t>
      </w:r>
      <w:r>
        <w:rPr>
          <w:rFonts w:hint="eastAsia"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8</w:t>
      </w:r>
      <w:r>
        <w:rPr>
          <w:rFonts w:hint="eastAsia" w:cs="@仿宋_GB2312" w:asciiTheme="minorEastAsia" w:hAnsiTheme="minorEastAsia" w:eastAsiaTheme="minorEastAsia"/>
          <w:color w:val="auto"/>
          <w:kern w:val="2"/>
          <w:sz w:val="24"/>
          <w:highlight w:val="none"/>
        </w:rPr>
        <w:t>本项目的施工地点为本须知前附表所述，供应商可到施工现场踏勘以充分了解工地位置、情况、道路、储存空间、装卸限制及任何其它足以影响磋商报价的情况，任何因忽视或误解施工场地情况而导致的索赔或工期延长申请将不被批准。对于受施工现场场地限制，如需要另外寻找场地解决临时住宿、材料及设备堆放，由此所产生的费用应包含在磋商报价范围内，采购人不再承担该费用。</w:t>
      </w:r>
    </w:p>
    <w:p w14:paraId="6D3897B7">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工程造价的确定与控制</w:t>
      </w:r>
    </w:p>
    <w:p w14:paraId="052AE9F4">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.1本工程确定成交供应商后，工程总造价在磋商范围内包定，除经批准的设计变更、经济签证外，其它工程造价增减均不予签证计价。</w:t>
      </w:r>
    </w:p>
    <w:p w14:paraId="604092FB">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2磋商前，供应商应认真对照施工设计图纸等文件核对采购人提供的工程量清单，发现工程量存在项目划分误差、计量单位误差、数量误差、遗漏项目的，必须在网上询问截止时间前向采购人提出疑问，否则采购人可不予答复。</w:t>
      </w:r>
    </w:p>
    <w:p w14:paraId="2A08B622">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3</w:t>
      </w:r>
      <w:r>
        <w:rPr>
          <w:rFonts w:hint="eastAsia" w:ascii="宋体" w:hAnsi="宋体" w:eastAsia="宋体" w:cs="宋体"/>
          <w:b w:val="0"/>
          <w:bCs w:val="0"/>
          <w:color w:val="auto"/>
          <w:kern w:val="2"/>
          <w:sz w:val="24"/>
          <w:szCs w:val="24"/>
          <w:highlight w:val="none"/>
        </w:rPr>
        <w:t>采购人对疑问应进行核实，确认工程量单项子目误差在±3%（含±3%）以内的，采购人可不予调整工程量，供应商应将其误差考虑在综合单价内；若有遗漏项目或单项子目工程量误差超过±3%的，采购人应进行修正并重新公布准确的工程量清单。</w:t>
      </w:r>
    </w:p>
    <w:p w14:paraId="3127DD61">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4</w:t>
      </w:r>
      <w:r>
        <w:rPr>
          <w:rFonts w:hint="eastAsia" w:cs="@仿宋_GB2312" w:asciiTheme="minorEastAsia" w:hAnsiTheme="minorEastAsia" w:eastAsiaTheme="minorEastAsia"/>
          <w:color w:val="auto"/>
          <w:kern w:val="2"/>
          <w:sz w:val="24"/>
          <w:highlight w:val="none"/>
        </w:rPr>
        <w:t>供应商在规定时间内未对工程量清单提出疑问的，成交后，采购人不再对工程量清单的项目和数量进行校对调整。供应商必须按其报价完成竞争性磋商文件规定范围内的设计图纸规定的所有工程项目。</w:t>
      </w:r>
    </w:p>
    <w:p w14:paraId="2776B3CB">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17.10</w:t>
      </w:r>
      <w:r>
        <w:rPr>
          <w:rFonts w:hint="eastAsia" w:cs="@仿宋_GB2312" w:asciiTheme="minorEastAsia" w:hAnsiTheme="minorEastAsia" w:eastAsiaTheme="minorEastAsia"/>
          <w:color w:val="auto"/>
          <w:kern w:val="2"/>
          <w:sz w:val="24"/>
          <w:highlight w:val="none"/>
        </w:rPr>
        <w:t>成交供应商在工程量清单报价书中所报的综合单价一律不予调整。</w:t>
      </w:r>
    </w:p>
    <w:p w14:paraId="77483FB8">
      <w:pPr>
        <w:spacing w:line="360" w:lineRule="auto"/>
        <w:ind w:firstLine="435"/>
        <w:rPr>
          <w:rFonts w:asciiTheme="minorEastAsia" w:hAnsiTheme="minorEastAsia" w:eastAsiaTheme="minorEastAsia"/>
          <w:color w:val="auto"/>
          <w:sz w:val="24"/>
          <w:highlight w:val="none"/>
        </w:rPr>
      </w:pPr>
      <w:r>
        <w:rPr>
          <w:rFonts w:hint="eastAsia" w:cs="@仿宋_GB2312" w:asciiTheme="minorEastAsia" w:hAnsiTheme="minorEastAsia" w:eastAsiaTheme="minorEastAsia"/>
          <w:color w:val="auto"/>
          <w:kern w:val="2"/>
          <w:sz w:val="24"/>
          <w:highlight w:val="none"/>
          <w:lang w:val="en-US" w:eastAsia="zh-CN"/>
        </w:rPr>
        <w:t>17.11</w:t>
      </w:r>
      <w:r>
        <w:rPr>
          <w:rFonts w:hint="eastAsia" w:cs="@仿宋_GB2312" w:asciiTheme="minorEastAsia" w:hAnsiTheme="minorEastAsia" w:eastAsiaTheme="minorEastAsia"/>
          <w:color w:val="auto"/>
          <w:kern w:val="2"/>
          <w:sz w:val="24"/>
          <w:highlight w:val="none"/>
        </w:rPr>
        <w:t>本工程不接受恶意不平衡报价，不保证最低价成交。</w:t>
      </w:r>
    </w:p>
    <w:p w14:paraId="5D10C158">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成交候选供应商的推荐原则及标准</w:t>
      </w:r>
    </w:p>
    <w:p w14:paraId="33973B7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磋商小组</w:t>
      </w:r>
      <w:r>
        <w:rPr>
          <w:rFonts w:asciiTheme="minorEastAsia" w:hAnsiTheme="minorEastAsia" w:eastAsiaTheme="minorEastAsia"/>
          <w:color w:val="auto"/>
          <w:sz w:val="24"/>
          <w:highlight w:val="none"/>
        </w:rPr>
        <w:t>依据本项目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文件所约定的</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方法</w:t>
      </w:r>
      <w:r>
        <w:rPr>
          <w:rFonts w:hint="eastAsia" w:asciiTheme="minorEastAsia" w:hAnsiTheme="minorEastAsia" w:eastAsiaTheme="minorEastAsia"/>
          <w:color w:val="auto"/>
          <w:sz w:val="24"/>
          <w:highlight w:val="none"/>
        </w:rPr>
        <w:t>和标准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按照有效供应商综合总得分由高到低依次推荐成交候选供应商。综合总得分出现两家或两家以上相同者，按最后报价由低到高排序推荐成交候选供应商；综合总得分且最后报价均相同的，由磋商小组按照技术指标优劣顺序推荐成交候选供应商。</w:t>
      </w:r>
    </w:p>
    <w:p w14:paraId="635D4713">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确定成交候选供应商和成交供应商</w:t>
      </w:r>
    </w:p>
    <w:p w14:paraId="10D0C8CA">
      <w:pPr>
        <w:spacing w:line="360" w:lineRule="auto"/>
        <w:ind w:firstLine="470" w:firstLineChars="196"/>
        <w:rPr>
          <w:color w:val="auto"/>
          <w:sz w:val="24"/>
          <w:highlight w:val="none"/>
        </w:rPr>
      </w:pPr>
      <w:r>
        <w:rPr>
          <w:rFonts w:hint="eastAsia"/>
          <w:color w:val="auto"/>
          <w:sz w:val="24"/>
          <w:highlight w:val="none"/>
          <w:lang w:val="en-US" w:eastAsia="zh-CN"/>
        </w:rPr>
        <w:t>19</w:t>
      </w:r>
      <w:r>
        <w:rPr>
          <w:rFonts w:hint="eastAsia"/>
          <w:color w:val="auto"/>
          <w:sz w:val="24"/>
          <w:highlight w:val="none"/>
        </w:rPr>
        <w:t>.1磋商小组根据综合评分的结果和</w:t>
      </w:r>
      <w:r>
        <w:rPr>
          <w:rFonts w:hint="eastAsia" w:asciiTheme="minorEastAsia" w:hAnsiTheme="minorEastAsia" w:eastAsiaTheme="minorEastAsia"/>
          <w:color w:val="auto"/>
          <w:sz w:val="24"/>
          <w:highlight w:val="none"/>
          <w:u w:val="single"/>
        </w:rPr>
        <w:t>供应商</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w:t>
      </w:r>
      <w:r>
        <w:rPr>
          <w:rFonts w:hint="eastAsia"/>
          <w:color w:val="auto"/>
          <w:sz w:val="24"/>
          <w:highlight w:val="none"/>
        </w:rPr>
        <w:t>确定成交候选供应商，并标明排列顺序。</w:t>
      </w:r>
      <w:r>
        <w:rPr>
          <w:rFonts w:hint="eastAsia" w:asciiTheme="minorEastAsia" w:hAnsiTheme="minorEastAsia" w:eastAsiaTheme="minorEastAsia"/>
          <w:color w:val="auto"/>
          <w:sz w:val="24"/>
          <w:highlight w:val="none"/>
        </w:rPr>
        <w:t>按</w:t>
      </w:r>
      <w:r>
        <w:rPr>
          <w:rFonts w:hint="eastAsia" w:asciiTheme="minorEastAsia" w:hAnsiTheme="minorEastAsia" w:eastAsiaTheme="minorEastAsia"/>
          <w:color w:val="auto"/>
          <w:sz w:val="24"/>
          <w:highlight w:val="none"/>
          <w:u w:val="single"/>
          <w:lang w:val="en-US" w:eastAsia="zh-CN"/>
        </w:rPr>
        <w:t>供应商</w:t>
      </w:r>
      <w:r>
        <w:rPr>
          <w:rFonts w:asciiTheme="minorEastAsia" w:hAnsiTheme="minorEastAsia" w:eastAsiaTheme="minorEastAsia"/>
          <w:color w:val="auto"/>
          <w:sz w:val="24"/>
          <w:highlight w:val="none"/>
          <w:u w:val="single"/>
        </w:rPr>
        <w:t>须知前附表</w:t>
      </w:r>
      <w:r>
        <w:rPr>
          <w:rFonts w:hint="eastAsia" w:asciiTheme="minorEastAsia" w:hAnsiTheme="minorEastAsia" w:eastAsiaTheme="minorEastAsia"/>
          <w:color w:val="auto"/>
          <w:sz w:val="24"/>
          <w:highlight w:val="none"/>
        </w:rPr>
        <w:t>中规定，</w:t>
      </w:r>
      <w:r>
        <w:rPr>
          <w:rFonts w:asciiTheme="minorEastAsia" w:hAnsiTheme="minorEastAsia" w:eastAsiaTheme="minorEastAsia"/>
          <w:color w:val="auto"/>
          <w:sz w:val="24"/>
          <w:highlight w:val="none"/>
        </w:rPr>
        <w:t>由</w:t>
      </w:r>
      <w:r>
        <w:rPr>
          <w:rFonts w:hint="eastAsia" w:asciiTheme="minorEastAsia" w:hAnsiTheme="minorEastAsia" w:eastAsiaTheme="minorEastAsia"/>
          <w:color w:val="auto"/>
          <w:sz w:val="24"/>
          <w:highlight w:val="none"/>
          <w:lang w:val="en-US" w:eastAsia="zh-CN"/>
        </w:rPr>
        <w:t>磋商小组</w:t>
      </w:r>
      <w:r>
        <w:rPr>
          <w:rFonts w:asciiTheme="minorEastAsia" w:hAnsiTheme="minorEastAsia" w:eastAsiaTheme="minorEastAsia"/>
          <w:color w:val="auto"/>
          <w:sz w:val="24"/>
          <w:highlight w:val="none"/>
        </w:rPr>
        <w:t>或采购人确定</w:t>
      </w:r>
      <w:r>
        <w:rPr>
          <w:rFonts w:hint="eastAsia" w:asciiTheme="minorEastAsia" w:hAnsiTheme="minorEastAsia" w:eastAsiaTheme="minorEastAsia"/>
          <w:color w:val="auto"/>
          <w:sz w:val="24"/>
          <w:highlight w:val="none"/>
          <w:lang w:val="en-US" w:eastAsia="zh-CN"/>
        </w:rPr>
        <w:t>成交供应商</w:t>
      </w:r>
      <w:r>
        <w:rPr>
          <w:rFonts w:asciiTheme="minorEastAsia" w:hAnsiTheme="minorEastAsia" w:eastAsiaTheme="minorEastAsia"/>
          <w:color w:val="auto"/>
          <w:sz w:val="24"/>
          <w:highlight w:val="none"/>
        </w:rPr>
        <w:t>。</w:t>
      </w:r>
    </w:p>
    <w:p w14:paraId="64C0DA38">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20</w:t>
      </w:r>
      <w:r>
        <w:rPr>
          <w:rFonts w:asciiTheme="minorEastAsia" w:hAnsiTheme="minorEastAsia" w:eastAsiaTheme="minorEastAsia"/>
          <w:b/>
          <w:color w:val="auto"/>
          <w:sz w:val="24"/>
          <w:highlight w:val="none"/>
        </w:rPr>
        <w:t>.编写评审报告</w:t>
      </w:r>
    </w:p>
    <w:p w14:paraId="1F1B0FDD">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20</w:t>
      </w:r>
      <w:r>
        <w:rPr>
          <w:rFonts w:hint="eastAsia" w:asciiTheme="minorEastAsia" w:hAnsiTheme="minorEastAsia" w:eastAsiaTheme="minorEastAsia"/>
          <w:color w:val="auto"/>
          <w:sz w:val="24"/>
          <w:highlight w:val="none"/>
        </w:rPr>
        <w:t>.1评审报告是根据全体磋商小组成员签字的原始评审记录和评审结果编写的报告，评审报告由磋商小组全体成员签字。对评审结论持有异议的磋商小组成员可以书面方式阐述其不同意见和理由。磋商小组成员拒绝在评审报告上签字且不陈述其不同意见和理由的，视为同意评审结论。</w:t>
      </w:r>
    </w:p>
    <w:p w14:paraId="361FB746">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14:paraId="25E85D0F">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1</w:t>
      </w:r>
      <w:r>
        <w:rPr>
          <w:rFonts w:hint="eastAsia"/>
          <w:color w:val="auto"/>
          <w:sz w:val="24"/>
          <w:highlight w:val="none"/>
        </w:rPr>
        <w:t>.1评审将在严格保密的情况下进行。</w:t>
      </w:r>
    </w:p>
    <w:p w14:paraId="027320A8">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1</w:t>
      </w:r>
      <w:r>
        <w:rPr>
          <w:rFonts w:hint="eastAsia"/>
          <w:color w:val="auto"/>
          <w:sz w:val="24"/>
          <w:highlight w:val="none"/>
        </w:rPr>
        <w:t>.2有关人员</w:t>
      </w:r>
      <w:r>
        <w:rPr>
          <w:color w:val="auto"/>
          <w:sz w:val="24"/>
          <w:highlight w:val="none"/>
        </w:rPr>
        <w:t>应当</w:t>
      </w:r>
      <w:r>
        <w:rPr>
          <w:rFonts w:hint="eastAsia"/>
          <w:color w:val="auto"/>
          <w:sz w:val="24"/>
          <w:highlight w:val="none"/>
        </w:rPr>
        <w:t>遵</w:t>
      </w:r>
      <w:r>
        <w:rPr>
          <w:color w:val="auto"/>
          <w:sz w:val="24"/>
          <w:highlight w:val="none"/>
        </w:rPr>
        <w:t>守</w:t>
      </w:r>
      <w:r>
        <w:rPr>
          <w:rFonts w:hint="eastAsia"/>
          <w:color w:val="auto"/>
          <w:sz w:val="24"/>
          <w:highlight w:val="none"/>
        </w:rPr>
        <w:t>评审</w:t>
      </w:r>
      <w:r>
        <w:rPr>
          <w:color w:val="auto"/>
          <w:sz w:val="24"/>
          <w:highlight w:val="none"/>
        </w:rPr>
        <w:t>工作纪律，不得</w:t>
      </w:r>
      <w:r>
        <w:rPr>
          <w:rFonts w:hint="eastAsia"/>
          <w:color w:val="auto"/>
          <w:sz w:val="24"/>
          <w:highlight w:val="none"/>
        </w:rPr>
        <w:t>泄露评审文件</w:t>
      </w:r>
      <w:r>
        <w:rPr>
          <w:color w:val="auto"/>
          <w:sz w:val="24"/>
          <w:highlight w:val="none"/>
        </w:rPr>
        <w:t>、</w:t>
      </w:r>
      <w:r>
        <w:rPr>
          <w:rFonts w:hint="eastAsia"/>
          <w:color w:val="auto"/>
          <w:sz w:val="24"/>
          <w:highlight w:val="none"/>
        </w:rPr>
        <w:t>评审</w:t>
      </w:r>
      <w:r>
        <w:rPr>
          <w:color w:val="auto"/>
          <w:sz w:val="24"/>
          <w:highlight w:val="none"/>
        </w:rPr>
        <w:t>情况和</w:t>
      </w:r>
      <w:r>
        <w:rPr>
          <w:rFonts w:hint="eastAsia"/>
          <w:color w:val="auto"/>
          <w:sz w:val="24"/>
          <w:highlight w:val="none"/>
        </w:rPr>
        <w:t>评审</w:t>
      </w:r>
      <w:r>
        <w:rPr>
          <w:color w:val="auto"/>
          <w:sz w:val="24"/>
          <w:highlight w:val="none"/>
        </w:rPr>
        <w:t>中获悉的</w:t>
      </w:r>
      <w:r>
        <w:rPr>
          <w:rFonts w:hint="eastAsia"/>
          <w:color w:val="auto"/>
          <w:sz w:val="24"/>
          <w:highlight w:val="none"/>
        </w:rPr>
        <w:t>国家秘密、</w:t>
      </w:r>
      <w:r>
        <w:rPr>
          <w:color w:val="auto"/>
          <w:sz w:val="24"/>
          <w:highlight w:val="none"/>
        </w:rPr>
        <w:t>商业秘密。</w:t>
      </w:r>
    </w:p>
    <w:p w14:paraId="64D3842E">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.成交结果公告</w:t>
      </w:r>
    </w:p>
    <w:p w14:paraId="660E75A4">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.1为体现“公开、公平、公正”的原则，磋商结束后，</w:t>
      </w:r>
      <w:r>
        <w:rPr>
          <w:rFonts w:hint="eastAsia" w:asciiTheme="minorEastAsia" w:hAnsiTheme="minorEastAsia" w:eastAsiaTheme="minorEastAsia"/>
          <w:color w:val="auto"/>
          <w:sz w:val="24"/>
          <w:highlight w:val="none"/>
        </w:rPr>
        <w:t>采购代理机构将</w:t>
      </w:r>
      <w:r>
        <w:rPr>
          <w:rFonts w:hint="eastAsia"/>
          <w:color w:val="auto"/>
          <w:sz w:val="24"/>
          <w:szCs w:val="18"/>
          <w:highlight w:val="none"/>
        </w:rPr>
        <w:t>在安徽省政府采购网（www.ccgp-anhui.gov.cn）上</w:t>
      </w:r>
      <w:r>
        <w:rPr>
          <w:rFonts w:asciiTheme="minorEastAsia" w:hAnsiTheme="minorEastAsia" w:eastAsiaTheme="minorEastAsia"/>
          <w:color w:val="auto"/>
          <w:sz w:val="24"/>
          <w:highlight w:val="none"/>
        </w:rPr>
        <w:t>发布成交结果公告。</w:t>
      </w:r>
    </w:p>
    <w:p w14:paraId="5FDA3AA8">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.2成交结果公告内容应当包括采购人及其委托的采购代理机构的名称、地址、联系方式，项目名称和项目编号，成交供应商名称、地址和成交金额，</w:t>
      </w:r>
      <w:r>
        <w:rPr>
          <w:rFonts w:hint="eastAsia" w:asciiTheme="minorEastAsia" w:hAnsiTheme="minorEastAsia" w:eastAsiaTheme="minorEastAsia"/>
          <w:color w:val="auto"/>
          <w:sz w:val="24"/>
          <w:highlight w:val="none"/>
        </w:rPr>
        <w:t>主要成交标的的名称、施工范围、施工工期、项目经理、执业证书信息</w:t>
      </w:r>
      <w:r>
        <w:rPr>
          <w:rFonts w:asciiTheme="minorEastAsia" w:hAnsiTheme="minorEastAsia" w:eastAsiaTheme="minorEastAsia"/>
          <w:color w:val="auto"/>
          <w:sz w:val="24"/>
          <w:highlight w:val="none"/>
        </w:rPr>
        <w:t>，成交结果公告期限、评审专家名单以及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14:paraId="36B71FF1">
      <w:pPr>
        <w:spacing w:line="360" w:lineRule="auto"/>
        <w:ind w:firstLine="437"/>
        <w:outlineLvl w:val="2"/>
        <w:rPr>
          <w:b/>
          <w:color w:val="auto"/>
          <w:sz w:val="24"/>
          <w:highlight w:val="none"/>
        </w:rPr>
      </w:pPr>
      <w:r>
        <w:rPr>
          <w:rFonts w:hint="eastAsia"/>
          <w:b/>
          <w:color w:val="auto"/>
          <w:sz w:val="24"/>
          <w:highlight w:val="none"/>
          <w:lang w:val="en-US" w:eastAsia="zh-CN"/>
        </w:rPr>
        <w:t>23</w:t>
      </w:r>
      <w:r>
        <w:rPr>
          <w:b/>
          <w:color w:val="auto"/>
          <w:sz w:val="24"/>
          <w:highlight w:val="none"/>
        </w:rPr>
        <w:t>.成交通知书</w:t>
      </w:r>
    </w:p>
    <w:p w14:paraId="374E713F">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3</w:t>
      </w:r>
      <w:r>
        <w:rPr>
          <w:color w:val="auto"/>
          <w:sz w:val="24"/>
          <w:highlight w:val="none"/>
        </w:rPr>
        <w:t>.1采购代理机构发布成交结果公告的同时</w:t>
      </w:r>
      <w:r>
        <w:rPr>
          <w:rFonts w:asciiTheme="minorEastAsia" w:hAnsiTheme="minorEastAsia" w:eastAsiaTheme="minorEastAsia"/>
          <w:color w:val="auto"/>
          <w:sz w:val="24"/>
          <w:highlight w:val="none"/>
        </w:rPr>
        <w:t>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color w:val="auto"/>
          <w:sz w:val="24"/>
          <w:highlight w:val="none"/>
        </w:rPr>
        <w:t>向成交供应商发出成交通知书。</w:t>
      </w:r>
    </w:p>
    <w:p w14:paraId="1D2ADC5A">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3</w:t>
      </w:r>
      <w:r>
        <w:rPr>
          <w:color w:val="auto"/>
          <w:sz w:val="24"/>
          <w:highlight w:val="none"/>
        </w:rPr>
        <w:t>.2成交通知书对采购人和成交供应商具有同等法律效力。成交通知书发出以后，采购人改变成交结果或者成交供应商放弃成交资格，应当承担相应的法律责任。</w:t>
      </w:r>
    </w:p>
    <w:p w14:paraId="0B5F1D07">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3</w:t>
      </w:r>
      <w:r>
        <w:rPr>
          <w:color w:val="auto"/>
          <w:sz w:val="24"/>
          <w:highlight w:val="none"/>
        </w:rPr>
        <w:t>.3成交通知书是合同的组成部分。</w:t>
      </w:r>
    </w:p>
    <w:p w14:paraId="1848CDD9">
      <w:pPr>
        <w:spacing w:line="360" w:lineRule="auto"/>
        <w:ind w:firstLine="437"/>
        <w:outlineLvl w:val="2"/>
        <w:rPr>
          <w:b/>
          <w:color w:val="auto"/>
          <w:sz w:val="24"/>
          <w:highlight w:val="none"/>
        </w:rPr>
      </w:pPr>
      <w:r>
        <w:rPr>
          <w:rFonts w:hint="eastAsia"/>
          <w:b/>
          <w:color w:val="auto"/>
          <w:sz w:val="24"/>
          <w:highlight w:val="none"/>
        </w:rPr>
        <w:t>2</w:t>
      </w:r>
      <w:r>
        <w:rPr>
          <w:rFonts w:hint="eastAsia"/>
          <w:b/>
          <w:color w:val="auto"/>
          <w:sz w:val="24"/>
          <w:highlight w:val="none"/>
          <w:lang w:val="en-US" w:eastAsia="zh-CN"/>
        </w:rPr>
        <w:t>4</w:t>
      </w:r>
      <w:r>
        <w:rPr>
          <w:b/>
          <w:color w:val="auto"/>
          <w:sz w:val="24"/>
          <w:highlight w:val="none"/>
        </w:rPr>
        <w:t>.告知</w:t>
      </w:r>
      <w:r>
        <w:rPr>
          <w:rFonts w:hint="eastAsia" w:asciiTheme="minorEastAsia" w:hAnsiTheme="minorEastAsia" w:eastAsiaTheme="minorEastAsia"/>
          <w:b/>
          <w:color w:val="auto"/>
          <w:sz w:val="24"/>
          <w:highlight w:val="none"/>
        </w:rPr>
        <w:t>磋商</w:t>
      </w:r>
      <w:r>
        <w:rPr>
          <w:b/>
          <w:color w:val="auto"/>
          <w:sz w:val="24"/>
          <w:highlight w:val="none"/>
        </w:rPr>
        <w:t>结果</w:t>
      </w:r>
    </w:p>
    <w:p w14:paraId="344C672D">
      <w:pPr>
        <w:spacing w:line="360" w:lineRule="auto"/>
        <w:ind w:firstLine="435"/>
        <w:rPr>
          <w:color w:val="auto"/>
          <w:sz w:val="24"/>
          <w:highlight w:val="none"/>
        </w:rPr>
      </w:pPr>
      <w:r>
        <w:rPr>
          <w:rFonts w:hint="eastAsia"/>
          <w:color w:val="auto"/>
          <w:sz w:val="24"/>
          <w:highlight w:val="none"/>
        </w:rPr>
        <w:t>2</w:t>
      </w:r>
      <w:r>
        <w:rPr>
          <w:rFonts w:hint="eastAsia"/>
          <w:color w:val="auto"/>
          <w:sz w:val="24"/>
          <w:highlight w:val="none"/>
          <w:lang w:val="en-US" w:eastAsia="zh-CN"/>
        </w:rPr>
        <w:t>4</w:t>
      </w:r>
      <w:r>
        <w:rPr>
          <w:color w:val="auto"/>
          <w:sz w:val="24"/>
          <w:highlight w:val="none"/>
        </w:rPr>
        <w:t>.1在公告</w:t>
      </w:r>
      <w:r>
        <w:rPr>
          <w:rFonts w:hint="eastAsia"/>
          <w:color w:val="auto"/>
          <w:sz w:val="24"/>
          <w:highlight w:val="none"/>
        </w:rPr>
        <w:t>成交</w:t>
      </w:r>
      <w:r>
        <w:rPr>
          <w:color w:val="auto"/>
          <w:sz w:val="24"/>
          <w:highlight w:val="none"/>
        </w:rPr>
        <w:t>结果的同时，采购代理机构同时以</w:t>
      </w:r>
      <w:r>
        <w:rPr>
          <w:rFonts w:hint="eastAsia"/>
          <w:color w:val="auto"/>
          <w:sz w:val="24"/>
          <w:highlight w:val="none"/>
          <w:u w:val="single"/>
        </w:rPr>
        <w:t>供应商</w:t>
      </w:r>
      <w:r>
        <w:rPr>
          <w:color w:val="auto"/>
          <w:sz w:val="24"/>
          <w:highlight w:val="none"/>
          <w:u w:val="single"/>
        </w:rPr>
        <w:t>须知前附表</w:t>
      </w:r>
      <w:r>
        <w:rPr>
          <w:color w:val="auto"/>
          <w:sz w:val="24"/>
          <w:highlight w:val="none"/>
        </w:rPr>
        <w:t>规定的形式告知未</w:t>
      </w:r>
      <w:r>
        <w:rPr>
          <w:rFonts w:hint="eastAsia"/>
          <w:color w:val="auto"/>
          <w:sz w:val="24"/>
          <w:highlight w:val="none"/>
        </w:rPr>
        <w:t>成交供应商</w:t>
      </w:r>
      <w:r>
        <w:rPr>
          <w:color w:val="auto"/>
          <w:sz w:val="24"/>
          <w:highlight w:val="none"/>
        </w:rPr>
        <w:t>本人的评审得分和排序。</w:t>
      </w:r>
    </w:p>
    <w:p w14:paraId="7BF36386">
      <w:pPr>
        <w:spacing w:line="360" w:lineRule="auto"/>
        <w:ind w:firstLine="480" w:firstLineChars="200"/>
        <w:rPr>
          <w:color w:val="auto"/>
          <w:sz w:val="24"/>
          <w:highlight w:val="none"/>
        </w:rPr>
      </w:pPr>
      <w:r>
        <w:rPr>
          <w:color w:val="auto"/>
          <w:sz w:val="24"/>
          <w:highlight w:val="none"/>
        </w:rPr>
        <w:t>2</w:t>
      </w:r>
      <w:r>
        <w:rPr>
          <w:rFonts w:hint="eastAsia"/>
          <w:color w:val="auto"/>
          <w:sz w:val="24"/>
          <w:highlight w:val="none"/>
          <w:lang w:val="en-US" w:eastAsia="zh-CN"/>
        </w:rPr>
        <w:t>4</w:t>
      </w:r>
      <w:r>
        <w:rPr>
          <w:color w:val="auto"/>
          <w:sz w:val="24"/>
          <w:highlight w:val="none"/>
        </w:rPr>
        <w:t>.</w:t>
      </w:r>
      <w:r>
        <w:rPr>
          <w:rFonts w:hint="eastAsia"/>
          <w:color w:val="auto"/>
          <w:sz w:val="24"/>
          <w:highlight w:val="none"/>
        </w:rPr>
        <w:t>2</w:t>
      </w:r>
      <w:r>
        <w:rPr>
          <w:color w:val="auto"/>
          <w:sz w:val="24"/>
          <w:highlight w:val="none"/>
        </w:rPr>
        <w:t>采购代理机构对未成交的供应商不做未成交原因的解释。</w:t>
      </w:r>
    </w:p>
    <w:p w14:paraId="29C2A7D5">
      <w:pPr>
        <w:spacing w:line="360" w:lineRule="auto"/>
        <w:ind w:firstLine="437"/>
        <w:outlineLvl w:val="2"/>
        <w:rPr>
          <w:b/>
          <w:color w:val="auto"/>
          <w:sz w:val="24"/>
          <w:highlight w:val="none"/>
        </w:rPr>
      </w:pPr>
      <w:r>
        <w:rPr>
          <w:rFonts w:hint="eastAsia"/>
          <w:b/>
          <w:color w:val="auto"/>
          <w:sz w:val="24"/>
          <w:highlight w:val="none"/>
          <w:lang w:val="en-US" w:eastAsia="zh-CN"/>
        </w:rPr>
        <w:t>25</w:t>
      </w:r>
      <w:r>
        <w:rPr>
          <w:b/>
          <w:color w:val="auto"/>
          <w:sz w:val="24"/>
          <w:highlight w:val="none"/>
        </w:rPr>
        <w:t>.履约</w:t>
      </w:r>
      <w:r>
        <w:rPr>
          <w:rFonts w:asciiTheme="minorEastAsia" w:hAnsiTheme="minorEastAsia" w:eastAsiaTheme="minorEastAsia"/>
          <w:b/>
          <w:color w:val="auto"/>
          <w:sz w:val="24"/>
          <w:highlight w:val="none"/>
        </w:rPr>
        <w:t>保证金</w:t>
      </w:r>
    </w:p>
    <w:p w14:paraId="3F3922EB">
      <w:pPr>
        <w:spacing w:line="360" w:lineRule="auto"/>
        <w:ind w:firstLine="435"/>
        <w:rPr>
          <w:color w:val="auto"/>
          <w:sz w:val="24"/>
          <w:highlight w:val="none"/>
        </w:rPr>
      </w:pPr>
      <w:r>
        <w:rPr>
          <w:rFonts w:hint="eastAsia"/>
          <w:color w:val="auto"/>
          <w:sz w:val="24"/>
          <w:highlight w:val="none"/>
          <w:lang w:val="en-US" w:eastAsia="zh-CN"/>
        </w:rPr>
        <w:t>25</w:t>
      </w:r>
      <w:r>
        <w:rPr>
          <w:color w:val="auto"/>
          <w:sz w:val="24"/>
          <w:highlight w:val="none"/>
        </w:rPr>
        <w:t>.1成交供应商应按照</w:t>
      </w:r>
      <w:r>
        <w:rPr>
          <w:color w:val="auto"/>
          <w:sz w:val="24"/>
          <w:highlight w:val="none"/>
          <w:u w:val="single"/>
        </w:rPr>
        <w:t>供应商须知前附表</w:t>
      </w:r>
      <w:r>
        <w:rPr>
          <w:color w:val="auto"/>
          <w:sz w:val="24"/>
          <w:highlight w:val="none"/>
        </w:rPr>
        <w:t>规定</w:t>
      </w:r>
      <w:r>
        <w:rPr>
          <w:rFonts w:hint="eastAsia"/>
          <w:color w:val="auto"/>
          <w:sz w:val="24"/>
          <w:highlight w:val="none"/>
        </w:rPr>
        <w:t>缴纳</w:t>
      </w:r>
      <w:r>
        <w:rPr>
          <w:color w:val="auto"/>
          <w:sz w:val="24"/>
          <w:highlight w:val="none"/>
        </w:rPr>
        <w:t>履约保证金。</w:t>
      </w:r>
    </w:p>
    <w:p w14:paraId="0B4BCCE7">
      <w:pPr>
        <w:spacing w:line="360" w:lineRule="auto"/>
        <w:ind w:firstLine="435"/>
        <w:rPr>
          <w:color w:val="auto"/>
          <w:sz w:val="24"/>
          <w:highlight w:val="none"/>
        </w:rPr>
      </w:pPr>
      <w:r>
        <w:rPr>
          <w:rFonts w:hint="eastAsia"/>
          <w:color w:val="auto"/>
          <w:sz w:val="24"/>
          <w:highlight w:val="none"/>
          <w:lang w:val="en-US" w:eastAsia="zh-CN"/>
        </w:rPr>
        <w:t>25</w:t>
      </w:r>
      <w:r>
        <w:rPr>
          <w:color w:val="auto"/>
          <w:sz w:val="24"/>
          <w:highlight w:val="none"/>
        </w:rPr>
        <w:t>.2如果成交供应商没有按照上述履约保证金的规定执行，将视为放弃成交资格。在此情况下，采购人可确定下一成交候选供应商为成交供应商，也可以重新开展采购活动。</w:t>
      </w:r>
    </w:p>
    <w:p w14:paraId="2F0CB617">
      <w:pPr>
        <w:spacing w:line="360" w:lineRule="auto"/>
        <w:ind w:firstLine="437"/>
        <w:outlineLvl w:val="2"/>
        <w:rPr>
          <w:rFonts w:hint="default" w:eastAsia="宋体"/>
          <w:b/>
          <w:color w:val="auto"/>
          <w:sz w:val="24"/>
          <w:highlight w:val="none"/>
          <w:lang w:val="en-US" w:eastAsia="zh-CN"/>
        </w:rPr>
      </w:pPr>
      <w:r>
        <w:rPr>
          <w:rFonts w:hint="eastAsia"/>
          <w:b/>
          <w:color w:val="auto"/>
          <w:sz w:val="24"/>
          <w:highlight w:val="none"/>
          <w:lang w:val="en-US" w:eastAsia="zh-CN"/>
        </w:rPr>
        <w:t>26</w:t>
      </w:r>
      <w:r>
        <w:rPr>
          <w:b/>
          <w:color w:val="auto"/>
          <w:sz w:val="24"/>
          <w:highlight w:val="none"/>
        </w:rPr>
        <w:t>.</w:t>
      </w:r>
      <w:r>
        <w:rPr>
          <w:rFonts w:hint="eastAsia"/>
          <w:b/>
          <w:color w:val="auto"/>
          <w:sz w:val="24"/>
          <w:highlight w:val="none"/>
          <w:lang w:val="en-US" w:eastAsia="zh-CN"/>
        </w:rPr>
        <w:t>代理费用</w:t>
      </w:r>
    </w:p>
    <w:p w14:paraId="387B72E0">
      <w:pPr>
        <w:spacing w:line="360" w:lineRule="auto"/>
        <w:ind w:firstLine="435"/>
        <w:rPr>
          <w:color w:val="auto"/>
          <w:sz w:val="24"/>
          <w:highlight w:val="none"/>
        </w:rPr>
      </w:pPr>
      <w:r>
        <w:rPr>
          <w:rFonts w:hint="eastAsia"/>
          <w:color w:val="auto"/>
          <w:sz w:val="24"/>
          <w:highlight w:val="none"/>
          <w:lang w:val="en-US" w:eastAsia="zh-CN"/>
        </w:rPr>
        <w:t>26</w:t>
      </w:r>
      <w:r>
        <w:rPr>
          <w:color w:val="auto"/>
          <w:sz w:val="24"/>
          <w:highlight w:val="none"/>
        </w:rPr>
        <w:t>.1本项目</w:t>
      </w:r>
      <w:r>
        <w:rPr>
          <w:rFonts w:hint="eastAsia"/>
          <w:color w:val="auto"/>
          <w:sz w:val="24"/>
          <w:highlight w:val="none"/>
          <w:lang w:val="en-US" w:eastAsia="zh-CN"/>
        </w:rPr>
        <w:t>代理费用</w:t>
      </w:r>
      <w:r>
        <w:rPr>
          <w:color w:val="auto"/>
          <w:sz w:val="24"/>
          <w:highlight w:val="none"/>
        </w:rPr>
        <w:t>的收取按</w:t>
      </w:r>
      <w:r>
        <w:rPr>
          <w:rFonts w:hint="eastAsia"/>
          <w:color w:val="auto"/>
          <w:sz w:val="24"/>
          <w:highlight w:val="none"/>
          <w:u w:val="single"/>
        </w:rPr>
        <w:t>供应商</w:t>
      </w:r>
      <w:r>
        <w:rPr>
          <w:color w:val="auto"/>
          <w:sz w:val="24"/>
          <w:highlight w:val="none"/>
          <w:u w:val="single"/>
        </w:rPr>
        <w:t>须知前附表</w:t>
      </w:r>
      <w:r>
        <w:rPr>
          <w:color w:val="auto"/>
          <w:sz w:val="24"/>
          <w:highlight w:val="none"/>
        </w:rPr>
        <w:t>的规定执行。</w:t>
      </w:r>
    </w:p>
    <w:p w14:paraId="386D84DA">
      <w:pPr>
        <w:spacing w:line="360" w:lineRule="auto"/>
        <w:ind w:firstLine="437"/>
        <w:outlineLvl w:val="2"/>
        <w:rPr>
          <w:b/>
          <w:color w:val="auto"/>
          <w:sz w:val="24"/>
          <w:highlight w:val="none"/>
        </w:rPr>
      </w:pPr>
      <w:r>
        <w:rPr>
          <w:rFonts w:hint="eastAsia"/>
          <w:b/>
          <w:color w:val="auto"/>
          <w:sz w:val="24"/>
          <w:highlight w:val="none"/>
          <w:lang w:val="en-US" w:eastAsia="zh-CN"/>
        </w:rPr>
        <w:t>27</w:t>
      </w:r>
      <w:r>
        <w:rPr>
          <w:b/>
          <w:color w:val="auto"/>
          <w:sz w:val="24"/>
          <w:highlight w:val="none"/>
        </w:rPr>
        <w:t>.签订</w:t>
      </w:r>
      <w:r>
        <w:rPr>
          <w:rFonts w:asciiTheme="minorEastAsia" w:hAnsiTheme="minorEastAsia" w:eastAsiaTheme="minorEastAsia"/>
          <w:b/>
          <w:color w:val="auto"/>
          <w:sz w:val="24"/>
          <w:highlight w:val="none"/>
        </w:rPr>
        <w:t>合同</w:t>
      </w:r>
    </w:p>
    <w:p w14:paraId="5195CA7A">
      <w:pPr>
        <w:spacing w:line="360" w:lineRule="auto"/>
        <w:ind w:firstLine="435"/>
        <w:rPr>
          <w:color w:val="auto"/>
          <w:sz w:val="24"/>
          <w:highlight w:val="none"/>
        </w:rPr>
      </w:pPr>
      <w:r>
        <w:rPr>
          <w:rFonts w:hint="eastAsia"/>
          <w:color w:val="auto"/>
          <w:sz w:val="24"/>
          <w:highlight w:val="none"/>
          <w:lang w:val="en-US" w:eastAsia="zh-CN"/>
        </w:rPr>
        <w:t>27</w:t>
      </w:r>
      <w:r>
        <w:rPr>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14:paraId="358BAF41">
      <w:pPr>
        <w:spacing w:line="360" w:lineRule="auto"/>
        <w:ind w:firstLine="435"/>
        <w:rPr>
          <w:color w:val="auto"/>
          <w:sz w:val="24"/>
          <w:highlight w:val="none"/>
        </w:rPr>
      </w:pPr>
      <w:r>
        <w:rPr>
          <w:rFonts w:hint="eastAsia"/>
          <w:color w:val="auto"/>
          <w:sz w:val="24"/>
          <w:highlight w:val="none"/>
          <w:lang w:val="en-US" w:eastAsia="zh-CN"/>
        </w:rPr>
        <w:t>27</w:t>
      </w:r>
      <w:r>
        <w:rPr>
          <w:color w:val="auto"/>
          <w:sz w:val="24"/>
          <w:highlight w:val="none"/>
        </w:rPr>
        <w:t>.2磋商文件、成交供应商的响应文件及其澄清文件等，均为签订合同的依据。</w:t>
      </w:r>
    </w:p>
    <w:p w14:paraId="24243F0A">
      <w:pPr>
        <w:spacing w:line="360" w:lineRule="auto"/>
        <w:ind w:firstLine="470" w:firstLineChars="196"/>
        <w:rPr>
          <w:color w:val="auto"/>
          <w:sz w:val="24"/>
          <w:highlight w:val="none"/>
        </w:rPr>
      </w:pPr>
      <w:r>
        <w:rPr>
          <w:rFonts w:hint="eastAsia"/>
          <w:color w:val="auto"/>
          <w:sz w:val="24"/>
          <w:highlight w:val="none"/>
          <w:lang w:val="en-US" w:eastAsia="zh-CN"/>
        </w:rPr>
        <w:t>27</w:t>
      </w:r>
      <w:r>
        <w:rPr>
          <w:color w:val="auto"/>
          <w:sz w:val="24"/>
          <w:highlight w:val="none"/>
        </w:rPr>
        <w:t>.3成交供应商拒绝与采购人签订合同的，采购人可以按照评审报告推荐的成交候选供应商名单排序，确定下一成交候选供应商为成交供应商，也可以重新开展采购活动。</w:t>
      </w:r>
      <w:r>
        <w:rPr>
          <w:rFonts w:hint="eastAsia"/>
          <w:color w:val="auto"/>
          <w:sz w:val="24"/>
          <w:highlight w:val="none"/>
        </w:rPr>
        <w:t>成交供应商拒绝签订政府采购合同的不得参加对该项目重新开展的采购活动。</w:t>
      </w:r>
    </w:p>
    <w:p w14:paraId="7F1B2ABB">
      <w:pPr>
        <w:spacing w:line="360" w:lineRule="auto"/>
        <w:ind w:firstLine="470" w:firstLineChars="196"/>
        <w:rPr>
          <w:color w:val="auto"/>
          <w:sz w:val="24"/>
          <w:highlight w:val="none"/>
        </w:rPr>
      </w:pPr>
      <w:bookmarkStart w:id="26" w:name="_Hlk60264926"/>
      <w:r>
        <w:rPr>
          <w:rFonts w:hint="eastAsia"/>
          <w:color w:val="auto"/>
          <w:sz w:val="24"/>
          <w:highlight w:val="none"/>
          <w:lang w:val="en-US" w:eastAsia="zh-CN"/>
        </w:rPr>
        <w:t>27.4</w:t>
      </w:r>
      <w:r>
        <w:rPr>
          <w:rFonts w:hint="eastAsia"/>
          <w:color w:val="auto"/>
          <w:sz w:val="24"/>
          <w:highlight w:val="none"/>
        </w:rPr>
        <w:t>依据《政府采购促进中小企业发展管理办法》（财库〔</w:t>
      </w:r>
      <w:r>
        <w:rPr>
          <w:color w:val="auto"/>
          <w:sz w:val="24"/>
          <w:highlight w:val="none"/>
        </w:rPr>
        <w:t>2020〕46号</w:t>
      </w:r>
      <w:r>
        <w:rPr>
          <w:rFonts w:hint="eastAsia"/>
          <w:color w:val="auto"/>
          <w:sz w:val="24"/>
          <w:highlight w:val="none"/>
        </w:rPr>
        <w:t>）规定享受扶持政策获得政府采购合同的，小微企业不得将合同分包给大中型企业，中型企业不得将合同分包给大型企业。</w:t>
      </w:r>
      <w:bookmarkEnd w:id="26"/>
    </w:p>
    <w:p w14:paraId="4EB81F00">
      <w:pPr>
        <w:spacing w:line="360" w:lineRule="auto"/>
        <w:ind w:firstLine="437"/>
        <w:outlineLvl w:val="2"/>
        <w:rPr>
          <w:b/>
          <w:color w:val="auto"/>
          <w:sz w:val="24"/>
          <w:highlight w:val="none"/>
        </w:rPr>
      </w:pPr>
      <w:r>
        <w:rPr>
          <w:rFonts w:hint="eastAsia"/>
          <w:b/>
          <w:color w:val="auto"/>
          <w:sz w:val="24"/>
          <w:highlight w:val="none"/>
          <w:lang w:val="en-US" w:eastAsia="zh-CN"/>
        </w:rPr>
        <w:t>28</w:t>
      </w:r>
      <w:r>
        <w:rPr>
          <w:b/>
          <w:color w:val="auto"/>
          <w:sz w:val="24"/>
          <w:highlight w:val="none"/>
        </w:rPr>
        <w:t>.廉洁</w:t>
      </w:r>
      <w:r>
        <w:rPr>
          <w:rFonts w:asciiTheme="minorEastAsia" w:hAnsiTheme="minorEastAsia" w:eastAsiaTheme="minorEastAsia"/>
          <w:b/>
          <w:color w:val="auto"/>
          <w:sz w:val="24"/>
          <w:highlight w:val="none"/>
        </w:rPr>
        <w:t>自律</w:t>
      </w:r>
      <w:r>
        <w:rPr>
          <w:b/>
          <w:color w:val="auto"/>
          <w:sz w:val="24"/>
          <w:highlight w:val="none"/>
        </w:rPr>
        <w:t>规定</w:t>
      </w:r>
    </w:p>
    <w:p w14:paraId="6FD0AA45">
      <w:pPr>
        <w:spacing w:line="360" w:lineRule="auto"/>
        <w:ind w:firstLine="435"/>
        <w:rPr>
          <w:color w:val="auto"/>
          <w:sz w:val="24"/>
          <w:highlight w:val="none"/>
        </w:rPr>
      </w:pPr>
      <w:r>
        <w:rPr>
          <w:rFonts w:hint="eastAsia"/>
          <w:color w:val="auto"/>
          <w:sz w:val="24"/>
          <w:highlight w:val="none"/>
          <w:lang w:val="en-US" w:eastAsia="zh-CN"/>
        </w:rPr>
        <w:t>28</w:t>
      </w:r>
      <w:r>
        <w:rPr>
          <w:color w:val="auto"/>
          <w:sz w:val="24"/>
          <w:highlight w:val="none"/>
        </w:rPr>
        <w:t>.1采购代理机构工作人员不得以不正当手段获取政府采购代理业务，不得与采购人、供应商恶意串通。</w:t>
      </w:r>
    </w:p>
    <w:p w14:paraId="541A3A40">
      <w:pPr>
        <w:spacing w:line="360" w:lineRule="auto"/>
        <w:ind w:firstLine="435"/>
        <w:rPr>
          <w:color w:val="auto"/>
          <w:sz w:val="24"/>
          <w:highlight w:val="none"/>
        </w:rPr>
      </w:pPr>
      <w:r>
        <w:rPr>
          <w:rFonts w:hint="eastAsia"/>
          <w:color w:val="auto"/>
          <w:sz w:val="24"/>
          <w:highlight w:val="none"/>
          <w:lang w:val="en-US" w:eastAsia="zh-CN"/>
        </w:rPr>
        <w:t>28</w:t>
      </w:r>
      <w:r>
        <w:rPr>
          <w:color w:val="auto"/>
          <w:sz w:val="24"/>
          <w:highlight w:val="none"/>
        </w:rPr>
        <w:t>.2采购代理机构工作人员不得接受采购人或者供应商组织的宴请、旅游、娱乐，不得收受礼品、现金、有价证券等，不得向采购人或者供应商报销应当由个人承担的费用。</w:t>
      </w:r>
    </w:p>
    <w:p w14:paraId="7E680C0C">
      <w:pPr>
        <w:spacing w:line="360" w:lineRule="auto"/>
        <w:ind w:firstLine="437"/>
        <w:outlineLvl w:val="2"/>
        <w:rPr>
          <w:b/>
          <w:color w:val="auto"/>
          <w:sz w:val="24"/>
          <w:highlight w:val="none"/>
        </w:rPr>
      </w:pPr>
      <w:r>
        <w:rPr>
          <w:rFonts w:hint="eastAsia"/>
          <w:b/>
          <w:color w:val="auto"/>
          <w:sz w:val="24"/>
          <w:highlight w:val="none"/>
          <w:lang w:val="en-US" w:eastAsia="zh-CN"/>
        </w:rPr>
        <w:t>29</w:t>
      </w:r>
      <w:r>
        <w:rPr>
          <w:b/>
          <w:color w:val="auto"/>
          <w:sz w:val="24"/>
          <w:highlight w:val="none"/>
        </w:rPr>
        <w:t>.质疑的提出与接收</w:t>
      </w:r>
    </w:p>
    <w:p w14:paraId="059A09F7">
      <w:pPr>
        <w:spacing w:line="360" w:lineRule="auto"/>
        <w:ind w:firstLine="435"/>
        <w:rPr>
          <w:color w:val="auto"/>
          <w:sz w:val="24"/>
          <w:highlight w:val="none"/>
        </w:rPr>
      </w:pPr>
      <w:r>
        <w:rPr>
          <w:rFonts w:hint="eastAsia"/>
          <w:color w:val="auto"/>
          <w:sz w:val="24"/>
          <w:highlight w:val="none"/>
          <w:lang w:val="en-US" w:eastAsia="zh-CN"/>
        </w:rPr>
        <w:t>29</w:t>
      </w:r>
      <w:r>
        <w:rPr>
          <w:rFonts w:hint="eastAsia"/>
          <w:color w:val="auto"/>
          <w:sz w:val="24"/>
          <w:highlight w:val="none"/>
        </w:rPr>
        <w:t>.1供应商认为磋商文件、采购过程和成交结果使自己的权益受到损害的，可以在知道或者应知其权益受到损害之日起七个工作日内，以书面形式向采购人或其委托的采购代理机构提出质疑。</w:t>
      </w:r>
    </w:p>
    <w:p w14:paraId="0A598AE8">
      <w:pPr>
        <w:spacing w:line="360" w:lineRule="auto"/>
        <w:ind w:firstLine="435"/>
        <w:rPr>
          <w:color w:val="auto"/>
          <w:sz w:val="24"/>
          <w:highlight w:val="none"/>
        </w:rPr>
      </w:pPr>
      <w:r>
        <w:rPr>
          <w:rFonts w:hint="eastAsia"/>
          <w:color w:val="auto"/>
          <w:sz w:val="24"/>
          <w:highlight w:val="none"/>
          <w:lang w:val="en-US" w:eastAsia="zh-CN"/>
        </w:rPr>
        <w:t>29</w:t>
      </w:r>
      <w:r>
        <w:rPr>
          <w:rFonts w:hint="eastAsia"/>
          <w:color w:val="auto"/>
          <w:sz w:val="24"/>
          <w:highlight w:val="none"/>
        </w:rPr>
        <w:t>.</w:t>
      </w:r>
      <w:r>
        <w:rPr>
          <w:rFonts w:hint="eastAsia"/>
          <w:color w:val="auto"/>
          <w:sz w:val="24"/>
          <w:highlight w:val="none"/>
          <w:lang w:val="en-US" w:eastAsia="zh-CN"/>
        </w:rPr>
        <w:t>2</w:t>
      </w:r>
      <w:r>
        <w:rPr>
          <w:rFonts w:hint="eastAsia"/>
          <w:color w:val="auto"/>
          <w:sz w:val="24"/>
          <w:highlight w:val="none"/>
        </w:rPr>
        <w:t>质疑供应商应按照财政部制定的《政府采购质疑函范本》格式（详见磋商文件第八章）和《政府采购质疑和投诉办法》的要求，在法定质疑期内以书面形式提出质疑，超出法定质疑期提交的质疑将被拒绝。针对同一采购程序环节的质疑应一次性提出。</w:t>
      </w:r>
    </w:p>
    <w:p w14:paraId="74457D0D">
      <w:pPr>
        <w:spacing w:line="360" w:lineRule="auto"/>
        <w:ind w:firstLine="435"/>
        <w:rPr>
          <w:rFonts w:hint="eastAsia"/>
          <w:color w:val="auto"/>
          <w:sz w:val="24"/>
          <w:highlight w:val="none"/>
        </w:rPr>
      </w:pPr>
      <w:r>
        <w:rPr>
          <w:rFonts w:hint="eastAsia"/>
          <w:color w:val="auto"/>
          <w:sz w:val="24"/>
          <w:highlight w:val="none"/>
          <w:lang w:val="en-US" w:eastAsia="zh-CN"/>
        </w:rPr>
        <w:t>29</w:t>
      </w:r>
      <w:r>
        <w:rPr>
          <w:rFonts w:hint="eastAsia"/>
          <w:color w:val="auto"/>
          <w:sz w:val="24"/>
          <w:highlight w:val="none"/>
        </w:rPr>
        <w:t>.</w:t>
      </w:r>
      <w:r>
        <w:rPr>
          <w:rFonts w:hint="eastAsia"/>
          <w:color w:val="auto"/>
          <w:sz w:val="24"/>
          <w:highlight w:val="none"/>
          <w:lang w:val="en-US" w:eastAsia="zh-CN"/>
        </w:rPr>
        <w:t>3</w:t>
      </w:r>
      <w:r>
        <w:rPr>
          <w:rFonts w:hint="eastAsia"/>
          <w:color w:val="auto"/>
          <w:sz w:val="24"/>
          <w:highlight w:val="none"/>
        </w:rPr>
        <w:t>采购代理机构质疑函接收部门、联系电话和通讯地址，见</w:t>
      </w:r>
      <w:r>
        <w:rPr>
          <w:rFonts w:hint="eastAsia"/>
          <w:color w:val="auto"/>
          <w:sz w:val="24"/>
          <w:highlight w:val="none"/>
          <w:u w:val="single"/>
        </w:rPr>
        <w:t>供应商须知前附表</w:t>
      </w:r>
      <w:r>
        <w:rPr>
          <w:rFonts w:hint="eastAsia"/>
          <w:color w:val="auto"/>
          <w:sz w:val="24"/>
          <w:highlight w:val="none"/>
        </w:rPr>
        <w:t>。</w:t>
      </w:r>
    </w:p>
    <w:p w14:paraId="6A99F0E1">
      <w:pPr>
        <w:spacing w:line="360" w:lineRule="auto"/>
        <w:ind w:firstLine="435"/>
        <w:rPr>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14:paraId="63EA12BB">
      <w:pPr>
        <w:spacing w:line="360" w:lineRule="auto"/>
        <w:ind w:firstLine="437"/>
        <w:outlineLvl w:val="2"/>
        <w:rPr>
          <w:rFonts w:hint="eastAsia"/>
          <w:b/>
          <w:color w:val="auto"/>
          <w:sz w:val="24"/>
          <w:highlight w:val="none"/>
        </w:rPr>
      </w:pPr>
      <w:r>
        <w:rPr>
          <w:rFonts w:hint="eastAsia"/>
          <w:b/>
          <w:color w:val="auto"/>
          <w:sz w:val="24"/>
          <w:highlight w:val="none"/>
        </w:rPr>
        <w:t>3</w:t>
      </w:r>
      <w:r>
        <w:rPr>
          <w:rFonts w:hint="eastAsia"/>
          <w:b/>
          <w:color w:val="auto"/>
          <w:sz w:val="24"/>
          <w:highlight w:val="none"/>
          <w:lang w:val="en-US" w:eastAsia="zh-CN"/>
        </w:rPr>
        <w:t>0</w:t>
      </w:r>
      <w:r>
        <w:rPr>
          <w:rFonts w:hint="eastAsia"/>
          <w:b/>
          <w:color w:val="auto"/>
          <w:sz w:val="24"/>
          <w:highlight w:val="none"/>
        </w:rPr>
        <w:t>.投诉</w:t>
      </w:r>
    </w:p>
    <w:p w14:paraId="64520162">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color w:val="auto"/>
          <w:sz w:val="24"/>
          <w:highlight w:val="none"/>
        </w:rPr>
      </w:pPr>
      <w:r>
        <w:rPr>
          <w:rFonts w:hint="eastAsia"/>
          <w:color w:val="auto"/>
          <w:sz w:val="24"/>
          <w:highlight w:val="none"/>
        </w:rPr>
        <w:t>30.1质疑供应商对采购人、采购代理机构的答复不满意，或者采购人、采购代理机构未在规定的时间内答复的，可以在答复期满后十五个工作日内按有关规定，以书面形式（http://ggzy.chuzhou.gov.cn/fwzn/011001/011001001/011001001003/20200727/7fb88e17-63dd-4f17-b17c-290526c6eda8.html）向同级政府采购监督管理部门提出投诉或者线上提交投诉材料（http://ggzy.chuzhou.gov.cn/fwzn/011001/011001001/011001001003/20200221/b079d9ca-90f2-4cce-aa7c-94a444e7ac91.html）。</w:t>
      </w:r>
    </w:p>
    <w:p w14:paraId="1C7652FF">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color w:val="auto"/>
          <w:sz w:val="24"/>
          <w:highlight w:val="none"/>
        </w:rPr>
      </w:pPr>
      <w:r>
        <w:rPr>
          <w:rFonts w:hint="eastAsia"/>
          <w:color w:val="auto"/>
          <w:sz w:val="24"/>
          <w:highlight w:val="none"/>
        </w:rPr>
        <w:t>30.2政府采购监督管理部门应当在收到投诉后30个工作日内，对投诉事项作出处理决定，并以书面形式通知投诉人和与投诉事项有关的当事人，并在安徽省政府采购网公告。政府采购监督管理部门处理投诉事项，需要检验、检测、鉴定、专家评审以及需要投诉人补正材料的，所需时间不计算在投诉处理期限内。</w:t>
      </w:r>
    </w:p>
    <w:p w14:paraId="1B62FEF3">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color w:val="auto"/>
          <w:sz w:val="24"/>
          <w:highlight w:val="none"/>
        </w:rPr>
      </w:pPr>
      <w:r>
        <w:rPr>
          <w:rFonts w:hint="eastAsia"/>
          <w:color w:val="auto"/>
          <w:sz w:val="24"/>
          <w:highlight w:val="none"/>
        </w:rPr>
        <w:t>30.3政府采购监督管理部门在处理投诉事项期间，可以视具体情况书面通知采购人暂停采购活动，但暂停时间最长不得超过30日</w:t>
      </w:r>
      <w:r>
        <w:rPr>
          <w:rFonts w:hint="eastAsia"/>
          <w:color w:val="auto"/>
          <w:sz w:val="24"/>
          <w:highlight w:val="none"/>
          <w:lang w:eastAsia="zh-CN"/>
        </w:rPr>
        <w:t>。</w:t>
      </w:r>
    </w:p>
    <w:p w14:paraId="65D82988">
      <w:pPr>
        <w:spacing w:line="360" w:lineRule="auto"/>
        <w:ind w:firstLine="437"/>
        <w:outlineLvl w:val="2"/>
        <w:rPr>
          <w:b/>
          <w:color w:val="auto"/>
          <w:sz w:val="24"/>
          <w:highlight w:val="none"/>
        </w:rPr>
      </w:pPr>
      <w:r>
        <w:rPr>
          <w:b/>
          <w:color w:val="auto"/>
          <w:sz w:val="24"/>
          <w:highlight w:val="none"/>
        </w:rPr>
        <w:t>3</w:t>
      </w:r>
      <w:r>
        <w:rPr>
          <w:rFonts w:hint="eastAsia"/>
          <w:b/>
          <w:color w:val="auto"/>
          <w:sz w:val="24"/>
          <w:highlight w:val="none"/>
          <w:lang w:val="en-US" w:eastAsia="zh-CN"/>
        </w:rPr>
        <w:t>1</w:t>
      </w:r>
      <w:r>
        <w:rPr>
          <w:b/>
          <w:color w:val="auto"/>
          <w:sz w:val="24"/>
          <w:highlight w:val="none"/>
        </w:rPr>
        <w:t>.需要补充的其他内容</w:t>
      </w:r>
    </w:p>
    <w:p w14:paraId="396DF675">
      <w:pPr>
        <w:spacing w:line="360" w:lineRule="auto"/>
        <w:ind w:firstLine="435"/>
        <w:rPr>
          <w:color w:val="auto"/>
          <w:sz w:val="24"/>
          <w:highlight w:val="none"/>
        </w:rPr>
      </w:pPr>
      <w:r>
        <w:rPr>
          <w:rFonts w:hint="eastAsia"/>
          <w:color w:val="auto"/>
          <w:sz w:val="24"/>
          <w:highlight w:val="none"/>
        </w:rPr>
        <w:t>需要补充的其他内容，见</w:t>
      </w:r>
      <w:r>
        <w:rPr>
          <w:rFonts w:hint="eastAsia"/>
          <w:color w:val="auto"/>
          <w:sz w:val="24"/>
          <w:highlight w:val="none"/>
          <w:u w:val="single"/>
        </w:rPr>
        <w:t>供应商须知前附表</w:t>
      </w:r>
      <w:r>
        <w:rPr>
          <w:rFonts w:hint="eastAsia"/>
          <w:color w:val="auto"/>
          <w:sz w:val="24"/>
          <w:highlight w:val="none"/>
        </w:rPr>
        <w:t>。</w:t>
      </w:r>
    </w:p>
    <w:p w14:paraId="786D16F1">
      <w:pPr>
        <w:widowControl/>
        <w:jc w:val="left"/>
        <w:rPr>
          <w:rFonts w:asciiTheme="minorEastAsia" w:hAnsiTheme="minorEastAsia" w:eastAsiaTheme="minorEastAsia"/>
          <w:b/>
          <w:color w:val="auto"/>
          <w:sz w:val="28"/>
          <w:highlight w:val="none"/>
        </w:rPr>
      </w:pPr>
      <w:r>
        <w:rPr>
          <w:rFonts w:asciiTheme="minorEastAsia" w:hAnsiTheme="minorEastAsia" w:eastAsiaTheme="minorEastAsia"/>
          <w:color w:val="auto"/>
          <w:sz w:val="24"/>
          <w:highlight w:val="none"/>
        </w:rPr>
        <w:br w:type="page"/>
      </w:r>
    </w:p>
    <w:p w14:paraId="619D8127">
      <w:pPr>
        <w:spacing w:line="360" w:lineRule="auto"/>
        <w:jc w:val="center"/>
        <w:outlineLvl w:val="0"/>
        <w:rPr>
          <w:rFonts w:asciiTheme="minorEastAsia" w:hAnsiTheme="minorEastAsia" w:eastAsiaTheme="minorEastAsia"/>
          <w:b/>
          <w:color w:val="auto"/>
          <w:sz w:val="28"/>
          <w:highlight w:val="none"/>
        </w:rPr>
      </w:pPr>
      <w:bookmarkStart w:id="27" w:name="_Toc30873"/>
      <w:r>
        <w:rPr>
          <w:rFonts w:hint="eastAsia" w:asciiTheme="minorEastAsia" w:hAnsiTheme="minorEastAsia" w:eastAsiaTheme="minorEastAsia"/>
          <w:b/>
          <w:color w:val="auto"/>
          <w:sz w:val="28"/>
          <w:highlight w:val="none"/>
        </w:rPr>
        <w:t>第三章  采购需求</w:t>
      </w:r>
      <w:bookmarkEnd w:id="27"/>
    </w:p>
    <w:tbl>
      <w:tblPr>
        <w:tblStyle w:val="10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8"/>
        <w:gridCol w:w="1277"/>
        <w:gridCol w:w="6287"/>
      </w:tblGrid>
      <w:tr w14:paraId="4E0E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7ED0AE7F">
            <w:pPr>
              <w:spacing w:line="360" w:lineRule="auto"/>
              <w:jc w:val="center"/>
              <w:rPr>
                <w:rFonts w:cs="@仿宋_GB2312" w:asciiTheme="minorEastAsia" w:hAnsiTheme="minorEastAsia" w:eastAsiaTheme="minorEastAsia"/>
                <w:b/>
                <w:color w:val="auto"/>
                <w:kern w:val="2"/>
                <w:sz w:val="24"/>
                <w:szCs w:val="22"/>
                <w:highlight w:val="none"/>
              </w:rPr>
            </w:pPr>
            <w:r>
              <w:rPr>
                <w:rFonts w:hint="eastAsia" w:cs="@仿宋_GB2312" w:asciiTheme="minorEastAsia" w:hAnsiTheme="minorEastAsia" w:eastAsiaTheme="minorEastAsia"/>
                <w:b/>
                <w:color w:val="auto"/>
                <w:kern w:val="2"/>
                <w:sz w:val="24"/>
                <w:szCs w:val="22"/>
                <w:highlight w:val="none"/>
              </w:rPr>
              <w:t>序号</w:t>
            </w:r>
          </w:p>
        </w:tc>
        <w:tc>
          <w:tcPr>
            <w:tcW w:w="749" w:type="pct"/>
            <w:vAlign w:val="center"/>
          </w:tcPr>
          <w:p w14:paraId="4CF5B897">
            <w:pPr>
              <w:spacing w:line="360" w:lineRule="auto"/>
              <w:ind w:firstLine="435"/>
              <w:jc w:val="center"/>
              <w:rPr>
                <w:rFonts w:cs="@仿宋_GB2312" w:asciiTheme="minorEastAsia" w:hAnsiTheme="minorEastAsia" w:eastAsiaTheme="minorEastAsia"/>
                <w:b/>
                <w:color w:val="auto"/>
                <w:kern w:val="2"/>
                <w:sz w:val="24"/>
                <w:szCs w:val="22"/>
                <w:highlight w:val="none"/>
              </w:rPr>
            </w:pPr>
            <w:r>
              <w:rPr>
                <w:rFonts w:hint="eastAsia" w:cs="@仿宋_GB2312" w:asciiTheme="minorEastAsia" w:hAnsiTheme="minorEastAsia" w:eastAsiaTheme="minorEastAsia"/>
                <w:b/>
                <w:color w:val="auto"/>
                <w:kern w:val="2"/>
                <w:sz w:val="24"/>
                <w:szCs w:val="22"/>
                <w:highlight w:val="none"/>
              </w:rPr>
              <w:t>内容</w:t>
            </w:r>
          </w:p>
        </w:tc>
        <w:tc>
          <w:tcPr>
            <w:tcW w:w="3688" w:type="pct"/>
            <w:vAlign w:val="center"/>
          </w:tcPr>
          <w:p w14:paraId="51B292B6">
            <w:pPr>
              <w:spacing w:line="360" w:lineRule="auto"/>
              <w:ind w:firstLine="435"/>
              <w:jc w:val="center"/>
              <w:rPr>
                <w:rFonts w:cs="@仿宋_GB2312" w:asciiTheme="minorEastAsia" w:hAnsiTheme="minorEastAsia" w:eastAsiaTheme="minorEastAsia"/>
                <w:b/>
                <w:color w:val="auto"/>
                <w:kern w:val="2"/>
                <w:sz w:val="24"/>
                <w:szCs w:val="22"/>
                <w:highlight w:val="none"/>
              </w:rPr>
            </w:pPr>
            <w:r>
              <w:rPr>
                <w:rFonts w:hint="eastAsia" w:cs="@仿宋_GB2312" w:asciiTheme="minorEastAsia" w:hAnsiTheme="minorEastAsia" w:eastAsiaTheme="minorEastAsia"/>
                <w:b/>
                <w:color w:val="auto"/>
                <w:kern w:val="2"/>
                <w:sz w:val="24"/>
                <w:szCs w:val="22"/>
                <w:highlight w:val="none"/>
              </w:rPr>
              <w:t>说明和要求</w:t>
            </w:r>
          </w:p>
        </w:tc>
      </w:tr>
      <w:tr w14:paraId="29AEE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77ABB867">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1</w:t>
            </w:r>
          </w:p>
        </w:tc>
        <w:tc>
          <w:tcPr>
            <w:tcW w:w="749" w:type="pct"/>
            <w:vAlign w:val="center"/>
          </w:tcPr>
          <w:p w14:paraId="28F119A6">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人员到岗及履约要求</w:t>
            </w:r>
          </w:p>
        </w:tc>
        <w:tc>
          <w:tcPr>
            <w:tcW w:w="3688" w:type="pct"/>
            <w:vAlign w:val="center"/>
          </w:tcPr>
          <w:p w14:paraId="43749930">
            <w:pPr>
              <w:spacing w:line="360" w:lineRule="auto"/>
              <w:rPr>
                <w:rFonts w:hint="eastAsia"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（1）供应商一旦成交，</w:t>
            </w:r>
            <w:r>
              <w:rPr>
                <w:rFonts w:hint="eastAsia" w:cs="@仿宋_GB2312" w:asciiTheme="minorEastAsia" w:hAnsiTheme="minorEastAsia" w:eastAsiaTheme="minorEastAsia"/>
                <w:color w:val="auto"/>
                <w:kern w:val="2"/>
                <w:sz w:val="24"/>
                <w:szCs w:val="22"/>
                <w:highlight w:val="none"/>
                <w:lang w:val="en-US" w:eastAsia="zh-CN"/>
              </w:rPr>
              <w:t>磋商</w:t>
            </w:r>
            <w:r>
              <w:rPr>
                <w:rFonts w:hint="eastAsia" w:cs="@仿宋_GB2312" w:asciiTheme="minorEastAsia" w:hAnsiTheme="minorEastAsia" w:eastAsiaTheme="minorEastAsia"/>
                <w:color w:val="auto"/>
                <w:kern w:val="2"/>
                <w:sz w:val="24"/>
                <w:szCs w:val="22"/>
                <w:highlight w:val="none"/>
              </w:rPr>
              <w:t>时所报的本项目的项目经理、施工现场技术负责人、各专业负责工程师及施工机械等在整个项目施工期内必须在位，否则采购人有权终止合同。由此造成的损失，成交供应商自行承担并赔偿可能给采购人造成的损失。</w:t>
            </w:r>
          </w:p>
          <w:p w14:paraId="6B5B62BB">
            <w:pPr>
              <w:spacing w:line="360" w:lineRule="auto"/>
              <w:rPr>
                <w:rFonts w:hint="eastAsia"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（2）成交供应商不得擅自更换</w:t>
            </w:r>
            <w:r>
              <w:rPr>
                <w:rFonts w:hint="eastAsia" w:cs="@仿宋_GB2312" w:asciiTheme="minorEastAsia" w:hAnsiTheme="minorEastAsia" w:eastAsiaTheme="minorEastAsia"/>
                <w:color w:val="auto"/>
                <w:kern w:val="2"/>
                <w:sz w:val="24"/>
                <w:szCs w:val="22"/>
                <w:highlight w:val="none"/>
                <w:lang w:val="en-US" w:eastAsia="zh-CN"/>
              </w:rPr>
              <w:t>磋商</w:t>
            </w:r>
            <w:r>
              <w:rPr>
                <w:rFonts w:hint="eastAsia" w:cs="@仿宋_GB2312" w:asciiTheme="minorEastAsia" w:hAnsiTheme="minorEastAsia" w:eastAsiaTheme="minorEastAsia"/>
                <w:color w:val="auto"/>
                <w:kern w:val="2"/>
                <w:sz w:val="24"/>
                <w:szCs w:val="22"/>
                <w:highlight w:val="none"/>
              </w:rPr>
              <w:t>时所报项目经理及项目部主要管理人员。确需更换时，须报采购人同意，更换后人员不得低于成交供应商谈判时所报人员资质和技术水平。采购人如认为有必要，可要求对上述人员中的部分人员作出更好的调整。</w:t>
            </w:r>
          </w:p>
          <w:p w14:paraId="08392B09">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3）成交供应商未能按照承诺到岗尽职的，采购人将视情况严重程度对其作出相应处理，给予警告并发出整改通知。如仍未及时整改，采购人有权责令其停工整改、直至终止合同，引进新的承包人。采购人还将停止支付工程款项，扣留任何未付的工程进度款项补偿建设单位的有关损失或工期延误的损失，并就此向承包人索赔</w:t>
            </w:r>
            <w:r>
              <w:rPr>
                <w:rFonts w:hint="eastAsia" w:cs="@仿宋_GB2312" w:asciiTheme="minorEastAsia" w:hAnsiTheme="minorEastAsia" w:eastAsiaTheme="minorEastAsia"/>
                <w:color w:val="auto"/>
                <w:kern w:val="2"/>
                <w:sz w:val="24"/>
                <w:szCs w:val="22"/>
                <w:highlight w:val="none"/>
                <w:lang w:eastAsia="zh-CN"/>
              </w:rPr>
              <w:t>。</w:t>
            </w:r>
          </w:p>
        </w:tc>
      </w:tr>
      <w:tr w14:paraId="064E6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3798F7A4">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2</w:t>
            </w:r>
          </w:p>
        </w:tc>
        <w:tc>
          <w:tcPr>
            <w:tcW w:w="749" w:type="pct"/>
            <w:vAlign w:val="center"/>
          </w:tcPr>
          <w:p w14:paraId="55F26AE6">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材料要求</w:t>
            </w:r>
          </w:p>
        </w:tc>
        <w:tc>
          <w:tcPr>
            <w:tcW w:w="3688" w:type="pct"/>
            <w:vAlign w:val="center"/>
          </w:tcPr>
          <w:p w14:paraId="3AE848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textAlignment w:val="auto"/>
              <w:rPr>
                <w:rFonts w:hint="eastAsia" w:cs="@仿宋_GB2312" w:asciiTheme="minorEastAsia" w:hAnsiTheme="minorEastAsia" w:eastAsiaTheme="minorEastAsia"/>
                <w:color w:val="auto"/>
                <w:kern w:val="2"/>
                <w:sz w:val="24"/>
                <w:szCs w:val="22"/>
                <w:highlight w:val="none"/>
                <w:lang w:eastAsia="zh-CN"/>
              </w:rPr>
            </w:pPr>
            <w:r>
              <w:rPr>
                <w:rFonts w:hint="eastAsia" w:cs="@仿宋_GB2312" w:asciiTheme="minorEastAsia" w:hAnsiTheme="minorEastAsia" w:eastAsiaTheme="minorEastAsia"/>
                <w:color w:val="auto"/>
                <w:kern w:val="2"/>
                <w:sz w:val="24"/>
                <w:szCs w:val="22"/>
                <w:highlight w:val="none"/>
              </w:rPr>
              <w:t>所有进场材料必须符合国家质量标准、环保标准；所有货物（包括零部件）须为全新的、未使用过的原装正品，并完全符合国家质量标准，提供厂家出具的合格证书、有国家强制性认证要求的产品须提供相应证书。承包人采购的所有设备及主要材料进场报监理单位审核，经发包人认可后方可进场</w:t>
            </w:r>
            <w:r>
              <w:rPr>
                <w:rFonts w:hint="eastAsia" w:cs="@仿宋_GB2312" w:asciiTheme="minorEastAsia" w:hAnsiTheme="minorEastAsia" w:eastAsiaTheme="minorEastAsia"/>
                <w:color w:val="auto"/>
                <w:kern w:val="2"/>
                <w:sz w:val="24"/>
                <w:szCs w:val="22"/>
                <w:highlight w:val="none"/>
                <w:lang w:eastAsia="zh-CN"/>
              </w:rPr>
              <w:t>。</w:t>
            </w:r>
          </w:p>
        </w:tc>
      </w:tr>
      <w:tr w14:paraId="090E1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5650DF8A">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3</w:t>
            </w:r>
          </w:p>
        </w:tc>
        <w:tc>
          <w:tcPr>
            <w:tcW w:w="749" w:type="pct"/>
            <w:vAlign w:val="center"/>
          </w:tcPr>
          <w:p w14:paraId="0248369B">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工程施工重点难点</w:t>
            </w:r>
          </w:p>
        </w:tc>
        <w:tc>
          <w:tcPr>
            <w:tcW w:w="3688" w:type="pct"/>
            <w:vAlign w:val="center"/>
          </w:tcPr>
          <w:p w14:paraId="7B2AA39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textAlignment w:val="auto"/>
              <w:rPr>
                <w:rFonts w:hint="eastAsia" w:cs="@仿宋_GB2312" w:asciiTheme="minorEastAsia" w:hAnsiTheme="minorEastAsia" w:eastAsiaTheme="minorEastAsia"/>
                <w:color w:val="auto"/>
                <w:kern w:val="2"/>
                <w:sz w:val="24"/>
                <w:szCs w:val="22"/>
                <w:highlight w:val="none"/>
                <w:lang w:eastAsia="zh-CN"/>
              </w:rPr>
            </w:pPr>
            <w:r>
              <w:rPr>
                <w:rFonts w:hint="eastAsia" w:cs="@仿宋_GB2312" w:asciiTheme="minorEastAsia" w:hAnsiTheme="minorEastAsia" w:eastAsiaTheme="minorEastAsia"/>
                <w:color w:val="auto"/>
                <w:kern w:val="2"/>
                <w:sz w:val="24"/>
                <w:szCs w:val="22"/>
                <w:highlight w:val="none"/>
                <w:lang w:val="en-US" w:eastAsia="zh-CN"/>
              </w:rPr>
              <w:t>供应商结合图纸和现场情况自行考虑</w:t>
            </w:r>
          </w:p>
        </w:tc>
      </w:tr>
      <w:tr w14:paraId="63FE9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5A6A7E42">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4</w:t>
            </w:r>
          </w:p>
        </w:tc>
        <w:tc>
          <w:tcPr>
            <w:tcW w:w="749" w:type="pct"/>
            <w:vAlign w:val="center"/>
          </w:tcPr>
          <w:p w14:paraId="5D175C07">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报价须知</w:t>
            </w:r>
          </w:p>
        </w:tc>
        <w:tc>
          <w:tcPr>
            <w:tcW w:w="3688" w:type="pct"/>
            <w:vAlign w:val="center"/>
          </w:tcPr>
          <w:p w14:paraId="4717948F">
            <w:pPr>
              <w:numPr>
                <w:ilvl w:val="0"/>
                <w:numId w:val="0"/>
              </w:numPr>
              <w:spacing w:line="360" w:lineRule="auto"/>
              <w:rPr>
                <w:rFonts w:hint="eastAsia" w:eastAsia="@微软简标宋"/>
                <w:kern w:val="2"/>
                <w:sz w:val="21"/>
                <w:szCs w:val="22"/>
                <w:highlight w:val="none"/>
                <w:lang w:eastAsia="zh-CN"/>
              </w:rPr>
            </w:pPr>
            <w:r>
              <w:rPr>
                <w:rFonts w:hint="eastAsia" w:cs="@仿宋_GB2312" w:asciiTheme="minorEastAsia" w:hAnsiTheme="minorEastAsia" w:eastAsiaTheme="minorEastAsia"/>
                <w:color w:val="auto"/>
                <w:kern w:val="2"/>
                <w:sz w:val="24"/>
                <w:szCs w:val="22"/>
                <w:highlight w:val="none"/>
                <w:lang w:val="en-US" w:eastAsia="zh-CN"/>
              </w:rPr>
              <w:t>1、</w:t>
            </w:r>
            <w:r>
              <w:rPr>
                <w:rFonts w:hint="eastAsia" w:cs="@仿宋_GB2312" w:asciiTheme="minorEastAsia" w:hAnsiTheme="minorEastAsia" w:eastAsiaTheme="minorEastAsia"/>
                <w:color w:val="auto"/>
                <w:kern w:val="2"/>
                <w:sz w:val="24"/>
                <w:szCs w:val="22"/>
                <w:highlight w:val="none"/>
              </w:rPr>
              <w:t>供应商最后报价均不得高于磋商文件（公告）列明的项目预算、最高投标限价，否则其响应文件将被认定为响应无效。</w:t>
            </w:r>
          </w:p>
        </w:tc>
      </w:tr>
      <w:tr w14:paraId="04B05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5C128B73">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5</w:t>
            </w:r>
          </w:p>
        </w:tc>
        <w:tc>
          <w:tcPr>
            <w:tcW w:w="749" w:type="pct"/>
            <w:vAlign w:val="center"/>
          </w:tcPr>
          <w:p w14:paraId="764B0141">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重要说明</w:t>
            </w:r>
          </w:p>
        </w:tc>
        <w:tc>
          <w:tcPr>
            <w:tcW w:w="3688" w:type="pct"/>
            <w:vAlign w:val="center"/>
          </w:tcPr>
          <w:p w14:paraId="5BD8340D">
            <w:pPr>
              <w:spacing w:line="360" w:lineRule="auto"/>
              <w:rPr>
                <w:rFonts w:hint="eastAsia" w:ascii="宋体" w:hAnsi="宋体" w:eastAsia="宋体"/>
                <w:color w:val="auto"/>
                <w:kern w:val="2"/>
                <w:sz w:val="24"/>
                <w:szCs w:val="18"/>
                <w:highlight w:val="none"/>
              </w:rPr>
            </w:pPr>
            <w:r>
              <w:rPr>
                <w:rFonts w:hint="eastAsia" w:cs="宋体"/>
                <w:kern w:val="2"/>
                <w:sz w:val="24"/>
                <w:szCs w:val="24"/>
                <w:highlight w:val="none"/>
                <w:lang w:val="en-US" w:eastAsia="zh-CN"/>
              </w:rPr>
              <w:t>1、</w:t>
            </w:r>
            <w:r>
              <w:rPr>
                <w:rFonts w:ascii="宋体" w:hAnsi="宋体" w:eastAsia="宋体" w:cs="宋体"/>
                <w:kern w:val="2"/>
                <w:sz w:val="24"/>
                <w:szCs w:val="24"/>
                <w:highlight w:val="none"/>
              </w:rPr>
              <w:t>政府采购政策（包括但不限于下列具体政策要求</w:t>
            </w:r>
            <w:r>
              <w:rPr>
                <w:rFonts w:hint="eastAsia" w:ascii="宋体" w:hAnsi="宋体" w:eastAsia="宋体" w:cs="宋体"/>
                <w:kern w:val="2"/>
                <w:sz w:val="24"/>
                <w:szCs w:val="24"/>
                <w:highlight w:val="none"/>
                <w:lang w:eastAsia="zh-CN"/>
              </w:rPr>
              <w:t>）</w:t>
            </w:r>
            <w:r>
              <w:rPr>
                <w:rFonts w:hint="eastAsia" w:ascii="宋体" w:hAnsi="宋体" w:eastAsia="宋体"/>
                <w:color w:val="auto"/>
                <w:kern w:val="2"/>
                <w:sz w:val="24"/>
                <w:szCs w:val="18"/>
                <w:highlight w:val="none"/>
              </w:rPr>
              <w:t>：</w:t>
            </w:r>
          </w:p>
          <w:p w14:paraId="1C86B261">
            <w:pPr>
              <w:spacing w:line="360" w:lineRule="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（1）如属于《节能产品政府采购品目清单》中政府强制采购的节能产品，则</w:t>
            </w:r>
            <w:r>
              <w:rPr>
                <w:rFonts w:hint="eastAsia" w:cs="宋体"/>
                <w:color w:val="auto"/>
                <w:kern w:val="2"/>
                <w:sz w:val="24"/>
                <w:szCs w:val="24"/>
                <w:highlight w:val="none"/>
                <w:lang w:val="en-US" w:eastAsia="zh-CN"/>
              </w:rPr>
              <w:t>供应商</w:t>
            </w:r>
            <w:r>
              <w:rPr>
                <w:rFonts w:hint="eastAsia" w:ascii="宋体" w:hAnsi="宋体" w:eastAsia="宋体" w:cs="宋体"/>
                <w:color w:val="auto"/>
                <w:kern w:val="2"/>
                <w:sz w:val="24"/>
                <w:szCs w:val="24"/>
                <w:highlight w:val="none"/>
              </w:rPr>
              <w:t>所投产品须具有市场监管总局公布的《参与实施政府采购节能产品认证机构目录》中的认证机构出具的、处于有效期内的节能产品认证证书。</w:t>
            </w:r>
          </w:p>
          <w:p w14:paraId="24D1A62F">
            <w:pPr>
              <w:spacing w:line="360" w:lineRule="auto"/>
              <w:rPr>
                <w:rFonts w:hint="default" w:cs="@仿宋_GB2312" w:asciiTheme="minorEastAsia" w:hAnsiTheme="minorEastAsia" w:eastAsiaTheme="minorEastAsia"/>
                <w:color w:val="auto"/>
                <w:kern w:val="2"/>
                <w:sz w:val="24"/>
                <w:szCs w:val="22"/>
                <w:highlight w:val="none"/>
                <w:lang w:val="en-US"/>
              </w:rPr>
            </w:pPr>
            <w:r>
              <w:rPr>
                <w:rFonts w:hint="eastAsia" w:ascii="宋体" w:hAnsi="宋体" w:eastAsia="宋体" w:cs="宋体"/>
                <w:color w:val="auto"/>
                <w:kern w:val="2"/>
                <w:sz w:val="24"/>
                <w:szCs w:val="24"/>
                <w:highlight w:val="none"/>
              </w:rPr>
              <w:t>（2）如涉及商品包装和快递包装，</w:t>
            </w:r>
            <w:r>
              <w:rPr>
                <w:rFonts w:hint="eastAsia" w:cs="宋体"/>
                <w:color w:val="auto"/>
                <w:kern w:val="2"/>
                <w:sz w:val="24"/>
                <w:szCs w:val="24"/>
                <w:highlight w:val="none"/>
                <w:lang w:val="en-US" w:eastAsia="zh-CN"/>
              </w:rPr>
              <w:t>供应商</w:t>
            </w:r>
            <w:r>
              <w:rPr>
                <w:rFonts w:hint="eastAsia" w:ascii="宋体" w:hAnsi="宋体" w:eastAsia="宋体" w:cs="宋体"/>
                <w:color w:val="auto"/>
                <w:kern w:val="2"/>
                <w:sz w:val="24"/>
                <w:szCs w:val="24"/>
                <w:highlight w:val="none"/>
              </w:rPr>
              <w:t>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tc>
      </w:tr>
      <w:tr w14:paraId="65FB2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2C7E1ACB">
            <w:pPr>
              <w:spacing w:line="360" w:lineRule="auto"/>
              <w:jc w:val="center"/>
              <w:rPr>
                <w:rFonts w:cs="@仿宋_GB2312" w:asciiTheme="minorEastAsia" w:hAnsiTheme="minorEastAsia" w:eastAsiaTheme="minorEastAsia"/>
                <w:color w:val="auto"/>
                <w:kern w:val="2"/>
                <w:sz w:val="24"/>
                <w:szCs w:val="22"/>
                <w:highlight w:val="none"/>
              </w:rPr>
            </w:pPr>
            <w:r>
              <w:rPr>
                <w:rFonts w:cs="@仿宋_GB2312" w:asciiTheme="minorEastAsia" w:hAnsiTheme="minorEastAsia" w:eastAsiaTheme="minorEastAsia"/>
                <w:color w:val="auto"/>
                <w:kern w:val="2"/>
                <w:sz w:val="24"/>
                <w:szCs w:val="22"/>
                <w:highlight w:val="none"/>
              </w:rPr>
              <w:t>6</w:t>
            </w:r>
          </w:p>
        </w:tc>
        <w:tc>
          <w:tcPr>
            <w:tcW w:w="749" w:type="pct"/>
            <w:vAlign w:val="center"/>
          </w:tcPr>
          <w:p w14:paraId="7C6E060D">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项目经理</w:t>
            </w:r>
          </w:p>
        </w:tc>
        <w:tc>
          <w:tcPr>
            <w:tcW w:w="3688" w:type="pct"/>
            <w:vAlign w:val="center"/>
          </w:tcPr>
          <w:p w14:paraId="0E6460FC">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见第一章《</w:t>
            </w:r>
            <w:r>
              <w:rPr>
                <w:rFonts w:hint="eastAsia" w:cs="@仿宋_GB2312" w:asciiTheme="minorEastAsia" w:hAnsiTheme="minorEastAsia" w:eastAsiaTheme="minorEastAsia"/>
                <w:color w:val="auto"/>
                <w:kern w:val="2"/>
                <w:sz w:val="24"/>
                <w:szCs w:val="22"/>
                <w:highlight w:val="none"/>
                <w:lang w:val="en-US" w:eastAsia="zh-CN"/>
              </w:rPr>
              <w:t>磋商</w:t>
            </w:r>
            <w:r>
              <w:rPr>
                <w:rFonts w:hint="eastAsia" w:cs="@仿宋_GB2312" w:asciiTheme="minorEastAsia" w:hAnsiTheme="minorEastAsia" w:eastAsiaTheme="minorEastAsia"/>
                <w:color w:val="auto"/>
                <w:kern w:val="2"/>
                <w:sz w:val="24"/>
                <w:szCs w:val="22"/>
                <w:highlight w:val="none"/>
              </w:rPr>
              <w:t>邀请》</w:t>
            </w:r>
          </w:p>
        </w:tc>
      </w:tr>
      <w:tr w14:paraId="1ED4B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399967DD">
            <w:pPr>
              <w:spacing w:line="360" w:lineRule="auto"/>
              <w:jc w:val="center"/>
              <w:rPr>
                <w:rFonts w:hint="eastAsia" w:cs="@仿宋_GB2312" w:asciiTheme="minorEastAsia" w:hAnsiTheme="minorEastAsia" w:eastAsiaTheme="minorEastAsia"/>
                <w:color w:val="auto"/>
                <w:kern w:val="2"/>
                <w:sz w:val="24"/>
                <w:szCs w:val="22"/>
                <w:highlight w:val="none"/>
                <w:lang w:val="en-US" w:eastAsia="zh-CN"/>
              </w:rPr>
            </w:pPr>
            <w:r>
              <w:rPr>
                <w:rFonts w:hint="eastAsia" w:cs="@仿宋_GB2312" w:asciiTheme="minorEastAsia" w:hAnsiTheme="minorEastAsia" w:eastAsiaTheme="minorEastAsia"/>
                <w:color w:val="auto"/>
                <w:kern w:val="2"/>
                <w:sz w:val="24"/>
                <w:szCs w:val="22"/>
                <w:highlight w:val="none"/>
                <w:lang w:val="en-US" w:eastAsia="zh-CN"/>
              </w:rPr>
              <w:t>7</w:t>
            </w:r>
          </w:p>
        </w:tc>
        <w:tc>
          <w:tcPr>
            <w:tcW w:w="749" w:type="pct"/>
            <w:vAlign w:val="center"/>
          </w:tcPr>
          <w:p w14:paraId="2CBC270C">
            <w:pPr>
              <w:pStyle w:val="76"/>
              <w:widowControl w:val="0"/>
              <w:spacing w:before="0" w:beforeAutospacing="0" w:after="0" w:afterAutospacing="0" w:line="360" w:lineRule="auto"/>
              <w:rPr>
                <w:rFonts w:cs="@仿宋_GB2312" w:asciiTheme="minorEastAsia" w:hAnsiTheme="minorEastAsia" w:eastAsiaTheme="minorEastAsia"/>
                <w:color w:val="auto"/>
                <w:kern w:val="2"/>
                <w:sz w:val="24"/>
                <w:highlight w:val="none"/>
              </w:rPr>
            </w:pPr>
            <w:r>
              <w:rPr>
                <w:rFonts w:hint="eastAsia" w:asciiTheme="minorHAnsi" w:hAnsiTheme="minorHAnsi" w:eastAsiaTheme="minorEastAsia"/>
                <w:b w:val="0"/>
                <w:color w:val="auto"/>
                <w:kern w:val="2"/>
                <w:sz w:val="24"/>
                <w:highlight w:val="none"/>
              </w:rPr>
              <w:t>本项目采购标的名称及所属行业</w:t>
            </w:r>
          </w:p>
        </w:tc>
        <w:tc>
          <w:tcPr>
            <w:tcW w:w="3688" w:type="pct"/>
            <w:vAlign w:val="center"/>
          </w:tcPr>
          <w:p w14:paraId="17BF0A28">
            <w:pPr>
              <w:spacing w:line="360" w:lineRule="auto"/>
              <w:jc w:val="left"/>
              <w:rPr>
                <w:rFonts w:hint="eastAsia" w:asciiTheme="minorEastAsia" w:hAnsiTheme="minorEastAsia"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标的名称：</w:t>
            </w:r>
            <w:r>
              <w:rPr>
                <w:rFonts w:hint="eastAsia" w:asciiTheme="minorEastAsia" w:hAnsiTheme="minorEastAsia" w:eastAsiaTheme="minorEastAsia"/>
                <w:color w:val="auto"/>
                <w:kern w:val="2"/>
                <w:sz w:val="24"/>
                <w:szCs w:val="22"/>
                <w:highlight w:val="none"/>
                <w:lang w:val="en-US" w:eastAsia="zh-CN"/>
              </w:rPr>
              <w:t>花园路上跨京沪铁路枢纽项目附属配套绿化工程</w:t>
            </w:r>
          </w:p>
          <w:p w14:paraId="511999CE">
            <w:pPr>
              <w:spacing w:line="360" w:lineRule="auto"/>
              <w:jc w:val="left"/>
              <w:rPr>
                <w:rFonts w:asciiTheme="minorHAnsi" w:hAnsiTheme="minorHAnsi"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所属行业：</w:t>
            </w:r>
            <w:r>
              <w:rPr>
                <w:rFonts w:hint="eastAsia" w:asciiTheme="minorEastAsia" w:hAnsiTheme="minorEastAsia" w:eastAsiaTheme="minorEastAsia"/>
                <w:color w:val="auto"/>
                <w:kern w:val="2"/>
                <w:sz w:val="24"/>
                <w:szCs w:val="22"/>
                <w:highlight w:val="none"/>
                <w:lang w:val="en-US" w:eastAsia="zh-CN"/>
              </w:rPr>
              <w:t>建筑业</w:t>
            </w:r>
          </w:p>
        </w:tc>
      </w:tr>
      <w:tr w14:paraId="20969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7C8A1C23">
            <w:pPr>
              <w:spacing w:line="360" w:lineRule="auto"/>
              <w:jc w:val="center"/>
              <w:rPr>
                <w:rFonts w:hint="eastAsia" w:cs="@仿宋_GB2312" w:asciiTheme="minorEastAsia" w:hAnsiTheme="minorEastAsia" w:eastAsiaTheme="minorEastAsia"/>
                <w:color w:val="auto"/>
                <w:kern w:val="2"/>
                <w:sz w:val="24"/>
                <w:szCs w:val="22"/>
                <w:highlight w:val="none"/>
                <w:lang w:val="en-US" w:eastAsia="zh-CN"/>
              </w:rPr>
            </w:pPr>
            <w:r>
              <w:rPr>
                <w:rFonts w:hint="eastAsia" w:cs="@仿宋_GB2312" w:asciiTheme="minorEastAsia" w:hAnsiTheme="minorEastAsia" w:eastAsiaTheme="minorEastAsia"/>
                <w:color w:val="auto"/>
                <w:kern w:val="2"/>
                <w:sz w:val="24"/>
                <w:szCs w:val="22"/>
                <w:highlight w:val="none"/>
                <w:lang w:val="en-US" w:eastAsia="zh-CN"/>
              </w:rPr>
              <w:t>8</w:t>
            </w:r>
          </w:p>
        </w:tc>
        <w:tc>
          <w:tcPr>
            <w:tcW w:w="749" w:type="pct"/>
            <w:vAlign w:val="center"/>
          </w:tcPr>
          <w:p w14:paraId="4448E7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textAlignment w:val="auto"/>
              <w:rPr>
                <w:rFonts w:hint="eastAsia" w:asciiTheme="minorEastAsia" w:hAnsiTheme="minorEastAsia"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lang w:val="en-US" w:eastAsia="zh-CN"/>
              </w:rPr>
              <w:t>项目概况</w:t>
            </w:r>
          </w:p>
        </w:tc>
        <w:tc>
          <w:tcPr>
            <w:tcW w:w="3688" w:type="pct"/>
            <w:vAlign w:val="center"/>
          </w:tcPr>
          <w:p w14:paraId="12DC88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textAlignment w:val="auto"/>
              <w:rPr>
                <w:rFonts w:hint="eastAsia" w:asciiTheme="minorEastAsia" w:hAnsiTheme="minorEastAsia"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道路中央分隔带（8m）、道路两侧分隔带（2m）、行道树。行道树植物选用香樟间距6m，侧分带植物选用月季定植，间距3棵/组，每棵间距1.5m，每组间距7m，中央分隔带以草坪为主</w:t>
            </w:r>
            <w:r>
              <w:rPr>
                <w:rFonts w:hint="eastAsia" w:asciiTheme="minorEastAsia" w:hAnsiTheme="minorEastAsia" w:eastAsiaTheme="minorEastAsia"/>
                <w:color w:val="auto"/>
                <w:kern w:val="2"/>
                <w:sz w:val="24"/>
                <w:szCs w:val="22"/>
                <w:highlight w:val="none"/>
                <w:lang w:eastAsia="zh-CN"/>
              </w:rPr>
              <w:t>。</w:t>
            </w:r>
            <w:r>
              <w:rPr>
                <w:rFonts w:hint="eastAsia" w:asciiTheme="minorEastAsia" w:hAnsiTheme="minorEastAsia" w:eastAsiaTheme="minorEastAsia"/>
                <w:color w:val="auto"/>
                <w:kern w:val="2"/>
                <w:sz w:val="24"/>
                <w:szCs w:val="22"/>
                <w:highlight w:val="none"/>
              </w:rPr>
              <w:t>详见</w:t>
            </w:r>
            <w:r>
              <w:rPr>
                <w:rFonts w:hint="eastAsia" w:asciiTheme="minorEastAsia" w:hAnsiTheme="minorEastAsia" w:eastAsiaTheme="minorEastAsia"/>
                <w:color w:val="auto"/>
                <w:kern w:val="2"/>
                <w:sz w:val="24"/>
                <w:szCs w:val="22"/>
                <w:highlight w:val="none"/>
                <w:lang w:val="en-US" w:eastAsia="zh-CN"/>
              </w:rPr>
              <w:t>施工</w:t>
            </w:r>
            <w:r>
              <w:rPr>
                <w:rFonts w:hint="eastAsia" w:asciiTheme="minorEastAsia" w:hAnsiTheme="minorEastAsia" w:eastAsiaTheme="minorEastAsia"/>
                <w:color w:val="auto"/>
                <w:kern w:val="2"/>
                <w:sz w:val="24"/>
                <w:szCs w:val="22"/>
                <w:highlight w:val="none"/>
              </w:rPr>
              <w:t>图纸及工程量清单。</w:t>
            </w:r>
          </w:p>
        </w:tc>
      </w:tr>
    </w:tbl>
    <w:p w14:paraId="02D7BCED">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14:paraId="4EEACBA5">
      <w:pPr>
        <w:spacing w:line="360" w:lineRule="auto"/>
        <w:jc w:val="center"/>
        <w:outlineLvl w:val="0"/>
        <w:rPr>
          <w:rFonts w:asciiTheme="minorEastAsia" w:hAnsiTheme="minorEastAsia" w:eastAsiaTheme="minorEastAsia"/>
          <w:b/>
          <w:color w:val="auto"/>
          <w:sz w:val="28"/>
          <w:highlight w:val="none"/>
        </w:rPr>
      </w:pPr>
      <w:bookmarkStart w:id="28" w:name="_Toc11353"/>
      <w:r>
        <w:rPr>
          <w:rFonts w:hint="eastAsia" w:asciiTheme="minorEastAsia" w:hAnsiTheme="minorEastAsia" w:eastAsiaTheme="minorEastAsia"/>
          <w:b/>
          <w:color w:val="auto"/>
          <w:sz w:val="28"/>
          <w:highlight w:val="none"/>
        </w:rPr>
        <w:t>第四章  评审方法和标准</w:t>
      </w:r>
      <w:bookmarkEnd w:id="28"/>
    </w:p>
    <w:p w14:paraId="405AFB19">
      <w:pPr>
        <w:spacing w:line="360" w:lineRule="auto"/>
        <w:ind w:firstLine="437"/>
        <w:outlineLvl w:val="1"/>
        <w:rPr>
          <w:rFonts w:asciiTheme="minorEastAsia" w:hAnsiTheme="minorEastAsia" w:eastAsiaTheme="minorEastAsia"/>
          <w:b/>
          <w:color w:val="auto"/>
          <w:sz w:val="24"/>
          <w:highlight w:val="none"/>
        </w:rPr>
      </w:pPr>
      <w:bookmarkStart w:id="29" w:name="_Toc3679"/>
      <w:bookmarkStart w:id="30" w:name="_Toc31533"/>
      <w:r>
        <w:rPr>
          <w:rFonts w:hint="eastAsia" w:asciiTheme="minorEastAsia" w:hAnsiTheme="minorEastAsia" w:eastAsiaTheme="minorEastAsia"/>
          <w:b/>
          <w:color w:val="auto"/>
          <w:sz w:val="24"/>
          <w:highlight w:val="none"/>
        </w:rPr>
        <w:t>一、总则</w:t>
      </w:r>
      <w:bookmarkEnd w:id="29"/>
      <w:bookmarkEnd w:id="30"/>
    </w:p>
    <w:p w14:paraId="55427744">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本项目将按照磋商文件第二章供应商须知的相关要求</w:t>
      </w:r>
      <w:r>
        <w:rPr>
          <w:rFonts w:asciiTheme="minorEastAsia" w:hAnsiTheme="minorEastAsia" w:eastAsiaTheme="minorEastAsia"/>
          <w:color w:val="auto"/>
          <w:sz w:val="24"/>
          <w:highlight w:val="none"/>
        </w:rPr>
        <w:t>及本章的规定</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w:t>
      </w:r>
    </w:p>
    <w:p w14:paraId="18736BF2">
      <w:pPr>
        <w:spacing w:line="360" w:lineRule="auto"/>
        <w:ind w:firstLine="437"/>
        <w:outlineLvl w:val="1"/>
        <w:rPr>
          <w:rFonts w:asciiTheme="minorEastAsia" w:hAnsiTheme="minorEastAsia" w:eastAsiaTheme="minorEastAsia"/>
          <w:b/>
          <w:color w:val="auto"/>
          <w:sz w:val="24"/>
          <w:highlight w:val="none"/>
        </w:rPr>
      </w:pPr>
      <w:bookmarkStart w:id="31" w:name="_Toc16232"/>
      <w:bookmarkStart w:id="32" w:name="_Toc13405"/>
      <w:r>
        <w:rPr>
          <w:rFonts w:hint="eastAsia" w:asciiTheme="minorEastAsia" w:hAnsiTheme="minorEastAsia" w:eastAsiaTheme="minorEastAsia"/>
          <w:b/>
          <w:color w:val="auto"/>
          <w:sz w:val="24"/>
          <w:highlight w:val="none"/>
        </w:rPr>
        <w:t>二、评审方法</w:t>
      </w:r>
      <w:bookmarkEnd w:id="31"/>
      <w:bookmarkEnd w:id="32"/>
    </w:p>
    <w:p w14:paraId="6D85C35D">
      <w:pPr>
        <w:spacing w:line="360" w:lineRule="auto"/>
        <w:ind w:firstLine="435"/>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2.1初审</w:t>
      </w:r>
    </w:p>
    <w:p w14:paraId="01006C3B">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磋商小组对供应商的响应文件进行初审，以确定其是否满足磋商文件的实质性要求。初审表如下：</w:t>
      </w:r>
    </w:p>
    <w:tbl>
      <w:tblPr>
        <w:tblStyle w:val="5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1357"/>
        <w:gridCol w:w="3867"/>
        <w:gridCol w:w="2599"/>
      </w:tblGrid>
      <w:tr w14:paraId="56DD1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14:paraId="093729DD">
            <w:pPr>
              <w:adjustRightInd w:val="0"/>
              <w:snapToGrid w:val="0"/>
              <w:ind w:right="-10"/>
              <w:jc w:val="center"/>
              <w:rPr>
                <w:rFonts w:hint="eastAsia" w:ascii="Calibri" w:hAnsi="Calibri" w:cs="Times New Roman"/>
                <w:b/>
                <w:color w:val="auto"/>
                <w:kern w:val="2"/>
                <w:sz w:val="24"/>
                <w:szCs w:val="22"/>
                <w:highlight w:val="none"/>
              </w:rPr>
            </w:pPr>
            <w:r>
              <w:rPr>
                <w:rFonts w:hint="eastAsia" w:ascii="Calibri" w:hAnsi="Calibri" w:cs="Times New Roman"/>
                <w:b/>
                <w:color w:val="auto"/>
                <w:kern w:val="2"/>
                <w:sz w:val="24"/>
                <w:szCs w:val="22"/>
                <w:highlight w:val="none"/>
              </w:rPr>
              <w:t>初审表</w:t>
            </w:r>
          </w:p>
        </w:tc>
      </w:tr>
      <w:tr w14:paraId="46D7C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10" w:type="pct"/>
            <w:tcBorders>
              <w:bottom w:val="single" w:color="auto" w:sz="4" w:space="0"/>
            </w:tcBorders>
            <w:vAlign w:val="center"/>
          </w:tcPr>
          <w:p w14:paraId="5A5D2716">
            <w:pPr>
              <w:adjustRightInd w:val="0"/>
              <w:snapToGrid w:val="0"/>
              <w:spacing w:line="360" w:lineRule="auto"/>
              <w:ind w:right="-10" w:rightChars="0"/>
              <w:jc w:val="center"/>
              <w:rPr>
                <w:rFonts w:ascii="Calibri" w:hAnsi="Calibri" w:cs="Times New Roman"/>
                <w:b/>
                <w:bCs/>
                <w:color w:val="auto"/>
                <w:kern w:val="2"/>
                <w:sz w:val="24"/>
                <w:szCs w:val="22"/>
                <w:highlight w:val="none"/>
              </w:rPr>
            </w:pPr>
            <w:r>
              <w:rPr>
                <w:rFonts w:hint="eastAsia" w:ascii="宋体" w:hAnsi="宋体" w:eastAsia="宋体"/>
                <w:b/>
                <w:bCs/>
                <w:color w:val="auto"/>
                <w:sz w:val="24"/>
                <w:highlight w:val="none"/>
              </w:rPr>
              <w:t>序号</w:t>
            </w:r>
          </w:p>
        </w:tc>
        <w:tc>
          <w:tcPr>
            <w:tcW w:w="796" w:type="pct"/>
            <w:tcBorders>
              <w:bottom w:val="single" w:color="auto" w:sz="4" w:space="0"/>
            </w:tcBorders>
            <w:vAlign w:val="center"/>
          </w:tcPr>
          <w:p w14:paraId="29066BA6">
            <w:pPr>
              <w:pStyle w:val="77"/>
              <w:pBdr>
                <w:bottom w:val="none" w:color="auto" w:sz="0" w:space="0"/>
              </w:pBdr>
              <w:tabs>
                <w:tab w:val="clear" w:pos="4153"/>
                <w:tab w:val="clear" w:pos="8306"/>
              </w:tabs>
              <w:snapToGrid w:val="0"/>
              <w:spacing w:line="360" w:lineRule="auto"/>
              <w:ind w:right="-10" w:rightChars="0"/>
              <w:textAlignment w:val="auto"/>
              <w:rPr>
                <w:rFonts w:ascii="Calibri" w:hAnsi="Calibri" w:cs="Times New Roman"/>
                <w:b/>
                <w:bCs/>
                <w:color w:val="auto"/>
                <w:kern w:val="2"/>
                <w:sz w:val="24"/>
                <w:szCs w:val="24"/>
                <w:highlight w:val="none"/>
              </w:rPr>
            </w:pPr>
            <w:r>
              <w:rPr>
                <w:rFonts w:hint="eastAsia" w:ascii="宋体" w:hAnsi="宋体" w:eastAsia="宋体"/>
                <w:b/>
                <w:bCs/>
                <w:color w:val="auto"/>
                <w:kern w:val="2"/>
                <w:szCs w:val="24"/>
                <w:highlight w:val="none"/>
                <w:lang w:val="en-US" w:eastAsia="zh-CN"/>
              </w:rPr>
              <w:t>审查因素</w:t>
            </w:r>
          </w:p>
        </w:tc>
        <w:tc>
          <w:tcPr>
            <w:tcW w:w="2268" w:type="pct"/>
            <w:tcBorders>
              <w:bottom w:val="single" w:color="auto" w:sz="4" w:space="0"/>
            </w:tcBorders>
            <w:vAlign w:val="center"/>
          </w:tcPr>
          <w:p w14:paraId="0C8807FF">
            <w:pPr>
              <w:adjustRightInd w:val="0"/>
              <w:snapToGrid w:val="0"/>
              <w:spacing w:line="360" w:lineRule="auto"/>
              <w:ind w:right="-10" w:rightChars="0"/>
              <w:jc w:val="center"/>
              <w:rPr>
                <w:rFonts w:ascii="Calibri" w:hAnsi="Calibri" w:cs="Times New Roman"/>
                <w:b/>
                <w:bCs/>
                <w:color w:val="auto"/>
                <w:kern w:val="2"/>
                <w:sz w:val="24"/>
                <w:szCs w:val="22"/>
                <w:highlight w:val="none"/>
              </w:rPr>
            </w:pPr>
            <w:r>
              <w:rPr>
                <w:rFonts w:hint="eastAsia" w:ascii="宋体" w:hAnsi="宋体" w:eastAsia="宋体"/>
                <w:b/>
                <w:bCs/>
                <w:color w:val="auto"/>
                <w:sz w:val="24"/>
                <w:highlight w:val="none"/>
                <w:lang w:val="en-US" w:eastAsia="zh-CN"/>
              </w:rPr>
              <w:t>审查内容</w:t>
            </w:r>
          </w:p>
        </w:tc>
        <w:tc>
          <w:tcPr>
            <w:tcW w:w="1524" w:type="pct"/>
            <w:tcBorders>
              <w:bottom w:val="single" w:color="auto" w:sz="4" w:space="0"/>
            </w:tcBorders>
            <w:vAlign w:val="center"/>
          </w:tcPr>
          <w:p w14:paraId="6DC65911">
            <w:pPr>
              <w:adjustRightInd w:val="0"/>
              <w:snapToGrid w:val="0"/>
              <w:spacing w:line="360" w:lineRule="auto"/>
              <w:ind w:right="-10" w:rightChars="0"/>
              <w:jc w:val="center"/>
              <w:rPr>
                <w:rFonts w:hint="eastAsia" w:ascii="Calibri" w:hAnsi="Calibri" w:cs="Times New Roman"/>
                <w:b/>
                <w:bCs/>
                <w:color w:val="auto"/>
                <w:kern w:val="2"/>
                <w:sz w:val="24"/>
                <w:szCs w:val="22"/>
                <w:highlight w:val="none"/>
              </w:rPr>
            </w:pPr>
            <w:r>
              <w:rPr>
                <w:rFonts w:hint="eastAsia" w:ascii="宋体" w:hAnsi="宋体" w:eastAsia="宋体"/>
                <w:b/>
                <w:bCs/>
                <w:color w:val="auto"/>
                <w:sz w:val="24"/>
                <w:highlight w:val="none"/>
              </w:rPr>
              <w:t>格式要求</w:t>
            </w:r>
          </w:p>
        </w:tc>
      </w:tr>
      <w:tr w14:paraId="1A3A1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410" w:type="pct"/>
            <w:tcBorders>
              <w:bottom w:val="single" w:color="auto" w:sz="4" w:space="0"/>
            </w:tcBorders>
            <w:vAlign w:val="center"/>
          </w:tcPr>
          <w:p w14:paraId="190C42D7">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rPr>
              <w:t>1</w:t>
            </w:r>
          </w:p>
        </w:tc>
        <w:tc>
          <w:tcPr>
            <w:tcW w:w="796" w:type="pct"/>
            <w:tcBorders>
              <w:bottom w:val="single" w:color="auto" w:sz="4" w:space="0"/>
            </w:tcBorders>
            <w:vAlign w:val="center"/>
          </w:tcPr>
          <w:p w14:paraId="77535CBB">
            <w:pPr>
              <w:spacing w:after="50" w:line="360" w:lineRule="auto"/>
              <w:ind w:right="-10" w:rightChars="0"/>
              <w:jc w:val="center"/>
              <w:rPr>
                <w:rFonts w:ascii="Calibri" w:hAnsi="Calibri" w:cs="Times New Roman"/>
                <w:color w:val="auto"/>
                <w:kern w:val="2"/>
                <w:sz w:val="24"/>
                <w:szCs w:val="24"/>
                <w:highlight w:val="none"/>
              </w:rPr>
            </w:pPr>
            <w:r>
              <w:rPr>
                <w:rFonts w:ascii="宋体" w:hAnsi="宋体" w:eastAsia="宋体" w:cs="宋体"/>
                <w:spacing w:val="9"/>
                <w:sz w:val="24"/>
                <w:szCs w:val="24"/>
                <w:highlight w:val="none"/>
              </w:rPr>
              <w:t>营业执照等证明</w:t>
            </w:r>
            <w:r>
              <w:rPr>
                <w:rFonts w:ascii="宋体" w:hAnsi="宋体" w:eastAsia="宋体" w:cs="宋体"/>
                <w:spacing w:val="-3"/>
                <w:sz w:val="24"/>
                <w:szCs w:val="24"/>
                <w:highlight w:val="none"/>
              </w:rPr>
              <w:t>文件</w:t>
            </w:r>
          </w:p>
        </w:tc>
        <w:tc>
          <w:tcPr>
            <w:tcW w:w="2268" w:type="pct"/>
            <w:tcBorders>
              <w:bottom w:val="single" w:color="auto" w:sz="4" w:space="0"/>
            </w:tcBorders>
            <w:vAlign w:val="center"/>
          </w:tcPr>
          <w:p w14:paraId="2B4144DE">
            <w:pPr>
              <w:spacing w:after="50" w:line="360" w:lineRule="auto"/>
              <w:ind w:right="-10" w:rightChars="0"/>
              <w:jc w:val="left"/>
              <w:rPr>
                <w:rFonts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rPr>
              <w:t>为企业（包括合伙企业）的，应</w:t>
            </w:r>
            <w:r>
              <w:rPr>
                <w:rFonts w:hint="eastAsia" w:ascii="宋体" w:hAnsi="宋体" w:eastAsia="宋体" w:cs="宋体"/>
                <w:sz w:val="24"/>
                <w:szCs w:val="24"/>
                <w:highlight w:val="none"/>
                <w:lang w:val="en-US" w:eastAsia="zh-CN"/>
              </w:rPr>
              <w:t>提</w:t>
            </w:r>
            <w:r>
              <w:rPr>
                <w:rFonts w:ascii="宋体" w:hAnsi="宋体" w:eastAsia="宋体" w:cs="宋体"/>
                <w:sz w:val="24"/>
                <w:szCs w:val="24"/>
                <w:highlight w:val="none"/>
              </w:rPr>
              <w:t>供有效的营业执照；</w:t>
            </w:r>
          </w:p>
          <w:p w14:paraId="42E28D80">
            <w:pPr>
              <w:spacing w:after="50" w:line="360" w:lineRule="auto"/>
              <w:ind w:right="-10" w:rightChars="0"/>
              <w:jc w:val="left"/>
              <w:rPr>
                <w:rFonts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rPr>
              <w:t>为事业单位的，应</w:t>
            </w:r>
            <w:r>
              <w:rPr>
                <w:rFonts w:hint="eastAsia" w:ascii="宋体" w:hAnsi="宋体" w:eastAsia="宋体" w:cs="宋体"/>
                <w:sz w:val="24"/>
                <w:szCs w:val="24"/>
                <w:highlight w:val="none"/>
                <w:lang w:val="en-US" w:eastAsia="zh-CN"/>
              </w:rPr>
              <w:t>提</w:t>
            </w:r>
            <w:r>
              <w:rPr>
                <w:rFonts w:ascii="宋体" w:hAnsi="宋体" w:eastAsia="宋体" w:cs="宋体"/>
                <w:sz w:val="24"/>
                <w:szCs w:val="24"/>
                <w:highlight w:val="none"/>
              </w:rPr>
              <w:t>供有效的事业单位法人证书；</w:t>
            </w:r>
          </w:p>
          <w:p w14:paraId="6474E787">
            <w:pPr>
              <w:spacing w:after="50" w:line="360" w:lineRule="auto"/>
              <w:ind w:right="-10" w:rightChars="0"/>
              <w:jc w:val="left"/>
              <w:rPr>
                <w:rFonts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rPr>
              <w:t>是非企业机构的，应</w:t>
            </w:r>
            <w:r>
              <w:rPr>
                <w:rFonts w:hint="eastAsia" w:ascii="宋体" w:hAnsi="宋体" w:eastAsia="宋体" w:cs="宋体"/>
                <w:sz w:val="24"/>
                <w:szCs w:val="24"/>
                <w:highlight w:val="none"/>
                <w:lang w:val="en-US" w:eastAsia="zh-CN"/>
              </w:rPr>
              <w:t>提</w:t>
            </w:r>
            <w:r>
              <w:rPr>
                <w:rFonts w:ascii="宋体" w:hAnsi="宋体" w:eastAsia="宋体" w:cs="宋体"/>
                <w:sz w:val="24"/>
                <w:szCs w:val="24"/>
                <w:highlight w:val="none"/>
              </w:rPr>
              <w:t>供有效的执业许可证</w:t>
            </w:r>
            <w:r>
              <w:rPr>
                <w:rFonts w:hint="eastAsia" w:ascii="宋体" w:hAnsi="宋体" w:eastAsia="宋体" w:cs="宋体"/>
                <w:sz w:val="24"/>
                <w:szCs w:val="24"/>
                <w:highlight w:val="none"/>
                <w:lang w:val="en-US" w:eastAsia="zh-CN"/>
              </w:rPr>
              <w:t>或</w:t>
            </w:r>
            <w:r>
              <w:rPr>
                <w:rFonts w:ascii="宋体" w:hAnsi="宋体" w:eastAsia="宋体" w:cs="宋体"/>
                <w:sz w:val="24"/>
                <w:szCs w:val="24"/>
                <w:highlight w:val="none"/>
              </w:rPr>
              <w:t>登记证书等证明文件；</w:t>
            </w:r>
          </w:p>
          <w:p w14:paraId="43E3C9BA">
            <w:pPr>
              <w:spacing w:after="50" w:line="360" w:lineRule="auto"/>
              <w:ind w:right="-10" w:rightChars="0"/>
              <w:jc w:val="left"/>
              <w:rPr>
                <w:rFonts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rPr>
              <w:t>是个体工商户的，应</w:t>
            </w:r>
            <w:r>
              <w:rPr>
                <w:rFonts w:hint="eastAsia" w:ascii="宋体" w:hAnsi="宋体" w:eastAsia="宋体" w:cs="宋体"/>
                <w:sz w:val="24"/>
                <w:szCs w:val="24"/>
                <w:highlight w:val="none"/>
                <w:lang w:val="en-US" w:eastAsia="zh-CN"/>
              </w:rPr>
              <w:t>提</w:t>
            </w:r>
            <w:r>
              <w:rPr>
                <w:rFonts w:ascii="宋体" w:hAnsi="宋体" w:eastAsia="宋体" w:cs="宋体"/>
                <w:sz w:val="24"/>
                <w:szCs w:val="24"/>
                <w:highlight w:val="none"/>
              </w:rPr>
              <w:t>供有效的个体工商户营业执照；</w:t>
            </w:r>
          </w:p>
          <w:p w14:paraId="5BDC6DC5">
            <w:pPr>
              <w:spacing w:after="50" w:line="360" w:lineRule="auto"/>
              <w:ind w:right="-10" w:rightChars="0"/>
              <w:jc w:val="left"/>
              <w:rPr>
                <w:rFonts w:ascii="Calibri" w:hAnsi="Calibri" w:cs="Times New Roman"/>
                <w:color w:val="auto"/>
                <w:kern w:val="2"/>
                <w:sz w:val="24"/>
                <w:szCs w:val="22"/>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rPr>
              <w:t>是自然人的，应</w:t>
            </w:r>
            <w:r>
              <w:rPr>
                <w:rFonts w:hint="eastAsia" w:ascii="宋体" w:hAnsi="宋体" w:eastAsia="宋体" w:cs="宋体"/>
                <w:sz w:val="24"/>
                <w:szCs w:val="24"/>
                <w:highlight w:val="none"/>
                <w:lang w:val="en-US" w:eastAsia="zh-CN"/>
              </w:rPr>
              <w:t>提</w:t>
            </w:r>
            <w:r>
              <w:rPr>
                <w:rFonts w:ascii="宋体" w:hAnsi="宋体" w:eastAsia="宋体" w:cs="宋体"/>
                <w:sz w:val="24"/>
                <w:szCs w:val="24"/>
                <w:highlight w:val="none"/>
              </w:rPr>
              <w:t>供有效的自然人身份证明。</w:t>
            </w:r>
          </w:p>
        </w:tc>
        <w:tc>
          <w:tcPr>
            <w:tcW w:w="1524" w:type="pct"/>
            <w:tcBorders>
              <w:bottom w:val="single" w:color="auto" w:sz="4" w:space="0"/>
            </w:tcBorders>
            <w:vAlign w:val="center"/>
          </w:tcPr>
          <w:p w14:paraId="72169DB6">
            <w:pPr>
              <w:spacing w:line="360" w:lineRule="auto"/>
              <w:jc w:val="center"/>
              <w:rPr>
                <w:rFonts w:hint="eastAsia" w:cs="Times New Roman"/>
                <w:color w:val="auto"/>
                <w:kern w:val="2"/>
                <w:sz w:val="24"/>
                <w:szCs w:val="22"/>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p>
        </w:tc>
      </w:tr>
      <w:tr w14:paraId="7BFB3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23713D55">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lang w:val="en-US" w:eastAsia="zh-CN"/>
              </w:rPr>
              <w:t>2</w:t>
            </w:r>
          </w:p>
        </w:tc>
        <w:tc>
          <w:tcPr>
            <w:tcW w:w="796" w:type="pct"/>
            <w:vAlign w:val="center"/>
          </w:tcPr>
          <w:p w14:paraId="0C6F2D69">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olor w:val="auto"/>
                <w:sz w:val="24"/>
                <w:szCs w:val="18"/>
                <w:highlight w:val="none"/>
                <w:lang w:val="en-US" w:eastAsia="zh-CN"/>
              </w:rPr>
              <w:t>供应商资格声明书</w:t>
            </w:r>
          </w:p>
        </w:tc>
        <w:tc>
          <w:tcPr>
            <w:tcW w:w="2268" w:type="pct"/>
            <w:vAlign w:val="center"/>
          </w:tcPr>
          <w:p w14:paraId="469DA493">
            <w:pPr>
              <w:spacing w:after="50" w:line="360" w:lineRule="auto"/>
              <w:ind w:right="-10" w:rightChars="0"/>
              <w:jc w:val="left"/>
              <w:rPr>
                <w:rFonts w:ascii="Calibri" w:hAnsi="Calibri" w:cs="Times New Roman"/>
                <w:color w:val="auto"/>
                <w:kern w:val="2"/>
                <w:sz w:val="24"/>
                <w:szCs w:val="22"/>
                <w:highlight w:val="none"/>
              </w:rPr>
            </w:pPr>
            <w:r>
              <w:rPr>
                <w:rFonts w:hint="eastAsia" w:ascii="宋体" w:hAnsi="宋体" w:eastAsia="宋体" w:cs="宋体"/>
                <w:sz w:val="24"/>
                <w:szCs w:val="24"/>
                <w:highlight w:val="none"/>
                <w:lang w:val="en-US" w:eastAsia="zh-CN"/>
              </w:rPr>
              <w:t>提</w:t>
            </w:r>
            <w:r>
              <w:rPr>
                <w:rFonts w:ascii="宋体" w:hAnsi="宋体" w:eastAsia="宋体" w:cs="宋体"/>
                <w:sz w:val="24"/>
                <w:szCs w:val="24"/>
                <w:highlight w:val="none"/>
              </w:rPr>
              <w:t>供符合</w:t>
            </w:r>
            <w:r>
              <w:rPr>
                <w:rFonts w:hint="eastAsia" w:cs="宋体"/>
                <w:sz w:val="24"/>
                <w:szCs w:val="24"/>
                <w:highlight w:val="none"/>
                <w:lang w:val="en-US" w:eastAsia="zh-CN"/>
              </w:rPr>
              <w:t>磋商</w:t>
            </w:r>
            <w:r>
              <w:rPr>
                <w:rFonts w:ascii="宋体" w:hAnsi="宋体" w:eastAsia="宋体" w:cs="宋体"/>
                <w:sz w:val="24"/>
                <w:szCs w:val="24"/>
                <w:highlight w:val="none"/>
              </w:rPr>
              <w:t>文件要求的《</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rPr>
              <w:t>资格声明书》</w:t>
            </w:r>
            <w:r>
              <w:rPr>
                <w:rFonts w:hint="eastAsia" w:ascii="宋体" w:hAnsi="宋体" w:eastAsia="宋体" w:cs="宋体"/>
                <w:sz w:val="24"/>
                <w:szCs w:val="24"/>
                <w:highlight w:val="none"/>
                <w:lang w:eastAsia="zh-CN"/>
              </w:rPr>
              <w:t>。</w:t>
            </w:r>
          </w:p>
        </w:tc>
        <w:tc>
          <w:tcPr>
            <w:tcW w:w="1524" w:type="pct"/>
            <w:vAlign w:val="center"/>
          </w:tcPr>
          <w:p w14:paraId="4B2B2C47">
            <w:pPr>
              <w:spacing w:line="360" w:lineRule="auto"/>
              <w:jc w:val="center"/>
              <w:rPr>
                <w:rFonts w:hint="eastAsia" w:cs="Times New Roman"/>
                <w:color w:val="auto"/>
                <w:kern w:val="2"/>
                <w:sz w:val="24"/>
                <w:szCs w:val="22"/>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14:paraId="17CCB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6BAD0112">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lang w:val="en-US" w:eastAsia="zh-CN"/>
              </w:rPr>
              <w:t>3</w:t>
            </w:r>
          </w:p>
        </w:tc>
        <w:tc>
          <w:tcPr>
            <w:tcW w:w="796" w:type="pct"/>
            <w:vAlign w:val="center"/>
          </w:tcPr>
          <w:p w14:paraId="49F2A0A9">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olor w:val="auto"/>
                <w:sz w:val="24"/>
                <w:szCs w:val="18"/>
                <w:highlight w:val="none"/>
                <w:lang w:val="en-US" w:eastAsia="zh-CN"/>
              </w:rPr>
              <w:t>供应商</w:t>
            </w:r>
            <w:r>
              <w:rPr>
                <w:rFonts w:hint="eastAsia" w:ascii="宋体" w:hAnsi="宋体" w:eastAsia="宋体" w:cs="宋体"/>
                <w:color w:val="auto"/>
                <w:sz w:val="24"/>
                <w:szCs w:val="24"/>
                <w:highlight w:val="none"/>
              </w:rPr>
              <w:t>信用记录</w:t>
            </w:r>
          </w:p>
        </w:tc>
        <w:tc>
          <w:tcPr>
            <w:tcW w:w="2268" w:type="pct"/>
            <w:vAlign w:val="center"/>
          </w:tcPr>
          <w:p w14:paraId="004C8599">
            <w:pPr>
              <w:spacing w:after="50" w:line="360" w:lineRule="auto"/>
              <w:ind w:right="-10" w:rightChars="0"/>
              <w:jc w:val="left"/>
              <w:rPr>
                <w:rFonts w:ascii="Calibri" w:hAnsi="Calibri" w:cs="Times New Roman"/>
                <w:color w:val="auto"/>
                <w:kern w:val="2"/>
                <w:sz w:val="24"/>
                <w:szCs w:val="22"/>
                <w:highlight w:val="none"/>
              </w:rPr>
            </w:pPr>
            <w:r>
              <w:rPr>
                <w:rFonts w:hint="eastAsia" w:cs="宋体"/>
                <w:sz w:val="24"/>
                <w:szCs w:val="24"/>
                <w:highlight w:val="none"/>
                <w:lang w:val="en-US" w:eastAsia="zh-CN"/>
              </w:rPr>
              <w:t>供应商</w:t>
            </w:r>
            <w:r>
              <w:rPr>
                <w:rFonts w:hint="eastAsia" w:ascii="宋体" w:hAnsi="宋体" w:eastAsia="宋体" w:cs="宋体"/>
                <w:sz w:val="24"/>
                <w:szCs w:val="24"/>
                <w:highlight w:val="none"/>
                <w:lang w:val="zh-CN" w:eastAsia="zh-CN"/>
              </w:rPr>
              <w:t>不得存在</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磋商邀请</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中信誉要求和</w:t>
            </w:r>
            <w:r>
              <w:rPr>
                <w:rFonts w:hint="eastAsia" w:cs="宋体"/>
                <w:sz w:val="24"/>
                <w:szCs w:val="24"/>
                <w:highlight w:val="none"/>
                <w:lang w:val="en-US" w:eastAsia="zh-CN"/>
              </w:rPr>
              <w:t>供应商</w:t>
            </w:r>
            <w:r>
              <w:rPr>
                <w:rFonts w:hint="eastAsia" w:ascii="宋体" w:hAnsi="宋体" w:eastAsia="宋体" w:cs="宋体"/>
                <w:sz w:val="24"/>
                <w:szCs w:val="24"/>
                <w:highlight w:val="none"/>
                <w:lang w:val="zh-CN" w:eastAsia="zh-CN"/>
              </w:rPr>
              <w:t>须知正文第1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val="zh-CN" w:eastAsia="zh-CN"/>
              </w:rPr>
              <w:t>.</w:t>
            </w:r>
            <w:r>
              <w:rPr>
                <w:rFonts w:hint="eastAsia" w:ascii="宋体" w:hAnsi="宋体" w:eastAsia="宋体" w:cs="宋体"/>
                <w:sz w:val="24"/>
                <w:szCs w:val="24"/>
                <w:highlight w:val="none"/>
                <w:lang w:val="en-US" w:eastAsia="zh-CN"/>
              </w:rPr>
              <w:t>3条中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524" w:type="pct"/>
            <w:vAlign w:val="center"/>
          </w:tcPr>
          <w:p w14:paraId="20AC20DE">
            <w:pPr>
              <w:spacing w:line="360" w:lineRule="auto"/>
              <w:jc w:val="center"/>
              <w:rPr>
                <w:rFonts w:hint="eastAsia" w:cs="Times New Roman"/>
                <w:color w:val="auto"/>
                <w:kern w:val="2"/>
                <w:sz w:val="24"/>
                <w:szCs w:val="22"/>
                <w:highlight w:val="none"/>
              </w:rPr>
            </w:pPr>
            <w:r>
              <w:rPr>
                <w:rFonts w:hint="eastAsia" w:ascii="宋体" w:hAnsi="宋体" w:eastAsia="宋体" w:cs="宋体"/>
                <w:sz w:val="24"/>
                <w:szCs w:val="24"/>
                <w:highlight w:val="none"/>
              </w:rPr>
              <w:t>无须</w:t>
            </w:r>
            <w:r>
              <w:rPr>
                <w:rFonts w:hint="eastAsia" w:ascii="宋体" w:hAnsi="宋体" w:eastAsia="宋体" w:cs="宋体"/>
                <w:sz w:val="24"/>
                <w:szCs w:val="24"/>
                <w:highlight w:val="none"/>
                <w:lang w:val="en-US" w:eastAsia="zh-CN"/>
              </w:rPr>
              <w:t>供应商提</w:t>
            </w:r>
            <w:r>
              <w:rPr>
                <w:rFonts w:hint="eastAsia" w:ascii="宋体" w:hAnsi="宋体" w:eastAsia="宋体" w:cs="宋体"/>
                <w:sz w:val="24"/>
                <w:szCs w:val="24"/>
                <w:highlight w:val="none"/>
              </w:rPr>
              <w:t>供，由采购人或采购代理机构查询。</w:t>
            </w:r>
          </w:p>
        </w:tc>
      </w:tr>
      <w:tr w14:paraId="524BD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2DFC071D">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color w:val="auto"/>
                <w:sz w:val="24"/>
                <w:highlight w:val="none"/>
                <w:lang w:val="en-US" w:eastAsia="zh-CN"/>
              </w:rPr>
              <w:t>4</w:t>
            </w:r>
          </w:p>
        </w:tc>
        <w:tc>
          <w:tcPr>
            <w:tcW w:w="1357" w:type="dxa"/>
            <w:vAlign w:val="center"/>
          </w:tcPr>
          <w:p w14:paraId="3AA298AA">
            <w:pPr>
              <w:spacing w:after="50" w:line="360" w:lineRule="auto"/>
              <w:ind w:right="-10" w:rightChars="0"/>
              <w:jc w:val="center"/>
              <w:rPr>
                <w:rFonts w:hint="eastAsia" w:ascii="宋体" w:hAnsi="宋体" w:eastAsia="宋体"/>
                <w:color w:val="auto"/>
                <w:sz w:val="24"/>
                <w:szCs w:val="18"/>
                <w:highlight w:val="none"/>
                <w:lang w:val="en-US" w:eastAsia="zh-CN"/>
              </w:rPr>
            </w:pPr>
            <w:r>
              <w:rPr>
                <w:rFonts w:hint="eastAsia" w:ascii="宋体" w:hAnsi="宋体" w:eastAsia="宋体" w:cs="宋体"/>
                <w:color w:val="000000"/>
                <w:sz w:val="24"/>
                <w:szCs w:val="24"/>
                <w:highlight w:val="none"/>
              </w:rPr>
              <w:t>中小企业证明文件</w:t>
            </w:r>
          </w:p>
        </w:tc>
        <w:tc>
          <w:tcPr>
            <w:tcW w:w="3867" w:type="dxa"/>
            <w:vAlign w:val="top"/>
          </w:tcPr>
          <w:p w14:paraId="17694E6E">
            <w:pPr>
              <w:spacing w:after="50" w:line="360" w:lineRule="auto"/>
              <w:ind w:right="-10"/>
              <w:jc w:val="left"/>
              <w:rPr>
                <w:rFonts w:hint="eastAsia" w:ascii="宋体" w:hAnsi="宋体" w:eastAsia="宋体" w:cs="宋体"/>
                <w:color w:val="000000"/>
                <w:sz w:val="24"/>
                <w:szCs w:val="24"/>
                <w:highlight w:val="none"/>
                <w:lang w:eastAsia="zh-CN"/>
              </w:rPr>
            </w:pPr>
            <w:r>
              <w:rPr>
                <w:rFonts w:hint="eastAsia" w:ascii="宋体" w:hAnsi="宋体" w:eastAsia="宋体"/>
                <w:color w:val="000000"/>
                <w:sz w:val="24"/>
                <w:szCs w:val="28"/>
                <w:highlight w:val="none"/>
              </w:rPr>
              <w:t>符合</w:t>
            </w:r>
            <w:r>
              <w:rPr>
                <w:rFonts w:hint="eastAsia" w:ascii="宋体" w:hAnsi="宋体" w:eastAsia="宋体"/>
                <w:color w:val="000000"/>
                <w:sz w:val="24"/>
                <w:szCs w:val="28"/>
                <w:highlight w:val="none"/>
                <w:lang w:val="en-US" w:eastAsia="zh-CN"/>
              </w:rPr>
              <w:t>申请人的</w:t>
            </w:r>
            <w:r>
              <w:rPr>
                <w:rFonts w:hint="eastAsia" w:ascii="宋体" w:hAnsi="宋体" w:eastAsia="宋体"/>
                <w:color w:val="000000"/>
                <w:sz w:val="24"/>
                <w:szCs w:val="28"/>
                <w:highlight w:val="none"/>
              </w:rPr>
              <w:t>资格</w:t>
            </w:r>
            <w:r>
              <w:rPr>
                <w:rFonts w:hint="eastAsia" w:ascii="宋体" w:hAnsi="宋体" w:eastAsia="宋体"/>
                <w:color w:val="000000"/>
                <w:sz w:val="24"/>
                <w:szCs w:val="28"/>
                <w:highlight w:val="none"/>
                <w:lang w:val="en-US" w:eastAsia="zh-CN"/>
              </w:rPr>
              <w:t>要求</w:t>
            </w:r>
            <w:r>
              <w:rPr>
                <w:rFonts w:hint="eastAsia" w:ascii="宋体" w:hAnsi="宋体" w:eastAsia="宋体"/>
                <w:color w:val="000000"/>
                <w:sz w:val="24"/>
                <w:szCs w:val="28"/>
                <w:highlight w:val="none"/>
              </w:rPr>
              <w:t>中落实政府采购政策需满足的资格要求</w:t>
            </w:r>
            <w:r>
              <w:rPr>
                <w:rFonts w:hint="eastAsia" w:ascii="宋体" w:hAnsi="宋体" w:eastAsia="宋体"/>
                <w:color w:val="000000"/>
                <w:sz w:val="24"/>
                <w:szCs w:val="28"/>
                <w:highlight w:val="none"/>
                <w:lang w:eastAsia="zh-CN"/>
              </w:rPr>
              <w:t>：</w:t>
            </w:r>
          </w:p>
          <w:p w14:paraId="4510D6C4">
            <w:pPr>
              <w:spacing w:after="50" w:line="360" w:lineRule="auto"/>
              <w:ind w:right="-1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专门面向中小企业采购</w:t>
            </w:r>
            <w:r>
              <w:rPr>
                <w:rFonts w:hint="eastAsia" w:ascii="宋体" w:hAnsi="宋体" w:eastAsia="宋体" w:cs="宋体"/>
                <w:color w:val="000000"/>
                <w:sz w:val="24"/>
                <w:szCs w:val="24"/>
                <w:highlight w:val="none"/>
                <w:lang w:val="en-US" w:eastAsia="zh-CN"/>
              </w:rPr>
              <w:t>的</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供应商</w:t>
            </w:r>
            <w:r>
              <w:rPr>
                <w:rFonts w:hint="eastAsia" w:ascii="宋体" w:hAnsi="宋体" w:eastAsia="宋体" w:cs="宋体"/>
                <w:color w:val="000000"/>
                <w:sz w:val="24"/>
                <w:szCs w:val="24"/>
                <w:highlight w:val="none"/>
              </w:rPr>
              <w:t>应</w:t>
            </w:r>
            <w:r>
              <w:rPr>
                <w:rFonts w:hint="eastAsia" w:ascii="宋体" w:hAnsi="宋体" w:eastAsia="宋体" w:cs="宋体"/>
                <w:color w:val="000000"/>
                <w:sz w:val="24"/>
                <w:szCs w:val="24"/>
                <w:highlight w:val="none"/>
                <w:lang w:val="en-US" w:eastAsia="zh-CN"/>
              </w:rPr>
              <w:t>提</w:t>
            </w:r>
            <w:r>
              <w:rPr>
                <w:rFonts w:hint="eastAsia" w:ascii="宋体" w:hAnsi="宋体" w:eastAsia="宋体" w:cs="宋体"/>
                <w:color w:val="000000"/>
                <w:sz w:val="24"/>
                <w:szCs w:val="24"/>
                <w:highlight w:val="none"/>
              </w:rPr>
              <w:t>供《中小企业声明函》或《残疾人福利性单位声明函》或由省级以上监狱管理局、戒毒管理局（含新疆 生产建设兵团）出具的属于监狱企业的证明文件。</w:t>
            </w:r>
          </w:p>
          <w:p w14:paraId="2B46ADE8">
            <w:pPr>
              <w:spacing w:after="50" w:line="360" w:lineRule="auto"/>
              <w:ind w:right="-10" w:rightChars="0"/>
              <w:jc w:val="left"/>
              <w:rPr>
                <w:rFonts w:hint="eastAsia" w:cs="宋体"/>
                <w:sz w:val="24"/>
                <w:szCs w:val="24"/>
                <w:highlight w:val="none"/>
                <w:lang w:val="en-US"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如</w:t>
            </w:r>
            <w:r>
              <w:rPr>
                <w:rFonts w:hint="eastAsia" w:ascii="宋体" w:hAnsi="宋体" w:eastAsia="宋体" w:cs="宋体"/>
                <w:color w:val="000000"/>
                <w:sz w:val="24"/>
                <w:szCs w:val="24"/>
                <w:highlight w:val="none"/>
                <w:lang w:val="en-US" w:eastAsia="zh-CN"/>
              </w:rPr>
              <w:t>磋商</w:t>
            </w:r>
            <w:r>
              <w:rPr>
                <w:rFonts w:hint="eastAsia" w:ascii="宋体" w:hAnsi="宋体" w:eastAsia="宋体" w:cs="宋体"/>
                <w:color w:val="000000"/>
                <w:sz w:val="24"/>
                <w:szCs w:val="24"/>
                <w:highlight w:val="none"/>
              </w:rPr>
              <w:t>文件要求以联合体形式参加或者要求合同分包的，且</w:t>
            </w:r>
            <w:r>
              <w:rPr>
                <w:rFonts w:hint="eastAsia" w:ascii="宋体" w:hAnsi="宋体" w:eastAsia="宋体" w:cs="宋体"/>
                <w:color w:val="000000"/>
                <w:sz w:val="24"/>
                <w:szCs w:val="24"/>
                <w:highlight w:val="none"/>
                <w:lang w:val="en-US" w:eastAsia="zh-CN"/>
              </w:rPr>
              <w:t>供应商</w:t>
            </w:r>
            <w:r>
              <w:rPr>
                <w:rFonts w:hint="eastAsia" w:ascii="宋体" w:hAnsi="宋体" w:eastAsia="宋体" w:cs="宋体"/>
                <w:color w:val="000000"/>
                <w:sz w:val="24"/>
                <w:szCs w:val="24"/>
                <w:highlight w:val="none"/>
              </w:rPr>
              <w:t>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w:t>
            </w:r>
            <w:r>
              <w:rPr>
                <w:rFonts w:hint="eastAsia" w:ascii="宋体" w:hAnsi="宋体" w:eastAsia="宋体" w:cs="宋体"/>
                <w:color w:val="000000"/>
                <w:sz w:val="24"/>
                <w:szCs w:val="24"/>
                <w:highlight w:val="none"/>
                <w:lang w:val="en-US" w:eastAsia="zh-CN"/>
              </w:rPr>
              <w:t>磋商</w:t>
            </w:r>
            <w:r>
              <w:rPr>
                <w:rFonts w:hint="eastAsia" w:ascii="宋体" w:hAnsi="宋体" w:eastAsia="宋体" w:cs="宋体"/>
                <w:color w:val="000000"/>
                <w:sz w:val="24"/>
                <w:szCs w:val="24"/>
                <w:highlight w:val="none"/>
              </w:rPr>
              <w:t>文件关于预留份额的要求。</w:t>
            </w:r>
          </w:p>
        </w:tc>
        <w:tc>
          <w:tcPr>
            <w:tcW w:w="2599" w:type="dxa"/>
            <w:vAlign w:val="center"/>
          </w:tcPr>
          <w:p w14:paraId="71E406BA">
            <w:pPr>
              <w:spacing w:after="50" w:line="360" w:lineRule="auto"/>
              <w:ind w:right="-10" w:rightChars="0"/>
              <w:jc w:val="center"/>
              <w:rPr>
                <w:rFonts w:hint="eastAsia" w:ascii="宋体" w:hAnsi="宋体" w:eastAsia="宋体" w:cs="宋体"/>
                <w:sz w:val="24"/>
                <w:szCs w:val="24"/>
                <w:highlight w:val="none"/>
              </w:rPr>
            </w:pPr>
            <w:r>
              <w:rPr>
                <w:rFonts w:hint="eastAsia" w:ascii="宋体" w:hAnsi="宋体" w:eastAsia="宋体"/>
                <w:color w:val="000000"/>
                <w:sz w:val="24"/>
                <w:highlight w:val="none"/>
              </w:rPr>
              <w:t>详见第六章</w:t>
            </w:r>
            <w:r>
              <w:rPr>
                <w:rFonts w:hint="eastAsia" w:ascii="宋体" w:hAnsi="宋体" w:eastAsia="宋体"/>
                <w:color w:val="000000"/>
                <w:sz w:val="24"/>
                <w:highlight w:val="none"/>
                <w:lang w:val="en-US" w:eastAsia="zh-CN"/>
              </w:rPr>
              <w:t>响应</w:t>
            </w:r>
            <w:r>
              <w:rPr>
                <w:rFonts w:hint="eastAsia" w:ascii="宋体" w:hAnsi="宋体" w:eastAsia="宋体"/>
                <w:color w:val="000000"/>
                <w:sz w:val="24"/>
                <w:highlight w:val="none"/>
              </w:rPr>
              <w:t>文件格式</w:t>
            </w:r>
            <w:r>
              <w:rPr>
                <w:rFonts w:hint="eastAsia" w:ascii="宋体" w:hAnsi="宋体" w:eastAsia="宋体"/>
                <w:color w:val="000000"/>
                <w:sz w:val="24"/>
                <w:highlight w:val="none"/>
                <w:lang w:eastAsia="zh-CN"/>
              </w:rPr>
              <w:t>。</w:t>
            </w:r>
          </w:p>
        </w:tc>
      </w:tr>
      <w:tr w14:paraId="522F0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410" w:type="pct"/>
            <w:vAlign w:val="center"/>
          </w:tcPr>
          <w:p w14:paraId="766ABE5E">
            <w:pPr>
              <w:adjustRightInd w:val="0"/>
              <w:snapToGrid w:val="0"/>
              <w:spacing w:line="360" w:lineRule="auto"/>
              <w:ind w:right="-10" w:rightChars="0"/>
              <w:jc w:val="center"/>
              <w:rPr>
                <w:rFonts w:cs="Times New Roman"/>
                <w:color w:val="auto"/>
                <w:kern w:val="2"/>
                <w:sz w:val="24"/>
                <w:szCs w:val="22"/>
                <w:highlight w:val="none"/>
              </w:rPr>
            </w:pPr>
            <w:r>
              <w:rPr>
                <w:rFonts w:hint="eastAsia"/>
                <w:color w:val="auto"/>
                <w:sz w:val="24"/>
                <w:highlight w:val="none"/>
                <w:lang w:val="en-US" w:eastAsia="zh-CN"/>
              </w:rPr>
              <w:t>5</w:t>
            </w:r>
          </w:p>
        </w:tc>
        <w:tc>
          <w:tcPr>
            <w:tcW w:w="796" w:type="pct"/>
            <w:vAlign w:val="center"/>
          </w:tcPr>
          <w:p w14:paraId="508169DD">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s="宋体"/>
                <w:spacing w:val="10"/>
                <w:sz w:val="24"/>
                <w:szCs w:val="24"/>
                <w:highlight w:val="none"/>
                <w:lang w:eastAsia="zh-CN"/>
              </w:rPr>
              <w:t>本项目的</w:t>
            </w:r>
            <w:r>
              <w:rPr>
                <w:rFonts w:ascii="宋体" w:hAnsi="宋体" w:eastAsia="宋体" w:cs="宋体"/>
                <w:spacing w:val="10"/>
                <w:sz w:val="24"/>
                <w:szCs w:val="24"/>
                <w:highlight w:val="none"/>
              </w:rPr>
              <w:t>特定资格要求</w:t>
            </w:r>
          </w:p>
        </w:tc>
        <w:tc>
          <w:tcPr>
            <w:tcW w:w="2268" w:type="pct"/>
            <w:vAlign w:val="center"/>
          </w:tcPr>
          <w:p w14:paraId="0128CE7C">
            <w:pPr>
              <w:spacing w:after="50" w:line="360" w:lineRule="auto"/>
              <w:ind w:right="-10" w:rightChars="0"/>
              <w:jc w:val="both"/>
              <w:rPr>
                <w:rFonts w:ascii="Calibri" w:hAnsi="Calibri" w:cs="Times New Roman"/>
                <w:color w:val="auto"/>
                <w:kern w:val="2"/>
                <w:sz w:val="24"/>
                <w:szCs w:val="22"/>
                <w:highlight w:val="none"/>
              </w:rPr>
            </w:pPr>
            <w:r>
              <w:rPr>
                <w:rFonts w:ascii="宋体" w:hAnsi="宋体" w:eastAsia="宋体" w:cs="宋体"/>
                <w:spacing w:val="10"/>
                <w:sz w:val="24"/>
                <w:szCs w:val="24"/>
                <w:highlight w:val="none"/>
              </w:rPr>
              <w:t>见第一章《</w:t>
            </w:r>
            <w:r>
              <w:rPr>
                <w:rFonts w:hint="eastAsia" w:ascii="宋体" w:hAnsi="宋体" w:eastAsia="宋体" w:cs="宋体"/>
                <w:spacing w:val="10"/>
                <w:sz w:val="24"/>
                <w:szCs w:val="24"/>
                <w:highlight w:val="none"/>
                <w:lang w:val="en-US" w:eastAsia="zh-CN"/>
              </w:rPr>
              <w:t>磋商</w:t>
            </w:r>
            <w:r>
              <w:rPr>
                <w:rFonts w:ascii="宋体" w:hAnsi="宋体" w:eastAsia="宋体" w:cs="宋体"/>
                <w:spacing w:val="10"/>
                <w:sz w:val="24"/>
                <w:szCs w:val="24"/>
                <w:highlight w:val="none"/>
              </w:rPr>
              <w:t>邀请》</w:t>
            </w:r>
          </w:p>
        </w:tc>
        <w:tc>
          <w:tcPr>
            <w:tcW w:w="1524" w:type="pct"/>
            <w:vAlign w:val="center"/>
          </w:tcPr>
          <w:p w14:paraId="389442EA">
            <w:pPr>
              <w:spacing w:after="50" w:line="360" w:lineRule="auto"/>
              <w:ind w:right="-10" w:rightChars="0"/>
              <w:jc w:val="center"/>
              <w:rPr>
                <w:rFonts w:hint="eastAsia" w:cs="Times New Roman"/>
                <w:color w:val="auto"/>
                <w:kern w:val="2"/>
                <w:sz w:val="24"/>
                <w:szCs w:val="28"/>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p>
        </w:tc>
      </w:tr>
      <w:tr w14:paraId="7AB75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77EADD14">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hint="eastAsia" w:eastAsia="宋体" w:cs="Times New Roman"/>
                <w:color w:val="auto"/>
                <w:kern w:val="2"/>
                <w:sz w:val="24"/>
                <w:szCs w:val="22"/>
                <w:highlight w:val="none"/>
                <w:lang w:eastAsia="zh-CN"/>
              </w:rPr>
            </w:pPr>
            <w:r>
              <w:rPr>
                <w:rFonts w:hint="eastAsia" w:cs="宋体"/>
                <w:color w:val="auto"/>
                <w:kern w:val="2"/>
                <w:sz w:val="24"/>
                <w:szCs w:val="24"/>
                <w:highlight w:val="none"/>
                <w:lang w:val="en-US" w:eastAsia="zh-CN"/>
              </w:rPr>
              <w:t>6</w:t>
            </w:r>
          </w:p>
        </w:tc>
        <w:tc>
          <w:tcPr>
            <w:tcW w:w="796" w:type="pct"/>
            <w:vAlign w:val="center"/>
          </w:tcPr>
          <w:p w14:paraId="0B0D1B2A">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ascii="Calibri" w:hAnsi="Calibri" w:cs="Times New Roman"/>
                <w:color w:val="auto"/>
                <w:kern w:val="2"/>
                <w:sz w:val="24"/>
                <w:szCs w:val="24"/>
                <w:highlight w:val="none"/>
              </w:rPr>
            </w:pPr>
            <w:r>
              <w:rPr>
                <w:rFonts w:hint="eastAsia" w:ascii="宋体" w:hAnsi="宋体" w:eastAsia="宋体" w:cs="宋体"/>
                <w:color w:val="auto"/>
                <w:kern w:val="2"/>
                <w:sz w:val="24"/>
                <w:szCs w:val="24"/>
                <w:highlight w:val="none"/>
              </w:rPr>
              <w:t>授权书</w:t>
            </w:r>
          </w:p>
        </w:tc>
        <w:tc>
          <w:tcPr>
            <w:tcW w:w="2268" w:type="pct"/>
            <w:vAlign w:val="center"/>
          </w:tcPr>
          <w:p w14:paraId="08F70821">
            <w:pPr>
              <w:keepNext w:val="0"/>
              <w:keepLines w:val="0"/>
              <w:pageBreakBefore w:val="0"/>
              <w:suppressLineNumbers w:val="0"/>
              <w:kinsoku/>
              <w:wordWrap/>
              <w:overflowPunct/>
              <w:topLinePunct w:val="0"/>
              <w:autoSpaceDE/>
              <w:autoSpaceDN/>
              <w:bidi w:val="0"/>
              <w:spacing w:before="0" w:beforeAutospacing="0" w:after="50" w:afterAutospacing="0" w:line="520" w:lineRule="exact"/>
              <w:ind w:left="0" w:leftChars="0" w:right="-10" w:rightChars="0"/>
              <w:jc w:val="both"/>
              <w:rPr>
                <w:rFonts w:ascii="Calibri" w:hAnsi="Calibri" w:cs="Times New Roman"/>
                <w:color w:val="auto"/>
                <w:kern w:val="2"/>
                <w:sz w:val="24"/>
                <w:szCs w:val="22"/>
                <w:highlight w:val="none"/>
              </w:rPr>
            </w:pPr>
            <w:r>
              <w:rPr>
                <w:rFonts w:hint="eastAsia" w:ascii="宋体" w:hAnsi="宋体" w:eastAsia="宋体" w:cs="宋体"/>
                <w:color w:val="auto"/>
                <w:spacing w:val="10"/>
                <w:sz w:val="24"/>
                <w:szCs w:val="24"/>
                <w:highlight w:val="none"/>
                <w:lang w:val="en-US" w:eastAsia="zh-CN"/>
              </w:rPr>
              <w:t>格式、填写要求符合磋商文件规定并加盖供应商电子签章</w:t>
            </w:r>
          </w:p>
        </w:tc>
        <w:tc>
          <w:tcPr>
            <w:tcW w:w="1524" w:type="pct"/>
            <w:vAlign w:val="center"/>
          </w:tcPr>
          <w:p w14:paraId="323B8D59">
            <w:pPr>
              <w:keepNext w:val="0"/>
              <w:keepLines w:val="0"/>
              <w:pageBreakBefore w:val="0"/>
              <w:suppressLineNumbers w:val="0"/>
              <w:kinsoku/>
              <w:wordWrap/>
              <w:overflowPunct/>
              <w:topLinePunct w:val="0"/>
              <w:autoSpaceDE/>
              <w:autoSpaceDN/>
              <w:bidi w:val="0"/>
              <w:spacing w:before="0" w:beforeAutospacing="0" w:after="50" w:afterAutospacing="0" w:line="520" w:lineRule="exact"/>
              <w:ind w:left="0" w:leftChars="0" w:right="-10" w:rightChars="0"/>
              <w:jc w:val="center"/>
              <w:rPr>
                <w:rFonts w:hint="eastAsia" w:cs="Times New Roman"/>
                <w:color w:val="auto"/>
                <w:kern w:val="2"/>
                <w:sz w:val="24"/>
                <w:szCs w:val="22"/>
                <w:highlight w:val="none"/>
              </w:rPr>
            </w:pPr>
            <w:r>
              <w:rPr>
                <w:rFonts w:hint="eastAsia" w:ascii="宋体" w:hAnsi="宋体" w:eastAsia="宋体" w:cs="宋体"/>
                <w:color w:val="auto"/>
                <w:spacing w:val="10"/>
                <w:sz w:val="24"/>
                <w:szCs w:val="24"/>
                <w:highlight w:val="none"/>
                <w:lang w:val="en-US" w:eastAsia="zh-CN"/>
              </w:rPr>
              <w:t>法定代表人参加磋商的无需此件，提供身份证明即可。详见第六章响应文件格式。</w:t>
            </w:r>
          </w:p>
        </w:tc>
      </w:tr>
      <w:tr w14:paraId="6E027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3E4FACAE">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hint="eastAsia" w:eastAsia="宋体" w:cs="Times New Roman"/>
                <w:color w:val="auto"/>
                <w:kern w:val="2"/>
                <w:sz w:val="24"/>
                <w:szCs w:val="22"/>
                <w:highlight w:val="none"/>
                <w:lang w:eastAsia="zh-CN"/>
              </w:rPr>
            </w:pPr>
            <w:r>
              <w:rPr>
                <w:rFonts w:hint="eastAsia" w:cs="宋体"/>
                <w:color w:val="auto"/>
                <w:kern w:val="2"/>
                <w:sz w:val="24"/>
                <w:szCs w:val="24"/>
                <w:highlight w:val="none"/>
                <w:lang w:val="en-US" w:eastAsia="zh-CN"/>
              </w:rPr>
              <w:t>7</w:t>
            </w:r>
          </w:p>
        </w:tc>
        <w:tc>
          <w:tcPr>
            <w:tcW w:w="796" w:type="pct"/>
            <w:vAlign w:val="center"/>
          </w:tcPr>
          <w:p w14:paraId="626403B2">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ascii="Calibri" w:hAnsi="Calibri"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rPr>
              <w:t>磋商</w:t>
            </w:r>
            <w:r>
              <w:rPr>
                <w:rFonts w:hint="eastAsia" w:ascii="宋体" w:hAnsi="宋体" w:eastAsia="宋体" w:cs="宋体"/>
                <w:color w:val="auto"/>
                <w:kern w:val="2"/>
                <w:sz w:val="24"/>
                <w:szCs w:val="24"/>
                <w:highlight w:val="none"/>
              </w:rPr>
              <w:t>响应函</w:t>
            </w:r>
          </w:p>
        </w:tc>
        <w:tc>
          <w:tcPr>
            <w:tcW w:w="2268" w:type="pct"/>
            <w:vAlign w:val="center"/>
          </w:tcPr>
          <w:p w14:paraId="793FCFF1">
            <w:pPr>
              <w:keepNext w:val="0"/>
              <w:keepLines w:val="0"/>
              <w:pageBreakBefore w:val="0"/>
              <w:suppressLineNumbers w:val="0"/>
              <w:kinsoku/>
              <w:wordWrap/>
              <w:overflowPunct/>
              <w:topLinePunct w:val="0"/>
              <w:autoSpaceDE/>
              <w:autoSpaceDN/>
              <w:bidi w:val="0"/>
              <w:spacing w:before="0" w:beforeAutospacing="0" w:after="50" w:afterAutospacing="0" w:line="520" w:lineRule="exact"/>
              <w:ind w:left="0" w:leftChars="0" w:right="-10" w:rightChars="0"/>
              <w:jc w:val="both"/>
              <w:rPr>
                <w:rFonts w:ascii="Calibri" w:hAnsi="Calibri" w:cs="Times New Roman"/>
                <w:color w:val="auto"/>
                <w:kern w:val="2"/>
                <w:sz w:val="24"/>
                <w:szCs w:val="22"/>
                <w:highlight w:val="none"/>
              </w:rPr>
            </w:pPr>
            <w:r>
              <w:rPr>
                <w:rFonts w:hint="eastAsia" w:ascii="宋体" w:hAnsi="宋体" w:eastAsia="宋体" w:cs="宋体"/>
                <w:color w:val="auto"/>
                <w:spacing w:val="10"/>
                <w:sz w:val="24"/>
                <w:szCs w:val="24"/>
                <w:highlight w:val="none"/>
                <w:lang w:val="en-US" w:eastAsia="zh-CN"/>
              </w:rPr>
              <w:t>符合磋商文件要求。</w:t>
            </w:r>
          </w:p>
        </w:tc>
        <w:tc>
          <w:tcPr>
            <w:tcW w:w="1524" w:type="pct"/>
            <w:vAlign w:val="center"/>
          </w:tcPr>
          <w:p w14:paraId="7F9D6E43">
            <w:pPr>
              <w:keepNext w:val="0"/>
              <w:keepLines w:val="0"/>
              <w:pageBreakBefore w:val="0"/>
              <w:suppressLineNumbers w:val="0"/>
              <w:kinsoku/>
              <w:wordWrap/>
              <w:overflowPunct/>
              <w:topLinePunct w:val="0"/>
              <w:autoSpaceDE/>
              <w:autoSpaceDN/>
              <w:bidi w:val="0"/>
              <w:spacing w:before="0" w:beforeAutospacing="0" w:after="50" w:afterAutospacing="0" w:line="520" w:lineRule="exact"/>
              <w:ind w:left="0" w:leftChars="0" w:right="-10" w:rightChars="0"/>
              <w:jc w:val="center"/>
              <w:rPr>
                <w:rFonts w:hint="eastAsia" w:cs="Times New Roman"/>
                <w:color w:val="auto"/>
                <w:kern w:val="2"/>
                <w:sz w:val="24"/>
                <w:szCs w:val="22"/>
                <w:highlight w:val="none"/>
              </w:rPr>
            </w:pPr>
            <w:r>
              <w:rPr>
                <w:rFonts w:hint="eastAsia" w:ascii="宋体" w:hAnsi="宋体" w:eastAsia="宋体" w:cs="宋体"/>
                <w:color w:val="auto"/>
                <w:spacing w:val="10"/>
                <w:sz w:val="24"/>
                <w:szCs w:val="24"/>
                <w:highlight w:val="none"/>
                <w:lang w:val="en-US" w:eastAsia="zh-CN"/>
              </w:rPr>
              <w:t>详见第六章响应文件格式</w:t>
            </w:r>
          </w:p>
        </w:tc>
      </w:tr>
      <w:tr w14:paraId="6FD34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7CC0501B">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hint="eastAsia" w:eastAsia="宋体" w:cs="Times New Roman"/>
                <w:color w:val="auto"/>
                <w:kern w:val="2"/>
                <w:sz w:val="24"/>
                <w:szCs w:val="22"/>
                <w:highlight w:val="none"/>
                <w:lang w:eastAsia="zh-CN"/>
              </w:rPr>
            </w:pPr>
            <w:r>
              <w:rPr>
                <w:rFonts w:hint="eastAsia" w:cs="宋体"/>
                <w:color w:val="auto"/>
                <w:sz w:val="24"/>
                <w:szCs w:val="24"/>
                <w:highlight w:val="none"/>
                <w:lang w:val="en-US" w:eastAsia="zh-CN"/>
              </w:rPr>
              <w:t>8</w:t>
            </w:r>
          </w:p>
        </w:tc>
        <w:tc>
          <w:tcPr>
            <w:tcW w:w="796" w:type="pct"/>
            <w:vAlign w:val="center"/>
          </w:tcPr>
          <w:p w14:paraId="318E1CD7">
            <w:pPr>
              <w:keepNext w:val="0"/>
              <w:keepLines w:val="0"/>
              <w:pageBreakBefore w:val="0"/>
              <w:suppressLineNumbers w:val="0"/>
              <w:kinsoku/>
              <w:wordWrap/>
              <w:overflowPunct/>
              <w:topLinePunct w:val="0"/>
              <w:autoSpaceDE/>
              <w:autoSpaceDN/>
              <w:bidi w:val="0"/>
              <w:spacing w:before="0" w:beforeAutospacing="0" w:after="50" w:afterAutospacing="0" w:line="520" w:lineRule="exact"/>
              <w:ind w:left="0" w:leftChars="0" w:right="-10" w:rightChars="0"/>
              <w:jc w:val="center"/>
              <w:rPr>
                <w:rFonts w:ascii="Calibri" w:hAnsi="Calibri" w:cs="Times New Roman"/>
                <w:color w:val="auto"/>
                <w:kern w:val="2"/>
                <w:sz w:val="24"/>
                <w:szCs w:val="24"/>
                <w:highlight w:val="none"/>
              </w:rPr>
            </w:pP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报价</w:t>
            </w:r>
          </w:p>
        </w:tc>
        <w:tc>
          <w:tcPr>
            <w:tcW w:w="2268" w:type="pct"/>
            <w:vAlign w:val="center"/>
          </w:tcPr>
          <w:p w14:paraId="5B337567">
            <w:pPr>
              <w:keepNext w:val="0"/>
              <w:keepLines w:val="0"/>
              <w:pageBreakBefore w:val="0"/>
              <w:suppressLineNumbers w:val="0"/>
              <w:kinsoku/>
              <w:wordWrap/>
              <w:overflowPunct/>
              <w:topLinePunct w:val="0"/>
              <w:autoSpaceDE/>
              <w:autoSpaceDN/>
              <w:bidi w:val="0"/>
              <w:spacing w:before="0" w:beforeAutospacing="0" w:after="50" w:afterAutospacing="0" w:line="520" w:lineRule="exact"/>
              <w:ind w:left="0" w:leftChars="0" w:right="-10" w:rightChars="0"/>
              <w:jc w:val="both"/>
              <w:rPr>
                <w:rFonts w:ascii="Calibri" w:hAnsi="Calibri" w:cs="Times New Roman"/>
                <w:color w:val="auto"/>
                <w:kern w:val="2"/>
                <w:sz w:val="24"/>
                <w:szCs w:val="22"/>
                <w:highlight w:val="none"/>
              </w:rPr>
            </w:pPr>
            <w:r>
              <w:rPr>
                <w:rFonts w:hint="eastAsia" w:ascii="宋体" w:hAnsi="宋体" w:eastAsia="宋体" w:cs="宋体"/>
                <w:color w:val="auto"/>
                <w:sz w:val="24"/>
                <w:szCs w:val="24"/>
                <w:highlight w:val="none"/>
              </w:rPr>
              <w:t>符合</w:t>
            </w:r>
            <w:r>
              <w:rPr>
                <w:rFonts w:hint="eastAsia" w:ascii="宋体" w:hAnsi="宋体" w:eastAsia="宋体" w:cs="宋体"/>
                <w:color w:val="auto"/>
                <w:kern w:val="2"/>
                <w:sz w:val="24"/>
                <w:szCs w:val="24"/>
                <w:highlight w:val="none"/>
                <w:lang w:val="en-US" w:eastAsia="zh-CN"/>
              </w:rPr>
              <w:t>磋商</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val="en-US" w:eastAsia="zh-CN"/>
              </w:rPr>
              <w:t>要求</w:t>
            </w:r>
          </w:p>
        </w:tc>
        <w:tc>
          <w:tcPr>
            <w:tcW w:w="1524" w:type="pct"/>
            <w:vAlign w:val="center"/>
          </w:tcPr>
          <w:p w14:paraId="11A49FBF">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hint="eastAsia" w:cs="Times New Roman"/>
                <w:color w:val="auto"/>
                <w:kern w:val="2"/>
                <w:sz w:val="24"/>
                <w:szCs w:val="22"/>
                <w:highlight w:val="none"/>
              </w:rPr>
            </w:pPr>
            <w:r>
              <w:rPr>
                <w:rFonts w:hint="eastAsia" w:asciiTheme="minorEastAsia" w:hAnsiTheme="minorEastAsia" w:eastAsiaTheme="minorEastAsia"/>
                <w:sz w:val="24"/>
                <w:highlight w:val="none"/>
              </w:rPr>
              <w:t>详见第六章响应文件格式。</w:t>
            </w:r>
          </w:p>
        </w:tc>
      </w:tr>
      <w:tr w14:paraId="5B36E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0C231EC6">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hint="default" w:cs="宋体"/>
                <w:color w:val="auto"/>
                <w:sz w:val="24"/>
                <w:szCs w:val="24"/>
                <w:highlight w:val="none"/>
                <w:lang w:val="en-US" w:eastAsia="zh-CN"/>
              </w:rPr>
            </w:pPr>
            <w:r>
              <w:rPr>
                <w:rFonts w:hint="eastAsia" w:cs="宋体"/>
                <w:color w:val="auto"/>
                <w:sz w:val="24"/>
                <w:szCs w:val="24"/>
                <w:highlight w:val="none"/>
                <w:lang w:val="en-US" w:eastAsia="zh-CN"/>
              </w:rPr>
              <w:t>9</w:t>
            </w:r>
          </w:p>
        </w:tc>
        <w:tc>
          <w:tcPr>
            <w:tcW w:w="796" w:type="pct"/>
            <w:vAlign w:val="center"/>
          </w:tcPr>
          <w:p w14:paraId="0E4AA98C">
            <w:pPr>
              <w:spacing w:after="50" w:line="360" w:lineRule="auto"/>
              <w:ind w:right="-10" w:rightChars="0"/>
              <w:jc w:val="center"/>
              <w:rPr>
                <w:rFonts w:hint="eastAsia" w:ascii="宋体" w:hAnsi="宋体" w:eastAsia="宋体" w:cs="宋体"/>
                <w:color w:val="auto"/>
                <w:sz w:val="24"/>
                <w:szCs w:val="24"/>
                <w:highlight w:val="none"/>
                <w:lang w:val="en-US" w:eastAsia="zh-CN"/>
              </w:rPr>
            </w:pPr>
            <w:r>
              <w:rPr>
                <w:rFonts w:hint="eastAsia" w:asciiTheme="minorEastAsia" w:hAnsiTheme="minorEastAsia" w:eastAsiaTheme="minorEastAsia"/>
                <w:sz w:val="24"/>
                <w:szCs w:val="28"/>
                <w:highlight w:val="none"/>
              </w:rPr>
              <w:t>诚信响应承诺书</w:t>
            </w:r>
          </w:p>
        </w:tc>
        <w:tc>
          <w:tcPr>
            <w:tcW w:w="2268" w:type="pct"/>
            <w:vAlign w:val="center"/>
          </w:tcPr>
          <w:p w14:paraId="67BD5669">
            <w:pPr>
              <w:spacing w:after="50" w:line="360" w:lineRule="auto"/>
              <w:ind w:right="-10" w:rightChars="0"/>
              <w:jc w:val="left"/>
              <w:rPr>
                <w:rFonts w:hint="eastAsia" w:ascii="宋体" w:hAnsi="宋体" w:eastAsia="宋体" w:cs="宋体"/>
                <w:color w:val="auto"/>
                <w:sz w:val="24"/>
                <w:szCs w:val="24"/>
                <w:highlight w:val="none"/>
              </w:rPr>
            </w:pPr>
            <w:r>
              <w:rPr>
                <w:rFonts w:hint="eastAsia" w:asciiTheme="minorEastAsia" w:hAnsiTheme="minorEastAsia" w:eastAsiaTheme="minorEastAsia"/>
                <w:sz w:val="24"/>
                <w:szCs w:val="28"/>
                <w:highlight w:val="none"/>
              </w:rPr>
              <w:t>格式、填写要求符合磋商文件规定并加盖供应商电子签章</w:t>
            </w:r>
          </w:p>
        </w:tc>
        <w:tc>
          <w:tcPr>
            <w:tcW w:w="1524" w:type="pct"/>
            <w:vAlign w:val="center"/>
          </w:tcPr>
          <w:p w14:paraId="5038C25F">
            <w:pPr>
              <w:spacing w:after="50" w:line="360" w:lineRule="auto"/>
              <w:ind w:right="-10" w:rightChars="0"/>
              <w:jc w:val="center"/>
              <w:rPr>
                <w:rFonts w:hint="eastAsia" w:cs="Times New Roman"/>
                <w:color w:val="auto"/>
                <w:kern w:val="2"/>
                <w:sz w:val="24"/>
                <w:szCs w:val="22"/>
                <w:highlight w:val="none"/>
              </w:rPr>
            </w:pPr>
            <w:r>
              <w:rPr>
                <w:rFonts w:hint="eastAsia" w:asciiTheme="minorEastAsia" w:hAnsiTheme="minorEastAsia" w:eastAsiaTheme="minorEastAsia"/>
                <w:sz w:val="24"/>
                <w:szCs w:val="28"/>
                <w:highlight w:val="none"/>
              </w:rPr>
              <w:t>详见第六章响应文件格式。</w:t>
            </w:r>
          </w:p>
        </w:tc>
      </w:tr>
      <w:tr w14:paraId="787EC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715F1824">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hint="default" w:cs="宋体"/>
                <w:color w:val="auto"/>
                <w:sz w:val="24"/>
                <w:szCs w:val="24"/>
                <w:highlight w:val="none"/>
                <w:lang w:val="en-US" w:eastAsia="zh-CN"/>
              </w:rPr>
            </w:pPr>
            <w:r>
              <w:rPr>
                <w:rFonts w:hint="eastAsia" w:cs="宋体"/>
                <w:color w:val="auto"/>
                <w:sz w:val="24"/>
                <w:szCs w:val="24"/>
                <w:highlight w:val="none"/>
                <w:lang w:val="en-US" w:eastAsia="zh-CN"/>
              </w:rPr>
              <w:t>10</w:t>
            </w:r>
          </w:p>
        </w:tc>
        <w:tc>
          <w:tcPr>
            <w:tcW w:w="796" w:type="pct"/>
            <w:vAlign w:val="center"/>
          </w:tcPr>
          <w:p w14:paraId="3200B64B">
            <w:pPr>
              <w:spacing w:after="50" w:line="360" w:lineRule="auto"/>
              <w:ind w:right="-10" w:rightChars="0"/>
              <w:jc w:val="center"/>
              <w:rPr>
                <w:rFonts w:hint="eastAsia" w:ascii="宋体" w:hAnsi="宋体" w:eastAsia="宋体" w:cs="宋体"/>
                <w:color w:val="auto"/>
                <w:sz w:val="24"/>
                <w:szCs w:val="24"/>
                <w:highlight w:val="none"/>
                <w:lang w:val="en-US" w:eastAsia="zh-CN"/>
              </w:rPr>
            </w:pPr>
            <w:r>
              <w:rPr>
                <w:rFonts w:hint="eastAsia" w:asciiTheme="minorEastAsia" w:hAnsiTheme="minorEastAsia" w:eastAsiaTheme="minorEastAsia"/>
                <w:sz w:val="24"/>
                <w:szCs w:val="28"/>
                <w:highlight w:val="none"/>
              </w:rPr>
              <w:t>诚信履约承诺函</w:t>
            </w:r>
          </w:p>
        </w:tc>
        <w:tc>
          <w:tcPr>
            <w:tcW w:w="2268" w:type="pct"/>
            <w:vAlign w:val="center"/>
          </w:tcPr>
          <w:p w14:paraId="1BFA3A63">
            <w:pPr>
              <w:spacing w:after="50" w:line="360" w:lineRule="auto"/>
              <w:ind w:right="-10" w:rightChars="0"/>
              <w:jc w:val="left"/>
              <w:rPr>
                <w:rFonts w:hint="eastAsia" w:ascii="宋体" w:hAnsi="宋体" w:eastAsia="宋体" w:cs="宋体"/>
                <w:color w:val="auto"/>
                <w:sz w:val="24"/>
                <w:szCs w:val="24"/>
                <w:highlight w:val="none"/>
              </w:rPr>
            </w:pPr>
            <w:r>
              <w:rPr>
                <w:rFonts w:hint="eastAsia" w:asciiTheme="minorEastAsia" w:hAnsiTheme="minorEastAsia" w:eastAsiaTheme="minorEastAsia"/>
                <w:sz w:val="24"/>
                <w:szCs w:val="28"/>
                <w:highlight w:val="none"/>
              </w:rPr>
              <w:t>格式、填写要求符合磋商文件规定并加盖供应商电子签章</w:t>
            </w:r>
          </w:p>
        </w:tc>
        <w:tc>
          <w:tcPr>
            <w:tcW w:w="1524" w:type="pct"/>
            <w:vAlign w:val="center"/>
          </w:tcPr>
          <w:p w14:paraId="729BFA58">
            <w:pPr>
              <w:spacing w:after="50" w:line="360" w:lineRule="auto"/>
              <w:ind w:right="-10" w:rightChars="0"/>
              <w:jc w:val="center"/>
              <w:rPr>
                <w:rFonts w:hint="eastAsia" w:cs="Times New Roman"/>
                <w:color w:val="auto"/>
                <w:kern w:val="2"/>
                <w:sz w:val="24"/>
                <w:szCs w:val="22"/>
                <w:highlight w:val="none"/>
              </w:rPr>
            </w:pPr>
            <w:r>
              <w:rPr>
                <w:rFonts w:hint="eastAsia" w:asciiTheme="minorEastAsia" w:hAnsiTheme="minorEastAsia" w:eastAsiaTheme="minorEastAsia"/>
                <w:sz w:val="24"/>
                <w:szCs w:val="28"/>
                <w:highlight w:val="none"/>
              </w:rPr>
              <w:t>详见第六章响应文件格式。</w:t>
            </w:r>
          </w:p>
        </w:tc>
      </w:tr>
      <w:tr w14:paraId="2BCBF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475" w:type="pct"/>
            <w:gridSpan w:val="3"/>
            <w:tcBorders>
              <w:bottom w:val="single" w:color="auto" w:sz="4" w:space="0"/>
            </w:tcBorders>
            <w:vAlign w:val="center"/>
          </w:tcPr>
          <w:p w14:paraId="1EB36777">
            <w:pPr>
              <w:adjustRightInd w:val="0"/>
              <w:snapToGrid w:val="0"/>
              <w:ind w:right="-10"/>
              <w:jc w:val="left"/>
              <w:rPr>
                <w:rFonts w:ascii="Calibri" w:hAnsi="Calibri" w:cs="Times New Roman"/>
                <w:color w:val="auto"/>
                <w:kern w:val="2"/>
                <w:sz w:val="24"/>
                <w:szCs w:val="22"/>
                <w:highlight w:val="none"/>
              </w:rPr>
            </w:pPr>
            <w:r>
              <w:rPr>
                <w:rFonts w:hint="eastAsia" w:ascii="Calibri" w:hAnsi="Calibri" w:cs="Times New Roman"/>
                <w:color w:val="auto"/>
                <w:kern w:val="2"/>
                <w:sz w:val="24"/>
                <w:szCs w:val="22"/>
                <w:highlight w:val="none"/>
              </w:rPr>
              <w:t>评审指标通过标准：供应商必须通过上述全部指标。</w:t>
            </w:r>
          </w:p>
        </w:tc>
        <w:tc>
          <w:tcPr>
            <w:tcW w:w="1524" w:type="pct"/>
            <w:tcBorders>
              <w:bottom w:val="single" w:color="auto" w:sz="4" w:space="0"/>
            </w:tcBorders>
            <w:vAlign w:val="center"/>
          </w:tcPr>
          <w:p w14:paraId="679ADF89">
            <w:pPr>
              <w:adjustRightInd w:val="0"/>
              <w:snapToGrid w:val="0"/>
              <w:ind w:right="-10"/>
              <w:jc w:val="center"/>
              <w:rPr>
                <w:rFonts w:hint="eastAsia" w:ascii="Calibri" w:hAnsi="Calibri" w:cs="Times New Roman"/>
                <w:color w:val="auto"/>
                <w:kern w:val="2"/>
                <w:sz w:val="24"/>
                <w:szCs w:val="22"/>
                <w:highlight w:val="none"/>
              </w:rPr>
            </w:pPr>
          </w:p>
        </w:tc>
      </w:tr>
    </w:tbl>
    <w:p w14:paraId="232CFAE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初审指标通过标准：</w:t>
      </w:r>
      <w:r>
        <w:rPr>
          <w:rFonts w:hint="eastAsia" w:asciiTheme="minorEastAsia" w:hAnsiTheme="minorEastAsia" w:eastAsiaTheme="minorEastAsia"/>
          <w:color w:val="auto"/>
          <w:sz w:val="24"/>
          <w:highlight w:val="none"/>
        </w:rPr>
        <w:t>供应商必须通过初审表中的全部评审指标。</w:t>
      </w:r>
    </w:p>
    <w:p w14:paraId="74B57C9B">
      <w:pPr>
        <w:spacing w:line="360" w:lineRule="auto"/>
        <w:ind w:firstLine="435"/>
        <w:rPr>
          <w:rFonts w:hint="eastAsia"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lang w:val="en-US" w:eastAsia="zh-CN"/>
        </w:rPr>
        <w:t>注：</w:t>
      </w:r>
      <w:r>
        <w:rPr>
          <w:rFonts w:hint="eastAsia" w:asciiTheme="minorEastAsia" w:hAnsiTheme="minorEastAsia" w:eastAsiaTheme="minorEastAsia"/>
          <w:b/>
          <w:bCs/>
          <w:color w:val="auto"/>
          <w:sz w:val="24"/>
          <w:highlight w:val="none"/>
        </w:rPr>
        <w:t>供应商拟委任项目经理为注册建造师（含一级、二级）的，须提供在电子证书使用有效期内的纸质版电子证书。一级建造师打印电子证书后，应在个人签名处手写本人签名，未手写签名或与签名图像笔迹不一致的，该电子证书无效。</w:t>
      </w:r>
    </w:p>
    <w:p w14:paraId="220DA5E3">
      <w:pPr>
        <w:spacing w:line="360" w:lineRule="auto"/>
        <w:ind w:firstLine="435"/>
        <w:rPr>
          <w:rFonts w:hint="eastAsia" w:asciiTheme="minorEastAsia" w:hAnsiTheme="minorEastAsia" w:eastAsiaTheme="minorEastAsia"/>
          <w:sz w:val="24"/>
          <w:highlight w:val="none"/>
          <w:lang w:val="en-US" w:eastAsia="zh-CN"/>
        </w:rPr>
      </w:pPr>
      <w:r>
        <w:rPr>
          <w:rFonts w:hint="eastAsia" w:asciiTheme="minorEastAsia" w:hAnsiTheme="minorEastAsia" w:eastAsiaTheme="minorEastAsia"/>
          <w:b/>
          <w:bCs/>
          <w:color w:val="auto"/>
          <w:sz w:val="24"/>
          <w:highlight w:val="none"/>
        </w:rPr>
        <w:t>供应商提供的安徽省新版二级建造师电子注册证书纸质版需在安徽省住房和城乡建设执业资格注册管理系统中打印，打印后应由二级建造师本人在证书的个人签名处手写本人签名，或在新版二级建造师电子注册证书纸质版后附其本人知情承诺（视为个人签名处的手写本人签名），格式自拟。未手写个人签名或未提供二级建造师本人知情承诺的，个人签名或知情承诺签字与签名图片笔迹不一致，此证书无效。其他省份按各省相关规定执行。</w:t>
      </w:r>
    </w:p>
    <w:p w14:paraId="32A459D7">
      <w:pPr>
        <w:spacing w:line="360" w:lineRule="auto"/>
        <w:ind w:firstLine="435"/>
        <w:outlineLvl w:val="2"/>
        <w:rPr>
          <w:rFonts w:hint="eastAsia" w:asciiTheme="minorEastAsia" w:hAnsiTheme="minorEastAsia" w:eastAsiaTheme="minorEastAsia"/>
          <w:sz w:val="24"/>
          <w:highlight w:val="none"/>
        </w:rPr>
      </w:pPr>
      <w:r>
        <w:rPr>
          <w:rFonts w:hint="eastAsia" w:asciiTheme="minorEastAsia" w:hAnsiTheme="minorEastAsia" w:eastAsiaTheme="minorEastAsia"/>
          <w:sz w:val="24"/>
          <w:highlight w:val="none"/>
          <w:lang w:val="en-US" w:eastAsia="zh-CN"/>
        </w:rPr>
        <w:t>2.2</w:t>
      </w:r>
      <w:r>
        <w:rPr>
          <w:rFonts w:hint="eastAsia" w:asciiTheme="minorEastAsia" w:hAnsiTheme="minorEastAsia" w:eastAsiaTheme="minorEastAsia"/>
          <w:sz w:val="24"/>
          <w:highlight w:val="none"/>
        </w:rPr>
        <w:t>异常低价</w:t>
      </w:r>
      <w:r>
        <w:rPr>
          <w:rFonts w:hint="eastAsia" w:asciiTheme="minorEastAsia" w:hAnsiTheme="minorEastAsia" w:eastAsiaTheme="minorEastAsia"/>
          <w:sz w:val="24"/>
          <w:highlight w:val="none"/>
          <w:lang w:val="en-US" w:eastAsia="zh-CN"/>
        </w:rPr>
        <w:t>响应</w:t>
      </w:r>
      <w:r>
        <w:rPr>
          <w:rFonts w:hint="eastAsia" w:asciiTheme="minorEastAsia" w:hAnsiTheme="minorEastAsia" w:eastAsiaTheme="minorEastAsia"/>
          <w:sz w:val="24"/>
          <w:highlight w:val="none"/>
        </w:rPr>
        <w:t>审查</w:t>
      </w:r>
    </w:p>
    <w:tbl>
      <w:tblPr>
        <w:tblStyle w:val="55"/>
        <w:tblW w:w="52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5"/>
        <w:gridCol w:w="1450"/>
        <w:gridCol w:w="4438"/>
        <w:gridCol w:w="2260"/>
      </w:tblGrid>
      <w:tr w14:paraId="64ED7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954" w:type="dxa"/>
            <w:gridSpan w:val="4"/>
            <w:tcBorders>
              <w:bottom w:val="single" w:color="auto" w:sz="4" w:space="0"/>
            </w:tcBorders>
            <w:vAlign w:val="center"/>
          </w:tcPr>
          <w:p w14:paraId="0A55AF2A">
            <w:pPr>
              <w:adjustRightInd w:val="0"/>
              <w:snapToGrid w:val="0"/>
              <w:spacing w:line="360" w:lineRule="auto"/>
              <w:ind w:right="-10" w:rightChars="0"/>
              <w:jc w:val="center"/>
              <w:rPr>
                <w:rFonts w:ascii="宋体" w:hAnsi="宋体" w:eastAsia="宋体"/>
                <w:sz w:val="24"/>
                <w:highlight w:val="none"/>
              </w:rPr>
            </w:pPr>
            <w:r>
              <w:rPr>
                <w:rFonts w:hint="eastAsia" w:ascii="宋体" w:hAnsi="宋体" w:eastAsia="宋体" w:cs="Times New Roman"/>
                <w:b/>
                <w:bCs/>
                <w:sz w:val="24"/>
                <w:highlight w:val="none"/>
                <w:lang w:val="en-US" w:eastAsia="zh-CN"/>
              </w:rPr>
              <w:t>异常低价响应审查表</w:t>
            </w:r>
          </w:p>
        </w:tc>
      </w:tr>
      <w:tr w14:paraId="57258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tcBorders>
              <w:bottom w:val="single" w:color="auto" w:sz="4" w:space="0"/>
            </w:tcBorders>
            <w:vAlign w:val="center"/>
          </w:tcPr>
          <w:p w14:paraId="24C66339">
            <w:pPr>
              <w:spacing w:line="360" w:lineRule="auto"/>
              <w:jc w:val="center"/>
              <w:rPr>
                <w:rFonts w:ascii="宋体" w:hAnsi="宋体" w:eastAsia="宋体"/>
                <w:sz w:val="24"/>
                <w:highlight w:val="none"/>
              </w:rPr>
            </w:pPr>
            <w:r>
              <w:rPr>
                <w:rFonts w:hint="eastAsia" w:ascii="宋体" w:hAnsi="宋体" w:eastAsia="宋体" w:cs="Times New Roman"/>
                <w:sz w:val="24"/>
                <w:highlight w:val="none"/>
                <w:lang w:val="en-US" w:eastAsia="zh-CN"/>
              </w:rPr>
              <w:t>序号</w:t>
            </w:r>
          </w:p>
        </w:tc>
        <w:tc>
          <w:tcPr>
            <w:tcW w:w="1450" w:type="dxa"/>
            <w:tcBorders>
              <w:bottom w:val="single" w:color="auto" w:sz="4" w:space="0"/>
            </w:tcBorders>
            <w:vAlign w:val="center"/>
          </w:tcPr>
          <w:p w14:paraId="242D7536">
            <w:pPr>
              <w:spacing w:line="360" w:lineRule="auto"/>
              <w:ind w:firstLine="240" w:firstLineChars="100"/>
              <w:jc w:val="center"/>
              <w:rPr>
                <w:rFonts w:ascii="宋体" w:hAnsi="宋体" w:eastAsia="宋体"/>
                <w:kern w:val="2"/>
                <w:szCs w:val="24"/>
                <w:highlight w:val="none"/>
              </w:rPr>
            </w:pPr>
            <w:r>
              <w:rPr>
                <w:rFonts w:hint="eastAsia" w:ascii="宋体" w:hAnsi="宋体" w:eastAsia="宋体" w:cs="Times New Roman"/>
                <w:sz w:val="24"/>
                <w:highlight w:val="none"/>
                <w:lang w:val="en-US" w:eastAsia="zh-CN"/>
              </w:rPr>
              <w:t>评审指标</w:t>
            </w:r>
          </w:p>
        </w:tc>
        <w:tc>
          <w:tcPr>
            <w:tcW w:w="4439" w:type="dxa"/>
            <w:tcBorders>
              <w:bottom w:val="single" w:color="auto" w:sz="4" w:space="0"/>
            </w:tcBorders>
            <w:vAlign w:val="center"/>
          </w:tcPr>
          <w:p w14:paraId="63EC8315">
            <w:pPr>
              <w:spacing w:line="360" w:lineRule="auto"/>
              <w:ind w:firstLine="240" w:firstLineChars="100"/>
              <w:jc w:val="center"/>
              <w:rPr>
                <w:rFonts w:ascii="宋体" w:hAnsi="宋体" w:eastAsia="宋体"/>
                <w:sz w:val="24"/>
                <w:highlight w:val="none"/>
              </w:rPr>
            </w:pPr>
            <w:r>
              <w:rPr>
                <w:rFonts w:hint="eastAsia" w:ascii="宋体" w:hAnsi="宋体" w:eastAsia="宋体" w:cs="Times New Roman"/>
                <w:sz w:val="24"/>
                <w:highlight w:val="none"/>
                <w:lang w:val="en-US" w:eastAsia="zh-CN"/>
              </w:rPr>
              <w:t>评审标准</w:t>
            </w:r>
          </w:p>
        </w:tc>
        <w:tc>
          <w:tcPr>
            <w:tcW w:w="2260" w:type="dxa"/>
            <w:tcBorders>
              <w:bottom w:val="single" w:color="auto" w:sz="4" w:space="0"/>
            </w:tcBorders>
            <w:vAlign w:val="center"/>
          </w:tcPr>
          <w:p w14:paraId="39E809DA">
            <w:pPr>
              <w:spacing w:line="360" w:lineRule="auto"/>
              <w:jc w:val="center"/>
              <w:rPr>
                <w:rFonts w:ascii="宋体" w:hAnsi="宋体" w:eastAsia="宋体"/>
                <w:sz w:val="24"/>
                <w:highlight w:val="none"/>
              </w:rPr>
            </w:pPr>
            <w:r>
              <w:rPr>
                <w:rFonts w:hint="eastAsia" w:ascii="宋体" w:hAnsi="宋体" w:eastAsia="宋体" w:cs="Times New Roman"/>
                <w:sz w:val="24"/>
                <w:highlight w:val="none"/>
                <w:lang w:val="en-US" w:eastAsia="zh-CN"/>
              </w:rPr>
              <w:t>格式及材料要求</w:t>
            </w:r>
          </w:p>
        </w:tc>
      </w:tr>
      <w:tr w14:paraId="63D04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805" w:type="dxa"/>
            <w:tcBorders>
              <w:bottom w:val="single" w:color="auto" w:sz="4" w:space="0"/>
            </w:tcBorders>
            <w:vAlign w:val="center"/>
          </w:tcPr>
          <w:p w14:paraId="53262601">
            <w:pPr>
              <w:spacing w:line="360" w:lineRule="auto"/>
              <w:ind w:firstLine="240" w:firstLineChars="100"/>
              <w:rPr>
                <w:rFonts w:hint="eastAsia" w:ascii="宋体" w:hAnsi="宋体" w:eastAsia="宋体" w:cs="宋体"/>
                <w:sz w:val="24"/>
                <w:highlight w:val="none"/>
              </w:rPr>
            </w:pPr>
            <w:r>
              <w:rPr>
                <w:rFonts w:hint="eastAsia" w:ascii="宋体" w:hAnsi="宋体" w:eastAsia="宋体" w:cs="宋体"/>
                <w:sz w:val="24"/>
                <w:highlight w:val="none"/>
                <w:lang w:val="en-US" w:eastAsia="zh-CN"/>
              </w:rPr>
              <w:t>1</w:t>
            </w:r>
          </w:p>
        </w:tc>
        <w:tc>
          <w:tcPr>
            <w:tcW w:w="1450" w:type="dxa"/>
            <w:tcBorders>
              <w:bottom w:val="single" w:color="auto" w:sz="4" w:space="0"/>
            </w:tcBorders>
            <w:vAlign w:val="center"/>
          </w:tcPr>
          <w:p w14:paraId="4828CEF5">
            <w:pPr>
              <w:spacing w:line="360" w:lineRule="auto"/>
              <w:rPr>
                <w:rFonts w:hint="eastAsia" w:ascii="宋体" w:hAnsi="宋体" w:eastAsia="宋体" w:cs="宋体"/>
                <w:sz w:val="24"/>
                <w:szCs w:val="28"/>
                <w:highlight w:val="none"/>
              </w:rPr>
            </w:pPr>
            <w:r>
              <w:rPr>
                <w:rFonts w:hint="eastAsia" w:ascii="宋体" w:hAnsi="宋体" w:eastAsia="宋体" w:cs="宋体"/>
                <w:sz w:val="24"/>
                <w:highlight w:val="none"/>
                <w:lang w:val="en-US" w:eastAsia="zh-CN"/>
              </w:rPr>
              <w:t>异常低价响应审查</w:t>
            </w:r>
          </w:p>
        </w:tc>
        <w:tc>
          <w:tcPr>
            <w:tcW w:w="4439" w:type="dxa"/>
            <w:tcBorders>
              <w:bottom w:val="single" w:color="auto" w:sz="4" w:space="0"/>
            </w:tcBorders>
            <w:vAlign w:val="center"/>
          </w:tcPr>
          <w:p w14:paraId="14855D12">
            <w:pPr>
              <w:pStyle w:val="16"/>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color w:val="auto"/>
                <w:sz w:val="24"/>
                <w:szCs w:val="24"/>
                <w:highlight w:val="none"/>
                <w:u w:val="none"/>
                <w:lang w:val="en-US" w:eastAsia="zh-CN"/>
              </w:rPr>
            </w:pPr>
            <w:r>
              <w:rPr>
                <w:rFonts w:hint="eastAsia" w:ascii="宋体" w:hAnsi="宋体" w:eastAsia="宋体" w:cs="宋体"/>
                <w:b w:val="0"/>
                <w:bCs w:val="0"/>
                <w:i w:val="0"/>
                <w:iCs w:val="0"/>
                <w:sz w:val="24"/>
                <w:szCs w:val="24"/>
                <w:highlight w:val="none"/>
                <w:u w:val="none"/>
                <w:lang w:val="en-US" w:eastAsia="zh-CN"/>
              </w:rPr>
              <w:t>（1）</w:t>
            </w:r>
            <w:r>
              <w:rPr>
                <w:rFonts w:hint="eastAsia" w:ascii="宋体" w:hAnsi="宋体" w:eastAsia="宋体" w:cs="宋体"/>
                <w:b w:val="0"/>
                <w:bCs w:val="0"/>
                <w:i w:val="0"/>
                <w:iCs w:val="0"/>
                <w:color w:val="auto"/>
                <w:sz w:val="24"/>
                <w:szCs w:val="24"/>
                <w:highlight w:val="none"/>
                <w:u w:val="none"/>
                <w:lang w:val="en-US" w:eastAsia="zh-CN"/>
              </w:rPr>
              <w:t>报价＜全部通过初审供应商响应报价平均值×</w:t>
            </w:r>
            <w:r>
              <w:rPr>
                <w:rFonts w:hint="eastAsia" w:ascii="宋体" w:hAnsi="宋体" w:eastAsia="宋体" w:cs="宋体"/>
                <w:b w:val="0"/>
                <w:bCs w:val="0"/>
                <w:i w:val="0"/>
                <w:iCs w:val="0"/>
                <w:color w:val="auto"/>
                <w:sz w:val="24"/>
                <w:szCs w:val="24"/>
                <w:highlight w:val="none"/>
                <w:u w:val="single"/>
                <w:lang w:val="en-US" w:eastAsia="zh-CN"/>
              </w:rPr>
              <w:t>50%</w:t>
            </w:r>
            <w:r>
              <w:rPr>
                <w:rFonts w:hint="eastAsia" w:ascii="宋体" w:hAnsi="宋体" w:eastAsia="宋体" w:cs="宋体"/>
                <w:b w:val="0"/>
                <w:bCs w:val="0"/>
                <w:i w:val="0"/>
                <w:iCs w:val="0"/>
                <w:color w:val="auto"/>
                <w:sz w:val="24"/>
                <w:szCs w:val="24"/>
                <w:highlight w:val="none"/>
                <w:u w:val="none"/>
                <w:lang w:val="en-US" w:eastAsia="zh-CN"/>
              </w:rPr>
              <w:t>；</w:t>
            </w:r>
          </w:p>
          <w:p w14:paraId="12D6E1A2">
            <w:pPr>
              <w:pStyle w:val="16"/>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color w:val="auto"/>
                <w:sz w:val="24"/>
                <w:szCs w:val="24"/>
                <w:highlight w:val="none"/>
                <w:u w:val="none"/>
                <w:lang w:val="en-US" w:eastAsia="zh-CN"/>
              </w:rPr>
            </w:pPr>
            <w:r>
              <w:rPr>
                <w:rFonts w:hint="eastAsia" w:ascii="宋体" w:hAnsi="宋体" w:eastAsia="宋体" w:cs="宋体"/>
                <w:b w:val="0"/>
                <w:bCs w:val="0"/>
                <w:i w:val="0"/>
                <w:iCs w:val="0"/>
                <w:color w:val="auto"/>
                <w:sz w:val="24"/>
                <w:szCs w:val="24"/>
                <w:highlight w:val="none"/>
                <w:u w:val="none"/>
                <w:lang w:val="en-US" w:eastAsia="zh-CN"/>
              </w:rPr>
              <w:t>（2）报价＜通过初审的次低报价供应商响应报价×</w:t>
            </w:r>
            <w:r>
              <w:rPr>
                <w:rFonts w:hint="eastAsia" w:ascii="宋体" w:hAnsi="宋体" w:eastAsia="宋体" w:cs="宋体"/>
                <w:b w:val="0"/>
                <w:bCs w:val="0"/>
                <w:i w:val="0"/>
                <w:iCs w:val="0"/>
                <w:color w:val="auto"/>
                <w:sz w:val="24"/>
                <w:szCs w:val="24"/>
                <w:highlight w:val="none"/>
                <w:u w:val="single"/>
                <w:lang w:val="en-US" w:eastAsia="zh-CN"/>
              </w:rPr>
              <w:t>50%</w:t>
            </w:r>
            <w:r>
              <w:rPr>
                <w:rFonts w:hint="eastAsia" w:ascii="宋体" w:hAnsi="宋体" w:eastAsia="宋体" w:cs="宋体"/>
                <w:b w:val="0"/>
                <w:bCs w:val="0"/>
                <w:i w:val="0"/>
                <w:iCs w:val="0"/>
                <w:color w:val="auto"/>
                <w:sz w:val="24"/>
                <w:szCs w:val="24"/>
                <w:highlight w:val="none"/>
                <w:u w:val="none"/>
                <w:lang w:val="en-US" w:eastAsia="zh-CN"/>
              </w:rPr>
              <w:t>；</w:t>
            </w:r>
          </w:p>
          <w:p w14:paraId="595C90C5">
            <w:pPr>
              <w:pStyle w:val="16"/>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color w:val="auto"/>
                <w:sz w:val="24"/>
                <w:szCs w:val="24"/>
                <w:highlight w:val="none"/>
                <w:u w:val="none"/>
                <w:lang w:val="en-US" w:eastAsia="zh-CN"/>
              </w:rPr>
            </w:pPr>
            <w:r>
              <w:rPr>
                <w:rFonts w:hint="eastAsia" w:ascii="宋体" w:hAnsi="宋体" w:eastAsia="宋体" w:cs="宋体"/>
                <w:b w:val="0"/>
                <w:bCs w:val="0"/>
                <w:i w:val="0"/>
                <w:iCs w:val="0"/>
                <w:color w:val="auto"/>
                <w:sz w:val="24"/>
                <w:szCs w:val="24"/>
                <w:highlight w:val="none"/>
                <w:u w:val="none"/>
                <w:lang w:val="en-US" w:eastAsia="zh-CN"/>
              </w:rPr>
              <w:t>（3）报价＜采购项目最高限价（如采购项目未设定最高限价的，以采购项目预算金额作为最高限价）×</w:t>
            </w:r>
            <w:r>
              <w:rPr>
                <w:rFonts w:hint="eastAsia" w:ascii="宋体" w:hAnsi="宋体" w:eastAsia="宋体" w:cs="宋体"/>
                <w:b w:val="0"/>
                <w:bCs w:val="0"/>
                <w:i w:val="0"/>
                <w:iCs w:val="0"/>
                <w:color w:val="auto"/>
                <w:sz w:val="24"/>
                <w:szCs w:val="24"/>
                <w:highlight w:val="none"/>
                <w:u w:val="single"/>
                <w:lang w:val="en-US" w:eastAsia="zh-CN"/>
              </w:rPr>
              <w:t>45%</w:t>
            </w:r>
            <w:r>
              <w:rPr>
                <w:rFonts w:hint="eastAsia" w:ascii="宋体" w:hAnsi="宋体" w:eastAsia="宋体" w:cs="宋体"/>
                <w:b w:val="0"/>
                <w:bCs w:val="0"/>
                <w:i w:val="0"/>
                <w:iCs w:val="0"/>
                <w:color w:val="auto"/>
                <w:sz w:val="24"/>
                <w:szCs w:val="24"/>
                <w:highlight w:val="none"/>
                <w:u w:val="none"/>
                <w:lang w:val="en-US" w:eastAsia="zh-CN"/>
              </w:rPr>
              <w:t>；</w:t>
            </w:r>
          </w:p>
          <w:p w14:paraId="6545F9B4">
            <w:pPr>
              <w:pStyle w:val="16"/>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sz w:val="24"/>
                <w:szCs w:val="24"/>
                <w:highlight w:val="none"/>
                <w:u w:val="none"/>
                <w:lang w:val="en-US" w:eastAsia="zh-CN"/>
              </w:rPr>
            </w:pPr>
            <w:r>
              <w:rPr>
                <w:rFonts w:hint="eastAsia" w:ascii="宋体" w:hAnsi="宋体" w:eastAsia="宋体" w:cs="宋体"/>
                <w:b w:val="0"/>
                <w:bCs w:val="0"/>
                <w:i w:val="0"/>
                <w:iCs w:val="0"/>
                <w:sz w:val="24"/>
                <w:szCs w:val="24"/>
                <w:highlight w:val="none"/>
                <w:u w:val="none"/>
                <w:lang w:val="en-US" w:eastAsia="zh-CN"/>
              </w:rPr>
              <w:t>（4）磋商小组基于专业判断，认为供应商报价过低，有可能影响产品质量或者不能诚信履约的其他情形。</w:t>
            </w:r>
          </w:p>
          <w:p w14:paraId="1F1C5BD8">
            <w:pPr>
              <w:pStyle w:val="16"/>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sz w:val="24"/>
                <w:szCs w:val="24"/>
                <w:highlight w:val="none"/>
                <w:u w:val="none"/>
                <w:lang w:val="en-US" w:eastAsia="zh-CN"/>
              </w:rPr>
            </w:pPr>
            <w:r>
              <w:rPr>
                <w:rFonts w:hint="eastAsia" w:ascii="宋体" w:hAnsi="宋体" w:eastAsia="宋体" w:cs="宋体"/>
                <w:b w:val="0"/>
                <w:bCs w:val="0"/>
                <w:i w:val="0"/>
                <w:iCs w:val="0"/>
                <w:sz w:val="24"/>
                <w:szCs w:val="24"/>
                <w:highlight w:val="none"/>
                <w:u w:val="none"/>
                <w:lang w:val="en-US" w:eastAsia="zh-CN"/>
              </w:rPr>
              <w:t>提醒：</w:t>
            </w:r>
          </w:p>
          <w:p w14:paraId="5CB21018">
            <w:pPr>
              <w:pStyle w:val="16"/>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sz w:val="24"/>
                <w:szCs w:val="24"/>
                <w:highlight w:val="none"/>
                <w:u w:val="none"/>
                <w:lang w:val="en-US" w:eastAsia="zh-CN"/>
              </w:rPr>
            </w:pPr>
            <w:r>
              <w:rPr>
                <w:rFonts w:hint="eastAsia" w:ascii="宋体" w:hAnsi="宋体" w:eastAsia="宋体" w:cs="宋体"/>
                <w:b w:val="0"/>
                <w:bCs w:val="0"/>
                <w:i w:val="0"/>
                <w:iCs w:val="0"/>
                <w:sz w:val="24"/>
                <w:szCs w:val="24"/>
                <w:highlight w:val="none"/>
                <w:u w:val="none"/>
                <w:lang w:val="en-US" w:eastAsia="zh-CN"/>
              </w:rPr>
              <w:t>（1）上述第（1）项数值计算：涉及总价、单价的精确到“分”并四舍五入，涉及费率的精确到小数点后两位，第三位四舍五入（例：如平均值为123.456元，即为123.46元；如平均值为80.126%，即为80.13%）。</w:t>
            </w:r>
          </w:p>
          <w:p w14:paraId="361741D1">
            <w:pPr>
              <w:pStyle w:val="16"/>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sz w:val="24"/>
                <w:szCs w:val="24"/>
                <w:highlight w:val="none"/>
                <w:u w:val="none"/>
                <w:lang w:val="en-US" w:eastAsia="zh-CN"/>
              </w:rPr>
            </w:pPr>
            <w:r>
              <w:rPr>
                <w:rFonts w:hint="eastAsia" w:ascii="宋体" w:hAnsi="宋体" w:eastAsia="宋体" w:cs="宋体"/>
                <w:b w:val="0"/>
                <w:bCs w:val="0"/>
                <w:i w:val="0"/>
                <w:iCs w:val="0"/>
                <w:sz w:val="24"/>
                <w:szCs w:val="24"/>
                <w:highlight w:val="none"/>
                <w:u w:val="none"/>
                <w:lang w:val="en-US" w:eastAsia="zh-CN"/>
              </w:rPr>
              <w:t>（2）上述报价均为供应商最后报价。</w:t>
            </w:r>
          </w:p>
        </w:tc>
        <w:tc>
          <w:tcPr>
            <w:tcW w:w="2260" w:type="dxa"/>
            <w:vAlign w:val="center"/>
          </w:tcPr>
          <w:p w14:paraId="4F4E35CC">
            <w:pPr>
              <w:spacing w:line="360" w:lineRule="auto"/>
              <w:rPr>
                <w:rFonts w:hint="eastAsia" w:ascii="宋体" w:hAnsi="宋体" w:eastAsia="宋体" w:cs="宋体"/>
                <w:sz w:val="24"/>
                <w:highlight w:val="none"/>
              </w:rPr>
            </w:pPr>
            <w:r>
              <w:rPr>
                <w:rFonts w:hint="eastAsia" w:ascii="宋体" w:hAnsi="宋体" w:eastAsia="宋体" w:cs="宋体"/>
                <w:sz w:val="24"/>
                <w:highlight w:val="none"/>
                <w:lang w:val="en-US" w:eastAsia="zh-CN"/>
              </w:rPr>
              <w:t>供应商在评审现场合理的时间内对价格作出解释，提供项目具体成本测算等与报价合理性相关的书面说明及必要的证明材料，包括但不限于原材料成本、人工成本、制造费用等。</w:t>
            </w:r>
          </w:p>
        </w:tc>
      </w:tr>
    </w:tbl>
    <w:p w14:paraId="45C50771">
      <w:pPr>
        <w:spacing w:line="360" w:lineRule="auto"/>
        <w:rPr>
          <w:rFonts w:hint="eastAsia" w:ascii="宋体" w:hAnsi="宋体" w:eastAsia="宋体" w:cs="Arial"/>
          <w:sz w:val="24"/>
          <w:highlight w:val="none"/>
          <w:lang w:val="en-US" w:eastAsia="zh-CN"/>
        </w:rPr>
      </w:pPr>
      <w:r>
        <w:rPr>
          <w:rFonts w:hint="eastAsia" w:ascii="宋体" w:hAnsi="宋体" w:eastAsia="宋体" w:cs="Times New Roman"/>
          <w:sz w:val="24"/>
          <w:highlight w:val="none"/>
          <w:lang w:val="en-US" w:eastAsia="zh-CN"/>
        </w:rPr>
        <w:t>注：</w:t>
      </w:r>
    </w:p>
    <w:p w14:paraId="153DDD6B">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sz w:val="24"/>
          <w:highlight w:val="none"/>
        </w:rPr>
      </w:pPr>
      <w:r>
        <w:rPr>
          <w:rFonts w:hint="eastAsia" w:ascii="宋体" w:hAnsi="宋体" w:eastAsia="宋体"/>
          <w:sz w:val="24"/>
          <w:highlight w:val="none"/>
        </w:rPr>
        <w:t>磋商小组启动异常低价响应审查后，属于评审标准中第（1）项至第（4）项情形的，应当要求相关供应商在评审现场合理的时间内（不少于30分钟）对响应价格作出解释，提供项目具体成本测算等与报价合理性相关的书面说明及必要的证明材料，包括但不限于原材料成本、人工成本、制造费用等。其中，属于第</w:t>
      </w:r>
      <w:r>
        <w:rPr>
          <w:rFonts w:hint="eastAsia" w:ascii="宋体" w:hAnsi="宋体" w:eastAsia="宋体"/>
          <w:sz w:val="24"/>
          <w:highlight w:val="none"/>
          <w:lang w:eastAsia="zh-CN"/>
        </w:rPr>
        <w:t>（</w:t>
      </w:r>
      <w:r>
        <w:rPr>
          <w:rFonts w:hint="eastAsia" w:ascii="宋体" w:hAnsi="宋体" w:eastAsia="宋体"/>
          <w:sz w:val="24"/>
          <w:highlight w:val="none"/>
          <w:lang w:val="en-US" w:eastAsia="zh-CN"/>
        </w:rPr>
        <w:t>3</w:t>
      </w:r>
      <w:r>
        <w:rPr>
          <w:rFonts w:hint="eastAsia" w:ascii="宋体" w:hAnsi="宋体" w:eastAsia="宋体"/>
          <w:sz w:val="24"/>
          <w:highlight w:val="none"/>
          <w:lang w:eastAsia="zh-CN"/>
        </w:rPr>
        <w:t>）</w:t>
      </w:r>
      <w:r>
        <w:rPr>
          <w:rFonts w:hint="eastAsia" w:ascii="宋体" w:hAnsi="宋体" w:eastAsia="宋体"/>
          <w:sz w:val="24"/>
          <w:highlight w:val="none"/>
        </w:rPr>
        <w:t>项情形，供应商已随响应文件一并提交相关书面说明及必要的证明材料的，在评审现场可不再重复提交。</w:t>
      </w:r>
    </w:p>
    <w:p w14:paraId="326F5DD3">
      <w:pPr>
        <w:pStyle w:val="1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b/>
          <w:sz w:val="24"/>
          <w:highlight w:val="none"/>
        </w:rPr>
      </w:pPr>
      <w:r>
        <w:rPr>
          <w:rFonts w:hint="eastAsia" w:ascii="宋体" w:hAnsi="宋体" w:eastAsia="宋体"/>
          <w:sz w:val="24"/>
          <w:highlight w:val="none"/>
        </w:rPr>
        <w:t xml:space="preserve">磋商小组依据专业经验，参考同类项目中标（成交）价格、类似产品市场价格水平、行业人工费用标准、国家有关部门指导行业协会发布的行业平均成本等情况，对报价合理性进行判断。供应商不能提供书面说明、证明材料，或者提供的书面说明、证明材料不能证明其报价合理性的，磋商小组应当将其作为无效响应处理。 </w:t>
      </w:r>
    </w:p>
    <w:p w14:paraId="62F5CAA0">
      <w:pPr>
        <w:spacing w:line="360" w:lineRule="auto"/>
        <w:ind w:firstLine="435"/>
        <w:outlineLvl w:val="2"/>
        <w:rPr>
          <w:rFonts w:hint="eastAsia" w:asciiTheme="minorEastAsia" w:hAnsiTheme="minorEastAsia" w:eastAsiaTheme="minorEastAsia"/>
          <w:b/>
          <w:color w:val="auto"/>
          <w:sz w:val="24"/>
          <w:highlight w:val="none"/>
        </w:rPr>
      </w:pPr>
      <w:r>
        <w:rPr>
          <w:rFonts w:hint="eastAsia" w:ascii="宋体" w:hAnsi="宋体" w:eastAsia="宋体"/>
          <w:sz w:val="24"/>
          <w:highlight w:val="none"/>
        </w:rPr>
        <w:t>磋商小组借助互联网等渠道查询相关信息的，应当严格遵守评审工作纪律，不得实施影响评审公正的行为。异常低价响应审查的启动原因、审查意见和审查结果应当在评审报告中记录，并随供应商提供的相关书面说明及证明材料，以及磋商小组有关互联网浏览、查询历史一并归档。</w:t>
      </w:r>
    </w:p>
    <w:p w14:paraId="7BFD6065">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3</w:t>
      </w:r>
      <w:r>
        <w:rPr>
          <w:rFonts w:hint="eastAsia" w:asciiTheme="minorEastAsia" w:hAnsiTheme="minorEastAsia" w:eastAsiaTheme="minorEastAsia"/>
          <w:b/>
          <w:color w:val="auto"/>
          <w:sz w:val="24"/>
          <w:highlight w:val="none"/>
        </w:rPr>
        <w:t>综合评分</w:t>
      </w:r>
    </w:p>
    <w:p w14:paraId="452E0AAF">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磋商小组按照下表对</w:t>
      </w:r>
      <w:r>
        <w:rPr>
          <w:rFonts w:hint="eastAsia"/>
          <w:color w:val="auto"/>
          <w:sz w:val="24"/>
          <w:highlight w:val="none"/>
        </w:rPr>
        <w:t>进入综合评分的所有供应商的</w:t>
      </w:r>
      <w:r>
        <w:rPr>
          <w:rFonts w:hint="eastAsia" w:asciiTheme="minorEastAsia" w:hAnsiTheme="minorEastAsia" w:eastAsiaTheme="minorEastAsia"/>
          <w:color w:val="auto"/>
          <w:sz w:val="24"/>
          <w:highlight w:val="none"/>
        </w:rPr>
        <w:t>响应文件进行综合评分。</w:t>
      </w:r>
    </w:p>
    <w:p w14:paraId="32962D26">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本项目综合评分满分为1</w:t>
      </w:r>
      <w:r>
        <w:rPr>
          <w:rFonts w:asciiTheme="minorEastAsia" w:hAnsiTheme="minorEastAsia" w:eastAsiaTheme="minorEastAsia"/>
          <w:color w:val="auto"/>
          <w:sz w:val="24"/>
          <w:highlight w:val="none"/>
        </w:rPr>
        <w:t>00</w:t>
      </w:r>
      <w:r>
        <w:rPr>
          <w:rFonts w:hint="eastAsia" w:asciiTheme="minorEastAsia" w:hAnsiTheme="minorEastAsia" w:eastAsiaTheme="minorEastAsia"/>
          <w:color w:val="auto"/>
          <w:sz w:val="24"/>
          <w:highlight w:val="none"/>
        </w:rPr>
        <w:t>分，其中：技术资信分值占总分值的权重为</w:t>
      </w:r>
      <w:r>
        <w:rPr>
          <w:rFonts w:hint="eastAsia" w:asciiTheme="minorEastAsia" w:hAnsiTheme="minorEastAsia" w:eastAsiaTheme="minorEastAsia"/>
          <w:color w:val="auto"/>
          <w:sz w:val="24"/>
          <w:highlight w:val="none"/>
          <w:u w:val="single"/>
          <w:lang w:val="en-US" w:eastAsia="zh-CN"/>
        </w:rPr>
        <w:t>40</w:t>
      </w:r>
      <w:r>
        <w:rPr>
          <w:rFonts w:asciiTheme="minorEastAsia" w:hAnsiTheme="minorEastAsia" w:eastAsiaTheme="minorEastAsia"/>
          <w:color w:val="auto"/>
          <w:sz w:val="24"/>
          <w:highlight w:val="none"/>
        </w:rPr>
        <w:t>%，价格分值占总分值的权重为</w:t>
      </w:r>
      <w:r>
        <w:rPr>
          <w:rFonts w:hint="eastAsia" w:asciiTheme="minorEastAsia" w:hAnsiTheme="minorEastAsia" w:eastAsiaTheme="minorEastAsia"/>
          <w:color w:val="auto"/>
          <w:sz w:val="24"/>
          <w:highlight w:val="none"/>
          <w:u w:val="single"/>
          <w:lang w:val="en-US" w:eastAsia="zh-CN"/>
        </w:rPr>
        <w:t>60</w:t>
      </w:r>
      <w:r>
        <w:rPr>
          <w:rFonts w:asciiTheme="minorEastAsia" w:hAnsiTheme="minorEastAsia" w:eastAsiaTheme="minorEastAsia"/>
          <w:color w:val="auto"/>
          <w:sz w:val="24"/>
          <w:highlight w:val="none"/>
        </w:rPr>
        <w:t>%。具体评分细则如下：</w:t>
      </w:r>
    </w:p>
    <w:tbl>
      <w:tblPr>
        <w:tblStyle w:val="5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6"/>
        <w:gridCol w:w="1509"/>
        <w:gridCol w:w="4216"/>
        <w:gridCol w:w="1321"/>
      </w:tblGrid>
      <w:tr w14:paraId="2063B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66" w:type="pct"/>
            <w:tcBorders>
              <w:top w:val="single" w:color="auto" w:sz="4" w:space="0"/>
              <w:left w:val="single" w:color="auto" w:sz="4" w:space="0"/>
              <w:bottom w:val="single" w:color="auto" w:sz="4" w:space="0"/>
              <w:right w:val="single" w:color="auto" w:sz="4" w:space="0"/>
            </w:tcBorders>
            <w:vAlign w:val="center"/>
          </w:tcPr>
          <w:p w14:paraId="43574607">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类别</w:t>
            </w:r>
          </w:p>
        </w:tc>
        <w:tc>
          <w:tcPr>
            <w:tcW w:w="885" w:type="pct"/>
            <w:tcBorders>
              <w:top w:val="single" w:color="auto" w:sz="4" w:space="0"/>
              <w:left w:val="single" w:color="auto" w:sz="4" w:space="0"/>
              <w:bottom w:val="single" w:color="auto" w:sz="4" w:space="0"/>
              <w:right w:val="single" w:color="auto" w:sz="4" w:space="0"/>
            </w:tcBorders>
            <w:vAlign w:val="center"/>
          </w:tcPr>
          <w:p w14:paraId="7D055566">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评分内容</w:t>
            </w:r>
          </w:p>
        </w:tc>
        <w:tc>
          <w:tcPr>
            <w:tcW w:w="2473" w:type="pct"/>
            <w:tcBorders>
              <w:top w:val="single" w:color="auto" w:sz="4" w:space="0"/>
              <w:left w:val="single" w:color="auto" w:sz="4" w:space="0"/>
              <w:bottom w:val="single" w:color="auto" w:sz="4" w:space="0"/>
              <w:right w:val="single" w:color="auto" w:sz="4" w:space="0"/>
            </w:tcBorders>
            <w:vAlign w:val="center"/>
          </w:tcPr>
          <w:p w14:paraId="67F9C7FD">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评分标准</w:t>
            </w:r>
          </w:p>
        </w:tc>
        <w:tc>
          <w:tcPr>
            <w:tcW w:w="774" w:type="pct"/>
            <w:tcBorders>
              <w:top w:val="single" w:color="auto" w:sz="4" w:space="0"/>
              <w:left w:val="single" w:color="auto" w:sz="4" w:space="0"/>
              <w:bottom w:val="single" w:color="auto" w:sz="4" w:space="0"/>
              <w:right w:val="single" w:color="auto" w:sz="4" w:space="0"/>
            </w:tcBorders>
            <w:vAlign w:val="center"/>
          </w:tcPr>
          <w:p w14:paraId="297FDA23">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分值范围</w:t>
            </w:r>
          </w:p>
        </w:tc>
      </w:tr>
      <w:tr w14:paraId="15389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restart"/>
            <w:tcBorders>
              <w:top w:val="single" w:color="auto" w:sz="4" w:space="0"/>
              <w:left w:val="single" w:color="auto" w:sz="4" w:space="0"/>
              <w:right w:val="single" w:color="auto" w:sz="4" w:space="0"/>
            </w:tcBorders>
            <w:vAlign w:val="center"/>
          </w:tcPr>
          <w:p w14:paraId="7E7B7E0B">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技术资信分</w:t>
            </w:r>
          </w:p>
          <w:p w14:paraId="6DCFB4EA">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lang w:val="en-US" w:eastAsia="zh-CN"/>
              </w:rPr>
              <w:t>40</w:t>
            </w:r>
            <w:r>
              <w:rPr>
                <w:rFonts w:hint="eastAsia" w:asciiTheme="minorEastAsia" w:hAnsiTheme="minorEastAsia" w:eastAsiaTheme="minorEastAsia"/>
                <w:color w:val="auto"/>
                <w:sz w:val="24"/>
                <w:highlight w:val="none"/>
              </w:rPr>
              <w:t>分）</w:t>
            </w:r>
          </w:p>
        </w:tc>
        <w:tc>
          <w:tcPr>
            <w:tcW w:w="4133" w:type="pct"/>
            <w:gridSpan w:val="3"/>
            <w:tcBorders>
              <w:top w:val="single" w:color="auto" w:sz="4" w:space="0"/>
              <w:left w:val="single" w:color="auto" w:sz="4" w:space="0"/>
              <w:bottom w:val="single" w:color="auto" w:sz="4" w:space="0"/>
              <w:right w:val="single" w:color="auto" w:sz="4" w:space="0"/>
            </w:tcBorders>
            <w:vAlign w:val="center"/>
          </w:tcPr>
          <w:p w14:paraId="790ED80C">
            <w:pPr>
              <w:spacing w:line="360" w:lineRule="auto"/>
              <w:jc w:val="center"/>
              <w:rPr>
                <w:rFonts w:hint="default" w:asciiTheme="minorEastAsia" w:hAnsiTheme="minorEastAsia" w:eastAsiaTheme="minorEastAsia"/>
                <w:b/>
                <w:bCs/>
                <w:color w:val="auto"/>
                <w:sz w:val="24"/>
                <w:highlight w:val="none"/>
                <w:lang w:val="en-US" w:eastAsia="zh-CN"/>
              </w:rPr>
            </w:pPr>
            <w:r>
              <w:rPr>
                <w:rFonts w:hint="eastAsia" w:asciiTheme="minorEastAsia" w:hAnsiTheme="minorEastAsia" w:eastAsiaTheme="minorEastAsia"/>
                <w:b/>
                <w:bCs/>
                <w:color w:val="auto"/>
                <w:sz w:val="24"/>
                <w:highlight w:val="none"/>
                <w:lang w:val="en-US" w:eastAsia="zh-CN"/>
              </w:rPr>
              <w:t>技术部分</w:t>
            </w:r>
          </w:p>
        </w:tc>
      </w:tr>
      <w:tr w14:paraId="4DD8A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14:paraId="36F05733">
            <w:pPr>
              <w:spacing w:line="360" w:lineRule="auto"/>
              <w:ind w:firstLine="435"/>
              <w:jc w:val="center"/>
              <w:rPr>
                <w:rFonts w:asciiTheme="minorEastAsia" w:hAnsiTheme="minorEastAsia" w:eastAsiaTheme="minorEastAsia"/>
                <w:b/>
                <w:bCs/>
                <w:color w:val="auto"/>
                <w:sz w:val="24"/>
                <w:highlight w:val="none"/>
              </w:rPr>
            </w:pPr>
          </w:p>
        </w:tc>
        <w:tc>
          <w:tcPr>
            <w:tcW w:w="885" w:type="pct"/>
            <w:tcBorders>
              <w:top w:val="single" w:color="auto" w:sz="4" w:space="0"/>
              <w:left w:val="single" w:color="auto" w:sz="4" w:space="0"/>
              <w:bottom w:val="single" w:color="auto" w:sz="4" w:space="0"/>
              <w:right w:val="single" w:color="auto" w:sz="4" w:space="0"/>
            </w:tcBorders>
            <w:vAlign w:val="center"/>
          </w:tcPr>
          <w:p w14:paraId="7C415EEA">
            <w:pPr>
              <w:spacing w:line="360" w:lineRule="auto"/>
              <w:jc w:val="center"/>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工程主要施工方案与技术措施</w:t>
            </w:r>
          </w:p>
          <w:p w14:paraId="375331D5">
            <w:pPr>
              <w:spacing w:line="360" w:lineRule="auto"/>
              <w:jc w:val="center"/>
              <w:rPr>
                <w:rFonts w:hint="eastAsia" w:asciiTheme="minorEastAsia" w:hAnsiTheme="minorEastAsia" w:eastAsiaTheme="minorEastAsia"/>
                <w:color w:val="auto"/>
                <w:sz w:val="24"/>
                <w:highlight w:val="none"/>
                <w:lang w:val="en-US" w:eastAsia="zh-CN"/>
              </w:rPr>
            </w:pPr>
          </w:p>
        </w:tc>
        <w:tc>
          <w:tcPr>
            <w:tcW w:w="2473" w:type="pct"/>
            <w:tcBorders>
              <w:top w:val="single" w:color="auto" w:sz="4" w:space="0"/>
              <w:left w:val="single" w:color="auto" w:sz="4" w:space="0"/>
              <w:bottom w:val="single" w:color="auto" w:sz="4" w:space="0"/>
              <w:right w:val="single" w:color="auto" w:sz="4" w:space="0"/>
            </w:tcBorders>
            <w:vAlign w:val="center"/>
          </w:tcPr>
          <w:p w14:paraId="3B8AABD4">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根据供应商提供的各分部分项工程的主要施工方案与技术措施进行评审：</w:t>
            </w:r>
          </w:p>
          <w:p w14:paraId="6E475D97">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（1）各主要分部施工方法优于项目实际，有详尽的施工技术方案，工艺先进、方法可行，能够高质高效的施工并确保施工安全得5分；</w:t>
            </w:r>
          </w:p>
          <w:p w14:paraId="7784B3D1">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（2）各主要分部施工方法符合项目实际，施工技术方案完整，工艺符合施工需求、能指导具体施工并确保施工安全得3分；</w:t>
            </w:r>
          </w:p>
          <w:p w14:paraId="048212DB">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（3）各主要分部施工方法符合项目实际，施工技术方案普通，工艺普通、能够指导具体施工得1分；</w:t>
            </w:r>
          </w:p>
          <w:p w14:paraId="4BEC6688">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（4）未提供的不得分。</w:t>
            </w:r>
          </w:p>
        </w:tc>
        <w:tc>
          <w:tcPr>
            <w:tcW w:w="774" w:type="pct"/>
            <w:tcBorders>
              <w:top w:val="single" w:color="auto" w:sz="4" w:space="0"/>
              <w:left w:val="single" w:color="auto" w:sz="4" w:space="0"/>
              <w:bottom w:val="single" w:color="auto" w:sz="4" w:space="0"/>
              <w:right w:val="single" w:color="auto" w:sz="4" w:space="0"/>
            </w:tcBorders>
            <w:vAlign w:val="center"/>
          </w:tcPr>
          <w:p w14:paraId="7508B905">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0-5分</w:t>
            </w:r>
          </w:p>
        </w:tc>
      </w:tr>
      <w:tr w14:paraId="2E360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14:paraId="57F3D774">
            <w:pPr>
              <w:spacing w:line="360" w:lineRule="auto"/>
              <w:ind w:firstLine="435"/>
              <w:jc w:val="center"/>
              <w:rPr>
                <w:rFonts w:asciiTheme="minorEastAsia" w:hAnsiTheme="minorEastAsia" w:eastAsiaTheme="minorEastAsia"/>
                <w:b/>
                <w:bCs/>
                <w:color w:val="auto"/>
                <w:sz w:val="24"/>
                <w:highlight w:val="none"/>
              </w:rPr>
            </w:pPr>
          </w:p>
        </w:tc>
        <w:tc>
          <w:tcPr>
            <w:tcW w:w="885" w:type="pct"/>
            <w:tcBorders>
              <w:top w:val="single" w:color="auto" w:sz="4" w:space="0"/>
              <w:left w:val="single" w:color="auto" w:sz="4" w:space="0"/>
              <w:bottom w:val="single" w:color="auto" w:sz="4" w:space="0"/>
              <w:right w:val="single" w:color="auto" w:sz="4" w:space="0"/>
            </w:tcBorders>
            <w:vAlign w:val="center"/>
          </w:tcPr>
          <w:p w14:paraId="6D850305">
            <w:pPr>
              <w:spacing w:line="360" w:lineRule="auto"/>
              <w:jc w:val="center"/>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主要苗木、施工机械、设备供应计划</w:t>
            </w:r>
          </w:p>
        </w:tc>
        <w:tc>
          <w:tcPr>
            <w:tcW w:w="2473" w:type="pct"/>
            <w:tcBorders>
              <w:top w:val="single" w:color="auto" w:sz="4" w:space="0"/>
              <w:left w:val="single" w:color="auto" w:sz="4" w:space="0"/>
              <w:bottom w:val="single" w:color="auto" w:sz="4" w:space="0"/>
              <w:right w:val="single" w:color="auto" w:sz="4" w:space="0"/>
            </w:tcBorders>
            <w:vAlign w:val="center"/>
          </w:tcPr>
          <w:p w14:paraId="24B555CE">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根据供应商提供的主要苗木、施工机械、设备计划措施进行评审：</w:t>
            </w:r>
          </w:p>
          <w:p w14:paraId="66B87FE4">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（1）主要苗木、施工机械、设备供应计划贴合项目实际，步骤节点内容完整，时间安排合理、紧凑，供货方案完整、清楚、周密，完全满足服务工期要求的，得5 分；</w:t>
            </w:r>
          </w:p>
          <w:p w14:paraId="6BA4D1BC">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（2）主要苗木、施工机械、设备供应计划每个步骤节点内容齐全， 时间安排合理，保证措施需完善，能满足服务工期要求的，得3分；</w:t>
            </w:r>
          </w:p>
          <w:p w14:paraId="57DAAFD4">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（3）主要苗木、施工机械、设备供应计划完整性需调整，保证措施需完善的，得1分；</w:t>
            </w:r>
          </w:p>
          <w:p w14:paraId="4C40B496">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（4）未提供的不得分。</w:t>
            </w:r>
          </w:p>
        </w:tc>
        <w:tc>
          <w:tcPr>
            <w:tcW w:w="774" w:type="pct"/>
            <w:tcBorders>
              <w:top w:val="single" w:color="auto" w:sz="4" w:space="0"/>
              <w:left w:val="single" w:color="auto" w:sz="4" w:space="0"/>
              <w:bottom w:val="single" w:color="auto" w:sz="4" w:space="0"/>
              <w:right w:val="single" w:color="auto" w:sz="4" w:space="0"/>
            </w:tcBorders>
            <w:vAlign w:val="center"/>
          </w:tcPr>
          <w:p w14:paraId="38FE4FFB">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0-5分</w:t>
            </w:r>
          </w:p>
        </w:tc>
      </w:tr>
      <w:tr w14:paraId="7AEED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14:paraId="7E671FB8">
            <w:pPr>
              <w:spacing w:line="360" w:lineRule="auto"/>
              <w:ind w:firstLine="435"/>
              <w:jc w:val="center"/>
              <w:rPr>
                <w:rFonts w:asciiTheme="minorEastAsia" w:hAnsiTheme="minorEastAsia" w:eastAsiaTheme="minorEastAsia"/>
                <w:b/>
                <w:bCs/>
                <w:color w:val="auto"/>
                <w:sz w:val="24"/>
                <w:highlight w:val="none"/>
              </w:rPr>
            </w:pPr>
          </w:p>
        </w:tc>
        <w:tc>
          <w:tcPr>
            <w:tcW w:w="885" w:type="pct"/>
            <w:tcBorders>
              <w:top w:val="single" w:color="auto" w:sz="4" w:space="0"/>
              <w:left w:val="single" w:color="auto" w:sz="4" w:space="0"/>
              <w:bottom w:val="single" w:color="auto" w:sz="4" w:space="0"/>
              <w:right w:val="single" w:color="auto" w:sz="4" w:space="0"/>
            </w:tcBorders>
            <w:vAlign w:val="center"/>
          </w:tcPr>
          <w:p w14:paraId="69CE528F">
            <w:pPr>
              <w:spacing w:line="360" w:lineRule="auto"/>
              <w:jc w:val="center"/>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工程质量和养护质量管理方案及措施</w:t>
            </w:r>
          </w:p>
        </w:tc>
        <w:tc>
          <w:tcPr>
            <w:tcW w:w="2473" w:type="pct"/>
            <w:tcBorders>
              <w:top w:val="single" w:color="auto" w:sz="4" w:space="0"/>
              <w:left w:val="single" w:color="auto" w:sz="4" w:space="0"/>
              <w:bottom w:val="single" w:color="auto" w:sz="4" w:space="0"/>
              <w:right w:val="single" w:color="auto" w:sz="4" w:space="0"/>
            </w:tcBorders>
            <w:vAlign w:val="center"/>
          </w:tcPr>
          <w:p w14:paraId="78A98ACE">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根据供应商提供的各分部分项工程的质量和养护质量管理措施进行评审：</w:t>
            </w:r>
          </w:p>
          <w:p w14:paraId="65D8F12E">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（1）工程质量和养护质量的管理措施内容分析全面、详细，处理方法及步骤清晰，应有专门的质量技术管理班子和制度，且人员配备合理， 制度健全，主要工序应有质量技术保证措施和手段，自控体系完整，能有效的保证技术质量，达到承诺的质量标准的，得5分；</w:t>
            </w:r>
          </w:p>
          <w:p w14:paraId="4A5521AF">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工程质量和养护质量的管理措施内容分析清楚，方案合理，处理方法符合实际，有专门的质量技术管理班子和制度，且人员配备合理，主要工序应有质量技术保证措施和手段，自控体系完整，能够保证技术质量的，得3分；</w:t>
            </w:r>
          </w:p>
          <w:p w14:paraId="1BC641D4">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（3）工程质量和养护质量的管理措施内容分析不完整，方案需完善，处理方法步骤混乱，自控体系达到承诺的质量标准，部分存在不足的，得1分；</w:t>
            </w:r>
          </w:p>
          <w:p w14:paraId="12CFEFB5">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（4）未提供的不得分。</w:t>
            </w:r>
          </w:p>
        </w:tc>
        <w:tc>
          <w:tcPr>
            <w:tcW w:w="774" w:type="pct"/>
            <w:tcBorders>
              <w:top w:val="single" w:color="auto" w:sz="4" w:space="0"/>
              <w:left w:val="single" w:color="auto" w:sz="4" w:space="0"/>
              <w:bottom w:val="single" w:color="auto" w:sz="4" w:space="0"/>
              <w:right w:val="single" w:color="auto" w:sz="4" w:space="0"/>
            </w:tcBorders>
            <w:vAlign w:val="center"/>
          </w:tcPr>
          <w:p w14:paraId="448253D6">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0-5分</w:t>
            </w:r>
          </w:p>
        </w:tc>
      </w:tr>
      <w:tr w14:paraId="180AD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14:paraId="28143254">
            <w:pPr>
              <w:spacing w:line="360" w:lineRule="auto"/>
              <w:ind w:firstLine="435"/>
              <w:jc w:val="center"/>
              <w:rPr>
                <w:rFonts w:asciiTheme="minorEastAsia" w:hAnsiTheme="minorEastAsia" w:eastAsiaTheme="minorEastAsia"/>
                <w:b/>
                <w:bCs/>
                <w:color w:val="auto"/>
                <w:sz w:val="24"/>
                <w:highlight w:val="none"/>
              </w:rPr>
            </w:pPr>
          </w:p>
        </w:tc>
        <w:tc>
          <w:tcPr>
            <w:tcW w:w="885" w:type="pct"/>
            <w:tcBorders>
              <w:top w:val="single" w:color="auto" w:sz="4" w:space="0"/>
              <w:left w:val="single" w:color="auto" w:sz="4" w:space="0"/>
              <w:bottom w:val="single" w:color="auto" w:sz="4" w:space="0"/>
              <w:right w:val="single" w:color="auto" w:sz="4" w:space="0"/>
            </w:tcBorders>
            <w:vAlign w:val="center"/>
          </w:tcPr>
          <w:p w14:paraId="4EEFC28D">
            <w:pPr>
              <w:spacing w:line="360" w:lineRule="auto"/>
              <w:jc w:val="center"/>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绿化养护</w:t>
            </w:r>
          </w:p>
          <w:p w14:paraId="62167183">
            <w:pPr>
              <w:spacing w:line="360" w:lineRule="auto"/>
              <w:jc w:val="center"/>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实施方案</w:t>
            </w:r>
          </w:p>
        </w:tc>
        <w:tc>
          <w:tcPr>
            <w:tcW w:w="2473" w:type="pct"/>
            <w:tcBorders>
              <w:top w:val="single" w:color="auto" w:sz="4" w:space="0"/>
              <w:left w:val="single" w:color="auto" w:sz="4" w:space="0"/>
              <w:bottom w:val="single" w:color="auto" w:sz="4" w:space="0"/>
              <w:right w:val="single" w:color="auto" w:sz="4" w:space="0"/>
            </w:tcBorders>
            <w:vAlign w:val="center"/>
          </w:tcPr>
          <w:p w14:paraId="5510EA33">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根据各供应商提供的针对本项目实际情况制定的绿化养护实施方案进行评审：</w:t>
            </w:r>
          </w:p>
          <w:p w14:paraId="12AFFB40">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（1）有详尽的绿化养护方案（含日常养护方案及月计划养护方案），养护方法合理可行，能够高质高效的养护并确保养护质量，得5分；</w:t>
            </w:r>
          </w:p>
          <w:p w14:paraId="385AA1C2">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（2）绿化养护方案（含日常养护方案及月计划养护方案）完整，养护方法满足养护需求，能有具体养护措施，保证养护质量，得3分；</w:t>
            </w:r>
          </w:p>
          <w:p w14:paraId="478E3405">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（3）绿化养护方案（含日常养护方案及月计划养护方案）不完整，有待提高，养护方法可行，保证养护质量得1分；</w:t>
            </w:r>
          </w:p>
          <w:p w14:paraId="24FB17E5">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（4）未提供的不得分。</w:t>
            </w:r>
          </w:p>
        </w:tc>
        <w:tc>
          <w:tcPr>
            <w:tcW w:w="774" w:type="pct"/>
            <w:tcBorders>
              <w:top w:val="single" w:color="auto" w:sz="4" w:space="0"/>
              <w:left w:val="single" w:color="auto" w:sz="4" w:space="0"/>
              <w:bottom w:val="single" w:color="auto" w:sz="4" w:space="0"/>
              <w:right w:val="single" w:color="auto" w:sz="4" w:space="0"/>
            </w:tcBorders>
            <w:vAlign w:val="center"/>
          </w:tcPr>
          <w:p w14:paraId="3B8A4168">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0-5分</w:t>
            </w:r>
          </w:p>
        </w:tc>
      </w:tr>
      <w:tr w14:paraId="6F4DE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14:paraId="06B7DFD7">
            <w:pPr>
              <w:spacing w:line="360" w:lineRule="auto"/>
              <w:ind w:firstLine="435"/>
              <w:jc w:val="center"/>
              <w:rPr>
                <w:rFonts w:asciiTheme="minorEastAsia" w:hAnsiTheme="minorEastAsia" w:eastAsiaTheme="minorEastAsia"/>
                <w:b/>
                <w:bCs/>
                <w:color w:val="auto"/>
                <w:sz w:val="24"/>
                <w:highlight w:val="none"/>
              </w:rPr>
            </w:pPr>
          </w:p>
        </w:tc>
        <w:tc>
          <w:tcPr>
            <w:tcW w:w="885" w:type="pct"/>
            <w:tcBorders>
              <w:top w:val="single" w:color="auto" w:sz="4" w:space="0"/>
              <w:left w:val="single" w:color="auto" w:sz="4" w:space="0"/>
              <w:bottom w:val="single" w:color="auto" w:sz="4" w:space="0"/>
              <w:right w:val="single" w:color="auto" w:sz="4" w:space="0"/>
            </w:tcBorders>
            <w:vAlign w:val="center"/>
          </w:tcPr>
          <w:p w14:paraId="30842E5B">
            <w:pPr>
              <w:spacing w:line="360" w:lineRule="auto"/>
              <w:jc w:val="center"/>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工程进度与措施及施工网络图</w:t>
            </w:r>
          </w:p>
        </w:tc>
        <w:tc>
          <w:tcPr>
            <w:tcW w:w="2473" w:type="pct"/>
            <w:tcBorders>
              <w:top w:val="single" w:color="auto" w:sz="4" w:space="0"/>
              <w:left w:val="single" w:color="auto" w:sz="4" w:space="0"/>
              <w:bottom w:val="single" w:color="auto" w:sz="4" w:space="0"/>
              <w:right w:val="single" w:color="auto" w:sz="4" w:space="0"/>
            </w:tcBorders>
            <w:vAlign w:val="center"/>
          </w:tcPr>
          <w:p w14:paraId="0B4028F7">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根据供应商提供的各分部分项工程的工程进度与措施及施工图网络图进行评审：</w:t>
            </w:r>
          </w:p>
          <w:p w14:paraId="2006BD9D">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（1）工程进度在施工工艺、施工方法、材料选用、劳动力安排、技术等方面有保证工期的具体措施、方案具体详尽、具有可行性。有控制工期的 施工进度计划。应有施工总进度表或施工网络图，各项计划图表编制完善，安排合理的，得5分；</w:t>
            </w:r>
          </w:p>
          <w:p w14:paraId="7A323674">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（2）工程进度在施工工艺、施工方法、材料选用、劳动力安排、技术等方面有保证工期的措施且措施合理。有控制工期的施工进度计划。应有施工总进度表或施工网络图， 各项计划图 表编制完善，符合本项目施工实际要求的，得3分；</w:t>
            </w:r>
          </w:p>
          <w:p w14:paraId="7D73BADD">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（3）工程进度在施工工艺、施工方法、材料选用、劳动力安排、 技术等方面有保证工期的措施。有控制工期的施工进度计划。 施工图网络图绘制不明确，出现非专门针对该项目特性内容的，得1分；</w:t>
            </w:r>
          </w:p>
          <w:p w14:paraId="482603F3">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（4）未提供的不得分。</w:t>
            </w:r>
          </w:p>
        </w:tc>
        <w:tc>
          <w:tcPr>
            <w:tcW w:w="774" w:type="pct"/>
            <w:tcBorders>
              <w:top w:val="single" w:color="auto" w:sz="4" w:space="0"/>
              <w:left w:val="single" w:color="auto" w:sz="4" w:space="0"/>
              <w:bottom w:val="single" w:color="auto" w:sz="4" w:space="0"/>
              <w:right w:val="single" w:color="auto" w:sz="4" w:space="0"/>
            </w:tcBorders>
            <w:vAlign w:val="center"/>
          </w:tcPr>
          <w:p w14:paraId="3575ECA8">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0-5分</w:t>
            </w:r>
          </w:p>
        </w:tc>
      </w:tr>
      <w:tr w14:paraId="36EC8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14:paraId="2D59DCBC">
            <w:pPr>
              <w:spacing w:line="360" w:lineRule="auto"/>
              <w:ind w:firstLine="435"/>
              <w:jc w:val="center"/>
              <w:rPr>
                <w:rFonts w:asciiTheme="minorEastAsia" w:hAnsiTheme="minorEastAsia" w:eastAsiaTheme="minorEastAsia"/>
                <w:b/>
                <w:bCs/>
                <w:color w:val="auto"/>
                <w:sz w:val="24"/>
                <w:highlight w:val="none"/>
              </w:rPr>
            </w:pPr>
          </w:p>
        </w:tc>
        <w:tc>
          <w:tcPr>
            <w:tcW w:w="885" w:type="pct"/>
            <w:tcBorders>
              <w:top w:val="single" w:color="auto" w:sz="4" w:space="0"/>
              <w:left w:val="single" w:color="auto" w:sz="4" w:space="0"/>
              <w:bottom w:val="single" w:color="auto" w:sz="4" w:space="0"/>
              <w:right w:val="single" w:color="auto" w:sz="4" w:space="0"/>
            </w:tcBorders>
            <w:vAlign w:val="center"/>
          </w:tcPr>
          <w:p w14:paraId="19876E3C">
            <w:pPr>
              <w:spacing w:line="360" w:lineRule="auto"/>
              <w:jc w:val="center"/>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安全文明作业方案</w:t>
            </w:r>
          </w:p>
        </w:tc>
        <w:tc>
          <w:tcPr>
            <w:tcW w:w="2473" w:type="pct"/>
            <w:tcBorders>
              <w:top w:val="single" w:color="auto" w:sz="4" w:space="0"/>
              <w:left w:val="single" w:color="auto" w:sz="4" w:space="0"/>
              <w:bottom w:val="single" w:color="auto" w:sz="4" w:space="0"/>
              <w:right w:val="single" w:color="auto" w:sz="4" w:space="0"/>
            </w:tcBorders>
            <w:vAlign w:val="center"/>
          </w:tcPr>
          <w:p w14:paraId="4D3FA73C">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根据现场实际情况结合本项目特点，制定合理、有针对的安全文明作业方案。 方案需至少体现以下内容：①工程施工作业的安全文明保障措施，②日常养护中的噪音管理措施，③日常养护的人员服装等规范性措施。</w:t>
            </w:r>
          </w:p>
          <w:p w14:paraId="1FD8A03E">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 xml:space="preserve">（1）方案覆盖全面、要点突出、针对性强，内容完整详实，表述清晰，本项目实际需求适应度相契合，利于项目实施的得5分； </w:t>
            </w:r>
          </w:p>
          <w:p w14:paraId="00C84E01">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 xml:space="preserve">（2）方案覆盖全面、内容完整详实，表述清晰，与本项目实际需求匹配，符合项目实施要求的得3分； </w:t>
            </w:r>
          </w:p>
          <w:p w14:paraId="0AC949C8">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 xml:space="preserve">（3）方案覆盖不全面，要点突出不够明显，具体细节有待完善的得1分； </w:t>
            </w:r>
          </w:p>
          <w:p w14:paraId="6A4A3C2D">
            <w:p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（4）未提供的不得分。</w:t>
            </w:r>
          </w:p>
        </w:tc>
        <w:tc>
          <w:tcPr>
            <w:tcW w:w="774" w:type="pct"/>
            <w:tcBorders>
              <w:top w:val="single" w:color="auto" w:sz="4" w:space="0"/>
              <w:left w:val="single" w:color="auto" w:sz="4" w:space="0"/>
              <w:bottom w:val="single" w:color="auto" w:sz="4" w:space="0"/>
              <w:right w:val="single" w:color="auto" w:sz="4" w:space="0"/>
            </w:tcBorders>
            <w:vAlign w:val="center"/>
          </w:tcPr>
          <w:p w14:paraId="18E3B451">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0-5分</w:t>
            </w:r>
          </w:p>
        </w:tc>
      </w:tr>
      <w:tr w14:paraId="30E55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14:paraId="7C5E9E0E">
            <w:pPr>
              <w:spacing w:line="360" w:lineRule="auto"/>
              <w:ind w:firstLine="435"/>
              <w:jc w:val="center"/>
              <w:rPr>
                <w:rFonts w:asciiTheme="minorEastAsia" w:hAnsiTheme="minorEastAsia" w:eastAsiaTheme="minorEastAsia"/>
                <w:b/>
                <w:bCs/>
                <w:color w:val="auto"/>
                <w:sz w:val="24"/>
                <w:highlight w:val="none"/>
              </w:rPr>
            </w:pPr>
          </w:p>
        </w:tc>
        <w:tc>
          <w:tcPr>
            <w:tcW w:w="885" w:type="pct"/>
            <w:tcBorders>
              <w:top w:val="single" w:color="auto" w:sz="4" w:space="0"/>
              <w:left w:val="single" w:color="auto" w:sz="4" w:space="0"/>
              <w:bottom w:val="single" w:color="auto" w:sz="4" w:space="0"/>
              <w:right w:val="single" w:color="auto" w:sz="4" w:space="0"/>
            </w:tcBorders>
            <w:vAlign w:val="center"/>
          </w:tcPr>
          <w:p w14:paraId="4CBC6F38">
            <w:pPr>
              <w:spacing w:line="360" w:lineRule="auto"/>
              <w:jc w:val="center"/>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合理化建议</w:t>
            </w:r>
          </w:p>
        </w:tc>
        <w:tc>
          <w:tcPr>
            <w:tcW w:w="2473" w:type="pct"/>
            <w:tcBorders>
              <w:top w:val="single" w:color="auto" w:sz="4" w:space="0"/>
              <w:left w:val="single" w:color="auto" w:sz="4" w:space="0"/>
              <w:bottom w:val="single" w:color="auto" w:sz="4" w:space="0"/>
              <w:right w:val="single" w:color="auto" w:sz="4" w:space="0"/>
            </w:tcBorders>
            <w:vAlign w:val="center"/>
          </w:tcPr>
          <w:p w14:paraId="65BEED1D">
            <w:pPr>
              <w:numPr>
                <w:ilvl w:val="0"/>
                <w:numId w:val="3"/>
              </w:num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针对本工程特点，列出对本工程的建议，且有具体的保证措施。各项措施周全、具体、有效的得5分；</w:t>
            </w:r>
          </w:p>
          <w:p w14:paraId="1467359D">
            <w:pPr>
              <w:numPr>
                <w:ilvl w:val="0"/>
                <w:numId w:val="3"/>
              </w:num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针对本工程特点，列出本工程的建议，建议合理并有具体的保证措施。各项措施内容清晰、完善的得3分；</w:t>
            </w:r>
          </w:p>
          <w:p w14:paraId="43C97C25">
            <w:pPr>
              <w:numPr>
                <w:ilvl w:val="0"/>
                <w:numId w:val="3"/>
              </w:num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针对本工程特点，列出本工程的建议，建议并有具体的保证措施。但缺项或关键点缺失或出现非专门针对本项目特性内容的得1分；</w:t>
            </w:r>
          </w:p>
          <w:p w14:paraId="164231E6">
            <w:pPr>
              <w:numPr>
                <w:ilvl w:val="0"/>
                <w:numId w:val="3"/>
              </w:numPr>
              <w:spacing w:line="360" w:lineRule="auto"/>
              <w:jc w:val="left"/>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不合格的或未提供的不得分。</w:t>
            </w:r>
          </w:p>
        </w:tc>
        <w:tc>
          <w:tcPr>
            <w:tcW w:w="774" w:type="pct"/>
            <w:tcBorders>
              <w:top w:val="single" w:color="auto" w:sz="4" w:space="0"/>
              <w:left w:val="single" w:color="auto" w:sz="4" w:space="0"/>
              <w:bottom w:val="single" w:color="auto" w:sz="4" w:space="0"/>
              <w:right w:val="single" w:color="auto" w:sz="4" w:space="0"/>
            </w:tcBorders>
            <w:vAlign w:val="center"/>
          </w:tcPr>
          <w:p w14:paraId="7055BF1B">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0-5分</w:t>
            </w:r>
          </w:p>
        </w:tc>
      </w:tr>
      <w:tr w14:paraId="505E3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14:paraId="736ACA80">
            <w:pPr>
              <w:spacing w:line="360" w:lineRule="auto"/>
              <w:ind w:firstLine="435"/>
              <w:jc w:val="center"/>
              <w:rPr>
                <w:rFonts w:asciiTheme="minorEastAsia" w:hAnsiTheme="minorEastAsia" w:eastAsiaTheme="minorEastAsia"/>
                <w:b/>
                <w:bCs/>
                <w:color w:val="auto"/>
                <w:sz w:val="24"/>
                <w:highlight w:val="none"/>
              </w:rPr>
            </w:pPr>
          </w:p>
        </w:tc>
        <w:tc>
          <w:tcPr>
            <w:tcW w:w="4133" w:type="pct"/>
            <w:gridSpan w:val="3"/>
            <w:tcBorders>
              <w:top w:val="single" w:color="auto" w:sz="4" w:space="0"/>
              <w:left w:val="single" w:color="auto" w:sz="4" w:space="0"/>
              <w:bottom w:val="single" w:color="auto" w:sz="4" w:space="0"/>
              <w:right w:val="single" w:color="auto" w:sz="4" w:space="0"/>
            </w:tcBorders>
            <w:vAlign w:val="center"/>
          </w:tcPr>
          <w:p w14:paraId="555CA5BF">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lang w:val="en-US" w:eastAsia="zh-CN"/>
              </w:rPr>
              <w:t>资信部分</w:t>
            </w:r>
          </w:p>
        </w:tc>
      </w:tr>
      <w:tr w14:paraId="6D18B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14:paraId="0134C759">
            <w:pPr>
              <w:spacing w:line="360" w:lineRule="auto"/>
              <w:ind w:firstLine="435"/>
              <w:jc w:val="center"/>
              <w:rPr>
                <w:rFonts w:asciiTheme="minorEastAsia" w:hAnsiTheme="minorEastAsia" w:eastAsiaTheme="minorEastAsia"/>
                <w:b/>
                <w:bCs/>
                <w:color w:val="auto"/>
                <w:sz w:val="24"/>
                <w:highlight w:val="none"/>
              </w:rPr>
            </w:pPr>
          </w:p>
        </w:tc>
        <w:tc>
          <w:tcPr>
            <w:tcW w:w="885" w:type="pct"/>
            <w:tcBorders>
              <w:top w:val="single" w:color="auto" w:sz="4" w:space="0"/>
              <w:left w:val="single" w:color="auto" w:sz="4" w:space="0"/>
              <w:bottom w:val="single" w:color="auto" w:sz="4" w:space="0"/>
              <w:right w:val="single" w:color="auto" w:sz="4" w:space="0"/>
            </w:tcBorders>
            <w:vAlign w:val="center"/>
          </w:tcPr>
          <w:p w14:paraId="72C29BED">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业绩</w:t>
            </w:r>
          </w:p>
        </w:tc>
        <w:tc>
          <w:tcPr>
            <w:tcW w:w="2473" w:type="pct"/>
            <w:tcBorders>
              <w:top w:val="single" w:color="auto" w:sz="4" w:space="0"/>
              <w:left w:val="single" w:color="auto" w:sz="4" w:space="0"/>
              <w:bottom w:val="single" w:color="auto" w:sz="4" w:space="0"/>
              <w:right w:val="single" w:color="auto" w:sz="4" w:space="0"/>
            </w:tcBorders>
            <w:vAlign w:val="center"/>
          </w:tcPr>
          <w:p w14:paraId="3D91EA6A">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自2021</w:t>
            </w:r>
            <w:r>
              <w:rPr>
                <w:rFonts w:hint="eastAsia" w:asciiTheme="minorEastAsia" w:hAnsiTheme="minorEastAsia" w:eastAsiaTheme="minorEastAsia"/>
                <w:color w:val="auto"/>
                <w:sz w:val="24"/>
                <w:highlight w:val="none"/>
                <w:lang w:val="en-US" w:eastAsia="zh-CN"/>
              </w:rPr>
              <w:t>年2月1日至投标截止时间止，每提供1个园林绿化工程施工业绩的得2</w:t>
            </w:r>
            <w:r>
              <w:rPr>
                <w:rFonts w:hint="eastAsia" w:asciiTheme="minorEastAsia" w:hAnsiTheme="minorEastAsia" w:eastAsiaTheme="minorEastAsia"/>
                <w:color w:val="auto"/>
                <w:sz w:val="24"/>
                <w:highlight w:val="none"/>
              </w:rPr>
              <w:t>分</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其他的不得分，</w:t>
            </w:r>
            <w:r>
              <w:rPr>
                <w:rFonts w:hint="eastAsia" w:asciiTheme="minorEastAsia" w:hAnsiTheme="minorEastAsia" w:eastAsiaTheme="minorEastAsia"/>
                <w:color w:val="auto"/>
                <w:sz w:val="24"/>
                <w:highlight w:val="none"/>
              </w:rPr>
              <w:t>本条最高得4分。</w:t>
            </w:r>
          </w:p>
          <w:p w14:paraId="606B3AF5">
            <w:pPr>
              <w:keepNext w:val="0"/>
              <w:keepLines w:val="0"/>
              <w:suppressLineNumbers w:val="0"/>
              <w:spacing w:before="0" w:beforeAutospacing="0" w:after="0" w:afterAutospacing="0" w:line="360" w:lineRule="auto"/>
              <w:ind w:left="0" w:right="0"/>
              <w:jc w:val="left"/>
              <w:rPr>
                <w:rFonts w:hint="eastAsia" w:ascii="宋体" w:hAnsi="宋体" w:eastAsia="宋体" w:cs="宋体"/>
                <w:bCs/>
                <w:color w:val="auto"/>
                <w:sz w:val="24"/>
                <w:szCs w:val="24"/>
                <w:highlight w:val="none"/>
                <w:lang w:eastAsia="zh-CN"/>
              </w:rPr>
            </w:pPr>
            <w:r>
              <w:rPr>
                <w:rFonts w:hint="eastAsia" w:cs="宋体"/>
                <w:bCs/>
                <w:color w:val="auto"/>
                <w:sz w:val="24"/>
                <w:szCs w:val="24"/>
                <w:highlight w:val="none"/>
                <w:lang w:val="en-US" w:eastAsia="zh-CN"/>
              </w:rPr>
              <w:t>注：</w:t>
            </w:r>
            <w:r>
              <w:rPr>
                <w:rFonts w:hint="eastAsia" w:cs="宋体"/>
                <w:bCs/>
                <w:color w:val="auto"/>
                <w:sz w:val="24"/>
                <w:szCs w:val="24"/>
                <w:highlight w:val="none"/>
                <w:lang w:eastAsia="zh-CN"/>
              </w:rPr>
              <w:t>（</w:t>
            </w:r>
            <w:r>
              <w:rPr>
                <w:rFonts w:hint="eastAsia" w:cs="宋体"/>
                <w:bCs/>
                <w:color w:val="auto"/>
                <w:sz w:val="24"/>
                <w:szCs w:val="24"/>
                <w:highlight w:val="none"/>
                <w:lang w:val="en-US" w:eastAsia="zh-CN"/>
              </w:rPr>
              <w:t>1</w:t>
            </w:r>
            <w:r>
              <w:rPr>
                <w:rFonts w:hint="eastAsia" w:cs="宋体"/>
                <w:bCs/>
                <w:color w:val="auto"/>
                <w:sz w:val="24"/>
                <w:szCs w:val="24"/>
                <w:highlight w:val="none"/>
                <w:lang w:eastAsia="zh-CN"/>
              </w:rPr>
              <w:t>）</w:t>
            </w:r>
            <w:r>
              <w:rPr>
                <w:rFonts w:hint="eastAsia" w:ascii="宋体" w:hAnsi="宋体" w:eastAsia="宋体" w:cs="宋体"/>
                <w:bCs/>
                <w:color w:val="auto"/>
                <w:sz w:val="24"/>
                <w:szCs w:val="24"/>
                <w:highlight w:val="none"/>
              </w:rPr>
              <w:t>提供以下证明材料扫描件：合同关键页（包括但不限于封面页、内容页</w:t>
            </w:r>
            <w:r>
              <w:rPr>
                <w:rFonts w:hint="eastAsia" w:cs="宋体"/>
                <w:bCs/>
                <w:color w:val="auto"/>
                <w:sz w:val="24"/>
                <w:szCs w:val="24"/>
                <w:highlight w:val="none"/>
                <w:lang w:eastAsia="zh-CN"/>
              </w:rPr>
              <w:t>）</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如合同中无法体现项目类型等内容</w:t>
            </w:r>
            <w:r>
              <w:rPr>
                <w:rFonts w:hint="eastAsia" w:cs="宋体"/>
                <w:bCs/>
                <w:color w:val="auto"/>
                <w:sz w:val="24"/>
                <w:szCs w:val="24"/>
                <w:highlight w:val="none"/>
                <w:lang w:eastAsia="zh-CN"/>
              </w:rPr>
              <w:t>，</w:t>
            </w:r>
            <w:r>
              <w:rPr>
                <w:rFonts w:hint="eastAsia" w:cs="宋体"/>
                <w:bCs/>
                <w:color w:val="auto"/>
                <w:sz w:val="24"/>
                <w:szCs w:val="24"/>
                <w:highlight w:val="none"/>
                <w:lang w:val="en-US" w:eastAsia="zh-CN"/>
              </w:rPr>
              <w:t>须另外提供</w:t>
            </w:r>
            <w:r>
              <w:rPr>
                <w:rFonts w:hint="eastAsia" w:ascii="宋体" w:hAnsi="宋体" w:eastAsia="宋体" w:cs="宋体"/>
                <w:bCs/>
                <w:color w:val="auto"/>
                <w:sz w:val="24"/>
                <w:szCs w:val="24"/>
                <w:highlight w:val="none"/>
              </w:rPr>
              <w:t>加盖业主单位公章的证明材料</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业绩时间以</w:t>
            </w:r>
            <w:r>
              <w:rPr>
                <w:rFonts w:hint="eastAsia" w:ascii="宋体" w:hAnsi="宋体" w:eastAsia="宋体" w:cs="宋体"/>
                <w:bCs/>
                <w:color w:val="auto"/>
                <w:sz w:val="24"/>
                <w:szCs w:val="24"/>
                <w:highlight w:val="none"/>
                <w:lang w:eastAsia="zh-CN"/>
              </w:rPr>
              <w:t>合同签订时间为准。</w:t>
            </w:r>
          </w:p>
          <w:p w14:paraId="0788E13F">
            <w:pPr>
              <w:spacing w:line="360" w:lineRule="auto"/>
              <w:rPr>
                <w:rFonts w:hint="eastAsia" w:asciiTheme="minorEastAsia" w:hAnsiTheme="minorEastAsia" w:eastAsiaTheme="minorEastAsia"/>
                <w:color w:val="auto"/>
                <w:sz w:val="24"/>
                <w:highlight w:val="none"/>
              </w:rPr>
            </w:pPr>
            <w:r>
              <w:rPr>
                <w:rFonts w:hint="eastAsia" w:cs="宋体"/>
                <w:bCs/>
                <w:color w:val="auto"/>
                <w:sz w:val="24"/>
                <w:szCs w:val="24"/>
                <w:highlight w:val="none"/>
                <w:lang w:eastAsia="zh-CN"/>
              </w:rPr>
              <w:t>（</w:t>
            </w:r>
            <w:r>
              <w:rPr>
                <w:rFonts w:hint="eastAsia" w:cs="宋体"/>
                <w:bCs/>
                <w:color w:val="auto"/>
                <w:sz w:val="24"/>
                <w:szCs w:val="24"/>
                <w:highlight w:val="none"/>
                <w:lang w:val="en-US" w:eastAsia="zh-CN"/>
              </w:rPr>
              <w:t>2</w:t>
            </w:r>
            <w:r>
              <w:rPr>
                <w:rFonts w:hint="eastAsia" w:cs="宋体"/>
                <w:bCs/>
                <w:color w:val="auto"/>
                <w:sz w:val="24"/>
                <w:szCs w:val="24"/>
                <w:highlight w:val="none"/>
                <w:lang w:eastAsia="zh-CN"/>
              </w:rPr>
              <w:t>）提供的项目业绩只计算评标分值对应的项目数量（</w:t>
            </w:r>
            <w:r>
              <w:rPr>
                <w:rFonts w:hint="eastAsia" w:cs="宋体"/>
                <w:bCs/>
                <w:color w:val="auto"/>
                <w:sz w:val="24"/>
                <w:szCs w:val="24"/>
                <w:highlight w:val="none"/>
                <w:lang w:val="en-US" w:eastAsia="zh-CN"/>
              </w:rPr>
              <w:t>2个</w:t>
            </w:r>
            <w:r>
              <w:rPr>
                <w:rFonts w:hint="eastAsia" w:cs="宋体"/>
                <w:bCs/>
                <w:color w:val="auto"/>
                <w:sz w:val="24"/>
                <w:szCs w:val="24"/>
                <w:highlight w:val="none"/>
                <w:lang w:eastAsia="zh-CN"/>
              </w:rPr>
              <w:t>），按照排列顺序从首个业绩开始评审至对应数量（2个），超出部分不进行评审。对应数量（2个）内业绩不符合磋商文件要求不得分的，不再补充评审超出部分业绩。如：提供</w:t>
            </w:r>
            <w:r>
              <w:rPr>
                <w:rFonts w:hint="eastAsia" w:cs="宋体"/>
                <w:bCs/>
                <w:color w:val="auto"/>
                <w:sz w:val="24"/>
                <w:szCs w:val="24"/>
                <w:highlight w:val="none"/>
                <w:lang w:val="en-US" w:eastAsia="zh-CN"/>
              </w:rPr>
              <w:t>2</w:t>
            </w:r>
            <w:r>
              <w:rPr>
                <w:rFonts w:hint="eastAsia" w:cs="宋体"/>
                <w:bCs/>
                <w:color w:val="auto"/>
                <w:sz w:val="24"/>
                <w:szCs w:val="24"/>
                <w:highlight w:val="none"/>
                <w:lang w:eastAsia="zh-CN"/>
              </w:rPr>
              <w:t>个业绩即得满分的，按照响应文件排序评审第一、</w:t>
            </w:r>
            <w:r>
              <w:rPr>
                <w:rFonts w:hint="eastAsia" w:cs="宋体"/>
                <w:bCs/>
                <w:color w:val="auto"/>
                <w:sz w:val="24"/>
                <w:szCs w:val="24"/>
                <w:highlight w:val="none"/>
                <w:lang w:val="en-US" w:eastAsia="zh-CN"/>
              </w:rPr>
              <w:t>二</w:t>
            </w:r>
            <w:r>
              <w:rPr>
                <w:rFonts w:hint="eastAsia" w:cs="宋体"/>
                <w:bCs/>
                <w:color w:val="auto"/>
                <w:sz w:val="24"/>
                <w:szCs w:val="24"/>
                <w:highlight w:val="none"/>
                <w:lang w:eastAsia="zh-CN"/>
              </w:rPr>
              <w:t>项业绩，其余超出部分不再评审。</w:t>
            </w:r>
          </w:p>
        </w:tc>
        <w:tc>
          <w:tcPr>
            <w:tcW w:w="774" w:type="pct"/>
            <w:tcBorders>
              <w:top w:val="single" w:color="auto" w:sz="4" w:space="0"/>
              <w:left w:val="single" w:color="auto" w:sz="4" w:space="0"/>
              <w:bottom w:val="single" w:color="auto" w:sz="4" w:space="0"/>
              <w:right w:val="single" w:color="auto" w:sz="4" w:space="0"/>
            </w:tcBorders>
            <w:vAlign w:val="center"/>
          </w:tcPr>
          <w:p w14:paraId="6BDF33D9">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0-</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分</w:t>
            </w:r>
          </w:p>
        </w:tc>
      </w:tr>
      <w:tr w14:paraId="163D8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14:paraId="1101A2FA">
            <w:pPr>
              <w:spacing w:line="360" w:lineRule="auto"/>
              <w:ind w:firstLine="435"/>
              <w:jc w:val="center"/>
              <w:rPr>
                <w:rFonts w:asciiTheme="minorEastAsia" w:hAnsiTheme="minorEastAsia" w:eastAsiaTheme="minorEastAsia"/>
                <w:b/>
                <w:bCs/>
                <w:color w:val="auto"/>
                <w:sz w:val="24"/>
                <w:highlight w:val="none"/>
              </w:rPr>
            </w:pPr>
          </w:p>
        </w:tc>
        <w:tc>
          <w:tcPr>
            <w:tcW w:w="885" w:type="pct"/>
            <w:tcBorders>
              <w:top w:val="single" w:color="auto" w:sz="4" w:space="0"/>
              <w:left w:val="single" w:color="auto" w:sz="4" w:space="0"/>
              <w:bottom w:val="single" w:color="auto" w:sz="4" w:space="0"/>
              <w:right w:val="single" w:color="auto" w:sz="4" w:space="0"/>
            </w:tcBorders>
            <w:vAlign w:val="center"/>
          </w:tcPr>
          <w:p w14:paraId="3507B431">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人员配备</w:t>
            </w:r>
          </w:p>
        </w:tc>
        <w:tc>
          <w:tcPr>
            <w:tcW w:w="2473" w:type="pct"/>
            <w:tcBorders>
              <w:top w:val="single" w:color="auto" w:sz="4" w:space="0"/>
              <w:left w:val="single" w:color="auto" w:sz="4" w:space="0"/>
              <w:bottom w:val="single" w:color="auto" w:sz="4" w:space="0"/>
              <w:right w:val="single" w:color="auto" w:sz="4" w:space="0"/>
            </w:tcBorders>
            <w:vAlign w:val="top"/>
          </w:tcPr>
          <w:p w14:paraId="5244FEA3">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供应商拟派项目技术负责人（不可与项目负责人为同一人）</w:t>
            </w:r>
            <w:r>
              <w:rPr>
                <w:rFonts w:hint="eastAsia" w:asciiTheme="minorEastAsia" w:hAnsiTheme="minorEastAsia" w:eastAsiaTheme="minorEastAsia"/>
                <w:color w:val="auto"/>
                <w:sz w:val="24"/>
                <w:highlight w:val="none"/>
                <w:lang w:eastAsia="zh-CN"/>
              </w:rPr>
              <w:t>具有园林绿化相关专业高级（或以上）职称证书的得1分；</w:t>
            </w:r>
            <w:r>
              <w:rPr>
                <w:rFonts w:hint="eastAsia" w:asciiTheme="minorEastAsia" w:hAnsiTheme="minorEastAsia" w:eastAsiaTheme="minorEastAsia"/>
                <w:color w:val="auto"/>
                <w:sz w:val="24"/>
                <w:highlight w:val="none"/>
                <w:lang w:val="en-US" w:eastAsia="zh-CN"/>
              </w:rPr>
              <w:t>其他的不得分，</w:t>
            </w:r>
            <w:r>
              <w:rPr>
                <w:rFonts w:hint="eastAsia" w:asciiTheme="minorEastAsia" w:hAnsiTheme="minorEastAsia" w:eastAsiaTheme="minorEastAsia"/>
                <w:color w:val="auto"/>
                <w:sz w:val="24"/>
                <w:highlight w:val="none"/>
              </w:rPr>
              <w:t>本条最高得</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分。</w:t>
            </w:r>
          </w:p>
          <w:p w14:paraId="248A08CF">
            <w:pPr>
              <w:spacing w:line="360" w:lineRule="auto"/>
              <w:rPr>
                <w:rFonts w:hint="eastAsia" w:asciiTheme="minorEastAsia" w:hAnsiTheme="minorEastAsia" w:eastAsiaTheme="minorEastAsia"/>
                <w:color w:val="auto"/>
                <w:sz w:val="24"/>
                <w:highlight w:val="none"/>
              </w:rPr>
            </w:pPr>
            <w:r>
              <w:rPr>
                <w:rFonts w:hint="eastAsia" w:ascii="宋体" w:hAnsi="宋体" w:eastAsia="宋体" w:cs="宋体"/>
                <w:sz w:val="24"/>
                <w:highlight w:val="none"/>
              </w:rPr>
              <w:t>注：响应文件中提供有效的职称证书和持有社保部门出具的本单位为其缴纳的投标前近三个月内任意一月的社保证明或</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提供承诺已为其缴纳社保的承诺书（格式自拟）。</w:t>
            </w:r>
          </w:p>
        </w:tc>
        <w:tc>
          <w:tcPr>
            <w:tcW w:w="774" w:type="pct"/>
            <w:tcBorders>
              <w:top w:val="single" w:color="auto" w:sz="4" w:space="0"/>
              <w:left w:val="single" w:color="auto" w:sz="4" w:space="0"/>
              <w:bottom w:val="single" w:color="auto" w:sz="4" w:space="0"/>
              <w:right w:val="single" w:color="auto" w:sz="4" w:space="0"/>
            </w:tcBorders>
            <w:vAlign w:val="center"/>
          </w:tcPr>
          <w:p w14:paraId="3AEBF842">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0-</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分</w:t>
            </w:r>
          </w:p>
        </w:tc>
      </w:tr>
      <w:tr w14:paraId="00BDD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Borders>
              <w:left w:val="single" w:color="auto" w:sz="4" w:space="0"/>
              <w:right w:val="single" w:color="auto" w:sz="4" w:space="0"/>
            </w:tcBorders>
            <w:vAlign w:val="center"/>
          </w:tcPr>
          <w:p w14:paraId="5CDC8C66">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w:t>
            </w:r>
          </w:p>
          <w:p w14:paraId="3DC3A027">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lang w:val="en-US" w:eastAsia="zh-CN"/>
              </w:rPr>
              <w:t>60</w:t>
            </w:r>
            <w:r>
              <w:rPr>
                <w:rFonts w:hint="eastAsia" w:asciiTheme="minorEastAsia" w:hAnsiTheme="minorEastAsia" w:eastAsiaTheme="minorEastAsia"/>
                <w:color w:val="auto"/>
                <w:sz w:val="24"/>
                <w:highlight w:val="none"/>
              </w:rPr>
              <w:t>分）</w:t>
            </w:r>
          </w:p>
        </w:tc>
        <w:tc>
          <w:tcPr>
            <w:tcW w:w="4133" w:type="pct"/>
            <w:gridSpan w:val="3"/>
            <w:tcBorders>
              <w:top w:val="single" w:color="auto" w:sz="4" w:space="0"/>
              <w:left w:val="single" w:color="auto" w:sz="4" w:space="0"/>
              <w:bottom w:val="single" w:color="auto" w:sz="4" w:space="0"/>
              <w:right w:val="single" w:color="auto" w:sz="4" w:space="0"/>
            </w:tcBorders>
            <w:vAlign w:val="center"/>
          </w:tcPr>
          <w:p w14:paraId="4C049A12">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价格分统一采用低价优先法，即满足磋商文件要求且最后报价最低的供应商的价格为磋商基准价，其价格分为满分</w:t>
            </w:r>
            <w:r>
              <w:rPr>
                <w:rFonts w:hint="eastAsia" w:asciiTheme="minorEastAsia" w:hAnsiTheme="minorEastAsia" w:eastAsiaTheme="minorEastAsia"/>
                <w:color w:val="auto"/>
                <w:sz w:val="24"/>
                <w:highlight w:val="none"/>
                <w:u w:val="single"/>
                <w:lang w:val="en-US" w:eastAsia="zh-CN"/>
              </w:rPr>
              <w:t>60</w:t>
            </w:r>
            <w:r>
              <w:rPr>
                <w:rFonts w:hint="eastAsia" w:asciiTheme="minorEastAsia" w:hAnsiTheme="minorEastAsia" w:eastAsiaTheme="minorEastAsia"/>
                <w:color w:val="auto"/>
                <w:sz w:val="24"/>
                <w:highlight w:val="none"/>
              </w:rPr>
              <w:t>分。其他供应商的价格分统一按照下列公式计算：</w:t>
            </w:r>
          </w:p>
          <w:p w14:paraId="3A14FEF6">
            <w:pPr>
              <w:spacing w:line="360" w:lineRule="auto"/>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磋商报价得分＝（磋商基准价/</w:t>
            </w:r>
            <w:r>
              <w:rPr>
                <w:rFonts w:hint="eastAsia"/>
                <w:color w:val="auto"/>
                <w:sz w:val="24"/>
                <w:highlight w:val="none"/>
              </w:rPr>
              <w:t>最后磋商</w:t>
            </w:r>
            <w:r>
              <w:rPr>
                <w:rFonts w:hint="eastAsia" w:asciiTheme="minorEastAsia" w:hAnsiTheme="minorEastAsia" w:eastAsiaTheme="minorEastAsia"/>
                <w:color w:val="auto"/>
                <w:sz w:val="24"/>
                <w:highlight w:val="none"/>
              </w:rPr>
              <w:t>报价）×</w:t>
            </w:r>
            <w:r>
              <w:rPr>
                <w:rFonts w:hint="eastAsia" w:asciiTheme="minorEastAsia" w:hAnsiTheme="minorEastAsia" w:eastAsiaTheme="minorEastAsia"/>
                <w:color w:val="auto"/>
                <w:sz w:val="24"/>
                <w:highlight w:val="none"/>
                <w:u w:val="single"/>
                <w:lang w:val="en-US" w:eastAsia="zh-CN"/>
              </w:rPr>
              <w:t>60</w:t>
            </w:r>
            <w:r>
              <w:rPr>
                <w:rFonts w:hint="eastAsia" w:asciiTheme="minorEastAsia" w:hAnsiTheme="minorEastAsia" w:eastAsiaTheme="minorEastAsia"/>
                <w:color w:val="auto"/>
                <w:sz w:val="24"/>
                <w:highlight w:val="none"/>
              </w:rPr>
              <w:t>％×100</w:t>
            </w:r>
          </w:p>
        </w:tc>
      </w:tr>
    </w:tbl>
    <w:p w14:paraId="37ADDFC0">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分值汇总</w:t>
      </w:r>
    </w:p>
    <w:p w14:paraId="52D6F7F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1）磋商小组各成员应当独立对每个有效响应的文件进行评价、打分，然后汇总每个供应商每项评分因素的得分，再取各位评委评分之平均值，四舍五入保留至小数点后两位数，得到该供应商的技术资信分。</w:t>
      </w:r>
    </w:p>
    <w:p w14:paraId="4D3116F6">
      <w:pPr>
        <w:spacing w:line="360" w:lineRule="auto"/>
        <w:ind w:firstLine="435"/>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2）将每个供应商的技术资信分加上根据上述标准计算出的价格分，即为该供应商的综合总得分</w:t>
      </w:r>
      <w:r>
        <w:rPr>
          <w:rFonts w:hint="eastAsia" w:asciiTheme="minorEastAsia" w:hAnsiTheme="minorEastAsia" w:eastAsiaTheme="minorEastAsia"/>
          <w:color w:val="auto"/>
          <w:sz w:val="24"/>
          <w:highlight w:val="none"/>
          <w:lang w:eastAsia="zh-CN"/>
        </w:rPr>
        <w:t>。</w:t>
      </w:r>
    </w:p>
    <w:p w14:paraId="03F70957">
      <w:pPr>
        <w:spacing w:line="360" w:lineRule="auto"/>
        <w:ind w:firstLine="435"/>
        <w:rPr>
          <w:rFonts w:hint="eastAsia" w:ascii="宋体" w:hAnsi="宋体" w:eastAsia="宋体" w:cs="Times New Roman"/>
          <w:b/>
          <w:bCs w:val="0"/>
          <w:color w:val="auto"/>
          <w:sz w:val="24"/>
          <w:szCs w:val="24"/>
          <w:highlight w:val="none"/>
        </w:rPr>
      </w:pPr>
      <w:r>
        <w:rPr>
          <w:rFonts w:hint="eastAsia" w:ascii="宋体" w:hAnsi="宋体" w:eastAsia="宋体" w:cs="宋体"/>
          <w:b/>
          <w:bCs w:val="0"/>
          <w:color w:val="auto"/>
          <w:kern w:val="0"/>
          <w:sz w:val="24"/>
          <w:szCs w:val="24"/>
          <w:highlight w:val="none"/>
          <w:lang w:val="en-US" w:eastAsia="zh-CN" w:bidi="ar"/>
        </w:rPr>
        <w:t>三、无效响应条款</w:t>
      </w:r>
    </w:p>
    <w:p w14:paraId="59671F6F">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3.1响应文件有下列情形之一的,其响应文件拒收:</w:t>
      </w:r>
    </w:p>
    <w:p w14:paraId="3845958D">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(1)未在响应文件递交截止时间前通过网上招标投标系统递交有效电子响应文件的，系统不予接收，其将被拒绝。</w:t>
      </w:r>
    </w:p>
    <w:p w14:paraId="6C17D144">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(2)供应商接到远程解密指令后，须在规定时间内解密。因供应商自身原因导致响应文件在规定时间内未能解密、解密失败或解密超时，响应文件无效；解密时间：从本项目解密程序开始时计时，至完成响应文件解密时间，不得超过60分钟，否则响应文件将被拒绝。</w:t>
      </w:r>
    </w:p>
    <w:p w14:paraId="3687B91D">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3.2供应商有下列情形之一的,资格审查后其作无效响应处理：</w:t>
      </w:r>
    </w:p>
    <w:p w14:paraId="2286D831">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（1）供应商为本项目提供采购代理服务的；</w:t>
      </w:r>
    </w:p>
    <w:p w14:paraId="4B078FAC">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（2）供应商与在本项目代理机构存在相互任职或工作的；</w:t>
      </w:r>
    </w:p>
    <w:p w14:paraId="3024EA4B">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（3）与采购人存在利害关系可能影响采购公正性的法人、其他组织或者个人；</w:t>
      </w:r>
    </w:p>
    <w:p w14:paraId="5964A4EB">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（4）竞争性谈判公告写明专门面向中小企业采购，供应商提供的货物非中小企业制造的；</w:t>
      </w:r>
    </w:p>
    <w:p w14:paraId="1856EDF4">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（5）要求供应商以联合体形式参加采购活动，供应商非联合体或者联合协议中中小企业合同金额未达到应当达到的比例；</w:t>
      </w:r>
    </w:p>
    <w:p w14:paraId="1F8C990E">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（6）要求获得采购合同的供应商向中小企业分包，供应商未提供分包意向协议或者分包意向协议中中小企业合同金额未达到应当达到的比例；</w:t>
      </w:r>
    </w:p>
    <w:p w14:paraId="187A8735">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（7）无法查看并检验电子响应文件中相关资料的；</w:t>
      </w:r>
    </w:p>
    <w:p w14:paraId="261AE39E">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（8）联合体参与未提交联合体协议的；</w:t>
      </w:r>
    </w:p>
    <w:p w14:paraId="1CBF625C">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（9）责令停产停业的；</w:t>
      </w:r>
    </w:p>
    <w:p w14:paraId="16039EE2">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（10）暂停或者取消参与政府采购项目资格的；</w:t>
      </w:r>
    </w:p>
    <w:p w14:paraId="46CC8ABA">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（11）单位负责人为同一人或者存在直接控股、管理关系的不同单位的；</w:t>
      </w:r>
    </w:p>
    <w:p w14:paraId="7B1479D6">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（12）供应商基本资格条件和特定资格条件中有一项及以上不符合要求的；</w:t>
      </w:r>
    </w:p>
    <w:p w14:paraId="4D6D5B28">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13）谈判评审时查询响应文件制作机器码、文件创建标识码及造价软件加密锁号。若存在响应文件制作机器码或创建标识码或造价软件加密锁号信息与其他供应商雷同的，响应无效、进行信用信息披露，行政监管部门将依据线索依法查处；</w:t>
      </w:r>
    </w:p>
    <w:p w14:paraId="02F6A0DF">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（14）其它情形按无效响应处理，并经公共资源交易监督部门核准的；</w:t>
      </w:r>
    </w:p>
    <w:p w14:paraId="7FABEE4A">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（15）供应商响应MAC地址</w:t>
      </w:r>
      <w:r>
        <w:rPr>
          <w:rFonts w:hint="eastAsia" w:cs="宋体"/>
          <w:color w:val="auto"/>
          <w:kern w:val="0"/>
          <w:sz w:val="24"/>
          <w:szCs w:val="24"/>
          <w:highlight w:val="none"/>
          <w:lang w:val="en-US" w:eastAsia="zh-CN" w:bidi="ar"/>
        </w:rPr>
        <w:t>一致，</w:t>
      </w:r>
      <w:r>
        <w:rPr>
          <w:rFonts w:hint="eastAsia" w:ascii="宋体" w:hAnsi="宋体" w:eastAsia="宋体" w:cs="宋体"/>
          <w:color w:val="auto"/>
          <w:kern w:val="0"/>
          <w:sz w:val="24"/>
          <w:szCs w:val="24"/>
          <w:highlight w:val="none"/>
          <w:lang w:val="en-US" w:eastAsia="zh-CN" w:bidi="ar"/>
        </w:rPr>
        <w:t>由磋商小组否决其响应</w:t>
      </w:r>
      <w:r>
        <w:rPr>
          <w:rFonts w:hint="eastAsia" w:cs="宋体"/>
          <w:color w:val="auto"/>
          <w:kern w:val="0"/>
          <w:sz w:val="24"/>
          <w:szCs w:val="24"/>
          <w:highlight w:val="none"/>
          <w:lang w:val="en-US" w:eastAsia="zh-CN" w:bidi="ar"/>
        </w:rPr>
        <w:t>资格</w:t>
      </w:r>
      <w:r>
        <w:rPr>
          <w:rFonts w:hint="eastAsia" w:ascii="宋体" w:hAnsi="宋体" w:eastAsia="宋体" w:cs="宋体"/>
          <w:color w:val="auto"/>
          <w:kern w:val="0"/>
          <w:sz w:val="24"/>
          <w:szCs w:val="24"/>
          <w:highlight w:val="none"/>
          <w:lang w:val="en-US" w:eastAsia="zh-CN" w:bidi="ar"/>
        </w:rPr>
        <w:t>；</w:t>
      </w:r>
    </w:p>
    <w:p w14:paraId="090B8119">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（16）供应商单方面出现其他供应商材料的</w:t>
      </w:r>
      <w:r>
        <w:rPr>
          <w:rFonts w:hint="eastAsia" w:ascii="宋体" w:hAnsi="宋体" w:eastAsia="宋体" w:cs="宋体"/>
          <w:b w:val="0"/>
          <w:bCs/>
          <w:color w:val="auto"/>
          <w:kern w:val="2"/>
          <w:sz w:val="24"/>
          <w:szCs w:val="24"/>
          <w:highlight w:val="none"/>
          <w:lang w:val="en-US" w:eastAsia="zh-CN" w:bidi="ar"/>
        </w:rPr>
        <w:t>（组成联合体响应的除外）</w:t>
      </w:r>
      <w:r>
        <w:rPr>
          <w:rFonts w:hint="eastAsia" w:ascii="宋体" w:hAnsi="宋体" w:eastAsia="宋体" w:cs="宋体"/>
          <w:color w:val="auto"/>
          <w:kern w:val="0"/>
          <w:sz w:val="24"/>
          <w:szCs w:val="24"/>
          <w:highlight w:val="none"/>
          <w:lang w:val="en-US" w:eastAsia="zh-CN" w:bidi="ar"/>
        </w:rPr>
        <w:t>；</w:t>
      </w:r>
    </w:p>
    <w:p w14:paraId="74DDFB6B">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（17）</w:t>
      </w:r>
      <w:r>
        <w:rPr>
          <w:rFonts w:hint="eastAsia"/>
          <w:b w:val="0"/>
          <w:color w:val="auto"/>
          <w:sz w:val="24"/>
          <w:highlight w:val="none"/>
          <w:lang w:val="en-US" w:eastAsia="zh-CN"/>
        </w:rPr>
        <w:t>供应商联系人或联系电话相同的，由磋商小组否决其响应资格，并报告监管部门作不良行为处理和进一步调查；</w:t>
      </w:r>
    </w:p>
    <w:p w14:paraId="138FA3CE">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（18）竞争性</w:t>
      </w:r>
      <w:r>
        <w:rPr>
          <w:rFonts w:hint="eastAsia" w:cs="宋体"/>
          <w:color w:val="auto"/>
          <w:kern w:val="0"/>
          <w:sz w:val="24"/>
          <w:szCs w:val="24"/>
          <w:highlight w:val="none"/>
          <w:lang w:val="en-US" w:eastAsia="zh-CN" w:bidi="ar"/>
        </w:rPr>
        <w:t>磋商</w:t>
      </w:r>
      <w:r>
        <w:rPr>
          <w:rFonts w:hint="eastAsia" w:ascii="宋体" w:hAnsi="宋体" w:eastAsia="宋体" w:cs="宋体"/>
          <w:color w:val="auto"/>
          <w:kern w:val="0"/>
          <w:sz w:val="24"/>
          <w:szCs w:val="24"/>
          <w:highlight w:val="none"/>
          <w:lang w:val="en-US" w:eastAsia="zh-CN" w:bidi="ar"/>
        </w:rPr>
        <w:t>公告未写明允许采购进口产品，供应商所投产品为进口产品的；</w:t>
      </w:r>
    </w:p>
    <w:p w14:paraId="2937F86A">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w:t>
      </w:r>
      <w:r>
        <w:rPr>
          <w:rFonts w:hint="eastAsia" w:cs="宋体"/>
          <w:color w:val="auto"/>
          <w:kern w:val="0"/>
          <w:sz w:val="24"/>
          <w:szCs w:val="24"/>
          <w:highlight w:val="none"/>
          <w:lang w:val="en-US" w:eastAsia="zh-CN" w:bidi="ar"/>
        </w:rPr>
        <w:t>9</w:t>
      </w:r>
      <w:r>
        <w:rPr>
          <w:rFonts w:hint="eastAsia" w:ascii="宋体" w:hAnsi="宋体" w:eastAsia="宋体" w:cs="宋体"/>
          <w:color w:val="auto"/>
          <w:kern w:val="0"/>
          <w:sz w:val="24"/>
          <w:szCs w:val="24"/>
          <w:highlight w:val="none"/>
          <w:lang w:val="en-US" w:eastAsia="zh-CN" w:bidi="ar"/>
        </w:rPr>
        <w:t>）磋商文件规定的其它无效情形。</w:t>
      </w:r>
    </w:p>
    <w:p w14:paraId="5AF49B5F">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3.3 供应商有下列情形之一的,符合性审查后其按无效响应处理：</w:t>
      </w:r>
    </w:p>
    <w:p w14:paraId="51DCC7C7">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（1）响应文件签章不全，经磋商小组一致认定对响应内容有实质性影响并经公共资源交易监督部门核准的；</w:t>
      </w:r>
    </w:p>
    <w:p w14:paraId="0DDC93E2">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（2）未按规定的格式填写导致实质性内容不全以及实质上不响应，或者关键字迹模糊、无法辨认；经公共资源交易监督部门核准的；</w:t>
      </w:r>
    </w:p>
    <w:p w14:paraId="15AE1A0B">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（3）同一供应商提交两个或以上不同的响应文件或者报价，但磋商文件规定提交备选方案的除外；</w:t>
      </w:r>
    </w:p>
    <w:p w14:paraId="287F0574">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（4）响应文件没有对磋商文件的实质性要求和条件作出响应；</w:t>
      </w:r>
    </w:p>
    <w:p w14:paraId="5F0CF64E">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（5）报价超出规定的最高限价或公布的采购预算的或供应商的报价各项单价高于磋商文件给定的单价最高限价；</w:t>
      </w:r>
    </w:p>
    <w:p w14:paraId="29FC50E3">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（6）不按磋商小组要求澄清、说明或补正的，或者磋商小组根据磋商文件的规定对响应文件的计算错误进行修正后，供应商不接受修正的报价的。</w:t>
      </w:r>
    </w:p>
    <w:p w14:paraId="5A34820A">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（7）其它情形，经磋商小组提出按无效响应处理，并经公共资源交易监督部门核准的；</w:t>
      </w:r>
    </w:p>
    <w:p w14:paraId="6D9AA3B1">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（8）响应文件含有采购人不能接受的附加条件的；</w:t>
      </w:r>
    </w:p>
    <w:p w14:paraId="75660A82">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（9）磋商文件规定的其它无效响应情形。</w:t>
      </w:r>
    </w:p>
    <w:p w14:paraId="6F37D2E4">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3.4 供应商有下列情形之一的, 详细评审后其按无效响应处理：</w:t>
      </w:r>
    </w:p>
    <w:p w14:paraId="3EE63A4D">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（1）产品不符合必须强制执行的国家标准的；</w:t>
      </w:r>
    </w:p>
    <w:p w14:paraId="21FAB8BD">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（2）供应商有串通、弄虚作假、行贿等违法行为；</w:t>
      </w:r>
    </w:p>
    <w:p w14:paraId="64FAA669">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（3）响应文件含有违反国家法律、法规的内容，或附有采购人不能接受的条件的；</w:t>
      </w:r>
    </w:p>
    <w:p w14:paraId="13E4AD1C">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w:t>
      </w:r>
      <w:r>
        <w:rPr>
          <w:rFonts w:hint="eastAsia" w:cs="宋体"/>
          <w:color w:val="auto"/>
          <w:kern w:val="0"/>
          <w:sz w:val="24"/>
          <w:szCs w:val="24"/>
          <w:highlight w:val="none"/>
          <w:lang w:val="en-US" w:eastAsia="zh-CN" w:bidi="ar"/>
        </w:rPr>
        <w:t>4</w:t>
      </w:r>
      <w:r>
        <w:rPr>
          <w:rFonts w:hint="eastAsia" w:ascii="宋体" w:hAnsi="宋体" w:eastAsia="宋体" w:cs="宋体"/>
          <w:color w:val="auto"/>
          <w:kern w:val="0"/>
          <w:sz w:val="24"/>
          <w:szCs w:val="24"/>
          <w:highlight w:val="none"/>
          <w:lang w:val="en-US" w:eastAsia="zh-CN" w:bidi="ar"/>
        </w:rPr>
        <w:t>）拒不确认磋商小组评审修正的响应无效；</w:t>
      </w:r>
    </w:p>
    <w:p w14:paraId="283C09C7">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w:t>
      </w:r>
      <w:r>
        <w:rPr>
          <w:rFonts w:hint="eastAsia" w:cs="宋体"/>
          <w:color w:val="auto"/>
          <w:kern w:val="0"/>
          <w:sz w:val="24"/>
          <w:szCs w:val="24"/>
          <w:highlight w:val="none"/>
          <w:lang w:val="en-US" w:eastAsia="zh-CN" w:bidi="ar"/>
        </w:rPr>
        <w:t>5</w:t>
      </w:r>
      <w:r>
        <w:rPr>
          <w:rFonts w:hint="eastAsia" w:ascii="宋体" w:hAnsi="宋体" w:eastAsia="宋体" w:cs="宋体"/>
          <w:color w:val="auto"/>
          <w:kern w:val="0"/>
          <w:sz w:val="24"/>
          <w:szCs w:val="24"/>
          <w:highlight w:val="none"/>
          <w:lang w:val="en-US" w:eastAsia="zh-CN" w:bidi="ar"/>
        </w:rPr>
        <w:t>）其它情形，经磋商小组提出按无效响应处理，并经公共资源交易监督部门核准的；</w:t>
      </w:r>
    </w:p>
    <w:p w14:paraId="27619A92">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w:t>
      </w:r>
      <w:r>
        <w:rPr>
          <w:rFonts w:hint="eastAsia" w:cs="宋体"/>
          <w:color w:val="auto"/>
          <w:kern w:val="0"/>
          <w:sz w:val="24"/>
          <w:szCs w:val="24"/>
          <w:highlight w:val="none"/>
          <w:lang w:val="en-US" w:eastAsia="zh-CN" w:bidi="ar"/>
        </w:rPr>
        <w:t>6</w:t>
      </w:r>
      <w:r>
        <w:rPr>
          <w:rFonts w:hint="eastAsia" w:ascii="宋体" w:hAnsi="宋体" w:eastAsia="宋体" w:cs="宋体"/>
          <w:color w:val="auto"/>
          <w:kern w:val="0"/>
          <w:sz w:val="24"/>
          <w:szCs w:val="24"/>
          <w:highlight w:val="none"/>
          <w:lang w:val="en-US" w:eastAsia="zh-CN" w:bidi="ar"/>
        </w:rPr>
        <w:t>）</w:t>
      </w:r>
      <w:r>
        <w:rPr>
          <w:rFonts w:hint="eastAsia" w:cs="宋体"/>
          <w:color w:val="auto"/>
          <w:kern w:val="0"/>
          <w:sz w:val="24"/>
          <w:szCs w:val="24"/>
          <w:highlight w:val="none"/>
          <w:lang w:val="en-US" w:eastAsia="zh-CN" w:bidi="ar"/>
        </w:rPr>
        <w:t>磋商文件</w:t>
      </w:r>
      <w:r>
        <w:rPr>
          <w:rFonts w:hint="eastAsia" w:ascii="宋体" w:hAnsi="宋体" w:eastAsia="宋体" w:cs="宋体"/>
          <w:color w:val="auto"/>
          <w:kern w:val="0"/>
          <w:sz w:val="24"/>
          <w:szCs w:val="24"/>
          <w:highlight w:val="none"/>
          <w:lang w:val="en-US" w:eastAsia="zh-CN" w:bidi="ar"/>
        </w:rPr>
        <w:t>规定的其它无效响应情形。</w:t>
      </w:r>
    </w:p>
    <w:p w14:paraId="276597EF">
      <w:pPr>
        <w:widowControl/>
        <w:jc w:val="left"/>
        <w:rPr>
          <w:rFonts w:asciiTheme="minorEastAsia" w:hAnsiTheme="minorEastAsia" w:eastAsiaTheme="minorEastAsia"/>
          <w:color w:val="auto"/>
          <w:sz w:val="24"/>
          <w:highlight w:val="none"/>
        </w:rPr>
      </w:pPr>
    </w:p>
    <w:p w14:paraId="662F48F4">
      <w:pPr>
        <w:rPr>
          <w:rFonts w:hint="eastAsia" w:asciiTheme="minorEastAsia" w:hAnsiTheme="minorEastAsia" w:eastAsiaTheme="minorEastAsia"/>
          <w:b/>
          <w:color w:val="auto"/>
          <w:sz w:val="28"/>
          <w:highlight w:val="none"/>
        </w:rPr>
      </w:pPr>
      <w:bookmarkStart w:id="33" w:name="_Toc31277"/>
      <w:r>
        <w:rPr>
          <w:rFonts w:hint="eastAsia" w:asciiTheme="minorEastAsia" w:hAnsiTheme="minorEastAsia" w:eastAsiaTheme="minorEastAsia"/>
          <w:b/>
          <w:color w:val="auto"/>
          <w:sz w:val="28"/>
          <w:highlight w:val="none"/>
        </w:rPr>
        <w:br w:type="page"/>
      </w:r>
    </w:p>
    <w:p w14:paraId="02272D68">
      <w:pPr>
        <w:spacing w:line="360" w:lineRule="auto"/>
        <w:jc w:val="center"/>
        <w:outlineLvl w:val="0"/>
        <w:rPr>
          <w:rFonts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33"/>
    </w:p>
    <w:p w14:paraId="49F3A8B4">
      <w:pPr>
        <w:keepNext/>
        <w:keepLines/>
        <w:snapToGrid w:val="0"/>
        <w:spacing w:before="312" w:beforeLines="100" w:after="312" w:afterLines="100" w:line="360" w:lineRule="auto"/>
        <w:jc w:val="center"/>
        <w:outlineLvl w:val="1"/>
        <w:rPr>
          <w:rFonts w:cs="宋体"/>
          <w:b/>
          <w:bCs/>
          <w:color w:val="auto"/>
          <w:sz w:val="21"/>
          <w:szCs w:val="21"/>
          <w:highlight w:val="none"/>
        </w:rPr>
      </w:pPr>
      <w:bookmarkStart w:id="34" w:name="_Toc130919120"/>
      <w:bookmarkStart w:id="35" w:name="_Toc28799376"/>
      <w:bookmarkStart w:id="36" w:name="_Toc9907"/>
      <w:r>
        <w:rPr>
          <w:rFonts w:hint="eastAsia" w:cs="宋体"/>
          <w:b/>
          <w:bCs/>
          <w:color w:val="auto"/>
          <w:sz w:val="21"/>
          <w:szCs w:val="21"/>
          <w:highlight w:val="none"/>
        </w:rPr>
        <w:t>第一节  合同协议书</w:t>
      </w:r>
      <w:bookmarkEnd w:id="34"/>
      <w:bookmarkEnd w:id="35"/>
      <w:bookmarkEnd w:id="36"/>
    </w:p>
    <w:p w14:paraId="5E320625">
      <w:pPr>
        <w:spacing w:line="360" w:lineRule="auto"/>
        <w:rPr>
          <w:rFonts w:hint="default" w:eastAsia="宋体" w:cs="宋体"/>
          <w:b/>
          <w:color w:val="auto"/>
          <w:sz w:val="24"/>
          <w:szCs w:val="24"/>
          <w:highlight w:val="none"/>
          <w:u w:val="single"/>
          <w:lang w:val="en-US" w:eastAsia="zh-CN"/>
        </w:rPr>
      </w:pPr>
      <w:r>
        <w:rPr>
          <w:rFonts w:hint="eastAsia" w:cs="宋体"/>
          <w:b/>
          <w:color w:val="auto"/>
          <w:sz w:val="24"/>
          <w:szCs w:val="24"/>
          <w:highlight w:val="none"/>
        </w:rPr>
        <w:t>发包人（全称）：</w:t>
      </w:r>
      <w:r>
        <w:rPr>
          <w:rFonts w:hint="eastAsia" w:cs="宋体"/>
          <w:b/>
          <w:color w:val="auto"/>
          <w:sz w:val="24"/>
          <w:szCs w:val="24"/>
          <w:highlight w:val="none"/>
          <w:u w:val="single"/>
          <w:lang w:val="en-US" w:eastAsia="zh-CN"/>
        </w:rPr>
        <w:t>滁州市重点工程建设管理处</w:t>
      </w:r>
    </w:p>
    <w:p w14:paraId="2BDB5258">
      <w:pPr>
        <w:spacing w:line="360" w:lineRule="auto"/>
        <w:rPr>
          <w:rFonts w:cs="宋体"/>
          <w:b/>
          <w:color w:val="auto"/>
          <w:sz w:val="24"/>
          <w:szCs w:val="24"/>
          <w:highlight w:val="none"/>
          <w:u w:val="single"/>
        </w:rPr>
      </w:pPr>
      <w:r>
        <w:rPr>
          <w:rFonts w:hint="eastAsia" w:cs="宋体"/>
          <w:b/>
          <w:color w:val="auto"/>
          <w:sz w:val="24"/>
          <w:szCs w:val="24"/>
          <w:highlight w:val="none"/>
        </w:rPr>
        <w:t>承包人（全称）：</w:t>
      </w:r>
      <w:r>
        <w:rPr>
          <w:rFonts w:hint="eastAsia" w:cs="宋体"/>
          <w:b/>
          <w:color w:val="auto"/>
          <w:sz w:val="24"/>
          <w:szCs w:val="24"/>
          <w:highlight w:val="none"/>
          <w:u w:val="single"/>
        </w:rPr>
        <w:t xml:space="preserve">        </w:t>
      </w:r>
    </w:p>
    <w:p w14:paraId="773E1BBA">
      <w:pPr>
        <w:spacing w:line="360" w:lineRule="auto"/>
        <w:rPr>
          <w:rFonts w:ascii="Times New Roman" w:hAnsi="Times New Roman" w:eastAsia="仿宋_GB2312" w:cs="Times New Roman"/>
          <w:b/>
          <w:color w:val="auto"/>
          <w:kern w:val="2"/>
          <w:sz w:val="30"/>
          <w:szCs w:val="30"/>
          <w:highlight w:val="none"/>
          <w:u w:val="single"/>
        </w:rPr>
      </w:pPr>
    </w:p>
    <w:p w14:paraId="5149405C">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根据《中华人民共和国民法典》《中华人民共和国建筑法》及有关法律规定，遵循平等、自愿、公平和诚实信用的原则，双方就</w:t>
      </w:r>
      <w:r>
        <w:rPr>
          <w:rFonts w:hint="eastAsia" w:cs="宋体"/>
          <w:color w:val="auto"/>
          <w:sz w:val="21"/>
          <w:szCs w:val="21"/>
          <w:highlight w:val="none"/>
          <w:u w:val="single"/>
          <w:lang w:val="en-US" w:eastAsia="zh-CN"/>
        </w:rPr>
        <w:t>花园路上跨京沪铁路枢纽项目附属配套绿化工程</w:t>
      </w:r>
      <w:r>
        <w:rPr>
          <w:rFonts w:hint="eastAsia" w:cs="宋体"/>
          <w:color w:val="auto"/>
          <w:sz w:val="21"/>
          <w:szCs w:val="21"/>
          <w:highlight w:val="none"/>
        </w:rPr>
        <w:t>施工及有关事项协商一致，共同达成如下协议：</w:t>
      </w:r>
    </w:p>
    <w:p w14:paraId="1770302E">
      <w:pPr>
        <w:snapToGrid w:val="0"/>
        <w:spacing w:line="360" w:lineRule="auto"/>
        <w:ind w:firstLine="422" w:firstLineChars="200"/>
        <w:rPr>
          <w:rFonts w:cs="宋体"/>
          <w:color w:val="auto"/>
          <w:sz w:val="21"/>
          <w:szCs w:val="21"/>
          <w:highlight w:val="none"/>
        </w:rPr>
      </w:pPr>
      <w:r>
        <w:rPr>
          <w:rFonts w:hint="eastAsia" w:cs="宋体"/>
          <w:b/>
          <w:color w:val="auto"/>
          <w:sz w:val="21"/>
          <w:szCs w:val="21"/>
          <w:highlight w:val="none"/>
        </w:rPr>
        <w:t>一、工程概况</w:t>
      </w:r>
    </w:p>
    <w:p w14:paraId="091FD5E7">
      <w:pPr>
        <w:snapToGrid w:val="0"/>
        <w:spacing w:line="360" w:lineRule="auto"/>
        <w:ind w:firstLine="411" w:firstLineChars="196"/>
        <w:rPr>
          <w:rFonts w:cs="宋体"/>
          <w:color w:val="auto"/>
          <w:sz w:val="21"/>
          <w:szCs w:val="21"/>
          <w:highlight w:val="none"/>
          <w:u w:val="single"/>
        </w:rPr>
      </w:pPr>
      <w:r>
        <w:rPr>
          <w:rFonts w:hint="eastAsia" w:cs="宋体"/>
          <w:bCs/>
          <w:color w:val="auto"/>
          <w:sz w:val="21"/>
          <w:szCs w:val="21"/>
          <w:highlight w:val="none"/>
        </w:rPr>
        <w:t>1. 工程名称</w:t>
      </w:r>
      <w:r>
        <w:rPr>
          <w:rFonts w:hint="eastAsia" w:cs="宋体"/>
          <w:color w:val="auto"/>
          <w:sz w:val="21"/>
          <w:szCs w:val="21"/>
          <w:highlight w:val="none"/>
        </w:rPr>
        <w:t>：</w:t>
      </w:r>
      <w:r>
        <w:rPr>
          <w:rFonts w:hint="eastAsia" w:cs="宋体"/>
          <w:color w:val="auto"/>
          <w:sz w:val="21"/>
          <w:szCs w:val="21"/>
          <w:highlight w:val="none"/>
          <w:u w:val="single"/>
          <w:lang w:val="en-US" w:eastAsia="zh-CN"/>
        </w:rPr>
        <w:t>花园路上跨京沪铁路枢纽项目附属配套绿化工程</w:t>
      </w:r>
      <w:r>
        <w:rPr>
          <w:rFonts w:hint="eastAsia" w:cs="宋体"/>
          <w:color w:val="auto"/>
          <w:sz w:val="21"/>
          <w:szCs w:val="21"/>
          <w:highlight w:val="none"/>
        </w:rPr>
        <w:t>。</w:t>
      </w:r>
    </w:p>
    <w:p w14:paraId="2421B9FB">
      <w:pPr>
        <w:snapToGrid w:val="0"/>
        <w:spacing w:line="360" w:lineRule="auto"/>
        <w:ind w:firstLine="411" w:firstLineChars="196"/>
        <w:rPr>
          <w:rFonts w:cs="宋体"/>
          <w:bCs/>
          <w:color w:val="auto"/>
          <w:sz w:val="21"/>
          <w:szCs w:val="21"/>
          <w:highlight w:val="none"/>
        </w:rPr>
      </w:pPr>
      <w:r>
        <w:rPr>
          <w:rFonts w:hint="eastAsia" w:cs="宋体"/>
          <w:bCs/>
          <w:color w:val="auto"/>
          <w:sz w:val="21"/>
          <w:szCs w:val="21"/>
          <w:highlight w:val="none"/>
        </w:rPr>
        <w:t>2. 工程地点：</w:t>
      </w:r>
      <w:r>
        <w:rPr>
          <w:rFonts w:hint="eastAsia" w:cs="宋体"/>
          <w:color w:val="auto"/>
          <w:sz w:val="21"/>
          <w:szCs w:val="21"/>
          <w:highlight w:val="none"/>
          <w:u w:val="single"/>
          <w:lang w:val="en-US" w:eastAsia="zh-CN"/>
        </w:rPr>
        <w:t>滁州市内，采购人指定地点</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1981073">
      <w:pPr>
        <w:snapToGrid w:val="0"/>
        <w:spacing w:line="360" w:lineRule="auto"/>
        <w:ind w:firstLine="411" w:firstLineChars="196"/>
        <w:rPr>
          <w:rFonts w:cs="宋体"/>
          <w:bCs/>
          <w:color w:val="auto"/>
          <w:sz w:val="21"/>
          <w:szCs w:val="21"/>
          <w:highlight w:val="none"/>
        </w:rPr>
      </w:pPr>
      <w:r>
        <w:rPr>
          <w:rFonts w:hint="eastAsia" w:cs="宋体"/>
          <w:bCs/>
          <w:color w:val="auto"/>
          <w:sz w:val="21"/>
          <w:szCs w:val="21"/>
          <w:highlight w:val="none"/>
        </w:rPr>
        <w:t>3. 工程立项批准文号：</w:t>
      </w:r>
      <w:r>
        <w:rPr>
          <w:rFonts w:hint="eastAsia" w:cs="宋体"/>
          <w:color w:val="auto"/>
          <w:sz w:val="21"/>
          <w:szCs w:val="21"/>
          <w:highlight w:val="none"/>
          <w:u w:val="single"/>
        </w:rPr>
        <w:t xml:space="preserve">滁发改审批(2023)81号 </w:t>
      </w:r>
      <w:r>
        <w:rPr>
          <w:rFonts w:hint="eastAsia" w:cs="宋体"/>
          <w:bCs/>
          <w:color w:val="auto"/>
          <w:sz w:val="21"/>
          <w:szCs w:val="21"/>
          <w:highlight w:val="none"/>
        </w:rPr>
        <w:t>。</w:t>
      </w:r>
    </w:p>
    <w:p w14:paraId="381FEF58">
      <w:pPr>
        <w:snapToGrid w:val="0"/>
        <w:spacing w:line="360" w:lineRule="auto"/>
        <w:ind w:firstLine="411" w:firstLineChars="196"/>
        <w:rPr>
          <w:rFonts w:cs="宋体"/>
          <w:bCs/>
          <w:color w:val="auto"/>
          <w:sz w:val="21"/>
          <w:szCs w:val="21"/>
          <w:highlight w:val="none"/>
        </w:rPr>
      </w:pPr>
      <w:r>
        <w:rPr>
          <w:rFonts w:hint="eastAsia" w:cs="宋体"/>
          <w:bCs/>
          <w:color w:val="auto"/>
          <w:sz w:val="21"/>
          <w:szCs w:val="21"/>
          <w:highlight w:val="none"/>
        </w:rPr>
        <w:t>4. 资金来源：</w:t>
      </w:r>
      <w:r>
        <w:rPr>
          <w:rFonts w:hint="eastAsia" w:cs="宋体"/>
          <w:color w:val="auto"/>
          <w:sz w:val="21"/>
          <w:szCs w:val="21"/>
          <w:highlight w:val="none"/>
          <w:u w:val="single"/>
          <w:lang w:val="en-US" w:eastAsia="zh-CN"/>
        </w:rPr>
        <w:t>财政资金</w:t>
      </w:r>
      <w:r>
        <w:rPr>
          <w:rFonts w:hint="eastAsia" w:cs="宋体"/>
          <w:bCs/>
          <w:color w:val="auto"/>
          <w:sz w:val="21"/>
          <w:szCs w:val="21"/>
          <w:highlight w:val="none"/>
        </w:rPr>
        <w:t>。</w:t>
      </w:r>
    </w:p>
    <w:p w14:paraId="4337CF56">
      <w:pPr>
        <w:snapToGrid w:val="0"/>
        <w:spacing w:line="360" w:lineRule="auto"/>
        <w:ind w:firstLine="411" w:firstLineChars="196"/>
        <w:rPr>
          <w:rFonts w:cs="宋体"/>
          <w:bCs/>
          <w:color w:val="auto"/>
          <w:sz w:val="21"/>
          <w:szCs w:val="21"/>
          <w:highlight w:val="none"/>
        </w:rPr>
      </w:pPr>
      <w:r>
        <w:rPr>
          <w:rFonts w:hint="eastAsia" w:cs="宋体"/>
          <w:bCs/>
          <w:color w:val="auto"/>
          <w:sz w:val="21"/>
          <w:szCs w:val="21"/>
          <w:highlight w:val="none"/>
        </w:rPr>
        <w:t>5. 工程内容：</w:t>
      </w:r>
      <w:r>
        <w:rPr>
          <w:rFonts w:hint="eastAsia" w:cs="宋体"/>
          <w:color w:val="auto"/>
          <w:sz w:val="21"/>
          <w:szCs w:val="21"/>
          <w:highlight w:val="none"/>
          <w:u w:val="single"/>
        </w:rPr>
        <w:t></w:t>
      </w:r>
      <w:r>
        <w:rPr>
          <w:rFonts w:hint="eastAsia" w:ascii="宋体" w:cs="宋体"/>
          <w:color w:val="auto"/>
          <w:sz w:val="21"/>
          <w:szCs w:val="21"/>
          <w:highlight w:val="none"/>
          <w:u w:val="single"/>
        </w:rPr>
        <w:t>以施工图纸及工程量清单内容为准</w:t>
      </w:r>
      <w:r>
        <w:rPr>
          <w:rFonts w:hint="eastAsia" w:cs="宋体"/>
          <w:color w:val="auto"/>
          <w:sz w:val="21"/>
          <w:szCs w:val="21"/>
          <w:highlight w:val="none"/>
          <w:u w:val="single"/>
        </w:rPr>
        <w:t xml:space="preserve"> </w:t>
      </w:r>
      <w:r>
        <w:rPr>
          <w:rFonts w:hint="eastAsia" w:cs="宋体"/>
          <w:bCs/>
          <w:color w:val="auto"/>
          <w:sz w:val="21"/>
          <w:szCs w:val="21"/>
          <w:highlight w:val="none"/>
        </w:rPr>
        <w:t>。</w:t>
      </w:r>
    </w:p>
    <w:p w14:paraId="2BA699E4">
      <w:pPr>
        <w:snapToGrid w:val="0"/>
        <w:spacing w:line="360" w:lineRule="auto"/>
        <w:ind w:firstLine="411" w:firstLineChars="196"/>
        <w:rPr>
          <w:rFonts w:cs="宋体"/>
          <w:bCs/>
          <w:color w:val="auto"/>
          <w:sz w:val="21"/>
          <w:szCs w:val="21"/>
          <w:highlight w:val="none"/>
        </w:rPr>
      </w:pPr>
      <w:r>
        <w:rPr>
          <w:rFonts w:hint="eastAsia" w:cs="宋体"/>
          <w:color w:val="auto"/>
          <w:sz w:val="21"/>
          <w:szCs w:val="21"/>
          <w:highlight w:val="none"/>
        </w:rPr>
        <w:t>群体工程应附《承包人承揽工程项目一览表》（附件1）。</w:t>
      </w:r>
    </w:p>
    <w:p w14:paraId="0068FF65">
      <w:pPr>
        <w:snapToGrid w:val="0"/>
        <w:spacing w:line="360" w:lineRule="auto"/>
        <w:ind w:firstLine="411" w:firstLineChars="196"/>
        <w:rPr>
          <w:rFonts w:cs="宋体"/>
          <w:bCs/>
          <w:color w:val="auto"/>
          <w:sz w:val="21"/>
          <w:szCs w:val="21"/>
          <w:highlight w:val="none"/>
        </w:rPr>
      </w:pPr>
      <w:r>
        <w:rPr>
          <w:rFonts w:hint="eastAsia" w:cs="宋体"/>
          <w:bCs/>
          <w:color w:val="auto"/>
          <w:sz w:val="21"/>
          <w:szCs w:val="21"/>
          <w:highlight w:val="none"/>
        </w:rPr>
        <w:t>6. 工程承包范围：</w:t>
      </w:r>
    </w:p>
    <w:p w14:paraId="32C3B2CC">
      <w:pPr>
        <w:snapToGrid w:val="0"/>
        <w:spacing w:line="360" w:lineRule="auto"/>
        <w:ind w:firstLine="407" w:firstLineChars="193"/>
        <w:rPr>
          <w:rFonts w:cs="宋体"/>
          <w:color w:val="auto"/>
          <w:sz w:val="21"/>
          <w:szCs w:val="21"/>
          <w:highlight w:val="none"/>
        </w:rPr>
      </w:pPr>
      <w:r>
        <w:rPr>
          <w:rFonts w:hint="eastAsia" w:ascii="宋体" w:hAnsi="宋体" w:cs="宋体"/>
          <w:b/>
          <w:bCs/>
          <w:color w:val="auto"/>
          <w:sz w:val="21"/>
          <w:szCs w:val="21"/>
          <w:highlight w:val="none"/>
          <w:u w:val="single"/>
        </w:rPr>
        <w:t>施工图纸和工程量清单载明的施工内容及施工过程中的变更调整内容（如施工图纸和工程量清单不一致，由</w:t>
      </w:r>
      <w:r>
        <w:rPr>
          <w:rFonts w:hint="eastAsia" w:ascii="宋体" w:hAnsi="宋体" w:cs="宋体"/>
          <w:b/>
          <w:bCs/>
          <w:color w:val="auto"/>
          <w:sz w:val="21"/>
          <w:szCs w:val="21"/>
          <w:highlight w:val="none"/>
          <w:u w:val="single"/>
          <w:lang w:eastAsia="zh-CN"/>
        </w:rPr>
        <w:t>采购人</w:t>
      </w:r>
      <w:r>
        <w:rPr>
          <w:rFonts w:hint="eastAsia" w:ascii="宋体" w:hAnsi="宋体" w:cs="宋体"/>
          <w:b/>
          <w:bCs/>
          <w:color w:val="auto"/>
          <w:sz w:val="21"/>
          <w:szCs w:val="21"/>
          <w:highlight w:val="none"/>
          <w:u w:val="single"/>
        </w:rPr>
        <w:t>负责解释</w:t>
      </w:r>
      <w:r>
        <w:rPr>
          <w:rFonts w:hint="eastAsia" w:ascii="宋体" w:hAnsi="宋体" w:cs="宋体"/>
          <w:color w:val="auto"/>
          <w:sz w:val="21"/>
          <w:szCs w:val="21"/>
          <w:highlight w:val="none"/>
          <w:u w:val="single"/>
        </w:rPr>
        <w:t>）</w:t>
      </w:r>
      <w:r>
        <w:rPr>
          <w:rFonts w:hint="eastAsia" w:cs="宋体"/>
          <w:color w:val="auto"/>
          <w:sz w:val="21"/>
          <w:szCs w:val="21"/>
          <w:highlight w:val="none"/>
          <w:u w:val="single"/>
        </w:rPr>
        <w:t></w:t>
      </w:r>
      <w:r>
        <w:rPr>
          <w:rFonts w:hint="eastAsia" w:cs="宋体"/>
          <w:color w:val="auto"/>
          <w:sz w:val="21"/>
          <w:szCs w:val="21"/>
          <w:highlight w:val="none"/>
        </w:rPr>
        <w:t>。</w:t>
      </w:r>
    </w:p>
    <w:p w14:paraId="53E3F618">
      <w:pPr>
        <w:snapToGrid w:val="0"/>
        <w:spacing w:line="360" w:lineRule="auto"/>
        <w:ind w:firstLine="422" w:firstLineChars="200"/>
        <w:rPr>
          <w:rFonts w:cs="宋体"/>
          <w:b/>
          <w:color w:val="auto"/>
          <w:sz w:val="21"/>
          <w:szCs w:val="21"/>
          <w:highlight w:val="none"/>
        </w:rPr>
      </w:pPr>
      <w:bookmarkStart w:id="37" w:name="_Toc351203482"/>
      <w:r>
        <w:rPr>
          <w:rFonts w:hint="eastAsia" w:cs="宋体"/>
          <w:b/>
          <w:color w:val="auto"/>
          <w:sz w:val="21"/>
          <w:szCs w:val="21"/>
          <w:highlight w:val="none"/>
        </w:rPr>
        <w:t>二、合同工期</w:t>
      </w:r>
      <w:bookmarkEnd w:id="37"/>
    </w:p>
    <w:p w14:paraId="1920A1E3">
      <w:pPr>
        <w:snapToGrid w:val="0"/>
        <w:spacing w:line="360" w:lineRule="auto"/>
        <w:ind w:firstLine="459"/>
        <w:rPr>
          <w:rFonts w:cs="宋体"/>
          <w:color w:val="auto"/>
          <w:sz w:val="21"/>
          <w:szCs w:val="21"/>
          <w:highlight w:val="none"/>
        </w:rPr>
      </w:pPr>
      <w:r>
        <w:rPr>
          <w:rFonts w:hint="eastAsia" w:cs="宋体"/>
          <w:color w:val="auto"/>
          <w:sz w:val="21"/>
          <w:szCs w:val="21"/>
          <w:highlight w:val="none"/>
        </w:rPr>
        <w:t>计划开工日期：</w:t>
      </w:r>
      <w:r>
        <w:rPr>
          <w:rFonts w:hint="eastAsia" w:cs="宋体"/>
          <w:color w:val="auto"/>
          <w:sz w:val="21"/>
          <w:szCs w:val="21"/>
          <w:highlight w:val="none"/>
          <w:u w:val="single"/>
        </w:rPr>
        <w:t></w:t>
      </w:r>
      <w:r>
        <w:rPr>
          <w:rFonts w:hint="eastAsia" w:cs="宋体"/>
          <w:color w:val="auto"/>
          <w:sz w:val="21"/>
          <w:szCs w:val="21"/>
          <w:highlight w:val="none"/>
        </w:rPr>
        <w:t>年</w:t>
      </w:r>
      <w:r>
        <w:rPr>
          <w:rFonts w:hint="eastAsia" w:cs="宋体"/>
          <w:color w:val="auto"/>
          <w:sz w:val="21"/>
          <w:szCs w:val="21"/>
          <w:highlight w:val="none"/>
          <w:u w:val="single"/>
        </w:rPr>
        <w:t></w:t>
      </w:r>
      <w:r>
        <w:rPr>
          <w:rFonts w:hint="eastAsia" w:cs="宋体"/>
          <w:color w:val="auto"/>
          <w:sz w:val="21"/>
          <w:szCs w:val="21"/>
          <w:highlight w:val="none"/>
        </w:rPr>
        <w:t>月</w:t>
      </w:r>
      <w:r>
        <w:rPr>
          <w:rFonts w:hint="eastAsia" w:cs="宋体"/>
          <w:color w:val="auto"/>
          <w:sz w:val="21"/>
          <w:szCs w:val="21"/>
          <w:highlight w:val="none"/>
          <w:u w:val="single"/>
        </w:rPr>
        <w:t></w:t>
      </w:r>
      <w:r>
        <w:rPr>
          <w:rFonts w:hint="eastAsia" w:cs="宋体"/>
          <w:color w:val="auto"/>
          <w:sz w:val="21"/>
          <w:szCs w:val="21"/>
          <w:highlight w:val="none"/>
        </w:rPr>
        <w:t>日。</w:t>
      </w:r>
    </w:p>
    <w:p w14:paraId="23F3B845">
      <w:pPr>
        <w:snapToGrid w:val="0"/>
        <w:spacing w:line="360" w:lineRule="auto"/>
        <w:ind w:firstLine="459"/>
        <w:rPr>
          <w:rFonts w:cs="宋体"/>
          <w:color w:val="auto"/>
          <w:sz w:val="21"/>
          <w:szCs w:val="21"/>
          <w:highlight w:val="none"/>
        </w:rPr>
      </w:pPr>
      <w:r>
        <w:rPr>
          <w:rFonts w:hint="eastAsia" w:cs="宋体"/>
          <w:color w:val="auto"/>
          <w:sz w:val="21"/>
          <w:szCs w:val="21"/>
          <w:highlight w:val="none"/>
        </w:rPr>
        <w:t>计划竣工日期：</w:t>
      </w:r>
      <w:r>
        <w:rPr>
          <w:rFonts w:hint="eastAsia" w:cs="宋体"/>
          <w:color w:val="auto"/>
          <w:sz w:val="21"/>
          <w:szCs w:val="21"/>
          <w:highlight w:val="none"/>
          <w:u w:val="single"/>
        </w:rPr>
        <w:t></w:t>
      </w:r>
      <w:r>
        <w:rPr>
          <w:rFonts w:hint="eastAsia" w:cs="宋体"/>
          <w:color w:val="auto"/>
          <w:sz w:val="21"/>
          <w:szCs w:val="21"/>
          <w:highlight w:val="none"/>
        </w:rPr>
        <w:t>年</w:t>
      </w:r>
      <w:r>
        <w:rPr>
          <w:rFonts w:hint="eastAsia" w:cs="宋体"/>
          <w:color w:val="auto"/>
          <w:sz w:val="21"/>
          <w:szCs w:val="21"/>
          <w:highlight w:val="none"/>
          <w:u w:val="single"/>
        </w:rPr>
        <w:t></w:t>
      </w:r>
      <w:r>
        <w:rPr>
          <w:rFonts w:hint="eastAsia" w:cs="宋体"/>
          <w:color w:val="auto"/>
          <w:sz w:val="21"/>
          <w:szCs w:val="21"/>
          <w:highlight w:val="none"/>
        </w:rPr>
        <w:t>月</w:t>
      </w:r>
      <w:r>
        <w:rPr>
          <w:rFonts w:hint="eastAsia" w:cs="宋体"/>
          <w:color w:val="auto"/>
          <w:sz w:val="21"/>
          <w:szCs w:val="21"/>
          <w:highlight w:val="none"/>
          <w:u w:val="single"/>
        </w:rPr>
        <w:t></w:t>
      </w:r>
      <w:r>
        <w:rPr>
          <w:rFonts w:hint="eastAsia" w:cs="宋体"/>
          <w:color w:val="auto"/>
          <w:sz w:val="21"/>
          <w:szCs w:val="21"/>
          <w:highlight w:val="none"/>
        </w:rPr>
        <w:t>日。</w:t>
      </w:r>
    </w:p>
    <w:p w14:paraId="29EB4F48">
      <w:pPr>
        <w:snapToGrid w:val="0"/>
        <w:spacing w:line="360" w:lineRule="auto"/>
        <w:ind w:firstLine="459"/>
        <w:rPr>
          <w:rFonts w:cs="宋体"/>
          <w:color w:val="auto"/>
          <w:sz w:val="21"/>
          <w:szCs w:val="21"/>
          <w:highlight w:val="none"/>
        </w:rPr>
      </w:pPr>
      <w:r>
        <w:rPr>
          <w:rFonts w:hint="eastAsia" w:cs="宋体"/>
          <w:color w:val="auto"/>
          <w:sz w:val="21"/>
          <w:szCs w:val="21"/>
          <w:highlight w:val="none"/>
        </w:rPr>
        <w:t>工期总日历天数：</w:t>
      </w:r>
      <w:r>
        <w:rPr>
          <w:rFonts w:hint="eastAsia" w:cs="宋体"/>
          <w:color w:val="auto"/>
          <w:sz w:val="21"/>
          <w:szCs w:val="21"/>
          <w:highlight w:val="none"/>
          <w:u w:val="single"/>
        </w:rPr>
        <w:t></w:t>
      </w:r>
      <w:r>
        <w:rPr>
          <w:rFonts w:hint="eastAsia" w:cs="宋体"/>
          <w:color w:val="auto"/>
          <w:sz w:val="21"/>
          <w:szCs w:val="21"/>
          <w:highlight w:val="none"/>
        </w:rPr>
        <w:t>天。工期总日历天数与根据前述计划开竣工日期计算的工期天数不一致的，以工期总日历天数为准。</w:t>
      </w:r>
    </w:p>
    <w:p w14:paraId="574ED17B">
      <w:pPr>
        <w:snapToGrid w:val="0"/>
        <w:spacing w:line="360" w:lineRule="auto"/>
        <w:ind w:firstLine="422" w:firstLineChars="200"/>
        <w:rPr>
          <w:rFonts w:cs="宋体"/>
          <w:b/>
          <w:color w:val="auto"/>
          <w:sz w:val="21"/>
          <w:szCs w:val="21"/>
          <w:highlight w:val="none"/>
        </w:rPr>
      </w:pPr>
      <w:bookmarkStart w:id="38" w:name="_Toc351203483"/>
      <w:r>
        <w:rPr>
          <w:rFonts w:hint="eastAsia" w:cs="宋体"/>
          <w:b/>
          <w:color w:val="auto"/>
          <w:sz w:val="21"/>
          <w:szCs w:val="21"/>
          <w:highlight w:val="none"/>
        </w:rPr>
        <w:t>三、质量标准</w:t>
      </w:r>
      <w:bookmarkEnd w:id="38"/>
    </w:p>
    <w:p w14:paraId="4FEA0B68">
      <w:pPr>
        <w:snapToGrid w:val="0"/>
        <w:spacing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符合国家及项目所在地验收标准，施工质量合格，绿化成活率100%。</w:t>
      </w:r>
    </w:p>
    <w:p w14:paraId="0C75C531">
      <w:pPr>
        <w:snapToGrid w:val="0"/>
        <w:spacing w:line="360" w:lineRule="auto"/>
        <w:ind w:firstLine="422" w:firstLineChars="200"/>
        <w:rPr>
          <w:rFonts w:cs="宋体"/>
          <w:b/>
          <w:color w:val="auto"/>
          <w:sz w:val="21"/>
          <w:szCs w:val="21"/>
          <w:highlight w:val="none"/>
        </w:rPr>
      </w:pPr>
      <w:bookmarkStart w:id="39" w:name="_Toc351203484"/>
      <w:r>
        <w:rPr>
          <w:rFonts w:hint="eastAsia" w:cs="宋体"/>
          <w:b/>
          <w:color w:val="auto"/>
          <w:sz w:val="21"/>
          <w:szCs w:val="21"/>
          <w:highlight w:val="none"/>
        </w:rPr>
        <w:t>四、签约合同价与合同价格形式</w:t>
      </w:r>
      <w:bookmarkEnd w:id="39"/>
    </w:p>
    <w:p w14:paraId="211D55BA">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1. 签约合同价为：</w:t>
      </w:r>
    </w:p>
    <w:p w14:paraId="6FB828E6">
      <w:pPr>
        <w:snapToGrid w:val="0"/>
        <w:spacing w:line="360" w:lineRule="auto"/>
        <w:ind w:firstLine="525" w:firstLineChars="250"/>
        <w:rPr>
          <w:rFonts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rPr>
        <w:t>¥</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05E0595A">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其中：</w:t>
      </w:r>
    </w:p>
    <w:p w14:paraId="6A1C6D5F">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（1）安全文明施工费：</w:t>
      </w:r>
    </w:p>
    <w:p w14:paraId="097C8F65">
      <w:pPr>
        <w:snapToGrid w:val="0"/>
        <w:spacing w:line="360" w:lineRule="auto"/>
        <w:ind w:firstLine="945" w:firstLineChars="450"/>
        <w:rPr>
          <w:rFonts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010434C5">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（2）材料和工程设备暂估价金额：</w:t>
      </w:r>
    </w:p>
    <w:p w14:paraId="274819E3">
      <w:pPr>
        <w:snapToGrid w:val="0"/>
        <w:spacing w:line="360" w:lineRule="auto"/>
        <w:ind w:firstLine="945" w:firstLineChars="450"/>
        <w:rPr>
          <w:rFonts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3157C4F6">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（3）专业工程暂估价金额：</w:t>
      </w:r>
    </w:p>
    <w:p w14:paraId="4BCBC090">
      <w:pPr>
        <w:snapToGrid w:val="0"/>
        <w:spacing w:line="360" w:lineRule="auto"/>
        <w:ind w:firstLine="945" w:firstLineChars="450"/>
        <w:rPr>
          <w:rFonts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13301707">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（4）暂列金额：</w:t>
      </w:r>
    </w:p>
    <w:p w14:paraId="5E4F4070">
      <w:pPr>
        <w:snapToGrid w:val="0"/>
        <w:spacing w:line="360" w:lineRule="auto"/>
        <w:ind w:firstLine="945" w:firstLineChars="450"/>
        <w:rPr>
          <w:rFonts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3884B5E4">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2. 合同价格形式：</w:t>
      </w:r>
      <w:r>
        <w:rPr>
          <w:rFonts w:hint="eastAsia" w:ascii="宋体" w:hAnsi="宋体" w:eastAsia="宋体" w:cs="宋体"/>
          <w:color w:val="auto"/>
          <w:sz w:val="21"/>
          <w:szCs w:val="21"/>
          <w:highlight w:val="none"/>
          <w:u w:val="single"/>
          <w:lang w:val="en-US" w:eastAsia="zh-CN"/>
        </w:rPr>
        <w:t>单价合同</w:t>
      </w:r>
      <w:r>
        <w:rPr>
          <w:rFonts w:hint="eastAsia" w:ascii="宋体" w:hAnsi="宋体" w:eastAsia="宋体" w:cs="宋体"/>
          <w:color w:val="auto"/>
          <w:sz w:val="21"/>
          <w:szCs w:val="21"/>
          <w:highlight w:val="none"/>
          <w:u w:val="single"/>
        </w:rPr>
        <w:t xml:space="preserve"> </w:t>
      </w:r>
      <w:r>
        <w:rPr>
          <w:rFonts w:hint="eastAsia" w:cs="宋体"/>
          <w:color w:val="auto"/>
          <w:sz w:val="21"/>
          <w:szCs w:val="21"/>
          <w:highlight w:val="none"/>
        </w:rPr>
        <w:t>。</w:t>
      </w:r>
    </w:p>
    <w:p w14:paraId="77D9B6F7">
      <w:pPr>
        <w:snapToGrid w:val="0"/>
        <w:spacing w:line="360" w:lineRule="auto"/>
        <w:ind w:firstLine="422" w:firstLineChars="200"/>
        <w:rPr>
          <w:rFonts w:cs="宋体"/>
          <w:b/>
          <w:color w:val="auto"/>
          <w:sz w:val="21"/>
          <w:szCs w:val="21"/>
          <w:highlight w:val="none"/>
        </w:rPr>
      </w:pPr>
      <w:bookmarkStart w:id="40" w:name="_Toc351203485"/>
      <w:r>
        <w:rPr>
          <w:rFonts w:hint="eastAsia" w:cs="宋体"/>
          <w:b/>
          <w:color w:val="auto"/>
          <w:sz w:val="21"/>
          <w:szCs w:val="21"/>
          <w:highlight w:val="none"/>
        </w:rPr>
        <w:t>五、</w:t>
      </w:r>
      <w:bookmarkEnd w:id="40"/>
      <w:r>
        <w:rPr>
          <w:rFonts w:hint="eastAsia" w:cs="宋体"/>
          <w:b/>
          <w:color w:val="auto"/>
          <w:sz w:val="21"/>
          <w:szCs w:val="21"/>
          <w:highlight w:val="none"/>
        </w:rPr>
        <w:t>项目经理</w:t>
      </w:r>
    </w:p>
    <w:p w14:paraId="2A709A0D">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承包人项目经理：</w:t>
      </w:r>
      <w:r>
        <w:rPr>
          <w:rFonts w:hint="eastAsia" w:cs="宋体"/>
          <w:color w:val="auto"/>
          <w:sz w:val="21"/>
          <w:szCs w:val="21"/>
          <w:highlight w:val="none"/>
          <w:u w:val="single"/>
        </w:rPr>
        <w:t>                     </w:t>
      </w:r>
      <w:r>
        <w:rPr>
          <w:rFonts w:hint="eastAsia" w:cs="宋体"/>
          <w:color w:val="auto"/>
          <w:sz w:val="21"/>
          <w:szCs w:val="21"/>
          <w:highlight w:val="none"/>
        </w:rPr>
        <w:t>。</w:t>
      </w:r>
    </w:p>
    <w:p w14:paraId="2B30C429">
      <w:pPr>
        <w:snapToGrid w:val="0"/>
        <w:spacing w:line="360" w:lineRule="auto"/>
        <w:ind w:firstLine="422" w:firstLineChars="200"/>
        <w:rPr>
          <w:rFonts w:cs="宋体"/>
          <w:b/>
          <w:color w:val="auto"/>
          <w:sz w:val="21"/>
          <w:szCs w:val="21"/>
          <w:highlight w:val="none"/>
        </w:rPr>
      </w:pPr>
      <w:bookmarkStart w:id="41" w:name="_Toc351203486"/>
      <w:r>
        <w:rPr>
          <w:rFonts w:hint="eastAsia" w:cs="宋体"/>
          <w:b/>
          <w:color w:val="auto"/>
          <w:sz w:val="21"/>
          <w:szCs w:val="21"/>
          <w:highlight w:val="none"/>
        </w:rPr>
        <w:t>六、合同文件构成</w:t>
      </w:r>
      <w:bookmarkEnd w:id="41"/>
    </w:p>
    <w:p w14:paraId="38F8F550">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本协议书与下列文件一起构成合同文件：</w:t>
      </w:r>
    </w:p>
    <w:p w14:paraId="68934803">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（1）中标通知书（如果有）；</w:t>
      </w:r>
    </w:p>
    <w:p w14:paraId="63599AB1">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 xml:space="preserve">（2）投标函及其附录（如果有）； </w:t>
      </w:r>
    </w:p>
    <w:p w14:paraId="68DB866F">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（3）专用合同条款及其附件；</w:t>
      </w:r>
    </w:p>
    <w:p w14:paraId="1C29D6CC">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（4）通用合同条款；</w:t>
      </w:r>
    </w:p>
    <w:p w14:paraId="1D2C807D">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（5）技术标准和要求；</w:t>
      </w:r>
    </w:p>
    <w:p w14:paraId="3286428E">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（6）图纸；</w:t>
      </w:r>
    </w:p>
    <w:p w14:paraId="06A70FB7">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（7）已标价工程量清单或预算书；</w:t>
      </w:r>
    </w:p>
    <w:p w14:paraId="5CA29033">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（8）其他合同文件。</w:t>
      </w:r>
    </w:p>
    <w:p w14:paraId="3F3604C3">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在合同订立及履行过程中形成的与合同有关的文件均构成合同文件组成部分。</w:t>
      </w:r>
    </w:p>
    <w:p w14:paraId="16081BB4">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0803310A">
      <w:pPr>
        <w:snapToGrid w:val="0"/>
        <w:spacing w:line="360" w:lineRule="auto"/>
        <w:ind w:firstLine="422" w:firstLineChars="200"/>
        <w:rPr>
          <w:rFonts w:cs="宋体"/>
          <w:b/>
          <w:color w:val="auto"/>
          <w:sz w:val="21"/>
          <w:szCs w:val="21"/>
          <w:highlight w:val="none"/>
        </w:rPr>
      </w:pPr>
      <w:bookmarkStart w:id="42" w:name="_Toc351203487"/>
      <w:r>
        <w:rPr>
          <w:rFonts w:hint="eastAsia" w:cs="宋体"/>
          <w:b/>
          <w:color w:val="auto"/>
          <w:sz w:val="21"/>
          <w:szCs w:val="21"/>
          <w:highlight w:val="none"/>
        </w:rPr>
        <w:t>七、承诺</w:t>
      </w:r>
      <w:bookmarkEnd w:id="42"/>
    </w:p>
    <w:p w14:paraId="3C0684C2">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1. 发包人承诺按照法律规定履行项目审批手续、筹集工程建设资金并按照合同约定的期限和方式支付合同价款。</w:t>
      </w:r>
    </w:p>
    <w:p w14:paraId="32D79DC6">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2. 承包人承诺按照法律规定及合同约定组织完成工程施工，确保工程质量和安全，不进行转包及违法分包，并在缺陷责任期及保修期内承担相应的工程维修责任。</w:t>
      </w:r>
    </w:p>
    <w:p w14:paraId="6C283CFB">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3. 发包人和承包人通过招投标形式签订合同的，双方理解并承诺不再就同一工程另行签订与合同实质性内容相背离的协议。</w:t>
      </w:r>
    </w:p>
    <w:p w14:paraId="36089B8A">
      <w:pPr>
        <w:snapToGrid w:val="0"/>
        <w:spacing w:line="360" w:lineRule="auto"/>
        <w:ind w:firstLine="422" w:firstLineChars="200"/>
        <w:rPr>
          <w:rFonts w:cs="宋体"/>
          <w:b/>
          <w:color w:val="auto"/>
          <w:sz w:val="21"/>
          <w:szCs w:val="21"/>
          <w:highlight w:val="none"/>
        </w:rPr>
      </w:pPr>
      <w:bookmarkStart w:id="43" w:name="_Toc351203488"/>
      <w:r>
        <w:rPr>
          <w:rFonts w:hint="eastAsia" w:cs="宋体"/>
          <w:b/>
          <w:color w:val="auto"/>
          <w:sz w:val="21"/>
          <w:szCs w:val="21"/>
          <w:highlight w:val="none"/>
        </w:rPr>
        <w:t>八、词语含义</w:t>
      </w:r>
      <w:bookmarkEnd w:id="43"/>
    </w:p>
    <w:p w14:paraId="078D4EE0">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本协议书中词语含义与第二部分通用合同条款中赋予的含义相同。</w:t>
      </w:r>
    </w:p>
    <w:p w14:paraId="4BA85040">
      <w:pPr>
        <w:snapToGrid w:val="0"/>
        <w:spacing w:line="360" w:lineRule="auto"/>
        <w:ind w:firstLine="422" w:firstLineChars="200"/>
        <w:rPr>
          <w:rFonts w:cs="宋体"/>
          <w:b/>
          <w:color w:val="auto"/>
          <w:sz w:val="21"/>
          <w:szCs w:val="21"/>
          <w:highlight w:val="none"/>
        </w:rPr>
      </w:pPr>
      <w:bookmarkStart w:id="44" w:name="_Toc351203489"/>
      <w:r>
        <w:rPr>
          <w:rFonts w:hint="eastAsia" w:cs="宋体"/>
          <w:b/>
          <w:color w:val="auto"/>
          <w:sz w:val="21"/>
          <w:szCs w:val="21"/>
          <w:highlight w:val="none"/>
        </w:rPr>
        <w:t>九、签订时间</w:t>
      </w:r>
      <w:bookmarkEnd w:id="44"/>
    </w:p>
    <w:p w14:paraId="1BBA3B29">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本合同于</w:t>
      </w:r>
      <w:r>
        <w:rPr>
          <w:rFonts w:hint="eastAsia" w:cs="宋体"/>
          <w:bCs/>
          <w:color w:val="auto"/>
          <w:sz w:val="21"/>
          <w:szCs w:val="21"/>
          <w:highlight w:val="none"/>
          <w:u w:val="single"/>
        </w:rPr>
        <w:t xml:space="preserve">       </w:t>
      </w:r>
      <w:r>
        <w:rPr>
          <w:rFonts w:hint="eastAsia" w:cs="宋体"/>
          <w:bCs/>
          <w:color w:val="auto"/>
          <w:sz w:val="21"/>
          <w:szCs w:val="21"/>
          <w:highlight w:val="none"/>
        </w:rPr>
        <w:t>年</w:t>
      </w:r>
      <w:r>
        <w:rPr>
          <w:rFonts w:hint="eastAsia" w:cs="宋体"/>
          <w:bCs/>
          <w:color w:val="auto"/>
          <w:sz w:val="21"/>
          <w:szCs w:val="21"/>
          <w:highlight w:val="none"/>
          <w:u w:val="single"/>
        </w:rPr>
        <w:t xml:space="preserve">    </w:t>
      </w:r>
      <w:r>
        <w:rPr>
          <w:rFonts w:hint="eastAsia" w:cs="宋体"/>
          <w:bCs/>
          <w:color w:val="auto"/>
          <w:sz w:val="21"/>
          <w:szCs w:val="21"/>
          <w:highlight w:val="none"/>
        </w:rPr>
        <w:t>月</w:t>
      </w:r>
      <w:r>
        <w:rPr>
          <w:rFonts w:hint="eastAsia" w:cs="宋体"/>
          <w:bCs/>
          <w:color w:val="auto"/>
          <w:sz w:val="21"/>
          <w:szCs w:val="21"/>
          <w:highlight w:val="none"/>
          <w:u w:val="single"/>
        </w:rPr>
        <w:t xml:space="preserve">    </w:t>
      </w:r>
      <w:r>
        <w:rPr>
          <w:rFonts w:hint="eastAsia" w:cs="宋体"/>
          <w:bCs/>
          <w:color w:val="auto"/>
          <w:sz w:val="21"/>
          <w:szCs w:val="21"/>
          <w:highlight w:val="none"/>
        </w:rPr>
        <w:t>日签订。</w:t>
      </w:r>
    </w:p>
    <w:p w14:paraId="1FA9ECD4">
      <w:pPr>
        <w:snapToGrid w:val="0"/>
        <w:spacing w:line="360" w:lineRule="auto"/>
        <w:ind w:firstLine="422" w:firstLineChars="200"/>
        <w:rPr>
          <w:rFonts w:cs="宋体"/>
          <w:b/>
          <w:color w:val="auto"/>
          <w:sz w:val="21"/>
          <w:szCs w:val="21"/>
          <w:highlight w:val="none"/>
        </w:rPr>
      </w:pPr>
      <w:bookmarkStart w:id="45" w:name="_Toc351203490"/>
      <w:r>
        <w:rPr>
          <w:rFonts w:hint="eastAsia" w:cs="宋体"/>
          <w:b/>
          <w:color w:val="auto"/>
          <w:sz w:val="21"/>
          <w:szCs w:val="21"/>
          <w:highlight w:val="none"/>
        </w:rPr>
        <w:t>十、签订地点</w:t>
      </w:r>
      <w:bookmarkEnd w:id="45"/>
    </w:p>
    <w:p w14:paraId="78484F9C">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本合同在</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滁州市重点工程建设管理处</w:t>
      </w:r>
      <w:r>
        <w:rPr>
          <w:rFonts w:hint="eastAsia" w:cs="宋体"/>
          <w:bCs/>
          <w:color w:val="auto"/>
          <w:sz w:val="21"/>
          <w:szCs w:val="21"/>
          <w:highlight w:val="none"/>
          <w:u w:val="single"/>
        </w:rPr>
        <w:t xml:space="preserve">   </w:t>
      </w:r>
      <w:r>
        <w:rPr>
          <w:rFonts w:hint="eastAsia" w:cs="宋体"/>
          <w:bCs/>
          <w:color w:val="auto"/>
          <w:sz w:val="21"/>
          <w:szCs w:val="21"/>
          <w:highlight w:val="none"/>
        </w:rPr>
        <w:t>签订。</w:t>
      </w:r>
    </w:p>
    <w:p w14:paraId="080D867E">
      <w:pPr>
        <w:snapToGrid w:val="0"/>
        <w:spacing w:line="360" w:lineRule="auto"/>
        <w:ind w:firstLine="422" w:firstLineChars="200"/>
        <w:rPr>
          <w:rFonts w:cs="宋体"/>
          <w:b/>
          <w:color w:val="auto"/>
          <w:sz w:val="21"/>
          <w:szCs w:val="21"/>
          <w:highlight w:val="none"/>
        </w:rPr>
      </w:pPr>
      <w:bookmarkStart w:id="46" w:name="_Toc351203491"/>
      <w:r>
        <w:rPr>
          <w:rFonts w:hint="eastAsia" w:cs="宋体"/>
          <w:b/>
          <w:color w:val="auto"/>
          <w:sz w:val="21"/>
          <w:szCs w:val="21"/>
          <w:highlight w:val="none"/>
        </w:rPr>
        <w:t>十一、补充协议</w:t>
      </w:r>
      <w:bookmarkEnd w:id="46"/>
    </w:p>
    <w:p w14:paraId="369C62EE">
      <w:pPr>
        <w:snapToGrid w:val="0"/>
        <w:spacing w:line="360" w:lineRule="auto"/>
        <w:ind w:firstLine="420" w:firstLineChars="200"/>
        <w:rPr>
          <w:rFonts w:cs="宋体"/>
          <w:b/>
          <w:bCs/>
          <w:color w:val="auto"/>
          <w:sz w:val="21"/>
          <w:szCs w:val="21"/>
          <w:highlight w:val="none"/>
        </w:rPr>
      </w:pPr>
      <w:r>
        <w:rPr>
          <w:rFonts w:hint="eastAsia" w:cs="宋体"/>
          <w:bCs/>
          <w:color w:val="auto"/>
          <w:sz w:val="21"/>
          <w:szCs w:val="21"/>
          <w:highlight w:val="none"/>
        </w:rPr>
        <w:t>合同未尽事宜，合同当事人另行签订补充协议，补充协议是合同的组成部分。</w:t>
      </w:r>
    </w:p>
    <w:p w14:paraId="1D1D0E9C">
      <w:pPr>
        <w:snapToGrid w:val="0"/>
        <w:spacing w:line="360" w:lineRule="auto"/>
        <w:ind w:firstLine="422" w:firstLineChars="200"/>
        <w:rPr>
          <w:rFonts w:cs="宋体"/>
          <w:b/>
          <w:color w:val="auto"/>
          <w:sz w:val="21"/>
          <w:szCs w:val="21"/>
          <w:highlight w:val="none"/>
        </w:rPr>
      </w:pPr>
      <w:bookmarkStart w:id="47" w:name="_Toc351203492"/>
      <w:r>
        <w:rPr>
          <w:rFonts w:hint="eastAsia" w:cs="宋体"/>
          <w:b/>
          <w:color w:val="auto"/>
          <w:sz w:val="21"/>
          <w:szCs w:val="21"/>
          <w:highlight w:val="none"/>
        </w:rPr>
        <w:t>十二、合同生效</w:t>
      </w:r>
      <w:bookmarkEnd w:id="47"/>
    </w:p>
    <w:p w14:paraId="703C1B82">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本合同自</w:t>
      </w:r>
      <w:r>
        <w:rPr>
          <w:rFonts w:hint="eastAsia" w:cs="宋体"/>
          <w:bCs/>
          <w:color w:val="auto"/>
          <w:sz w:val="21"/>
          <w:szCs w:val="21"/>
          <w:highlight w:val="none"/>
          <w:u w:val="single"/>
        </w:rPr>
        <w:t xml:space="preserve">   </w:t>
      </w:r>
      <w:r>
        <w:rPr>
          <w:rFonts w:hint="eastAsia" w:ascii="宋体" w:cs="宋体"/>
          <w:color w:val="auto"/>
          <w:sz w:val="21"/>
          <w:szCs w:val="21"/>
          <w:highlight w:val="none"/>
          <w:u w:val="single"/>
        </w:rPr>
        <w:t>双方签字盖章后</w:t>
      </w:r>
      <w:r>
        <w:rPr>
          <w:rFonts w:hint="eastAsia" w:cs="宋体"/>
          <w:bCs/>
          <w:color w:val="auto"/>
          <w:sz w:val="21"/>
          <w:szCs w:val="21"/>
          <w:highlight w:val="none"/>
          <w:u w:val="single"/>
        </w:rPr>
        <w:t xml:space="preserve">   </w:t>
      </w:r>
      <w:r>
        <w:rPr>
          <w:rFonts w:hint="eastAsia" w:cs="宋体"/>
          <w:bCs/>
          <w:color w:val="auto"/>
          <w:sz w:val="21"/>
          <w:szCs w:val="21"/>
          <w:highlight w:val="none"/>
        </w:rPr>
        <w:t>生效。</w:t>
      </w:r>
    </w:p>
    <w:p w14:paraId="6AE152EB">
      <w:pPr>
        <w:snapToGrid w:val="0"/>
        <w:spacing w:line="360" w:lineRule="auto"/>
        <w:ind w:firstLine="422" w:firstLineChars="200"/>
        <w:rPr>
          <w:rFonts w:cs="宋体"/>
          <w:b/>
          <w:color w:val="auto"/>
          <w:sz w:val="21"/>
          <w:szCs w:val="21"/>
          <w:highlight w:val="none"/>
        </w:rPr>
      </w:pPr>
      <w:bookmarkStart w:id="48" w:name="_Toc351203493"/>
      <w:r>
        <w:rPr>
          <w:rFonts w:hint="eastAsia" w:cs="宋体"/>
          <w:b/>
          <w:color w:val="auto"/>
          <w:sz w:val="21"/>
          <w:szCs w:val="21"/>
          <w:highlight w:val="none"/>
        </w:rPr>
        <w:t>十三、合同份数</w:t>
      </w:r>
      <w:bookmarkEnd w:id="48"/>
    </w:p>
    <w:p w14:paraId="15ACB664">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本合同一式</w:t>
      </w:r>
      <w:r>
        <w:rPr>
          <w:rFonts w:hint="eastAsia" w:cs="宋体"/>
          <w:bCs/>
          <w:color w:val="auto"/>
          <w:sz w:val="21"/>
          <w:szCs w:val="21"/>
          <w:highlight w:val="none"/>
          <w:u w:val="single"/>
          <w:lang w:val="en-US" w:eastAsia="zh-CN"/>
        </w:rPr>
        <w:t>捌</w:t>
      </w:r>
      <w:r>
        <w:rPr>
          <w:rFonts w:hint="eastAsia" w:cs="宋体"/>
          <w:bCs/>
          <w:color w:val="auto"/>
          <w:sz w:val="21"/>
          <w:szCs w:val="21"/>
          <w:highlight w:val="none"/>
        </w:rPr>
        <w:t>份，均具有同等法律效力，发包人执</w:t>
      </w:r>
      <w:r>
        <w:rPr>
          <w:rFonts w:hint="eastAsia" w:cs="宋体"/>
          <w:bCs/>
          <w:color w:val="auto"/>
          <w:sz w:val="21"/>
          <w:szCs w:val="21"/>
          <w:highlight w:val="none"/>
          <w:u w:val="single"/>
          <w:lang w:val="en-US" w:eastAsia="zh-CN"/>
        </w:rPr>
        <w:t>肆</w:t>
      </w:r>
      <w:r>
        <w:rPr>
          <w:rFonts w:hint="eastAsia" w:cs="宋体"/>
          <w:bCs/>
          <w:color w:val="auto"/>
          <w:sz w:val="21"/>
          <w:szCs w:val="21"/>
          <w:highlight w:val="none"/>
        </w:rPr>
        <w:t>份，承包人执</w:t>
      </w:r>
      <w:r>
        <w:rPr>
          <w:rFonts w:hint="eastAsia" w:cs="宋体"/>
          <w:bCs/>
          <w:color w:val="auto"/>
          <w:sz w:val="21"/>
          <w:szCs w:val="21"/>
          <w:highlight w:val="none"/>
          <w:u w:val="single"/>
          <w:lang w:val="en-US" w:eastAsia="zh-CN"/>
        </w:rPr>
        <w:t>肆</w:t>
      </w:r>
      <w:r>
        <w:rPr>
          <w:rFonts w:hint="eastAsia" w:cs="宋体"/>
          <w:bCs/>
          <w:color w:val="auto"/>
          <w:sz w:val="21"/>
          <w:szCs w:val="21"/>
          <w:highlight w:val="none"/>
        </w:rPr>
        <w:t>份。</w:t>
      </w:r>
    </w:p>
    <w:p w14:paraId="04D1839C">
      <w:pPr>
        <w:snapToGrid w:val="0"/>
        <w:spacing w:line="360" w:lineRule="auto"/>
        <w:rPr>
          <w:rFonts w:cs="宋体"/>
          <w:bCs/>
          <w:color w:val="auto"/>
          <w:sz w:val="21"/>
          <w:szCs w:val="21"/>
          <w:highlight w:val="none"/>
        </w:rPr>
      </w:pPr>
    </w:p>
    <w:p w14:paraId="54BD6FD6">
      <w:pPr>
        <w:snapToGrid w:val="0"/>
        <w:spacing w:line="360" w:lineRule="auto"/>
        <w:rPr>
          <w:rFonts w:cs="宋体"/>
          <w:color w:val="auto"/>
          <w:sz w:val="21"/>
          <w:szCs w:val="21"/>
          <w:highlight w:val="none"/>
        </w:rPr>
      </w:pPr>
      <w:r>
        <w:rPr>
          <w:rFonts w:hint="eastAsia" w:cs="宋体"/>
          <w:color w:val="auto"/>
          <w:sz w:val="21"/>
          <w:szCs w:val="21"/>
          <w:highlight w:val="none"/>
        </w:rPr>
        <w:t>发包人：</w:t>
      </w:r>
      <w:r>
        <w:rPr>
          <w:rFonts w:hint="eastAsia" w:cs="宋体"/>
          <w:color w:val="auto"/>
          <w:sz w:val="21"/>
          <w:szCs w:val="21"/>
          <w:highlight w:val="none"/>
          <w:u w:val="single"/>
        </w:rPr>
        <w:t>      （</w:t>
      </w:r>
      <w:r>
        <w:rPr>
          <w:rFonts w:hint="eastAsia" w:cs="宋体"/>
          <w:color w:val="auto"/>
          <w:sz w:val="21"/>
          <w:szCs w:val="21"/>
          <w:highlight w:val="none"/>
        </w:rPr>
        <w:t>公章）                 承包人：</w:t>
      </w:r>
      <w:r>
        <w:rPr>
          <w:rFonts w:hint="eastAsia" w:cs="宋体"/>
          <w:color w:val="auto"/>
          <w:sz w:val="21"/>
          <w:szCs w:val="21"/>
          <w:highlight w:val="none"/>
          <w:u w:val="single"/>
        </w:rPr>
        <w:t>        （</w:t>
      </w:r>
      <w:r>
        <w:rPr>
          <w:rFonts w:hint="eastAsia" w:cs="宋体"/>
          <w:color w:val="auto"/>
          <w:sz w:val="21"/>
          <w:szCs w:val="21"/>
          <w:highlight w:val="none"/>
        </w:rPr>
        <w:t>公章）</w:t>
      </w:r>
    </w:p>
    <w:p w14:paraId="27380476">
      <w:pPr>
        <w:snapToGrid w:val="0"/>
        <w:spacing w:line="360" w:lineRule="auto"/>
        <w:rPr>
          <w:rFonts w:cs="宋体"/>
          <w:color w:val="auto"/>
          <w:sz w:val="21"/>
          <w:szCs w:val="21"/>
          <w:highlight w:val="none"/>
        </w:rPr>
      </w:pPr>
      <w:r>
        <w:rPr>
          <w:rFonts w:hint="eastAsia" w:cs="宋体"/>
          <w:color w:val="auto"/>
          <w:sz w:val="21"/>
          <w:szCs w:val="21"/>
          <w:highlight w:val="none"/>
        </w:rPr>
        <w:t>法定代表人或其委托代理人：                 法定代表人或其委托代理人：</w:t>
      </w:r>
    </w:p>
    <w:p w14:paraId="4592CDDF">
      <w:pPr>
        <w:snapToGrid w:val="0"/>
        <w:spacing w:line="360" w:lineRule="auto"/>
        <w:rPr>
          <w:rFonts w:cs="宋体"/>
          <w:color w:val="auto"/>
          <w:sz w:val="21"/>
          <w:szCs w:val="21"/>
          <w:highlight w:val="none"/>
        </w:rPr>
      </w:pPr>
      <w:r>
        <w:rPr>
          <w:rFonts w:hint="eastAsia" w:cs="宋体"/>
          <w:color w:val="auto"/>
          <w:sz w:val="21"/>
          <w:szCs w:val="21"/>
          <w:highlight w:val="none"/>
        </w:rPr>
        <w:t>（签字）</w:t>
      </w:r>
      <w:r>
        <w:rPr>
          <w:rFonts w:hint="eastAsia" w:cs="宋体"/>
          <w:color w:val="auto"/>
          <w:sz w:val="21"/>
          <w:szCs w:val="21"/>
          <w:highlight w:val="none"/>
          <w:u w:val="single"/>
        </w:rPr>
        <w:t xml:space="preserve">                    </w:t>
      </w:r>
      <w:r>
        <w:rPr>
          <w:rFonts w:hint="eastAsia" w:cs="宋体"/>
          <w:color w:val="auto"/>
          <w:sz w:val="21"/>
          <w:szCs w:val="21"/>
          <w:highlight w:val="none"/>
        </w:rPr>
        <w:t xml:space="preserve">              （签字）</w:t>
      </w:r>
      <w:r>
        <w:rPr>
          <w:rFonts w:hint="eastAsia" w:cs="宋体"/>
          <w:color w:val="auto"/>
          <w:sz w:val="21"/>
          <w:szCs w:val="21"/>
          <w:highlight w:val="none"/>
          <w:u w:val="single"/>
        </w:rPr>
        <w:t xml:space="preserve">                   </w:t>
      </w:r>
    </w:p>
    <w:p w14:paraId="292FBE54">
      <w:pPr>
        <w:tabs>
          <w:tab w:val="left" w:pos="4410"/>
        </w:tabs>
        <w:snapToGrid w:val="0"/>
        <w:spacing w:line="360" w:lineRule="auto"/>
        <w:rPr>
          <w:rFonts w:cs="宋体"/>
          <w:color w:val="auto"/>
          <w:sz w:val="21"/>
          <w:szCs w:val="21"/>
          <w:highlight w:val="none"/>
        </w:rPr>
      </w:pPr>
      <w:r>
        <w:rPr>
          <w:rFonts w:hint="eastAsia" w:cs="宋体"/>
          <w:color w:val="auto"/>
          <w:sz w:val="21"/>
          <w:szCs w:val="21"/>
          <w:highlight w:val="none"/>
        </w:rPr>
        <w:t>组织机构代码：</w:t>
      </w:r>
      <w:r>
        <w:rPr>
          <w:rFonts w:hint="eastAsia" w:cs="宋体"/>
          <w:color w:val="auto"/>
          <w:sz w:val="21"/>
          <w:szCs w:val="21"/>
          <w:highlight w:val="none"/>
          <w:u w:val="single"/>
        </w:rPr>
        <w:t xml:space="preserve">       </w:t>
      </w:r>
      <w:r>
        <w:rPr>
          <w:rFonts w:hint="eastAsia" w:cs="宋体"/>
          <w:color w:val="auto"/>
          <w:sz w:val="21"/>
          <w:szCs w:val="21"/>
          <w:highlight w:val="none"/>
        </w:rPr>
        <w:t xml:space="preserve">                组织机构代码：</w:t>
      </w:r>
      <w:r>
        <w:rPr>
          <w:rFonts w:hint="eastAsia" w:cs="宋体"/>
          <w:color w:val="auto"/>
          <w:sz w:val="21"/>
          <w:szCs w:val="21"/>
          <w:highlight w:val="none"/>
          <w:u w:val="single"/>
        </w:rPr>
        <w:t xml:space="preserve">        </w:t>
      </w:r>
    </w:p>
    <w:p w14:paraId="1A620677">
      <w:pPr>
        <w:snapToGrid w:val="0"/>
        <w:spacing w:line="360" w:lineRule="auto"/>
        <w:rPr>
          <w:rFonts w:cs="宋体"/>
          <w:color w:val="auto"/>
          <w:sz w:val="21"/>
          <w:szCs w:val="21"/>
          <w:highlight w:val="none"/>
        </w:rPr>
      </w:pPr>
      <w:r>
        <w:rPr>
          <w:rFonts w:hint="eastAsia" w:cs="宋体"/>
          <w:color w:val="auto"/>
          <w:sz w:val="21"/>
          <w:szCs w:val="21"/>
          <w:highlight w:val="none"/>
        </w:rPr>
        <w:t>地  址：</w:t>
      </w:r>
      <w:r>
        <w:rPr>
          <w:rFonts w:hint="eastAsia" w:cs="宋体"/>
          <w:color w:val="auto"/>
          <w:sz w:val="21"/>
          <w:szCs w:val="21"/>
          <w:highlight w:val="none"/>
          <w:u w:val="single"/>
        </w:rPr>
        <w:t xml:space="preserve">     </w:t>
      </w:r>
      <w:r>
        <w:rPr>
          <w:rFonts w:hint="eastAsia" w:cs="宋体"/>
          <w:color w:val="auto"/>
          <w:sz w:val="21"/>
          <w:szCs w:val="21"/>
          <w:highlight w:val="none"/>
        </w:rPr>
        <w:t xml:space="preserve">                地  址：</w:t>
      </w:r>
      <w:r>
        <w:rPr>
          <w:rFonts w:hint="eastAsia" w:cs="宋体"/>
          <w:color w:val="auto"/>
          <w:sz w:val="21"/>
          <w:szCs w:val="21"/>
          <w:highlight w:val="none"/>
          <w:u w:val="single"/>
        </w:rPr>
        <w:t xml:space="preserve">     </w:t>
      </w:r>
    </w:p>
    <w:p w14:paraId="26192EF5">
      <w:pPr>
        <w:snapToGrid w:val="0"/>
        <w:spacing w:line="360" w:lineRule="auto"/>
        <w:rPr>
          <w:rFonts w:cs="宋体"/>
          <w:color w:val="auto"/>
          <w:sz w:val="21"/>
          <w:szCs w:val="21"/>
          <w:highlight w:val="none"/>
        </w:rPr>
      </w:pPr>
      <w:r>
        <w:rPr>
          <w:rFonts w:hint="eastAsia" w:cs="宋体"/>
          <w:color w:val="auto"/>
          <w:sz w:val="21"/>
          <w:szCs w:val="21"/>
          <w:highlight w:val="none"/>
        </w:rPr>
        <w:t>邮政编码：</w:t>
      </w:r>
      <w:r>
        <w:rPr>
          <w:rFonts w:hint="eastAsia" w:cs="宋体"/>
          <w:color w:val="auto"/>
          <w:sz w:val="21"/>
          <w:szCs w:val="21"/>
          <w:highlight w:val="none"/>
          <w:u w:val="single"/>
        </w:rPr>
        <w:t xml:space="preserve">      </w:t>
      </w:r>
      <w:r>
        <w:rPr>
          <w:rFonts w:hint="eastAsia" w:cs="宋体"/>
          <w:color w:val="auto"/>
          <w:sz w:val="21"/>
          <w:szCs w:val="21"/>
          <w:highlight w:val="none"/>
        </w:rPr>
        <w:t xml:space="preserve">               邮政编码：</w:t>
      </w:r>
      <w:r>
        <w:rPr>
          <w:rFonts w:hint="eastAsia" w:cs="宋体"/>
          <w:color w:val="auto"/>
          <w:sz w:val="21"/>
          <w:szCs w:val="21"/>
          <w:highlight w:val="none"/>
          <w:u w:val="single"/>
        </w:rPr>
        <w:t xml:space="preserve"> </w:t>
      </w:r>
    </w:p>
    <w:p w14:paraId="645639F9">
      <w:pPr>
        <w:snapToGrid w:val="0"/>
        <w:spacing w:line="360" w:lineRule="auto"/>
        <w:rPr>
          <w:rFonts w:cs="宋体"/>
          <w:color w:val="auto"/>
          <w:sz w:val="21"/>
          <w:szCs w:val="21"/>
          <w:highlight w:val="none"/>
        </w:rPr>
      </w:pPr>
      <w:r>
        <w:rPr>
          <w:rFonts w:hint="eastAsia" w:cs="宋体"/>
          <w:color w:val="auto"/>
          <w:sz w:val="21"/>
          <w:szCs w:val="21"/>
          <w:highlight w:val="none"/>
        </w:rPr>
        <w:t>法定代表人：</w:t>
      </w:r>
      <w:r>
        <w:rPr>
          <w:rFonts w:hint="eastAsia" w:cs="宋体"/>
          <w:color w:val="auto"/>
          <w:sz w:val="21"/>
          <w:szCs w:val="21"/>
          <w:highlight w:val="none"/>
          <w:u w:val="single"/>
        </w:rPr>
        <w:t xml:space="preserve">           </w:t>
      </w:r>
      <w:r>
        <w:rPr>
          <w:rFonts w:hint="eastAsia" w:cs="宋体"/>
          <w:color w:val="auto"/>
          <w:sz w:val="21"/>
          <w:szCs w:val="21"/>
          <w:highlight w:val="none"/>
        </w:rPr>
        <w:t xml:space="preserve">                法定代表人：</w:t>
      </w:r>
      <w:r>
        <w:rPr>
          <w:rFonts w:hint="eastAsia" w:cs="宋体"/>
          <w:color w:val="auto"/>
          <w:sz w:val="21"/>
          <w:szCs w:val="21"/>
          <w:highlight w:val="none"/>
          <w:u w:val="single"/>
        </w:rPr>
        <w:t xml:space="preserve">          </w:t>
      </w:r>
    </w:p>
    <w:p w14:paraId="44F50E9E">
      <w:pPr>
        <w:snapToGrid w:val="0"/>
        <w:spacing w:line="360" w:lineRule="auto"/>
        <w:rPr>
          <w:rFonts w:cs="宋体"/>
          <w:color w:val="auto"/>
          <w:sz w:val="21"/>
          <w:szCs w:val="21"/>
          <w:highlight w:val="none"/>
        </w:rPr>
      </w:pPr>
      <w:r>
        <w:rPr>
          <w:rFonts w:hint="eastAsia" w:cs="宋体"/>
          <w:color w:val="auto"/>
          <w:sz w:val="21"/>
          <w:szCs w:val="21"/>
          <w:highlight w:val="none"/>
        </w:rPr>
        <w:t>委托代理人：</w:t>
      </w:r>
      <w:r>
        <w:rPr>
          <w:rFonts w:hint="eastAsia" w:cs="宋体"/>
          <w:color w:val="auto"/>
          <w:sz w:val="21"/>
          <w:szCs w:val="21"/>
          <w:highlight w:val="none"/>
          <w:u w:val="single"/>
        </w:rPr>
        <w:t xml:space="preserve">           </w:t>
      </w:r>
      <w:r>
        <w:rPr>
          <w:rFonts w:hint="eastAsia" w:cs="宋体"/>
          <w:color w:val="auto"/>
          <w:sz w:val="21"/>
          <w:szCs w:val="21"/>
          <w:highlight w:val="none"/>
        </w:rPr>
        <w:t xml:space="preserve">                委托代理人：</w:t>
      </w:r>
      <w:r>
        <w:rPr>
          <w:rFonts w:hint="eastAsia" w:cs="宋体"/>
          <w:color w:val="auto"/>
          <w:sz w:val="21"/>
          <w:szCs w:val="21"/>
          <w:highlight w:val="none"/>
          <w:u w:val="single"/>
        </w:rPr>
        <w:t xml:space="preserve">          </w:t>
      </w:r>
    </w:p>
    <w:p w14:paraId="57183DE9">
      <w:pPr>
        <w:snapToGrid w:val="0"/>
        <w:spacing w:line="360" w:lineRule="auto"/>
        <w:rPr>
          <w:rFonts w:cs="宋体"/>
          <w:color w:val="auto"/>
          <w:sz w:val="21"/>
          <w:szCs w:val="21"/>
          <w:highlight w:val="none"/>
        </w:rPr>
      </w:pPr>
      <w:r>
        <w:rPr>
          <w:rFonts w:hint="eastAsia" w:cs="宋体"/>
          <w:color w:val="auto"/>
          <w:sz w:val="21"/>
          <w:szCs w:val="21"/>
          <w:highlight w:val="none"/>
        </w:rPr>
        <w:t>电  话：</w:t>
      </w:r>
      <w:r>
        <w:rPr>
          <w:rFonts w:hint="eastAsia" w:cs="宋体"/>
          <w:color w:val="auto"/>
          <w:sz w:val="21"/>
          <w:szCs w:val="21"/>
          <w:highlight w:val="none"/>
          <w:u w:val="single"/>
        </w:rPr>
        <w:t xml:space="preserve">   </w:t>
      </w:r>
      <w:r>
        <w:rPr>
          <w:rFonts w:hint="eastAsia" w:cs="宋体"/>
          <w:color w:val="auto"/>
          <w:sz w:val="21"/>
          <w:szCs w:val="21"/>
          <w:highlight w:val="none"/>
        </w:rPr>
        <w:t xml:space="preserve">                电  话：</w:t>
      </w:r>
      <w:r>
        <w:rPr>
          <w:rFonts w:hint="eastAsia" w:cs="宋体"/>
          <w:color w:val="auto"/>
          <w:sz w:val="21"/>
          <w:szCs w:val="21"/>
          <w:highlight w:val="none"/>
          <w:u w:val="single"/>
        </w:rPr>
        <w:t xml:space="preserve">  </w:t>
      </w:r>
    </w:p>
    <w:p w14:paraId="6213C51D">
      <w:pPr>
        <w:snapToGrid w:val="0"/>
        <w:spacing w:line="360" w:lineRule="auto"/>
        <w:rPr>
          <w:rFonts w:cs="宋体"/>
          <w:color w:val="auto"/>
          <w:sz w:val="21"/>
          <w:szCs w:val="21"/>
          <w:highlight w:val="none"/>
        </w:rPr>
      </w:pPr>
      <w:r>
        <w:rPr>
          <w:rFonts w:hint="eastAsia" w:cs="宋体"/>
          <w:color w:val="auto"/>
          <w:sz w:val="21"/>
          <w:szCs w:val="21"/>
          <w:highlight w:val="none"/>
        </w:rPr>
        <w:t>传  真：</w:t>
      </w:r>
      <w:r>
        <w:rPr>
          <w:rFonts w:hint="eastAsia" w:cs="宋体"/>
          <w:color w:val="auto"/>
          <w:sz w:val="21"/>
          <w:szCs w:val="21"/>
          <w:highlight w:val="none"/>
          <w:u w:val="single"/>
        </w:rPr>
        <w:t xml:space="preserve">   </w:t>
      </w:r>
      <w:r>
        <w:rPr>
          <w:rFonts w:hint="eastAsia" w:cs="宋体"/>
          <w:color w:val="auto"/>
          <w:sz w:val="21"/>
          <w:szCs w:val="21"/>
          <w:highlight w:val="none"/>
        </w:rPr>
        <w:t xml:space="preserve">                传  真：</w:t>
      </w:r>
      <w:r>
        <w:rPr>
          <w:rFonts w:hint="eastAsia" w:cs="宋体"/>
          <w:color w:val="auto"/>
          <w:sz w:val="21"/>
          <w:szCs w:val="21"/>
          <w:highlight w:val="none"/>
          <w:u w:val="single"/>
        </w:rPr>
        <w:t>  </w:t>
      </w:r>
    </w:p>
    <w:p w14:paraId="5E7DE15C">
      <w:pPr>
        <w:snapToGrid w:val="0"/>
        <w:spacing w:line="360" w:lineRule="auto"/>
        <w:rPr>
          <w:rFonts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cs="宋体"/>
          <w:color w:val="auto"/>
          <w:sz w:val="21"/>
          <w:szCs w:val="21"/>
          <w:highlight w:val="none"/>
        </w:rPr>
        <w:t xml:space="preserve">                电子信箱：</w:t>
      </w:r>
      <w:r>
        <w:rPr>
          <w:rFonts w:hint="eastAsia" w:cs="宋体"/>
          <w:color w:val="auto"/>
          <w:sz w:val="21"/>
          <w:szCs w:val="21"/>
          <w:highlight w:val="none"/>
          <w:u w:val="single"/>
        </w:rPr>
        <w:t></w:t>
      </w:r>
    </w:p>
    <w:p w14:paraId="455CFD0F">
      <w:pPr>
        <w:snapToGrid w:val="0"/>
        <w:spacing w:line="360" w:lineRule="auto"/>
        <w:rPr>
          <w:rFonts w:cs="宋体"/>
          <w:color w:val="auto"/>
          <w:sz w:val="21"/>
          <w:szCs w:val="21"/>
          <w:highlight w:val="none"/>
        </w:rPr>
      </w:pPr>
      <w:r>
        <w:rPr>
          <w:rFonts w:hint="eastAsia" w:cs="宋体"/>
          <w:color w:val="auto"/>
          <w:sz w:val="21"/>
          <w:szCs w:val="21"/>
          <w:highlight w:val="none"/>
        </w:rPr>
        <w:t>开户银行：</w:t>
      </w:r>
      <w:r>
        <w:rPr>
          <w:rFonts w:hint="eastAsia" w:cs="宋体"/>
          <w:color w:val="auto"/>
          <w:sz w:val="21"/>
          <w:szCs w:val="21"/>
          <w:highlight w:val="none"/>
          <w:u w:val="single"/>
        </w:rPr>
        <w:t xml:space="preserve">   </w:t>
      </w:r>
      <w:r>
        <w:rPr>
          <w:rFonts w:hint="eastAsia" w:cs="宋体"/>
          <w:color w:val="auto"/>
          <w:sz w:val="21"/>
          <w:szCs w:val="21"/>
          <w:highlight w:val="none"/>
        </w:rPr>
        <w:t xml:space="preserve">                开户银行：</w:t>
      </w:r>
      <w:r>
        <w:rPr>
          <w:rFonts w:hint="eastAsia" w:cs="宋体"/>
          <w:color w:val="auto"/>
          <w:sz w:val="21"/>
          <w:szCs w:val="21"/>
          <w:highlight w:val="none"/>
          <w:u w:val="single"/>
        </w:rPr>
        <w:t></w:t>
      </w:r>
    </w:p>
    <w:p w14:paraId="2D646DB5">
      <w:pPr>
        <w:snapToGrid w:val="0"/>
        <w:spacing w:line="360" w:lineRule="auto"/>
        <w:rPr>
          <w:rFonts w:hint="eastAsia" w:cs="宋体"/>
          <w:color w:val="auto"/>
          <w:sz w:val="21"/>
          <w:szCs w:val="21"/>
          <w:highlight w:val="none"/>
          <w:u w:val="single"/>
        </w:rPr>
      </w:pPr>
      <w:r>
        <w:rPr>
          <w:rFonts w:hint="eastAsia" w:cs="宋体"/>
          <w:color w:val="auto"/>
          <w:sz w:val="21"/>
          <w:szCs w:val="21"/>
          <w:highlight w:val="none"/>
        </w:rPr>
        <w:t>账  号：</w:t>
      </w:r>
      <w:r>
        <w:rPr>
          <w:rFonts w:hint="eastAsia" w:cs="宋体"/>
          <w:color w:val="auto"/>
          <w:sz w:val="21"/>
          <w:szCs w:val="21"/>
          <w:highlight w:val="none"/>
          <w:u w:val="single"/>
        </w:rPr>
        <w:t xml:space="preserve">       </w:t>
      </w:r>
      <w:r>
        <w:rPr>
          <w:rFonts w:hint="eastAsia" w:cs="宋体"/>
          <w:color w:val="auto"/>
          <w:sz w:val="21"/>
          <w:szCs w:val="21"/>
          <w:highlight w:val="none"/>
        </w:rPr>
        <w:t xml:space="preserve">                账  号：</w:t>
      </w:r>
      <w:r>
        <w:rPr>
          <w:rFonts w:hint="eastAsia" w:cs="宋体"/>
          <w:color w:val="auto"/>
          <w:sz w:val="21"/>
          <w:szCs w:val="21"/>
          <w:highlight w:val="none"/>
          <w:u w:val="single"/>
        </w:rPr>
        <w:t xml:space="preserve">   </w:t>
      </w:r>
    </w:p>
    <w:p w14:paraId="32BFBD0F">
      <w:pPr>
        <w:snapToGrid w:val="0"/>
        <w:spacing w:line="360" w:lineRule="auto"/>
        <w:jc w:val="center"/>
        <w:rPr>
          <w:rFonts w:cs="宋体"/>
          <w:bCs/>
          <w:color w:val="auto"/>
          <w:sz w:val="21"/>
          <w:szCs w:val="21"/>
          <w:highlight w:val="none"/>
        </w:rPr>
      </w:pPr>
      <w:r>
        <w:rPr>
          <w:rFonts w:hint="eastAsia" w:ascii="宋体" w:hAnsi="宋体" w:eastAsia="宋体" w:cs="宋体"/>
          <w:color w:val="auto"/>
          <w:sz w:val="21"/>
          <w:szCs w:val="21"/>
          <w:highlight w:val="none"/>
          <w:lang w:val="en-US" w:eastAsia="zh-CN"/>
        </w:rPr>
        <w:t>签订日期：                                 签订日期：</w:t>
      </w:r>
      <w:r>
        <w:rPr>
          <w:rFonts w:hint="eastAsia" w:cs="宋体"/>
          <w:b/>
          <w:bCs/>
          <w:color w:val="auto"/>
          <w:sz w:val="21"/>
          <w:szCs w:val="21"/>
          <w:highlight w:val="none"/>
        </w:rPr>
        <w:br w:type="page"/>
      </w:r>
      <w:bookmarkStart w:id="49" w:name="_Toc28799377"/>
      <w:bookmarkStart w:id="50" w:name="_Toc130919121"/>
      <w:bookmarkStart w:id="51" w:name="_Toc30550"/>
      <w:r>
        <w:rPr>
          <w:rFonts w:hint="eastAsia" w:ascii="等线" w:hAnsi="等线" w:eastAsia="等线" w:cs="@仿宋_GB2312"/>
          <w:b/>
          <w:color w:val="auto"/>
          <w:kern w:val="2"/>
          <w:sz w:val="24"/>
          <w:highlight w:val="none"/>
        </w:rPr>
        <w:t>第二节  通用合同条款</w:t>
      </w:r>
      <w:bookmarkEnd w:id="49"/>
      <w:bookmarkEnd w:id="50"/>
      <w:bookmarkEnd w:id="51"/>
    </w:p>
    <w:p w14:paraId="16E02626">
      <w:pPr>
        <w:spacing w:line="360" w:lineRule="auto"/>
        <w:ind w:firstLine="560" w:firstLineChars="200"/>
        <w:rPr>
          <w:rFonts w:cs="Times New Roman"/>
          <w:snapToGrid w:val="0"/>
          <w:color w:val="auto"/>
          <w:sz w:val="28"/>
          <w:szCs w:val="24"/>
          <w:highlight w:val="none"/>
        </w:rPr>
      </w:pPr>
      <w:r>
        <w:rPr>
          <w:rFonts w:hint="eastAsia" w:cs="Times New Roman"/>
          <w:snapToGrid w:val="0"/>
          <w:color w:val="auto"/>
          <w:sz w:val="28"/>
          <w:szCs w:val="24"/>
          <w:highlight w:val="none"/>
        </w:rPr>
        <w:t>采用《建设工程施工合同（示范文本）》（GF-2017-0201）中通用合同条款。上述资料由承包人自行准备。</w:t>
      </w:r>
    </w:p>
    <w:p w14:paraId="16503450">
      <w:pPr>
        <w:keepNext/>
        <w:keepLines/>
        <w:snapToGrid w:val="0"/>
        <w:spacing w:before="312" w:beforeLines="100" w:after="312" w:afterLines="100" w:line="360" w:lineRule="auto"/>
        <w:jc w:val="center"/>
        <w:outlineLvl w:val="1"/>
        <w:rPr>
          <w:rFonts w:cs="宋体"/>
          <w:bCs/>
          <w:color w:val="auto"/>
          <w:sz w:val="21"/>
          <w:szCs w:val="21"/>
          <w:highlight w:val="none"/>
        </w:rPr>
      </w:pPr>
      <w:r>
        <w:rPr>
          <w:rFonts w:hint="eastAsia" w:cs="宋体"/>
          <w:b/>
          <w:bCs/>
          <w:color w:val="auto"/>
          <w:sz w:val="21"/>
          <w:szCs w:val="21"/>
          <w:highlight w:val="none"/>
        </w:rPr>
        <w:br w:type="page"/>
      </w:r>
      <w:bookmarkStart w:id="52" w:name="_Toc28799378"/>
      <w:bookmarkStart w:id="53" w:name="_Toc31931"/>
      <w:bookmarkStart w:id="54" w:name="_Toc130919122"/>
      <w:r>
        <w:rPr>
          <w:rFonts w:hint="eastAsia" w:ascii="等线" w:hAnsi="等线" w:eastAsia="等线" w:cs="@仿宋_GB2312"/>
          <w:b/>
          <w:color w:val="auto"/>
          <w:kern w:val="2"/>
          <w:sz w:val="24"/>
          <w:highlight w:val="none"/>
        </w:rPr>
        <w:t>第三节  专用合同条款</w:t>
      </w:r>
      <w:bookmarkEnd w:id="52"/>
      <w:bookmarkEnd w:id="53"/>
      <w:bookmarkEnd w:id="54"/>
    </w:p>
    <w:p w14:paraId="0971EF87">
      <w:pPr>
        <w:snapToGrid w:val="0"/>
        <w:spacing w:before="312" w:beforeLines="100" w:after="312" w:afterLines="100" w:line="360" w:lineRule="auto"/>
        <w:jc w:val="center"/>
        <w:outlineLvl w:val="2"/>
        <w:rPr>
          <w:rFonts w:cs="宋体"/>
          <w:color w:val="auto"/>
          <w:sz w:val="21"/>
          <w:szCs w:val="21"/>
          <w:highlight w:val="none"/>
        </w:rPr>
      </w:pPr>
      <w:bookmarkStart w:id="55" w:name="_Toc351203633"/>
      <w:r>
        <w:rPr>
          <w:rFonts w:hint="eastAsia" w:cs="宋体"/>
          <w:color w:val="auto"/>
          <w:sz w:val="21"/>
          <w:szCs w:val="21"/>
          <w:highlight w:val="none"/>
        </w:rPr>
        <w:t>专用合同条款数据表</w:t>
      </w:r>
    </w:p>
    <w:p w14:paraId="7A3B92A1">
      <w:pPr>
        <w:pStyle w:val="20"/>
        <w:snapToGrid w:val="0"/>
        <w:spacing w:line="360" w:lineRule="auto"/>
        <w:ind w:left="400" w:firstLine="480"/>
        <w:rPr>
          <w:rFonts w:ascii="宋体" w:hAnsi="宋体" w:cs="宋体"/>
          <w:color w:val="auto"/>
          <w:szCs w:val="21"/>
          <w:highlight w:val="none"/>
        </w:rPr>
      </w:pPr>
      <w:r>
        <w:rPr>
          <w:rFonts w:hint="eastAsia" w:ascii="宋体" w:hAnsi="宋体" w:cs="宋体"/>
          <w:color w:val="auto"/>
          <w:szCs w:val="21"/>
          <w:highlight w:val="none"/>
        </w:rPr>
        <w:t>说明：本数据表是项目专用合同条款中适用于本招标项目的信息和数据的归纳与提示，是项目专用合同条款的组成部分。</w:t>
      </w:r>
    </w:p>
    <w:tbl>
      <w:tblPr>
        <w:tblStyle w:val="55"/>
        <w:tblW w:w="90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1111"/>
        <w:gridCol w:w="7304"/>
      </w:tblGrid>
      <w:tr w14:paraId="5A6A6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629" w:type="dxa"/>
            <w:vAlign w:val="center"/>
          </w:tcPr>
          <w:p w14:paraId="7B896912">
            <w:pPr>
              <w:snapToGrid w:val="0"/>
              <w:spacing w:before="100" w:beforeAutospacing="1" w:line="360" w:lineRule="auto"/>
              <w:ind w:left="-100" w:leftChars="-50" w:right="-100" w:rightChars="-50"/>
              <w:jc w:val="center"/>
              <w:rPr>
                <w:rFonts w:cs="宋体"/>
                <w:b/>
                <w:color w:val="auto"/>
                <w:sz w:val="21"/>
                <w:szCs w:val="21"/>
                <w:highlight w:val="none"/>
              </w:rPr>
            </w:pPr>
            <w:r>
              <w:rPr>
                <w:rFonts w:hint="eastAsia" w:cs="宋体"/>
                <w:b/>
                <w:color w:val="auto"/>
                <w:sz w:val="21"/>
                <w:szCs w:val="21"/>
                <w:highlight w:val="none"/>
              </w:rPr>
              <w:t>序号</w:t>
            </w:r>
          </w:p>
        </w:tc>
        <w:tc>
          <w:tcPr>
            <w:tcW w:w="1111" w:type="dxa"/>
            <w:vAlign w:val="center"/>
          </w:tcPr>
          <w:p w14:paraId="06E05C8A">
            <w:pPr>
              <w:snapToGrid w:val="0"/>
              <w:spacing w:line="360" w:lineRule="auto"/>
              <w:ind w:left="-100" w:leftChars="-50" w:right="-100" w:rightChars="-50"/>
              <w:jc w:val="center"/>
              <w:rPr>
                <w:rFonts w:cs="宋体"/>
                <w:b/>
                <w:color w:val="auto"/>
                <w:sz w:val="21"/>
                <w:szCs w:val="21"/>
                <w:highlight w:val="none"/>
              </w:rPr>
            </w:pPr>
            <w:r>
              <w:rPr>
                <w:rFonts w:hint="eastAsia" w:cs="宋体"/>
                <w:b/>
                <w:color w:val="auto"/>
                <w:sz w:val="21"/>
                <w:szCs w:val="21"/>
                <w:highlight w:val="none"/>
              </w:rPr>
              <w:t>条目号</w:t>
            </w:r>
          </w:p>
        </w:tc>
        <w:tc>
          <w:tcPr>
            <w:tcW w:w="7304" w:type="dxa"/>
            <w:vAlign w:val="center"/>
          </w:tcPr>
          <w:p w14:paraId="15E9E63D">
            <w:pPr>
              <w:snapToGrid w:val="0"/>
              <w:spacing w:line="360" w:lineRule="auto"/>
              <w:jc w:val="center"/>
              <w:rPr>
                <w:rFonts w:cs="宋体"/>
                <w:b/>
                <w:color w:val="auto"/>
                <w:sz w:val="21"/>
                <w:szCs w:val="21"/>
                <w:highlight w:val="none"/>
              </w:rPr>
            </w:pPr>
            <w:r>
              <w:rPr>
                <w:rFonts w:hint="eastAsia" w:cs="宋体"/>
                <w:b/>
                <w:color w:val="auto"/>
                <w:sz w:val="21"/>
                <w:szCs w:val="21"/>
                <w:highlight w:val="none"/>
              </w:rPr>
              <w:t>信息或数据</w:t>
            </w:r>
          </w:p>
        </w:tc>
      </w:tr>
      <w:tr w14:paraId="138CA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503FE32D">
            <w:pPr>
              <w:numPr>
                <w:ilvl w:val="0"/>
                <w:numId w:val="4"/>
              </w:numPr>
              <w:snapToGrid w:val="0"/>
              <w:spacing w:line="360" w:lineRule="auto"/>
              <w:jc w:val="center"/>
              <w:rPr>
                <w:rFonts w:cs="宋体"/>
                <w:bCs/>
                <w:color w:val="auto"/>
                <w:kern w:val="2"/>
                <w:sz w:val="21"/>
                <w:szCs w:val="21"/>
                <w:highlight w:val="none"/>
              </w:rPr>
            </w:pPr>
          </w:p>
        </w:tc>
        <w:tc>
          <w:tcPr>
            <w:tcW w:w="1111" w:type="dxa"/>
            <w:vAlign w:val="center"/>
          </w:tcPr>
          <w:p w14:paraId="1F9112B4">
            <w:pPr>
              <w:snapToGrid w:val="0"/>
              <w:spacing w:line="360" w:lineRule="auto"/>
              <w:jc w:val="center"/>
              <w:rPr>
                <w:rFonts w:cs="宋体"/>
                <w:bCs/>
                <w:color w:val="auto"/>
                <w:sz w:val="21"/>
                <w:szCs w:val="21"/>
                <w:highlight w:val="none"/>
              </w:rPr>
            </w:pPr>
            <w:r>
              <w:rPr>
                <w:rFonts w:hint="eastAsia" w:cs="宋体"/>
                <w:bCs/>
                <w:color w:val="auto"/>
                <w:sz w:val="21"/>
                <w:szCs w:val="21"/>
                <w:highlight w:val="none"/>
              </w:rPr>
              <w:t>2.5</w:t>
            </w:r>
          </w:p>
        </w:tc>
        <w:tc>
          <w:tcPr>
            <w:tcW w:w="7304" w:type="dxa"/>
            <w:vAlign w:val="center"/>
          </w:tcPr>
          <w:p w14:paraId="1012FD7F">
            <w:pPr>
              <w:keepNext w:val="0"/>
              <w:keepLines w:val="0"/>
              <w:suppressLineNumbers w:val="0"/>
              <w:snapToGrid w:val="0"/>
              <w:spacing w:before="0" w:beforeAutospacing="0" w:after="0" w:afterAutospacing="0" w:line="360" w:lineRule="auto"/>
              <w:ind w:left="0" w:right="0"/>
              <w:rPr>
                <w:rFonts w:hint="default" w:cs="宋体"/>
                <w:bCs/>
                <w:color w:val="auto"/>
                <w:sz w:val="21"/>
                <w:szCs w:val="21"/>
                <w:highlight w:val="none"/>
                <w:u w:val="single"/>
              </w:rPr>
            </w:pPr>
            <w:r>
              <w:rPr>
                <w:rFonts w:hint="eastAsia" w:cs="宋体"/>
                <w:bCs/>
                <w:color w:val="auto"/>
                <w:sz w:val="21"/>
                <w:szCs w:val="21"/>
                <w:highlight w:val="none"/>
              </w:rPr>
              <w:t xml:space="preserve">发包人提供资金来源证明的期限要求： </w:t>
            </w:r>
            <w:r>
              <w:rPr>
                <w:rFonts w:hint="eastAsia" w:cs="宋体"/>
                <w:bCs/>
                <w:color w:val="auto"/>
                <w:sz w:val="21"/>
                <w:szCs w:val="21"/>
                <w:highlight w:val="none"/>
                <w:u w:val="single"/>
              </w:rPr>
              <w:t xml:space="preserve"> </w:t>
            </w:r>
            <w:r>
              <w:rPr>
                <w:rFonts w:hint="eastAsia" w:ascii="宋体" w:cs="宋体"/>
                <w:color w:val="auto"/>
                <w:sz w:val="20"/>
                <w:szCs w:val="21"/>
                <w:highlight w:val="none"/>
                <w:u w:val="single"/>
              </w:rPr>
              <w:t>财政资金，不需提供</w:t>
            </w:r>
            <w:r>
              <w:rPr>
                <w:rFonts w:hint="eastAsia" w:cs="宋体"/>
                <w:bCs/>
                <w:color w:val="auto"/>
                <w:sz w:val="21"/>
                <w:szCs w:val="21"/>
                <w:highlight w:val="none"/>
                <w:u w:val="single"/>
              </w:rPr>
              <w:t xml:space="preserve">  </w:t>
            </w:r>
          </w:p>
          <w:p w14:paraId="77C60AF3">
            <w:pPr>
              <w:keepNext w:val="0"/>
              <w:keepLines w:val="0"/>
              <w:suppressLineNumbers w:val="0"/>
              <w:snapToGrid w:val="0"/>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 xml:space="preserve">发包人是否提供支付担保：  </w:t>
            </w:r>
            <w:r>
              <w:rPr>
                <w:rFonts w:hint="eastAsia" w:cs="宋体"/>
                <w:bCs/>
                <w:color w:val="auto"/>
                <w:sz w:val="21"/>
                <w:szCs w:val="21"/>
                <w:highlight w:val="none"/>
                <w:u w:val="single"/>
              </w:rPr>
              <w:t xml:space="preserve"> </w:t>
            </w:r>
            <w:r>
              <w:rPr>
                <w:rFonts w:hint="eastAsia" w:ascii="宋体" w:cs="宋体"/>
                <w:color w:val="auto"/>
                <w:sz w:val="20"/>
                <w:szCs w:val="21"/>
                <w:highlight w:val="none"/>
                <w:u w:val="single"/>
              </w:rPr>
              <w:t>财政资金，不需提供</w:t>
            </w:r>
            <w:r>
              <w:rPr>
                <w:rFonts w:hint="eastAsia" w:cs="宋体"/>
                <w:bCs/>
                <w:color w:val="auto"/>
                <w:sz w:val="21"/>
                <w:szCs w:val="21"/>
                <w:highlight w:val="none"/>
                <w:u w:val="single"/>
              </w:rPr>
              <w:t xml:space="preserve"> </w:t>
            </w:r>
          </w:p>
          <w:p w14:paraId="03B7943F">
            <w:pPr>
              <w:snapToGrid w:val="0"/>
              <w:spacing w:line="360" w:lineRule="auto"/>
              <w:rPr>
                <w:rFonts w:cs="宋体"/>
                <w:bCs/>
                <w:color w:val="auto"/>
                <w:sz w:val="21"/>
                <w:szCs w:val="21"/>
                <w:highlight w:val="none"/>
                <w:u w:val="single"/>
              </w:rPr>
            </w:pPr>
            <w:r>
              <w:rPr>
                <w:rFonts w:hint="eastAsia" w:cs="宋体"/>
                <w:bCs/>
                <w:color w:val="auto"/>
                <w:sz w:val="21"/>
                <w:szCs w:val="21"/>
                <w:highlight w:val="none"/>
              </w:rPr>
              <w:t>发包人提供支付担保的形式：</w:t>
            </w:r>
            <w:r>
              <w:rPr>
                <w:rFonts w:hint="eastAsia" w:cs="宋体"/>
                <w:bCs/>
                <w:color w:val="auto"/>
                <w:sz w:val="21"/>
                <w:szCs w:val="21"/>
                <w:highlight w:val="none"/>
                <w:u w:val="single"/>
              </w:rPr>
              <w:t xml:space="preserve"> </w:t>
            </w:r>
            <w:r>
              <w:rPr>
                <w:rFonts w:hint="eastAsia" w:ascii="宋体" w:cs="宋体"/>
                <w:color w:val="auto"/>
                <w:sz w:val="20"/>
                <w:szCs w:val="21"/>
                <w:highlight w:val="none"/>
                <w:u w:val="single"/>
              </w:rPr>
              <w:t>财政资金，不需提供</w:t>
            </w:r>
            <w:r>
              <w:rPr>
                <w:rFonts w:hint="eastAsia" w:cs="宋体"/>
                <w:bCs/>
                <w:color w:val="auto"/>
                <w:sz w:val="21"/>
                <w:szCs w:val="21"/>
                <w:highlight w:val="none"/>
                <w:u w:val="single"/>
              </w:rPr>
              <w:t xml:space="preserve"> </w:t>
            </w:r>
          </w:p>
        </w:tc>
      </w:tr>
      <w:tr w14:paraId="79F8C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7C10B65D">
            <w:pPr>
              <w:numPr>
                <w:ilvl w:val="0"/>
                <w:numId w:val="4"/>
              </w:numPr>
              <w:snapToGrid w:val="0"/>
              <w:spacing w:line="360" w:lineRule="auto"/>
              <w:jc w:val="center"/>
              <w:rPr>
                <w:rFonts w:cs="宋体"/>
                <w:bCs/>
                <w:color w:val="auto"/>
                <w:kern w:val="2"/>
                <w:sz w:val="21"/>
                <w:szCs w:val="21"/>
                <w:highlight w:val="none"/>
              </w:rPr>
            </w:pPr>
          </w:p>
        </w:tc>
        <w:tc>
          <w:tcPr>
            <w:tcW w:w="1111" w:type="dxa"/>
            <w:vAlign w:val="center"/>
          </w:tcPr>
          <w:p w14:paraId="12B9E805">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3.2.1</w:t>
            </w:r>
          </w:p>
        </w:tc>
        <w:tc>
          <w:tcPr>
            <w:tcW w:w="7304" w:type="dxa"/>
            <w:vAlign w:val="center"/>
          </w:tcPr>
          <w:p w14:paraId="475D6D37">
            <w:pPr>
              <w:snapToGrid w:val="0"/>
              <w:spacing w:line="360" w:lineRule="auto"/>
              <w:rPr>
                <w:rFonts w:cs="宋体"/>
                <w:bCs/>
                <w:color w:val="auto"/>
                <w:sz w:val="21"/>
                <w:szCs w:val="21"/>
                <w:highlight w:val="none"/>
              </w:rPr>
            </w:pPr>
            <w:r>
              <w:rPr>
                <w:rFonts w:hint="eastAsia" w:cs="宋体"/>
                <w:bCs/>
                <w:color w:val="auto"/>
                <w:sz w:val="21"/>
                <w:szCs w:val="21"/>
                <w:highlight w:val="none"/>
              </w:rPr>
              <w:t>项目经理</w:t>
            </w:r>
          </w:p>
          <w:p w14:paraId="44A2022C">
            <w:pPr>
              <w:snapToGrid w:val="0"/>
              <w:spacing w:line="360" w:lineRule="auto"/>
              <w:rPr>
                <w:rFonts w:cs="宋体"/>
                <w:bCs/>
                <w:color w:val="auto"/>
                <w:sz w:val="21"/>
                <w:szCs w:val="21"/>
                <w:highlight w:val="none"/>
              </w:rPr>
            </w:pPr>
            <w:r>
              <w:rPr>
                <w:rFonts w:hint="eastAsia" w:cs="宋体"/>
                <w:bCs/>
                <w:color w:val="auto"/>
                <w:sz w:val="21"/>
                <w:szCs w:val="21"/>
                <w:highlight w:val="none"/>
              </w:rPr>
              <w:t>姓    名：</w:t>
            </w:r>
            <w:r>
              <w:rPr>
                <w:rFonts w:hint="eastAsia" w:cs="宋体"/>
                <w:bCs/>
                <w:color w:val="auto"/>
                <w:sz w:val="21"/>
                <w:szCs w:val="21"/>
                <w:highlight w:val="none"/>
                <w:u w:val="single"/>
              </w:rPr>
              <w:t xml:space="preserve">          </w:t>
            </w:r>
          </w:p>
          <w:p w14:paraId="36EFB139">
            <w:pPr>
              <w:snapToGrid w:val="0"/>
              <w:spacing w:line="360" w:lineRule="auto"/>
              <w:rPr>
                <w:rFonts w:cs="宋体"/>
                <w:bCs/>
                <w:color w:val="auto"/>
                <w:sz w:val="21"/>
                <w:szCs w:val="21"/>
                <w:highlight w:val="none"/>
              </w:rPr>
            </w:pPr>
            <w:r>
              <w:rPr>
                <w:rFonts w:hint="eastAsia" w:cs="宋体"/>
                <w:bCs/>
                <w:color w:val="auto"/>
                <w:sz w:val="21"/>
                <w:szCs w:val="21"/>
                <w:highlight w:val="none"/>
              </w:rPr>
              <w:t>身份证号：</w:t>
            </w:r>
            <w:r>
              <w:rPr>
                <w:rFonts w:hint="eastAsia" w:cs="宋体"/>
                <w:bCs/>
                <w:color w:val="auto"/>
                <w:sz w:val="21"/>
                <w:szCs w:val="21"/>
                <w:highlight w:val="none"/>
                <w:u w:val="single"/>
              </w:rPr>
              <w:t xml:space="preserve">          </w:t>
            </w:r>
          </w:p>
          <w:p w14:paraId="4F991DB0">
            <w:pPr>
              <w:snapToGrid w:val="0"/>
              <w:spacing w:line="360" w:lineRule="auto"/>
              <w:rPr>
                <w:rFonts w:cs="宋体"/>
                <w:bCs/>
                <w:color w:val="auto"/>
                <w:sz w:val="21"/>
                <w:szCs w:val="21"/>
                <w:highlight w:val="none"/>
              </w:rPr>
            </w:pPr>
            <w:r>
              <w:rPr>
                <w:rFonts w:hint="eastAsia" w:cs="宋体"/>
                <w:bCs/>
                <w:color w:val="auto"/>
                <w:sz w:val="21"/>
                <w:szCs w:val="21"/>
                <w:highlight w:val="none"/>
              </w:rPr>
              <w:t>建造师执业资格等级：</w:t>
            </w:r>
            <w:r>
              <w:rPr>
                <w:rFonts w:hint="eastAsia" w:cs="宋体"/>
                <w:bCs/>
                <w:color w:val="auto"/>
                <w:sz w:val="21"/>
                <w:szCs w:val="21"/>
                <w:highlight w:val="none"/>
                <w:u w:val="single"/>
              </w:rPr>
              <w:t xml:space="preserve">          </w:t>
            </w:r>
          </w:p>
          <w:p w14:paraId="77CE71F5">
            <w:pPr>
              <w:snapToGrid w:val="0"/>
              <w:spacing w:line="360" w:lineRule="auto"/>
              <w:rPr>
                <w:rFonts w:cs="宋体"/>
                <w:bCs/>
                <w:color w:val="auto"/>
                <w:sz w:val="21"/>
                <w:szCs w:val="21"/>
                <w:highlight w:val="none"/>
              </w:rPr>
            </w:pPr>
            <w:r>
              <w:rPr>
                <w:rFonts w:hint="eastAsia" w:cs="宋体"/>
                <w:bCs/>
                <w:color w:val="auto"/>
                <w:sz w:val="21"/>
                <w:szCs w:val="21"/>
                <w:highlight w:val="none"/>
              </w:rPr>
              <w:t>建造师注册证书号：</w:t>
            </w:r>
            <w:r>
              <w:rPr>
                <w:rFonts w:hint="eastAsia" w:cs="宋体"/>
                <w:bCs/>
                <w:color w:val="auto"/>
                <w:sz w:val="21"/>
                <w:szCs w:val="21"/>
                <w:highlight w:val="none"/>
                <w:u w:val="single"/>
              </w:rPr>
              <w:t xml:space="preserve">            </w:t>
            </w:r>
          </w:p>
          <w:p w14:paraId="29766E2E">
            <w:pPr>
              <w:snapToGrid w:val="0"/>
              <w:spacing w:line="360" w:lineRule="auto"/>
              <w:rPr>
                <w:rFonts w:cs="宋体"/>
                <w:bCs/>
                <w:color w:val="auto"/>
                <w:sz w:val="21"/>
                <w:szCs w:val="21"/>
                <w:highlight w:val="none"/>
                <w:u w:val="single"/>
              </w:rPr>
            </w:pPr>
            <w:r>
              <w:rPr>
                <w:rFonts w:hint="eastAsia" w:cs="宋体"/>
                <w:bCs/>
                <w:color w:val="auto"/>
                <w:sz w:val="21"/>
                <w:szCs w:val="21"/>
                <w:highlight w:val="none"/>
              </w:rPr>
              <w:t>承包人对项目经理的授权范围如下：</w:t>
            </w:r>
            <w:r>
              <w:rPr>
                <w:rFonts w:hint="eastAsia" w:cs="宋体"/>
                <w:bCs/>
                <w:color w:val="auto"/>
                <w:sz w:val="21"/>
                <w:szCs w:val="21"/>
                <w:highlight w:val="none"/>
                <w:u w:val="single"/>
              </w:rPr>
              <w:t xml:space="preserve">            </w:t>
            </w:r>
          </w:p>
          <w:p w14:paraId="04541F85">
            <w:pPr>
              <w:snapToGrid w:val="0"/>
              <w:spacing w:line="360" w:lineRule="auto"/>
              <w:rPr>
                <w:rFonts w:cs="宋体"/>
                <w:bCs/>
                <w:color w:val="auto"/>
                <w:kern w:val="2"/>
                <w:sz w:val="21"/>
                <w:szCs w:val="21"/>
                <w:highlight w:val="none"/>
              </w:rPr>
            </w:pPr>
            <w:r>
              <w:rPr>
                <w:rFonts w:hint="eastAsia" w:cs="宋体"/>
                <w:bCs/>
                <w:color w:val="auto"/>
                <w:sz w:val="21"/>
                <w:szCs w:val="21"/>
                <w:highlight w:val="none"/>
              </w:rPr>
              <w:t>承包人项目经理每月在施工现场的时间：驻场时间每月不少于</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20</w:t>
            </w:r>
            <w:r>
              <w:rPr>
                <w:rFonts w:hint="eastAsia" w:cs="宋体"/>
                <w:bCs/>
                <w:color w:val="auto"/>
                <w:sz w:val="21"/>
                <w:szCs w:val="21"/>
                <w:highlight w:val="none"/>
                <w:u w:val="single"/>
              </w:rPr>
              <w:t xml:space="preserve"> </w:t>
            </w:r>
            <w:r>
              <w:rPr>
                <w:rFonts w:hint="eastAsia" w:cs="宋体"/>
                <w:bCs/>
                <w:color w:val="auto"/>
                <w:sz w:val="21"/>
                <w:szCs w:val="21"/>
                <w:highlight w:val="none"/>
              </w:rPr>
              <w:t>天，每天在岗工作时间不得少于</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8</w:t>
            </w:r>
            <w:r>
              <w:rPr>
                <w:rFonts w:hint="eastAsia" w:cs="宋体"/>
                <w:bCs/>
                <w:color w:val="auto"/>
                <w:sz w:val="21"/>
                <w:szCs w:val="21"/>
                <w:highlight w:val="none"/>
                <w:u w:val="single"/>
              </w:rPr>
              <w:t xml:space="preserve"> </w:t>
            </w:r>
            <w:r>
              <w:rPr>
                <w:rFonts w:hint="eastAsia" w:cs="宋体"/>
                <w:bCs/>
                <w:color w:val="auto"/>
                <w:sz w:val="21"/>
                <w:szCs w:val="21"/>
                <w:highlight w:val="none"/>
              </w:rPr>
              <w:t>小时。</w:t>
            </w:r>
          </w:p>
        </w:tc>
      </w:tr>
      <w:tr w14:paraId="473FF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24579C3D">
            <w:pPr>
              <w:numPr>
                <w:ilvl w:val="0"/>
                <w:numId w:val="4"/>
              </w:numPr>
              <w:snapToGrid w:val="0"/>
              <w:spacing w:line="360" w:lineRule="auto"/>
              <w:jc w:val="center"/>
              <w:rPr>
                <w:rFonts w:cs="宋体"/>
                <w:bCs/>
                <w:color w:val="auto"/>
                <w:kern w:val="2"/>
                <w:sz w:val="21"/>
                <w:szCs w:val="21"/>
                <w:highlight w:val="none"/>
              </w:rPr>
            </w:pPr>
          </w:p>
        </w:tc>
        <w:tc>
          <w:tcPr>
            <w:tcW w:w="1111" w:type="dxa"/>
            <w:vAlign w:val="center"/>
          </w:tcPr>
          <w:p w14:paraId="5FE07B15">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3.7</w:t>
            </w:r>
          </w:p>
        </w:tc>
        <w:tc>
          <w:tcPr>
            <w:tcW w:w="7304" w:type="dxa"/>
            <w:vAlign w:val="center"/>
          </w:tcPr>
          <w:p w14:paraId="0DE36AE4">
            <w:pPr>
              <w:snapToGrid w:val="0"/>
              <w:spacing w:line="360" w:lineRule="auto"/>
              <w:rPr>
                <w:rFonts w:cs="宋体"/>
                <w:bCs/>
                <w:color w:val="auto"/>
                <w:sz w:val="21"/>
                <w:szCs w:val="21"/>
                <w:highlight w:val="none"/>
              </w:rPr>
            </w:pPr>
            <w:r>
              <w:rPr>
                <w:rFonts w:hint="eastAsia" w:cs="宋体"/>
                <w:bCs/>
                <w:color w:val="auto"/>
                <w:sz w:val="21"/>
                <w:szCs w:val="21"/>
                <w:highlight w:val="none"/>
              </w:rPr>
              <w:t>承包人是否提供履约保证金：</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是</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3670FF49">
            <w:pPr>
              <w:snapToGrid w:val="0"/>
              <w:spacing w:line="360" w:lineRule="auto"/>
              <w:rPr>
                <w:rFonts w:cs="宋体"/>
                <w:bCs/>
                <w:color w:val="auto"/>
                <w:sz w:val="21"/>
                <w:szCs w:val="21"/>
                <w:highlight w:val="none"/>
              </w:rPr>
            </w:pPr>
            <w:r>
              <w:rPr>
                <w:rFonts w:hint="eastAsia" w:cs="宋体"/>
                <w:bCs/>
                <w:color w:val="auto"/>
                <w:sz w:val="21"/>
                <w:szCs w:val="21"/>
                <w:highlight w:val="none"/>
              </w:rPr>
              <w:t>承包人提供履约保证金的形式：</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7E6BD334">
            <w:pPr>
              <w:snapToGrid w:val="0"/>
              <w:spacing w:line="360" w:lineRule="auto"/>
              <w:rPr>
                <w:rFonts w:cs="宋体"/>
                <w:bCs/>
                <w:color w:val="auto"/>
                <w:sz w:val="21"/>
                <w:szCs w:val="21"/>
                <w:highlight w:val="none"/>
              </w:rPr>
            </w:pPr>
            <w:r>
              <w:rPr>
                <w:rFonts w:hint="eastAsia" w:cs="宋体"/>
                <w:bCs/>
                <w:color w:val="auto"/>
                <w:sz w:val="21"/>
                <w:szCs w:val="21"/>
                <w:highlight w:val="none"/>
              </w:rPr>
              <w:t>履约保证金的金额：中标合同金额的</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2</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37541A5D">
            <w:pPr>
              <w:snapToGrid w:val="0"/>
              <w:spacing w:line="360" w:lineRule="auto"/>
              <w:rPr>
                <w:rFonts w:cs="宋体"/>
                <w:bCs/>
                <w:color w:val="auto"/>
                <w:sz w:val="21"/>
                <w:szCs w:val="21"/>
                <w:highlight w:val="none"/>
              </w:rPr>
            </w:pPr>
            <w:r>
              <w:rPr>
                <w:rFonts w:hint="eastAsia" w:cs="宋体"/>
                <w:bCs/>
                <w:color w:val="auto"/>
                <w:sz w:val="21"/>
                <w:szCs w:val="21"/>
                <w:highlight w:val="none"/>
              </w:rPr>
              <w:t>履约保证金提交期限的要求：签订合同前。</w:t>
            </w:r>
          </w:p>
          <w:p w14:paraId="497622F6">
            <w:pPr>
              <w:snapToGrid w:val="0"/>
              <w:spacing w:line="360" w:lineRule="auto"/>
              <w:rPr>
                <w:rFonts w:cs="宋体"/>
                <w:bCs/>
                <w:color w:val="auto"/>
                <w:kern w:val="2"/>
                <w:sz w:val="21"/>
                <w:szCs w:val="21"/>
                <w:highlight w:val="none"/>
              </w:rPr>
            </w:pPr>
            <w:r>
              <w:rPr>
                <w:rFonts w:hint="eastAsia" w:cs="宋体"/>
                <w:bCs/>
                <w:color w:val="auto"/>
                <w:sz w:val="21"/>
                <w:szCs w:val="21"/>
                <w:highlight w:val="none"/>
              </w:rPr>
              <w:t>履约保证金退还时限：</w:t>
            </w:r>
            <w:r>
              <w:rPr>
                <w:rFonts w:hint="eastAsia" w:cs="宋体"/>
                <w:bCs/>
                <w:color w:val="auto"/>
                <w:sz w:val="21"/>
                <w:szCs w:val="21"/>
                <w:highlight w:val="none"/>
                <w:u w:val="single"/>
              </w:rPr>
              <w:t xml:space="preserve"> 履约保证金有效期满7日内  </w:t>
            </w:r>
            <w:r>
              <w:rPr>
                <w:rFonts w:hint="eastAsia" w:cs="宋体"/>
                <w:bCs/>
                <w:color w:val="auto"/>
                <w:sz w:val="21"/>
                <w:szCs w:val="21"/>
                <w:highlight w:val="none"/>
              </w:rPr>
              <w:t>。</w:t>
            </w:r>
          </w:p>
        </w:tc>
      </w:tr>
      <w:tr w14:paraId="6BFBE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4724170C">
            <w:pPr>
              <w:numPr>
                <w:ilvl w:val="0"/>
                <w:numId w:val="4"/>
              </w:numPr>
              <w:snapToGrid w:val="0"/>
              <w:spacing w:line="360" w:lineRule="auto"/>
              <w:jc w:val="center"/>
              <w:rPr>
                <w:rFonts w:cs="宋体"/>
                <w:bCs/>
                <w:color w:val="auto"/>
                <w:sz w:val="21"/>
                <w:szCs w:val="21"/>
                <w:highlight w:val="none"/>
              </w:rPr>
            </w:pPr>
          </w:p>
        </w:tc>
        <w:tc>
          <w:tcPr>
            <w:tcW w:w="1111" w:type="dxa"/>
            <w:vAlign w:val="center"/>
          </w:tcPr>
          <w:p w14:paraId="1BCF6EDF">
            <w:pPr>
              <w:snapToGrid w:val="0"/>
              <w:spacing w:line="360" w:lineRule="auto"/>
              <w:jc w:val="center"/>
              <w:rPr>
                <w:rFonts w:cs="宋体"/>
                <w:bCs/>
                <w:color w:val="auto"/>
                <w:sz w:val="21"/>
                <w:szCs w:val="21"/>
                <w:highlight w:val="none"/>
              </w:rPr>
            </w:pPr>
            <w:r>
              <w:rPr>
                <w:rFonts w:hint="eastAsia" w:cs="宋体"/>
                <w:bCs/>
                <w:color w:val="auto"/>
                <w:sz w:val="21"/>
                <w:szCs w:val="21"/>
                <w:highlight w:val="none"/>
              </w:rPr>
              <w:t>5.1.1</w:t>
            </w:r>
          </w:p>
        </w:tc>
        <w:tc>
          <w:tcPr>
            <w:tcW w:w="7304" w:type="dxa"/>
            <w:vAlign w:val="center"/>
          </w:tcPr>
          <w:p w14:paraId="5C0F339D">
            <w:pPr>
              <w:snapToGrid w:val="0"/>
              <w:spacing w:line="360" w:lineRule="auto"/>
              <w:rPr>
                <w:rFonts w:cs="宋体"/>
                <w:bCs/>
                <w:color w:val="auto"/>
                <w:sz w:val="21"/>
                <w:szCs w:val="21"/>
                <w:highlight w:val="none"/>
              </w:rPr>
            </w:pPr>
            <w:r>
              <w:rPr>
                <w:rFonts w:hint="eastAsia" w:cs="宋体"/>
                <w:bCs/>
                <w:color w:val="auto"/>
                <w:sz w:val="21"/>
                <w:szCs w:val="21"/>
                <w:highlight w:val="none"/>
              </w:rPr>
              <w:t>5.1.1 特殊质量标准和要求：</w:t>
            </w:r>
            <w:r>
              <w:rPr>
                <w:rFonts w:hint="eastAsia" w:ascii="宋体" w:hAnsi="宋体" w:eastAsia="宋体" w:cs="宋体"/>
                <w:bCs/>
                <w:color w:val="auto"/>
                <w:sz w:val="21"/>
                <w:szCs w:val="21"/>
                <w:highlight w:val="none"/>
                <w:u w:val="single"/>
              </w:rPr>
              <w:t>符合国家及项目所在地验收标准，施工质量合格，绿化成活率100%</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1D29CB07">
            <w:pPr>
              <w:snapToGrid w:val="0"/>
              <w:spacing w:line="360" w:lineRule="auto"/>
              <w:rPr>
                <w:rFonts w:cs="宋体"/>
                <w:bCs/>
                <w:color w:val="auto"/>
                <w:sz w:val="21"/>
                <w:szCs w:val="21"/>
                <w:highlight w:val="none"/>
              </w:rPr>
            </w:pPr>
            <w:r>
              <w:rPr>
                <w:rFonts w:hint="eastAsia" w:cs="宋体"/>
                <w:bCs/>
                <w:color w:val="auto"/>
                <w:sz w:val="21"/>
                <w:szCs w:val="21"/>
                <w:highlight w:val="none"/>
              </w:rPr>
              <w:t>关于工程奖项的约定：</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0227072B">
            <w:pPr>
              <w:snapToGrid w:val="0"/>
              <w:spacing w:line="360" w:lineRule="auto"/>
              <w:rPr>
                <w:rFonts w:cs="宋体"/>
                <w:bCs/>
                <w:color w:val="auto"/>
                <w:sz w:val="21"/>
                <w:szCs w:val="21"/>
                <w:highlight w:val="none"/>
              </w:rPr>
            </w:pPr>
            <w:r>
              <w:rPr>
                <w:rFonts w:hint="eastAsia" w:cs="宋体"/>
                <w:bCs/>
                <w:color w:val="auto"/>
                <w:sz w:val="21"/>
                <w:szCs w:val="21"/>
                <w:highlight w:val="none"/>
              </w:rPr>
              <w:t>关于建造要求：</w:t>
            </w:r>
          </w:p>
          <w:p w14:paraId="42F846BA">
            <w:pPr>
              <w:snapToGrid w:val="0"/>
              <w:spacing w:line="360" w:lineRule="auto"/>
              <w:rPr>
                <w:rFonts w:cs="宋体"/>
                <w:bCs/>
                <w:color w:val="auto"/>
                <w:sz w:val="21"/>
                <w:szCs w:val="21"/>
                <w:highlight w:val="none"/>
              </w:rPr>
            </w:pPr>
            <w:r>
              <w:rPr>
                <w:rFonts w:hint="eastAsia" w:cs="宋体"/>
                <w:bCs/>
                <w:color w:val="auto"/>
                <w:sz w:val="21"/>
                <w:szCs w:val="21"/>
                <w:highlight w:val="none"/>
              </w:rPr>
              <w:t>（1）绿色建筑等级要求：</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357D0AF9">
            <w:pPr>
              <w:snapToGrid w:val="0"/>
              <w:spacing w:line="360" w:lineRule="auto"/>
              <w:rPr>
                <w:rFonts w:cs="宋体"/>
                <w:bCs/>
                <w:color w:val="auto"/>
                <w:sz w:val="21"/>
                <w:szCs w:val="21"/>
                <w:highlight w:val="none"/>
              </w:rPr>
            </w:pPr>
            <w:r>
              <w:rPr>
                <w:rFonts w:hint="eastAsia" w:cs="宋体"/>
                <w:bCs/>
                <w:color w:val="auto"/>
                <w:sz w:val="21"/>
                <w:szCs w:val="21"/>
                <w:highlight w:val="none"/>
              </w:rPr>
              <w:t>（2）智慧工地管理要求：</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6D37B22E">
            <w:pPr>
              <w:snapToGrid w:val="0"/>
              <w:spacing w:line="360" w:lineRule="auto"/>
              <w:rPr>
                <w:rFonts w:cs="宋体"/>
                <w:bCs/>
                <w:color w:val="auto"/>
                <w:sz w:val="21"/>
                <w:szCs w:val="21"/>
                <w:highlight w:val="none"/>
              </w:rPr>
            </w:pPr>
            <w:r>
              <w:rPr>
                <w:rFonts w:hint="eastAsia" w:cs="宋体"/>
                <w:bCs/>
                <w:color w:val="auto"/>
                <w:sz w:val="21"/>
                <w:szCs w:val="21"/>
                <w:highlight w:val="none"/>
              </w:rPr>
              <w:t>（3）建筑垃圾减量化目标：</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090B6EA0">
            <w:pPr>
              <w:snapToGrid w:val="0"/>
              <w:spacing w:line="360" w:lineRule="auto"/>
              <w:rPr>
                <w:rFonts w:hint="eastAsia" w:eastAsia="宋体" w:cs="宋体"/>
                <w:bCs/>
                <w:color w:val="auto"/>
                <w:sz w:val="21"/>
                <w:szCs w:val="21"/>
                <w:highlight w:val="none"/>
                <w:lang w:val="en-US" w:eastAsia="zh-CN"/>
              </w:rPr>
            </w:pPr>
            <w:r>
              <w:rPr>
                <w:rFonts w:hint="eastAsia" w:cs="宋体"/>
                <w:bCs/>
                <w:color w:val="auto"/>
                <w:sz w:val="21"/>
                <w:szCs w:val="21"/>
                <w:highlight w:val="none"/>
              </w:rPr>
              <w:t>（4）装配式建筑装配率要求：</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u w:val="none"/>
                <w:lang w:eastAsia="zh-CN"/>
              </w:rPr>
              <w:t>。</w:t>
            </w:r>
          </w:p>
        </w:tc>
      </w:tr>
      <w:tr w14:paraId="115E3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6DC55532">
            <w:pPr>
              <w:numPr>
                <w:ilvl w:val="0"/>
                <w:numId w:val="4"/>
              </w:numPr>
              <w:snapToGrid w:val="0"/>
              <w:spacing w:line="360" w:lineRule="auto"/>
              <w:jc w:val="center"/>
              <w:rPr>
                <w:rFonts w:cs="宋体"/>
                <w:bCs/>
                <w:color w:val="auto"/>
                <w:kern w:val="2"/>
                <w:sz w:val="21"/>
                <w:szCs w:val="21"/>
                <w:highlight w:val="none"/>
              </w:rPr>
            </w:pPr>
          </w:p>
        </w:tc>
        <w:tc>
          <w:tcPr>
            <w:tcW w:w="1111" w:type="dxa"/>
            <w:vAlign w:val="center"/>
          </w:tcPr>
          <w:p w14:paraId="0049A585">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7.5.2</w:t>
            </w:r>
          </w:p>
        </w:tc>
        <w:tc>
          <w:tcPr>
            <w:tcW w:w="7304" w:type="dxa"/>
            <w:tcBorders>
              <w:bottom w:val="single" w:color="auto" w:sz="4" w:space="0"/>
            </w:tcBorders>
            <w:vAlign w:val="center"/>
          </w:tcPr>
          <w:p w14:paraId="6A47EE31">
            <w:pPr>
              <w:keepNext w:val="0"/>
              <w:keepLines w:val="0"/>
              <w:suppressLineNumbers w:val="0"/>
              <w:snapToGrid w:val="0"/>
              <w:spacing w:before="0" w:beforeAutospacing="0" w:after="0" w:afterAutospacing="0" w:line="360" w:lineRule="auto"/>
              <w:ind w:left="0" w:right="0"/>
              <w:rPr>
                <w:rFonts w:cs="宋体"/>
                <w:bCs/>
                <w:color w:val="auto"/>
                <w:kern w:val="2"/>
                <w:sz w:val="21"/>
                <w:szCs w:val="21"/>
                <w:highlight w:val="none"/>
              </w:rPr>
            </w:pPr>
            <w:r>
              <w:rPr>
                <w:rFonts w:hint="eastAsia" w:cs="宋体"/>
                <w:bCs/>
                <w:color w:val="auto"/>
                <w:kern w:val="2"/>
                <w:sz w:val="21"/>
                <w:szCs w:val="21"/>
                <w:highlight w:val="none"/>
              </w:rPr>
              <w:t>因承包人原因造成工期延误，逾期竣工违约金的计算方法为：</w:t>
            </w:r>
            <w:r>
              <w:rPr>
                <w:rFonts w:hint="eastAsia"/>
                <w:color w:val="auto"/>
                <w:sz w:val="21"/>
                <w:szCs w:val="21"/>
                <w:highlight w:val="none"/>
                <w:u w:val="single"/>
                <w:shd w:val="clear" w:color="auto" w:fill="auto"/>
                <w:lang w:val="en-US" w:eastAsia="zh-CN"/>
              </w:rPr>
              <w:t>每推迟一天，按合同价款（扣除暂估价和暂列金）万分之二处以违约金；</w:t>
            </w:r>
            <w:r>
              <w:rPr>
                <w:rFonts w:hint="eastAsia" w:cs="宋体"/>
                <w:color w:val="auto"/>
                <w:sz w:val="21"/>
                <w:szCs w:val="21"/>
                <w:highlight w:val="none"/>
                <w:u w:val="single"/>
                <w:lang w:val="en-US" w:eastAsia="zh-CN"/>
              </w:rPr>
              <w:t>月工程量未完成的当期不得请款，当月未完成的工程量纳入下月一并完成，完不成的仍不予请款，依此类推</w:t>
            </w:r>
            <w:r>
              <w:rPr>
                <w:rFonts w:hint="eastAsia" w:cs="宋体"/>
                <w:bCs/>
                <w:color w:val="auto"/>
                <w:kern w:val="2"/>
                <w:sz w:val="21"/>
                <w:szCs w:val="21"/>
                <w:highlight w:val="none"/>
              </w:rPr>
              <w:t>。</w:t>
            </w:r>
          </w:p>
          <w:p w14:paraId="12E39C25">
            <w:pPr>
              <w:snapToGrid w:val="0"/>
              <w:spacing w:line="360" w:lineRule="auto"/>
              <w:rPr>
                <w:rFonts w:cs="宋体"/>
                <w:bCs/>
                <w:color w:val="auto"/>
                <w:kern w:val="2"/>
                <w:sz w:val="21"/>
                <w:szCs w:val="21"/>
                <w:highlight w:val="none"/>
              </w:rPr>
            </w:pPr>
            <w:r>
              <w:rPr>
                <w:rFonts w:hint="eastAsia" w:cs="宋体"/>
                <w:bCs/>
                <w:color w:val="auto"/>
                <w:kern w:val="2"/>
                <w:sz w:val="21"/>
                <w:szCs w:val="21"/>
                <w:highlight w:val="none"/>
              </w:rPr>
              <w:t>因承包人原因造成工期延误，逾期竣工违约金的上限：</w:t>
            </w:r>
            <w:r>
              <w:rPr>
                <w:rFonts w:hint="eastAsia" w:cs="宋体"/>
                <w:bCs/>
                <w:color w:val="auto"/>
                <w:kern w:val="2"/>
                <w:sz w:val="21"/>
                <w:szCs w:val="21"/>
                <w:highlight w:val="none"/>
                <w:u w:val="single"/>
                <w:lang w:val="en-US" w:eastAsia="zh-CN"/>
              </w:rPr>
              <w:t>合同价的2%</w:t>
            </w:r>
            <w:r>
              <w:rPr>
                <w:rFonts w:hint="eastAsia" w:cs="宋体"/>
                <w:bCs/>
                <w:color w:val="auto"/>
                <w:kern w:val="2"/>
                <w:sz w:val="21"/>
                <w:szCs w:val="21"/>
                <w:highlight w:val="none"/>
              </w:rPr>
              <w:t>。</w:t>
            </w:r>
          </w:p>
        </w:tc>
      </w:tr>
      <w:tr w14:paraId="0340A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0EDA0956">
            <w:pPr>
              <w:numPr>
                <w:ilvl w:val="0"/>
                <w:numId w:val="4"/>
              </w:numPr>
              <w:snapToGrid w:val="0"/>
              <w:spacing w:line="360" w:lineRule="auto"/>
              <w:jc w:val="center"/>
              <w:rPr>
                <w:rFonts w:cs="宋体"/>
                <w:bCs/>
                <w:color w:val="auto"/>
                <w:kern w:val="2"/>
                <w:sz w:val="21"/>
                <w:szCs w:val="21"/>
                <w:highlight w:val="none"/>
              </w:rPr>
            </w:pPr>
          </w:p>
        </w:tc>
        <w:tc>
          <w:tcPr>
            <w:tcW w:w="1111" w:type="dxa"/>
            <w:vAlign w:val="center"/>
          </w:tcPr>
          <w:p w14:paraId="2E6D1CF5">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7.9.2</w:t>
            </w:r>
          </w:p>
        </w:tc>
        <w:tc>
          <w:tcPr>
            <w:tcW w:w="7304" w:type="dxa"/>
            <w:tcBorders>
              <w:bottom w:val="single" w:color="auto" w:sz="4" w:space="0"/>
            </w:tcBorders>
            <w:vAlign w:val="center"/>
          </w:tcPr>
          <w:p w14:paraId="21553DC4">
            <w:pPr>
              <w:snapToGrid w:val="0"/>
              <w:spacing w:line="360" w:lineRule="auto"/>
              <w:rPr>
                <w:rFonts w:cs="宋体"/>
                <w:bCs/>
                <w:color w:val="auto"/>
                <w:kern w:val="2"/>
                <w:sz w:val="21"/>
                <w:szCs w:val="21"/>
                <w:highlight w:val="none"/>
              </w:rPr>
            </w:pPr>
            <w:r>
              <w:rPr>
                <w:rFonts w:hint="eastAsia" w:cs="宋体"/>
                <w:color w:val="auto"/>
                <w:sz w:val="21"/>
                <w:szCs w:val="21"/>
                <w:highlight w:val="none"/>
              </w:rPr>
              <w:t>提前竣工的奖励：</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r>
              <w:rPr>
                <w:rFonts w:hint="eastAsia" w:cs="宋体"/>
                <w:color w:val="auto"/>
                <w:sz w:val="21"/>
                <w:szCs w:val="21"/>
                <w:highlight w:val="none"/>
              </w:rPr>
              <w:t>。</w:t>
            </w:r>
          </w:p>
        </w:tc>
      </w:tr>
      <w:tr w14:paraId="4E1F9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4902AE5B">
            <w:pPr>
              <w:numPr>
                <w:ilvl w:val="0"/>
                <w:numId w:val="4"/>
              </w:numPr>
              <w:snapToGrid w:val="0"/>
              <w:spacing w:line="360" w:lineRule="auto"/>
              <w:jc w:val="center"/>
              <w:rPr>
                <w:rFonts w:cs="宋体"/>
                <w:bCs/>
                <w:color w:val="auto"/>
                <w:kern w:val="2"/>
                <w:sz w:val="21"/>
                <w:szCs w:val="21"/>
                <w:highlight w:val="none"/>
              </w:rPr>
            </w:pPr>
          </w:p>
        </w:tc>
        <w:tc>
          <w:tcPr>
            <w:tcW w:w="1111" w:type="dxa"/>
            <w:vAlign w:val="center"/>
          </w:tcPr>
          <w:p w14:paraId="4D7B3E14">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11.1</w:t>
            </w:r>
          </w:p>
        </w:tc>
        <w:tc>
          <w:tcPr>
            <w:tcW w:w="7304" w:type="dxa"/>
            <w:tcBorders>
              <w:bottom w:val="single" w:color="auto" w:sz="4" w:space="0"/>
            </w:tcBorders>
            <w:vAlign w:val="center"/>
          </w:tcPr>
          <w:p w14:paraId="1B3A1E9E">
            <w:pPr>
              <w:pStyle w:val="33"/>
              <w:tabs>
                <w:tab w:val="clear" w:pos="4153"/>
                <w:tab w:val="clear" w:pos="8306"/>
              </w:tabs>
              <w:spacing w:line="360" w:lineRule="auto"/>
              <w:rPr>
                <w:rFonts w:cs="宋体"/>
                <w:bCs/>
                <w:color w:val="auto"/>
                <w:kern w:val="2"/>
                <w:sz w:val="21"/>
                <w:szCs w:val="21"/>
                <w:highlight w:val="none"/>
              </w:rPr>
            </w:pPr>
            <w:r>
              <w:rPr>
                <w:rFonts w:hint="eastAsia" w:cs="宋体"/>
                <w:bCs/>
                <w:color w:val="auto"/>
                <w:kern w:val="2"/>
                <w:sz w:val="21"/>
                <w:szCs w:val="21"/>
                <w:highlight w:val="none"/>
              </w:rPr>
              <w:t>市场价格波动是否调整合同价格的约定：</w:t>
            </w:r>
            <w:r>
              <w:rPr>
                <w:rFonts w:hint="eastAsia" w:cs="宋体"/>
                <w:bCs/>
                <w:color w:val="auto"/>
                <w:kern w:val="2"/>
                <w:sz w:val="21"/>
                <w:szCs w:val="21"/>
                <w:highlight w:val="none"/>
                <w:u w:val="single"/>
              </w:rPr>
              <w:t xml:space="preserve"> </w:t>
            </w:r>
            <w:r>
              <w:rPr>
                <w:rFonts w:hint="eastAsia" w:cs="宋体"/>
                <w:bCs/>
                <w:color w:val="auto"/>
                <w:kern w:val="2"/>
                <w:sz w:val="21"/>
                <w:szCs w:val="21"/>
                <w:highlight w:val="none"/>
                <w:u w:val="single"/>
                <w:lang w:val="en-US" w:eastAsia="zh-CN"/>
              </w:rPr>
              <w:t>不调整</w:t>
            </w:r>
            <w:r>
              <w:rPr>
                <w:rFonts w:hint="eastAsia" w:cs="宋体"/>
                <w:bCs/>
                <w:color w:val="auto"/>
                <w:kern w:val="2"/>
                <w:sz w:val="21"/>
                <w:szCs w:val="21"/>
                <w:highlight w:val="none"/>
                <w:u w:val="single"/>
              </w:rPr>
              <w:t xml:space="preserve"> </w:t>
            </w:r>
            <w:r>
              <w:rPr>
                <w:rFonts w:hint="eastAsia" w:cs="宋体"/>
                <w:bCs/>
                <w:color w:val="auto"/>
                <w:kern w:val="2"/>
                <w:sz w:val="21"/>
                <w:szCs w:val="21"/>
                <w:highlight w:val="none"/>
              </w:rPr>
              <w:t>。</w:t>
            </w:r>
          </w:p>
        </w:tc>
      </w:tr>
      <w:tr w14:paraId="3AB90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4472BA4B">
            <w:pPr>
              <w:numPr>
                <w:ilvl w:val="0"/>
                <w:numId w:val="4"/>
              </w:numPr>
              <w:snapToGrid w:val="0"/>
              <w:spacing w:line="360" w:lineRule="auto"/>
              <w:jc w:val="center"/>
              <w:rPr>
                <w:rFonts w:cs="宋体"/>
                <w:bCs/>
                <w:color w:val="auto"/>
                <w:sz w:val="21"/>
                <w:szCs w:val="21"/>
                <w:highlight w:val="none"/>
              </w:rPr>
            </w:pPr>
          </w:p>
        </w:tc>
        <w:tc>
          <w:tcPr>
            <w:tcW w:w="1111" w:type="dxa"/>
            <w:vAlign w:val="center"/>
          </w:tcPr>
          <w:p w14:paraId="06DF4587">
            <w:pPr>
              <w:snapToGrid w:val="0"/>
              <w:spacing w:line="360" w:lineRule="auto"/>
              <w:jc w:val="center"/>
              <w:rPr>
                <w:rFonts w:cs="宋体"/>
                <w:bCs/>
                <w:color w:val="auto"/>
                <w:sz w:val="21"/>
                <w:szCs w:val="21"/>
                <w:highlight w:val="none"/>
              </w:rPr>
            </w:pPr>
            <w:r>
              <w:rPr>
                <w:rFonts w:hint="eastAsia" w:cs="宋体"/>
                <w:bCs/>
                <w:color w:val="auto"/>
                <w:sz w:val="21"/>
                <w:szCs w:val="21"/>
                <w:highlight w:val="none"/>
              </w:rPr>
              <w:t>12.1</w:t>
            </w:r>
          </w:p>
        </w:tc>
        <w:tc>
          <w:tcPr>
            <w:tcW w:w="7304" w:type="dxa"/>
            <w:tcBorders>
              <w:bottom w:val="single" w:color="auto" w:sz="4" w:space="0"/>
            </w:tcBorders>
            <w:vAlign w:val="center"/>
          </w:tcPr>
          <w:p w14:paraId="392C4112">
            <w:pPr>
              <w:pStyle w:val="33"/>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合同价格形式</w:t>
            </w:r>
          </w:p>
          <w:p w14:paraId="4AF89F39">
            <w:pPr>
              <w:pStyle w:val="33"/>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(1)单价合同。</w:t>
            </w:r>
          </w:p>
          <w:p w14:paraId="3DC9B560">
            <w:pPr>
              <w:pStyle w:val="33"/>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综合单价包含的风险范围：</w:t>
            </w:r>
            <w:r>
              <w:rPr>
                <w:rFonts w:hint="eastAsia" w:cs="宋体"/>
                <w:color w:val="auto"/>
                <w:sz w:val="21"/>
                <w:szCs w:val="21"/>
                <w:highlight w:val="none"/>
                <w:u w:val="single"/>
                <w:lang w:val="en-US" w:eastAsia="zh-CN"/>
              </w:rPr>
              <w:t>各种因素引起的不属于本合同调价范围的市场材料价格、人工、机械使用费以及管理费、利润的变化等</w:t>
            </w:r>
            <w:r>
              <w:rPr>
                <w:rFonts w:hint="eastAsia" w:cs="宋体"/>
                <w:bCs/>
                <w:color w:val="auto"/>
                <w:sz w:val="21"/>
                <w:szCs w:val="21"/>
                <w:highlight w:val="none"/>
                <w:u w:val="single"/>
              </w:rPr>
              <w:t>。</w:t>
            </w:r>
          </w:p>
          <w:p w14:paraId="31619DC3">
            <w:pPr>
              <w:pStyle w:val="33"/>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风险费用的计算方法：</w:t>
            </w:r>
            <w:r>
              <w:rPr>
                <w:rFonts w:hint="eastAsia" w:cs="宋体"/>
                <w:bCs/>
                <w:color w:val="auto"/>
                <w:sz w:val="21"/>
                <w:szCs w:val="21"/>
                <w:highlight w:val="none"/>
                <w:u w:val="single"/>
              </w:rPr>
              <w:t>不考虑</w:t>
            </w:r>
            <w:r>
              <w:rPr>
                <w:rFonts w:hint="eastAsia" w:cs="宋体"/>
                <w:bCs/>
                <w:color w:val="auto"/>
                <w:sz w:val="21"/>
                <w:szCs w:val="21"/>
                <w:highlight w:val="none"/>
              </w:rPr>
              <w:t>。</w:t>
            </w:r>
          </w:p>
          <w:p w14:paraId="6A1F3097">
            <w:pPr>
              <w:pStyle w:val="33"/>
              <w:keepNext w:val="0"/>
              <w:keepLines w:val="0"/>
              <w:suppressLineNumbers w:val="0"/>
              <w:tabs>
                <w:tab w:val="clear" w:pos="4153"/>
                <w:tab w:val="clear" w:pos="8306"/>
              </w:tabs>
              <w:spacing w:before="0" w:beforeAutospacing="0" w:after="0" w:afterAutospacing="0" w:line="360" w:lineRule="auto"/>
              <w:ind w:left="0" w:right="0"/>
              <w:rPr>
                <w:rFonts w:hint="eastAsia" w:cs="宋体"/>
                <w:bCs/>
                <w:color w:val="auto"/>
                <w:sz w:val="21"/>
                <w:szCs w:val="21"/>
                <w:highlight w:val="none"/>
              </w:rPr>
            </w:pPr>
            <w:r>
              <w:rPr>
                <w:rFonts w:hint="eastAsia" w:cs="宋体"/>
                <w:bCs/>
                <w:color w:val="auto"/>
                <w:sz w:val="21"/>
                <w:szCs w:val="21"/>
                <w:highlight w:val="none"/>
              </w:rPr>
              <w:t>风险范围以外合同价格的调整方法：</w:t>
            </w:r>
            <w:r>
              <w:rPr>
                <w:rFonts w:hint="eastAsia" w:ascii="宋体" w:hAnsi="宋体" w:cs="宋体"/>
                <w:bCs/>
                <w:color w:val="auto"/>
                <w:sz w:val="21"/>
                <w:szCs w:val="21"/>
                <w:highlight w:val="none"/>
                <w:u w:val="single"/>
              </w:rPr>
              <w:t>结算价</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合同价</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工程变更造价</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分部分项工程量清单工程量误差造价</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政策性调整造价±措施项目调整造价－暂列金额</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1.09</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合理工程索赔</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7F1092AF">
            <w:pPr>
              <w:pStyle w:val="33"/>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国家法律、法规、规章和政策发生变化及由政府定价或政府指导价管理的原材料等价格风险由发包人承担。</w:t>
            </w:r>
          </w:p>
          <w:p w14:paraId="11F87078">
            <w:pPr>
              <w:pStyle w:val="33"/>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(2)总价合同。</w:t>
            </w:r>
          </w:p>
          <w:p w14:paraId="1F0CFE83">
            <w:pPr>
              <w:pStyle w:val="33"/>
              <w:keepNext w:val="0"/>
              <w:keepLines w:val="0"/>
              <w:suppressLineNumbers w:val="0"/>
              <w:tabs>
                <w:tab w:val="clear" w:pos="4153"/>
                <w:tab w:val="clear" w:pos="8306"/>
              </w:tabs>
              <w:spacing w:before="0" w:beforeAutospacing="0" w:after="0" w:afterAutospacing="0" w:line="360" w:lineRule="auto"/>
              <w:ind w:left="0" w:right="0"/>
              <w:rPr>
                <w:rFonts w:hint="eastAsia" w:cs="宋体"/>
                <w:bCs/>
                <w:color w:val="auto"/>
                <w:sz w:val="21"/>
                <w:szCs w:val="21"/>
                <w:highlight w:val="none"/>
                <w:u w:val="single"/>
                <w:lang w:val="en-US" w:eastAsia="zh-CN"/>
              </w:rPr>
            </w:pPr>
            <w:r>
              <w:rPr>
                <w:rFonts w:hint="eastAsia" w:cs="宋体"/>
                <w:bCs/>
                <w:color w:val="auto"/>
                <w:sz w:val="21"/>
                <w:szCs w:val="21"/>
                <w:highlight w:val="none"/>
              </w:rPr>
              <w:t>总价包含的风险范围：</w:t>
            </w:r>
            <w:r>
              <w:rPr>
                <w:rFonts w:hint="eastAsia" w:cs="宋体"/>
                <w:bCs/>
                <w:color w:val="auto"/>
                <w:sz w:val="21"/>
                <w:szCs w:val="21"/>
                <w:highlight w:val="none"/>
                <w:u w:val="single"/>
                <w:lang w:val="en-US" w:eastAsia="zh-CN"/>
              </w:rPr>
              <w:t>/。</w:t>
            </w:r>
          </w:p>
          <w:p w14:paraId="4C07C789">
            <w:pPr>
              <w:pStyle w:val="33"/>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风险费用的计算方法：</w:t>
            </w:r>
            <w:r>
              <w:rPr>
                <w:rFonts w:hint="eastAsia" w:cs="宋体"/>
                <w:bCs/>
                <w:color w:val="auto"/>
                <w:sz w:val="21"/>
                <w:szCs w:val="21"/>
                <w:highlight w:val="none"/>
                <w:u w:val="single"/>
              </w:rPr>
              <w:t xml:space="preserve">不考虑 </w:t>
            </w:r>
            <w:r>
              <w:rPr>
                <w:rFonts w:hint="eastAsia" w:cs="宋体"/>
                <w:bCs/>
                <w:color w:val="auto"/>
                <w:sz w:val="21"/>
                <w:szCs w:val="21"/>
                <w:highlight w:val="none"/>
              </w:rPr>
              <w:t>。</w:t>
            </w:r>
          </w:p>
          <w:p w14:paraId="1B7E0379">
            <w:pPr>
              <w:pStyle w:val="33"/>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风险范围以外合同价格的调整方法：</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2F6AFF3D">
            <w:pPr>
              <w:pStyle w:val="33"/>
              <w:tabs>
                <w:tab w:val="clear" w:pos="4153"/>
                <w:tab w:val="clear" w:pos="8306"/>
              </w:tabs>
              <w:spacing w:line="360" w:lineRule="auto"/>
              <w:rPr>
                <w:rFonts w:cs="宋体"/>
                <w:bCs/>
                <w:color w:val="auto"/>
                <w:sz w:val="21"/>
                <w:szCs w:val="21"/>
                <w:highlight w:val="none"/>
              </w:rPr>
            </w:pPr>
            <w:r>
              <w:rPr>
                <w:rFonts w:hint="eastAsia" w:cs="宋体"/>
                <w:bCs/>
                <w:color w:val="auto"/>
                <w:sz w:val="21"/>
                <w:szCs w:val="21"/>
                <w:highlight w:val="none"/>
              </w:rPr>
              <w:t>（3）其他价格方式：</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rPr>
              <w:t>。</w:t>
            </w:r>
          </w:p>
        </w:tc>
      </w:tr>
      <w:tr w14:paraId="6E8EC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35515A7B">
            <w:pPr>
              <w:numPr>
                <w:ilvl w:val="0"/>
                <w:numId w:val="4"/>
              </w:numPr>
              <w:snapToGrid w:val="0"/>
              <w:spacing w:line="360" w:lineRule="auto"/>
              <w:jc w:val="center"/>
              <w:rPr>
                <w:rFonts w:cs="宋体"/>
                <w:bCs/>
                <w:color w:val="auto"/>
                <w:kern w:val="2"/>
                <w:sz w:val="21"/>
                <w:szCs w:val="21"/>
                <w:highlight w:val="none"/>
              </w:rPr>
            </w:pPr>
          </w:p>
        </w:tc>
        <w:tc>
          <w:tcPr>
            <w:tcW w:w="1111" w:type="dxa"/>
            <w:vAlign w:val="center"/>
          </w:tcPr>
          <w:p w14:paraId="79585596">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 xml:space="preserve">12.2.1 </w:t>
            </w:r>
          </w:p>
        </w:tc>
        <w:tc>
          <w:tcPr>
            <w:tcW w:w="7304" w:type="dxa"/>
            <w:tcBorders>
              <w:bottom w:val="single" w:color="auto" w:sz="4" w:space="0"/>
            </w:tcBorders>
            <w:vAlign w:val="center"/>
          </w:tcPr>
          <w:p w14:paraId="596FF81B">
            <w:pPr>
              <w:keepNext w:val="0"/>
              <w:keepLines w:val="0"/>
              <w:suppressLineNumbers w:val="0"/>
              <w:adjustRightInd w:val="0"/>
              <w:snapToGrid w:val="0"/>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预付款的支付</w:t>
            </w:r>
          </w:p>
          <w:p w14:paraId="7C547DFF">
            <w:pPr>
              <w:keepNext w:val="0"/>
              <w:keepLines w:val="0"/>
              <w:suppressLineNumbers w:val="0"/>
              <w:adjustRightInd w:val="0"/>
              <w:snapToGrid w:val="0"/>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预付款支付比例或金额：</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 xml:space="preserve">40% </w:t>
            </w:r>
            <w:r>
              <w:rPr>
                <w:rFonts w:hint="eastAsia" w:cs="宋体"/>
                <w:bCs/>
                <w:color w:val="auto"/>
                <w:sz w:val="21"/>
                <w:szCs w:val="21"/>
                <w:highlight w:val="none"/>
                <w:u w:val="single"/>
              </w:rPr>
              <w:t xml:space="preserve"> </w:t>
            </w:r>
          </w:p>
          <w:p w14:paraId="74C9B043">
            <w:pPr>
              <w:keepNext w:val="0"/>
              <w:keepLines w:val="0"/>
              <w:suppressLineNumbers w:val="0"/>
              <w:adjustRightInd w:val="0"/>
              <w:snapToGrid w:val="0"/>
              <w:spacing w:before="0" w:beforeAutospacing="0" w:after="0" w:afterAutospacing="0" w:line="360" w:lineRule="auto"/>
              <w:ind w:left="0" w:right="0"/>
              <w:rPr>
                <w:rFonts w:hint="default" w:cs="宋体"/>
                <w:bCs/>
                <w:color w:val="auto"/>
                <w:sz w:val="21"/>
                <w:szCs w:val="21"/>
                <w:highlight w:val="none"/>
                <w:lang w:val="en-US"/>
              </w:rPr>
            </w:pPr>
            <w:r>
              <w:rPr>
                <w:rFonts w:hint="eastAsia" w:cs="宋体"/>
                <w:bCs/>
                <w:color w:val="auto"/>
                <w:sz w:val="21"/>
                <w:szCs w:val="21"/>
                <w:highlight w:val="none"/>
              </w:rPr>
              <w:t>预付款支付期限：</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 xml:space="preserve">合同签订具备实施条件后支付合同价的40%预付款 </w:t>
            </w:r>
          </w:p>
          <w:p w14:paraId="50C85867">
            <w:pPr>
              <w:adjustRightInd w:val="0"/>
              <w:snapToGrid w:val="0"/>
              <w:spacing w:line="360" w:lineRule="auto"/>
              <w:rPr>
                <w:rFonts w:cs="宋体"/>
                <w:bCs/>
                <w:color w:val="auto"/>
                <w:kern w:val="2"/>
                <w:sz w:val="21"/>
                <w:szCs w:val="21"/>
                <w:highlight w:val="none"/>
              </w:rPr>
            </w:pPr>
            <w:r>
              <w:rPr>
                <w:rFonts w:hint="eastAsia" w:cs="宋体"/>
                <w:bCs/>
                <w:color w:val="auto"/>
                <w:sz w:val="21"/>
                <w:szCs w:val="21"/>
                <w:highlight w:val="none"/>
              </w:rPr>
              <w:t>预付款扣回的方式：</w:t>
            </w:r>
            <w:r>
              <w:rPr>
                <w:rFonts w:hint="eastAsia" w:cs="宋体"/>
                <w:bCs/>
                <w:color w:val="auto"/>
                <w:sz w:val="21"/>
                <w:szCs w:val="21"/>
                <w:highlight w:val="none"/>
                <w:u w:val="single"/>
                <w:lang w:val="en-US" w:eastAsia="zh-CN"/>
              </w:rPr>
              <w:t>付款时扣除</w:t>
            </w:r>
          </w:p>
        </w:tc>
      </w:tr>
      <w:tr w14:paraId="7DDB7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629" w:type="dxa"/>
            <w:vAlign w:val="center"/>
          </w:tcPr>
          <w:p w14:paraId="1C1185D2">
            <w:pPr>
              <w:numPr>
                <w:ilvl w:val="0"/>
                <w:numId w:val="4"/>
              </w:numPr>
              <w:snapToGrid w:val="0"/>
              <w:spacing w:line="360" w:lineRule="auto"/>
              <w:jc w:val="center"/>
              <w:rPr>
                <w:rFonts w:cs="宋体"/>
                <w:bCs/>
                <w:color w:val="auto"/>
                <w:kern w:val="2"/>
                <w:sz w:val="21"/>
                <w:szCs w:val="21"/>
                <w:highlight w:val="none"/>
              </w:rPr>
            </w:pPr>
          </w:p>
        </w:tc>
        <w:tc>
          <w:tcPr>
            <w:tcW w:w="1111" w:type="dxa"/>
            <w:vAlign w:val="center"/>
          </w:tcPr>
          <w:p w14:paraId="1C27AF3A">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12.2.2</w:t>
            </w:r>
          </w:p>
        </w:tc>
        <w:tc>
          <w:tcPr>
            <w:tcW w:w="7304" w:type="dxa"/>
            <w:tcBorders>
              <w:bottom w:val="single" w:color="auto" w:sz="4" w:space="0"/>
            </w:tcBorders>
            <w:vAlign w:val="center"/>
          </w:tcPr>
          <w:p w14:paraId="31625DDD">
            <w:pPr>
              <w:adjustRightInd w:val="0"/>
              <w:snapToGrid w:val="0"/>
              <w:spacing w:line="360" w:lineRule="auto"/>
              <w:rPr>
                <w:rFonts w:cs="宋体"/>
                <w:bCs/>
                <w:color w:val="auto"/>
                <w:sz w:val="21"/>
                <w:szCs w:val="21"/>
                <w:highlight w:val="none"/>
              </w:rPr>
            </w:pPr>
            <w:r>
              <w:rPr>
                <w:rFonts w:hint="eastAsia" w:cs="宋体"/>
                <w:bCs/>
                <w:color w:val="auto"/>
                <w:sz w:val="21"/>
                <w:szCs w:val="21"/>
                <w:highlight w:val="none"/>
              </w:rPr>
              <w:t>预付款担保</w:t>
            </w:r>
          </w:p>
          <w:p w14:paraId="32DF92E5">
            <w:pPr>
              <w:adjustRightInd w:val="0"/>
              <w:snapToGrid w:val="0"/>
              <w:spacing w:line="360" w:lineRule="auto"/>
              <w:rPr>
                <w:rFonts w:cs="宋体"/>
                <w:bCs/>
                <w:color w:val="auto"/>
                <w:sz w:val="21"/>
                <w:szCs w:val="21"/>
                <w:highlight w:val="none"/>
              </w:rPr>
            </w:pPr>
            <w:r>
              <w:rPr>
                <w:rFonts w:hint="eastAsia" w:cs="宋体"/>
                <w:bCs/>
                <w:color w:val="auto"/>
                <w:sz w:val="21"/>
                <w:szCs w:val="21"/>
                <w:highlight w:val="none"/>
              </w:rPr>
              <w:t>承包人提交预付款担保的期限：</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预付款支付前</w:t>
            </w:r>
            <w:r>
              <w:rPr>
                <w:rFonts w:hint="eastAsia" w:cs="宋体"/>
                <w:bCs/>
                <w:color w:val="auto"/>
                <w:sz w:val="21"/>
                <w:szCs w:val="21"/>
                <w:highlight w:val="none"/>
                <w:u w:val="single"/>
              </w:rPr>
              <w:t xml:space="preserve"> </w:t>
            </w:r>
          </w:p>
          <w:p w14:paraId="1DF866BA">
            <w:pPr>
              <w:adjustRightInd w:val="0"/>
              <w:snapToGrid w:val="0"/>
              <w:spacing w:line="360" w:lineRule="auto"/>
              <w:rPr>
                <w:rFonts w:cs="宋体"/>
                <w:bCs/>
                <w:color w:val="auto"/>
                <w:kern w:val="2"/>
                <w:sz w:val="21"/>
                <w:szCs w:val="21"/>
                <w:highlight w:val="none"/>
              </w:rPr>
            </w:pPr>
            <w:r>
              <w:rPr>
                <w:rFonts w:hint="eastAsia" w:cs="宋体"/>
                <w:bCs/>
                <w:color w:val="auto"/>
                <w:sz w:val="21"/>
                <w:szCs w:val="21"/>
                <w:highlight w:val="none"/>
              </w:rPr>
              <w:t>预付款担保的形式为：</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保函（见索即付）</w:t>
            </w:r>
            <w:r>
              <w:rPr>
                <w:rFonts w:hint="eastAsia" w:cs="宋体"/>
                <w:bCs/>
                <w:color w:val="auto"/>
                <w:sz w:val="21"/>
                <w:szCs w:val="21"/>
                <w:highlight w:val="none"/>
                <w:u w:val="single"/>
              </w:rPr>
              <w:t xml:space="preserve">  </w:t>
            </w:r>
          </w:p>
        </w:tc>
      </w:tr>
      <w:tr w14:paraId="33BEC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5ED0BC2D">
            <w:pPr>
              <w:numPr>
                <w:ilvl w:val="0"/>
                <w:numId w:val="4"/>
              </w:numPr>
              <w:snapToGrid w:val="0"/>
              <w:spacing w:line="360" w:lineRule="auto"/>
              <w:jc w:val="center"/>
              <w:rPr>
                <w:rFonts w:cs="宋体"/>
                <w:bCs/>
                <w:color w:val="auto"/>
                <w:kern w:val="2"/>
                <w:sz w:val="21"/>
                <w:szCs w:val="21"/>
                <w:highlight w:val="none"/>
              </w:rPr>
            </w:pPr>
          </w:p>
        </w:tc>
        <w:tc>
          <w:tcPr>
            <w:tcW w:w="1111" w:type="dxa"/>
            <w:vAlign w:val="center"/>
          </w:tcPr>
          <w:p w14:paraId="42BB10B7">
            <w:pPr>
              <w:snapToGrid w:val="0"/>
              <w:spacing w:line="360" w:lineRule="auto"/>
              <w:jc w:val="center"/>
              <w:rPr>
                <w:rFonts w:cs="宋体"/>
                <w:bCs/>
                <w:color w:val="auto"/>
                <w:sz w:val="21"/>
                <w:szCs w:val="21"/>
                <w:highlight w:val="none"/>
              </w:rPr>
            </w:pPr>
            <w:r>
              <w:rPr>
                <w:rFonts w:hint="eastAsia" w:cs="宋体"/>
                <w:bCs/>
                <w:color w:val="auto"/>
                <w:sz w:val="21"/>
                <w:szCs w:val="21"/>
                <w:highlight w:val="none"/>
              </w:rPr>
              <w:t>12.4.1</w:t>
            </w:r>
          </w:p>
        </w:tc>
        <w:tc>
          <w:tcPr>
            <w:tcW w:w="7304" w:type="dxa"/>
            <w:tcBorders>
              <w:bottom w:val="single" w:color="auto" w:sz="4" w:space="0"/>
            </w:tcBorders>
            <w:vAlign w:val="center"/>
          </w:tcPr>
          <w:p w14:paraId="4FA26CCC">
            <w:pPr>
              <w:adjustRightInd w:val="0"/>
              <w:snapToGrid w:val="0"/>
              <w:spacing w:line="360" w:lineRule="auto"/>
              <w:rPr>
                <w:rFonts w:hint="eastAsia" w:cs="宋体"/>
                <w:bCs/>
                <w:color w:val="auto"/>
                <w:sz w:val="21"/>
                <w:szCs w:val="21"/>
                <w:highlight w:val="none"/>
              </w:rPr>
            </w:pPr>
            <w:r>
              <w:rPr>
                <w:rFonts w:hint="eastAsia" w:cs="宋体"/>
                <w:bCs/>
                <w:color w:val="auto"/>
                <w:sz w:val="21"/>
                <w:szCs w:val="21"/>
                <w:highlight w:val="none"/>
              </w:rPr>
              <w:t>付款周期</w:t>
            </w:r>
          </w:p>
          <w:p w14:paraId="45C9B61D">
            <w:pPr>
              <w:adjustRightInd w:val="0"/>
              <w:snapToGrid w:val="0"/>
              <w:spacing w:line="360" w:lineRule="auto"/>
              <w:rPr>
                <w:rFonts w:hint="eastAsia" w:cs="宋体"/>
                <w:bCs/>
                <w:color w:val="auto"/>
                <w:sz w:val="21"/>
                <w:szCs w:val="21"/>
                <w:highlight w:val="none"/>
                <w:u w:val="single"/>
                <w:lang w:val="en-US" w:eastAsia="zh-CN"/>
              </w:rPr>
            </w:pPr>
            <w:r>
              <w:rPr>
                <w:rFonts w:hint="eastAsia" w:cs="宋体"/>
                <w:bCs/>
                <w:color w:val="auto"/>
                <w:sz w:val="21"/>
                <w:szCs w:val="21"/>
                <w:highlight w:val="none"/>
              </w:rPr>
              <w:t>关于付款周期的约定：</w:t>
            </w:r>
            <w:r>
              <w:rPr>
                <w:rFonts w:hint="eastAsia" w:cs="宋体"/>
                <w:bCs/>
                <w:color w:val="auto"/>
                <w:sz w:val="21"/>
                <w:szCs w:val="21"/>
                <w:highlight w:val="none"/>
                <w:u w:val="single"/>
                <w:lang w:eastAsia="zh-CN"/>
              </w:rPr>
              <w:t>按已完成进度计划合格工程量的70%支付进度款;工程完工初验合格后付至已完成合格工程量的80%支付进度款；一年养护期满，竣工验收合格且移交付至合同价款的90%，结算审计后付清余款。绿化成活率:100%。（注：发包人在政府资金调度会批准且发票送达后完成支付）。</w:t>
            </w:r>
          </w:p>
        </w:tc>
      </w:tr>
      <w:tr w14:paraId="1C29C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5E2CF86E">
            <w:pPr>
              <w:numPr>
                <w:ilvl w:val="0"/>
                <w:numId w:val="4"/>
              </w:numPr>
              <w:snapToGrid w:val="0"/>
              <w:spacing w:line="360" w:lineRule="auto"/>
              <w:jc w:val="center"/>
              <w:rPr>
                <w:rFonts w:cs="宋体"/>
                <w:bCs/>
                <w:color w:val="auto"/>
                <w:kern w:val="2"/>
                <w:sz w:val="21"/>
                <w:szCs w:val="21"/>
                <w:highlight w:val="none"/>
              </w:rPr>
            </w:pPr>
          </w:p>
        </w:tc>
        <w:tc>
          <w:tcPr>
            <w:tcW w:w="1111" w:type="dxa"/>
            <w:vAlign w:val="center"/>
          </w:tcPr>
          <w:p w14:paraId="6A9BDD6D">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15.2.1</w:t>
            </w:r>
          </w:p>
        </w:tc>
        <w:tc>
          <w:tcPr>
            <w:tcW w:w="7304" w:type="dxa"/>
            <w:vAlign w:val="center"/>
          </w:tcPr>
          <w:p w14:paraId="60DAD093">
            <w:pPr>
              <w:snapToGrid w:val="0"/>
              <w:spacing w:line="360" w:lineRule="auto"/>
              <w:rPr>
                <w:rFonts w:cs="宋体"/>
                <w:bCs/>
                <w:color w:val="auto"/>
                <w:kern w:val="2"/>
                <w:sz w:val="21"/>
                <w:szCs w:val="21"/>
                <w:highlight w:val="none"/>
              </w:rPr>
            </w:pPr>
            <w:r>
              <w:rPr>
                <w:rFonts w:hint="eastAsia" w:cs="宋体"/>
                <w:color w:val="auto"/>
                <w:sz w:val="21"/>
                <w:szCs w:val="21"/>
                <w:highlight w:val="none"/>
              </w:rPr>
              <w:t>缺陷责任期的具体期限：</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r>
              <w:rPr>
                <w:rFonts w:hint="eastAsia" w:cs="宋体"/>
                <w:color w:val="auto"/>
                <w:sz w:val="21"/>
                <w:szCs w:val="21"/>
                <w:highlight w:val="none"/>
              </w:rPr>
              <w:t>。</w:t>
            </w:r>
          </w:p>
        </w:tc>
      </w:tr>
      <w:tr w14:paraId="50711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5885D8DF">
            <w:pPr>
              <w:numPr>
                <w:ilvl w:val="0"/>
                <w:numId w:val="4"/>
              </w:numPr>
              <w:snapToGrid w:val="0"/>
              <w:spacing w:line="360" w:lineRule="auto"/>
              <w:jc w:val="center"/>
              <w:rPr>
                <w:rFonts w:cs="宋体"/>
                <w:bCs/>
                <w:color w:val="auto"/>
                <w:kern w:val="2"/>
                <w:sz w:val="21"/>
                <w:szCs w:val="21"/>
                <w:highlight w:val="none"/>
              </w:rPr>
            </w:pPr>
          </w:p>
        </w:tc>
        <w:tc>
          <w:tcPr>
            <w:tcW w:w="1111" w:type="dxa"/>
            <w:vAlign w:val="center"/>
          </w:tcPr>
          <w:p w14:paraId="43399004">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15.3.1</w:t>
            </w:r>
          </w:p>
        </w:tc>
        <w:tc>
          <w:tcPr>
            <w:tcW w:w="7304" w:type="dxa"/>
            <w:vAlign w:val="center"/>
          </w:tcPr>
          <w:p w14:paraId="550CAAA9">
            <w:pPr>
              <w:adjustRightInd w:val="0"/>
              <w:snapToGrid w:val="0"/>
              <w:spacing w:line="360" w:lineRule="auto"/>
              <w:rPr>
                <w:rFonts w:cs="宋体"/>
                <w:color w:val="auto"/>
                <w:sz w:val="21"/>
                <w:szCs w:val="21"/>
                <w:highlight w:val="none"/>
              </w:rPr>
            </w:pPr>
            <w:r>
              <w:rPr>
                <w:rFonts w:hint="eastAsia" w:cs="宋体"/>
                <w:color w:val="auto"/>
                <w:sz w:val="21"/>
                <w:szCs w:val="21"/>
                <w:highlight w:val="none"/>
              </w:rPr>
              <w:t>质量保证金可采用以下任意一种方式：</w:t>
            </w:r>
          </w:p>
          <w:p w14:paraId="06CD5EB2">
            <w:pPr>
              <w:adjustRightInd w:val="0"/>
              <w:snapToGrid w:val="0"/>
              <w:spacing w:line="360" w:lineRule="auto"/>
              <w:rPr>
                <w:rFonts w:cs="宋体"/>
                <w:color w:val="auto"/>
                <w:sz w:val="21"/>
                <w:szCs w:val="21"/>
                <w:highlight w:val="none"/>
              </w:rPr>
            </w:pPr>
            <w:r>
              <w:rPr>
                <w:rFonts w:hint="eastAsia" w:cs="宋体"/>
                <w:color w:val="auto"/>
                <w:sz w:val="21"/>
                <w:szCs w:val="21"/>
                <w:highlight w:val="none"/>
              </w:rPr>
              <w:t>（1）由银行业金融机构、工程担保公司、保险机构出具银行保函、工程质量保险等担保方式，担保/保证金额为：</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p>
          <w:p w14:paraId="5F81EFF8">
            <w:pPr>
              <w:adjustRightInd w:val="0"/>
              <w:snapToGrid w:val="0"/>
              <w:spacing w:line="360" w:lineRule="auto"/>
              <w:rPr>
                <w:rFonts w:cs="宋体"/>
                <w:color w:val="auto"/>
                <w:sz w:val="21"/>
                <w:szCs w:val="21"/>
                <w:highlight w:val="none"/>
              </w:rPr>
            </w:pPr>
            <w:r>
              <w:rPr>
                <w:rFonts w:hint="eastAsia" w:cs="宋体"/>
                <w:color w:val="auto"/>
                <w:sz w:val="21"/>
                <w:szCs w:val="21"/>
                <w:highlight w:val="none"/>
              </w:rPr>
              <w:t xml:space="preserve">（2） </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p>
          <w:p w14:paraId="586FCD85">
            <w:pPr>
              <w:adjustRightInd w:val="0"/>
              <w:snapToGrid w:val="0"/>
              <w:spacing w:line="360" w:lineRule="auto"/>
              <w:rPr>
                <w:rFonts w:cs="宋体"/>
                <w:color w:val="auto"/>
                <w:sz w:val="21"/>
                <w:szCs w:val="21"/>
                <w:highlight w:val="none"/>
              </w:rPr>
            </w:pPr>
            <w:r>
              <w:rPr>
                <w:rFonts w:hint="eastAsia" w:cs="宋体"/>
                <w:color w:val="auto"/>
                <w:sz w:val="21"/>
                <w:szCs w:val="21"/>
                <w:highlight w:val="none"/>
              </w:rPr>
              <w:t>（3）其他方式：</w:t>
            </w:r>
            <w:r>
              <w:rPr>
                <w:rFonts w:hint="eastAsia" w:cs="宋体"/>
                <w:color w:val="auto"/>
                <w:sz w:val="21"/>
                <w:szCs w:val="21"/>
                <w:highlight w:val="none"/>
                <w:u w:val="single"/>
              </w:rPr>
              <w:t xml:space="preserve"> </w:t>
            </w:r>
            <w:r>
              <w:rPr>
                <w:rFonts w:hint="eastAsia" w:ascii="宋体" w:cs="宋体"/>
                <w:color w:val="auto"/>
                <w:kern w:val="0"/>
                <w:sz w:val="21"/>
                <w:szCs w:val="21"/>
                <w:highlight w:val="none"/>
                <w:u w:val="single"/>
                <w:shd w:val="clear" w:color="auto" w:fill="auto"/>
                <w:lang w:val="en-US" w:eastAsia="zh-CN"/>
              </w:rPr>
              <w:t>详见工程款</w:t>
            </w:r>
            <w:r>
              <w:rPr>
                <w:rFonts w:hint="eastAsia" w:ascii="宋体" w:cs="宋体"/>
                <w:color w:val="auto"/>
                <w:kern w:val="0"/>
                <w:sz w:val="21"/>
                <w:szCs w:val="21"/>
                <w:highlight w:val="none"/>
                <w:u w:val="single"/>
                <w:shd w:val="clear" w:color="auto" w:fill="auto"/>
              </w:rPr>
              <w:t>支付方式</w:t>
            </w:r>
            <w:r>
              <w:rPr>
                <w:rFonts w:hint="eastAsia" w:cs="宋体"/>
                <w:color w:val="auto"/>
                <w:sz w:val="21"/>
                <w:szCs w:val="21"/>
                <w:highlight w:val="none"/>
                <w:u w:val="single"/>
              </w:rPr>
              <w:t>。</w:t>
            </w:r>
          </w:p>
          <w:p w14:paraId="5A880F90">
            <w:pPr>
              <w:pStyle w:val="4"/>
              <w:snapToGrid w:val="0"/>
              <w:spacing w:line="360" w:lineRule="auto"/>
              <w:rPr>
                <w:rFonts w:cs="宋体"/>
                <w:bCs w:val="0"/>
                <w:color w:val="auto"/>
                <w:kern w:val="2"/>
                <w:sz w:val="21"/>
                <w:szCs w:val="21"/>
                <w:highlight w:val="none"/>
              </w:rPr>
            </w:pPr>
            <w:r>
              <w:rPr>
                <w:rFonts w:hint="eastAsia" w:cs="宋体"/>
                <w:bCs w:val="0"/>
                <w:color w:val="auto"/>
                <w:sz w:val="21"/>
                <w:szCs w:val="21"/>
                <w:highlight w:val="none"/>
              </w:rPr>
              <w:t>注：以现金形式提交质量保证金的（含从工程款中以扣留方式提交的），同时退还银行同期活期存款利息。</w:t>
            </w:r>
          </w:p>
        </w:tc>
      </w:tr>
    </w:tbl>
    <w:p w14:paraId="37F7689A">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r>
        <w:rPr>
          <w:rFonts w:hint="eastAsia" w:cs="宋体"/>
          <w:color w:val="auto"/>
          <w:sz w:val="21"/>
          <w:szCs w:val="21"/>
          <w:highlight w:val="none"/>
        </w:rPr>
        <w:br w:type="page"/>
      </w:r>
      <w:r>
        <w:rPr>
          <w:rFonts w:hint="eastAsia" w:cs="宋体"/>
          <w:color w:val="auto"/>
          <w:sz w:val="21"/>
          <w:szCs w:val="21"/>
          <w:highlight w:val="none"/>
        </w:rPr>
        <w:t>1</w:t>
      </w:r>
      <w:bookmarkStart w:id="56" w:name="_Toc296890984"/>
      <w:bookmarkStart w:id="57" w:name="_Toc296347155"/>
      <w:bookmarkStart w:id="58" w:name="_Toc297120456"/>
      <w:bookmarkStart w:id="59" w:name="_Toc296346657"/>
      <w:bookmarkStart w:id="60" w:name="_Toc296891196"/>
      <w:bookmarkStart w:id="61" w:name="_Toc297048342"/>
      <w:bookmarkStart w:id="62" w:name="_Toc296503156"/>
      <w:bookmarkStart w:id="63" w:name="_Toc292559866"/>
      <w:bookmarkStart w:id="64" w:name="_Toc292559361"/>
      <w:bookmarkStart w:id="65" w:name="_Toc296944495"/>
      <w:r>
        <w:rPr>
          <w:rFonts w:hint="eastAsia" w:cs="宋体"/>
          <w:color w:val="auto"/>
          <w:sz w:val="21"/>
          <w:szCs w:val="21"/>
          <w:highlight w:val="none"/>
        </w:rPr>
        <w:t>. 一般约定</w:t>
      </w:r>
    </w:p>
    <w:bookmarkEnd w:id="56"/>
    <w:bookmarkEnd w:id="57"/>
    <w:bookmarkEnd w:id="58"/>
    <w:bookmarkEnd w:id="59"/>
    <w:bookmarkEnd w:id="60"/>
    <w:bookmarkEnd w:id="61"/>
    <w:bookmarkEnd w:id="62"/>
    <w:bookmarkEnd w:id="63"/>
    <w:bookmarkEnd w:id="64"/>
    <w:bookmarkEnd w:id="65"/>
    <w:p w14:paraId="51BB6936">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1.1 词语定义与解释</w:t>
      </w:r>
    </w:p>
    <w:p w14:paraId="0CC7848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1.1.1 合同</w:t>
      </w:r>
    </w:p>
    <w:p w14:paraId="67BCFF1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1.1.1.10 其他合同文件包括：</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本项目</w:t>
      </w:r>
      <w:r>
        <w:rPr>
          <w:rFonts w:hint="eastAsia" w:cs="宋体"/>
          <w:color w:val="auto"/>
          <w:sz w:val="21"/>
          <w:szCs w:val="21"/>
          <w:highlight w:val="none"/>
          <w:u w:val="single"/>
          <w:lang w:val="en-US" w:eastAsia="zh-CN"/>
        </w:rPr>
        <w:t>磋商</w:t>
      </w:r>
      <w:r>
        <w:rPr>
          <w:rFonts w:hint="eastAsia" w:ascii="宋体" w:hAnsi="宋体" w:eastAsia="宋体" w:cs="宋体"/>
          <w:color w:val="auto"/>
          <w:sz w:val="21"/>
          <w:szCs w:val="21"/>
          <w:highlight w:val="none"/>
          <w:u w:val="single"/>
        </w:rPr>
        <w:t>文件、在合同订立及履行过程中形成的与合同有关的文件均构成合同文件组成部分</w:t>
      </w:r>
      <w:r>
        <w:rPr>
          <w:rFonts w:hint="eastAsia" w:cs="宋体"/>
          <w:color w:val="auto"/>
          <w:sz w:val="21"/>
          <w:szCs w:val="21"/>
          <w:highlight w:val="none"/>
          <w:u w:val="single"/>
          <w:lang w:eastAsia="zh-CN"/>
        </w:rPr>
        <w:t>。</w:t>
      </w:r>
      <w:r>
        <w:rPr>
          <w:rFonts w:hint="eastAsia" w:cs="宋体"/>
          <w:color w:val="auto"/>
          <w:sz w:val="21"/>
          <w:szCs w:val="21"/>
          <w:highlight w:val="none"/>
          <w:u w:val="single"/>
        </w:rPr>
        <w:t></w:t>
      </w:r>
    </w:p>
    <w:p w14:paraId="7331E02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1.1.2 合同当事人及其他相关方</w:t>
      </w:r>
    </w:p>
    <w:p w14:paraId="5140E64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1.1.2.4 监理人：</w:t>
      </w:r>
    </w:p>
    <w:p w14:paraId="3390DE7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名    称：</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详见监理合同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6ADE3A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资质类别和等级：</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详见监理合同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787C63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联系电话：</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详见监理合同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EAA223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详见监理合同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B3F5A7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通信地址：</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详见监理合同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6ED44C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1.1.2.5 设计人：</w:t>
      </w:r>
    </w:p>
    <w:p w14:paraId="6D6C353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名    称：</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w:t>
      </w:r>
      <w:r>
        <w:rPr>
          <w:rFonts w:hint="eastAsia" w:cs="宋体"/>
          <w:color w:val="auto"/>
          <w:sz w:val="21"/>
          <w:szCs w:val="21"/>
          <w:highlight w:val="none"/>
          <w:u w:val="single"/>
          <w:lang w:val="en-US" w:eastAsia="zh-CN"/>
        </w:rPr>
        <w:t>设计</w:t>
      </w:r>
      <w:r>
        <w:rPr>
          <w:rFonts w:hint="eastAsia" w:ascii="宋体" w:hAnsi="宋体" w:eastAsia="宋体" w:cs="宋体"/>
          <w:color w:val="auto"/>
          <w:sz w:val="21"/>
          <w:szCs w:val="21"/>
          <w:highlight w:val="none"/>
          <w:u w:val="single"/>
        </w:rPr>
        <w:t>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DE7829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资质类别和等级：</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w:t>
      </w:r>
      <w:r>
        <w:rPr>
          <w:rFonts w:hint="eastAsia" w:cs="宋体"/>
          <w:color w:val="auto"/>
          <w:sz w:val="21"/>
          <w:szCs w:val="21"/>
          <w:highlight w:val="none"/>
          <w:u w:val="single"/>
          <w:lang w:val="en-US" w:eastAsia="zh-CN"/>
        </w:rPr>
        <w:t>设计</w:t>
      </w:r>
      <w:r>
        <w:rPr>
          <w:rFonts w:hint="eastAsia" w:ascii="宋体" w:hAnsi="宋体" w:eastAsia="宋体" w:cs="宋体"/>
          <w:color w:val="auto"/>
          <w:sz w:val="21"/>
          <w:szCs w:val="21"/>
          <w:highlight w:val="none"/>
          <w:u w:val="single"/>
        </w:rPr>
        <w:t>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80F02D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联系电话：</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w:t>
      </w:r>
      <w:r>
        <w:rPr>
          <w:rFonts w:hint="eastAsia" w:cs="宋体"/>
          <w:color w:val="auto"/>
          <w:sz w:val="21"/>
          <w:szCs w:val="21"/>
          <w:highlight w:val="none"/>
          <w:u w:val="single"/>
          <w:lang w:val="en-US" w:eastAsia="zh-CN"/>
        </w:rPr>
        <w:t>设计</w:t>
      </w:r>
      <w:r>
        <w:rPr>
          <w:rFonts w:hint="eastAsia" w:ascii="宋体" w:hAnsi="宋体" w:eastAsia="宋体" w:cs="宋体"/>
          <w:color w:val="auto"/>
          <w:sz w:val="21"/>
          <w:szCs w:val="21"/>
          <w:highlight w:val="none"/>
          <w:u w:val="single"/>
        </w:rPr>
        <w:t>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A4F7D8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详见</w:t>
      </w:r>
      <w:r>
        <w:rPr>
          <w:rFonts w:hint="eastAsia" w:cs="宋体"/>
          <w:color w:val="auto"/>
          <w:sz w:val="21"/>
          <w:szCs w:val="21"/>
          <w:highlight w:val="none"/>
          <w:u w:val="single"/>
          <w:lang w:val="en-US" w:eastAsia="zh-CN"/>
        </w:rPr>
        <w:t>设计</w:t>
      </w:r>
      <w:r>
        <w:rPr>
          <w:rFonts w:hint="eastAsia" w:ascii="宋体" w:hAnsi="宋体" w:eastAsia="宋体" w:cs="宋体"/>
          <w:color w:val="auto"/>
          <w:sz w:val="21"/>
          <w:szCs w:val="21"/>
          <w:highlight w:val="none"/>
          <w:u w:val="single"/>
        </w:rPr>
        <w:t>合同</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w:t>
      </w:r>
      <w:r>
        <w:rPr>
          <w:rFonts w:hint="eastAsia" w:cs="宋体"/>
          <w:color w:val="auto"/>
          <w:sz w:val="21"/>
          <w:szCs w:val="21"/>
          <w:highlight w:val="none"/>
        </w:rPr>
        <w:t>；</w:t>
      </w:r>
    </w:p>
    <w:p w14:paraId="389EDE8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通信地址：</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w:t>
      </w:r>
      <w:r>
        <w:rPr>
          <w:rFonts w:hint="eastAsia" w:cs="宋体"/>
          <w:color w:val="auto"/>
          <w:sz w:val="21"/>
          <w:szCs w:val="21"/>
          <w:highlight w:val="none"/>
          <w:u w:val="single"/>
          <w:lang w:val="en-US" w:eastAsia="zh-CN"/>
        </w:rPr>
        <w:t>设计</w:t>
      </w:r>
      <w:r>
        <w:rPr>
          <w:rFonts w:hint="eastAsia" w:ascii="宋体" w:hAnsi="宋体" w:eastAsia="宋体" w:cs="宋体"/>
          <w:color w:val="auto"/>
          <w:sz w:val="21"/>
          <w:szCs w:val="21"/>
          <w:highlight w:val="none"/>
          <w:u w:val="single"/>
        </w:rPr>
        <w:t>合同</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rPr>
        <w:t>。</w:t>
      </w:r>
    </w:p>
    <w:p w14:paraId="262D345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1.1.3 工程和设备</w:t>
      </w:r>
    </w:p>
    <w:p w14:paraId="6C99020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1.1.3.7 作为施工现场组成部分的其他场所包括：</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见施工图纸并现场确定</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3DFD24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1.1.3.9 永久占地包括：</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见施工图纸</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6A5278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1.1.3.10 临时占地包括：</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现场确定</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11B2661">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 xml:space="preserve">1.3 法律 </w:t>
      </w:r>
    </w:p>
    <w:p w14:paraId="56E9760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适用于合同的其他规范性文件：</w:t>
      </w:r>
      <w:r>
        <w:rPr>
          <w:rFonts w:hint="eastAsia" w:cs="宋体"/>
          <w:color w:val="auto"/>
          <w:sz w:val="21"/>
          <w:szCs w:val="21"/>
          <w:highlight w:val="none"/>
          <w:u w:val="single"/>
        </w:rPr>
        <w:t>《中华人民共和国民法典》、《中华人民共和国建筑法》、《中华人民共和国政府采购法》、《中华人民共和国招标投标法》、《建设工程质量管理条例》、《建设工程安全生产管理条例》等国家及工程所在地现行有效的法律法规和规章</w:t>
      </w:r>
      <w:r>
        <w:rPr>
          <w:rFonts w:hint="eastAsia" w:cs="宋体"/>
          <w:color w:val="auto"/>
          <w:sz w:val="21"/>
          <w:szCs w:val="21"/>
          <w:highlight w:val="none"/>
        </w:rPr>
        <w:t>。</w:t>
      </w:r>
    </w:p>
    <w:p w14:paraId="457C2DC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1.4 标准和规范</w:t>
      </w:r>
    </w:p>
    <w:p w14:paraId="0FC25CF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1.4.1 适用于工程的标准规范包括：</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中华人民共和国住房和城乡建设部等部门及省、市发布的有关文件</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C8DF97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1.4.2 发包人提供国外标准、规范的名称：</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承包人自备国内现行适用的标准、规范</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E15A6D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发包人提供国外标准、规范的份数：</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447030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发包人提供国外标准、规范的时间：</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5084B0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1.4.3 发包人对工程的技术标准和功能要求的特殊要求：</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按现行规范执行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D4F683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1.5 合同文件的优先顺序</w:t>
      </w:r>
    </w:p>
    <w:p w14:paraId="634A820A">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u w:val="single"/>
        </w:rPr>
      </w:pPr>
      <w:r>
        <w:rPr>
          <w:rFonts w:hint="eastAsia" w:cs="宋体"/>
          <w:color w:val="auto"/>
          <w:sz w:val="21"/>
          <w:szCs w:val="21"/>
          <w:highlight w:val="none"/>
        </w:rPr>
        <w:t>合同文件组成及优先顺序为：</w:t>
      </w:r>
      <w:r>
        <w:rPr>
          <w:rFonts w:hint="eastAsia" w:ascii="宋体" w:cs="宋体"/>
          <w:color w:val="auto"/>
          <w:sz w:val="21"/>
          <w:szCs w:val="21"/>
          <w:highlight w:val="none"/>
          <w:u w:val="single"/>
        </w:rPr>
        <w:t>（1）合同协议书；（2）</w:t>
      </w:r>
      <w:r>
        <w:rPr>
          <w:rFonts w:hint="eastAsia" w:ascii="宋体" w:cs="宋体"/>
          <w:color w:val="auto"/>
          <w:sz w:val="21"/>
          <w:szCs w:val="21"/>
          <w:highlight w:val="none"/>
          <w:u w:val="single"/>
          <w:lang w:val="en-US" w:eastAsia="zh-CN"/>
        </w:rPr>
        <w:t>成交</w:t>
      </w:r>
      <w:r>
        <w:rPr>
          <w:rFonts w:hint="eastAsia" w:ascii="宋体" w:cs="宋体"/>
          <w:color w:val="auto"/>
          <w:sz w:val="21"/>
          <w:szCs w:val="21"/>
          <w:highlight w:val="none"/>
          <w:u w:val="single"/>
        </w:rPr>
        <w:t>通知书；（3）确认函及其附录；（4）</w:t>
      </w:r>
      <w:r>
        <w:rPr>
          <w:rFonts w:hint="eastAsia" w:ascii="宋体" w:cs="宋体"/>
          <w:color w:val="auto"/>
          <w:sz w:val="21"/>
          <w:szCs w:val="21"/>
          <w:highlight w:val="none"/>
          <w:u w:val="single"/>
          <w:lang w:val="en-US" w:eastAsia="zh-CN"/>
        </w:rPr>
        <w:t>磋商</w:t>
      </w:r>
      <w:r>
        <w:rPr>
          <w:rFonts w:hint="eastAsia" w:ascii="宋体" w:cs="宋体"/>
          <w:color w:val="auto"/>
          <w:sz w:val="21"/>
          <w:szCs w:val="21"/>
          <w:highlight w:val="none"/>
          <w:u w:val="single"/>
          <w:lang w:eastAsia="zh-CN"/>
        </w:rPr>
        <w:t>文件</w:t>
      </w:r>
      <w:r>
        <w:rPr>
          <w:rFonts w:hint="eastAsia" w:ascii="宋体" w:cs="宋体"/>
          <w:color w:val="auto"/>
          <w:sz w:val="21"/>
          <w:szCs w:val="21"/>
          <w:highlight w:val="none"/>
          <w:u w:val="single"/>
        </w:rPr>
        <w:t>；（5）专用合同条款及其附件；（6）通用合同条款；（7）技术标准和要求；（8）图纸；（9）已标价工程量清单或预算书；（10）其他合同文件</w:t>
      </w:r>
      <w:r>
        <w:rPr>
          <w:rFonts w:hint="eastAsia" w:ascii="宋体" w:cs="宋体"/>
          <w:color w:val="auto"/>
          <w:sz w:val="21"/>
          <w:szCs w:val="21"/>
          <w:highlight w:val="none"/>
          <w:u w:val="single"/>
          <w:lang w:eastAsia="zh-CN"/>
        </w:rPr>
        <w:t>。</w:t>
      </w:r>
      <w:r>
        <w:rPr>
          <w:rFonts w:hint="eastAsia" w:cs="宋体"/>
          <w:color w:val="auto"/>
          <w:sz w:val="21"/>
          <w:szCs w:val="21"/>
          <w:highlight w:val="none"/>
          <w:u w:val="single"/>
        </w:rPr>
        <w:t xml:space="preserve"> </w:t>
      </w:r>
    </w:p>
    <w:p w14:paraId="04743C76">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1.6 图纸和承包人文件</w:t>
      </w:r>
      <w:r>
        <w:rPr>
          <w:rFonts w:hint="eastAsia" w:cs="宋体"/>
          <w:bCs/>
          <w:color w:val="auto"/>
          <w:sz w:val="21"/>
          <w:szCs w:val="21"/>
          <w:highlight w:val="none"/>
        </w:rPr>
        <w:tab/>
      </w:r>
    </w:p>
    <w:p w14:paraId="130B84A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1.6.1 图纸的提供和交底</w:t>
      </w:r>
    </w:p>
    <w:p w14:paraId="085A233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发包人向承包人提供图纸的期限：</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开工前14天</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0AC24A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发包人向承包人提供图纸的数量：</w:t>
      </w:r>
      <w:r>
        <w:rPr>
          <w:rFonts w:hint="eastAsia" w:cs="宋体"/>
          <w:color w:val="auto"/>
          <w:sz w:val="21"/>
          <w:szCs w:val="21"/>
          <w:highlight w:val="none"/>
          <w:u w:val="single"/>
        </w:rPr>
        <w:t>提供</w:t>
      </w:r>
      <w:r>
        <w:rPr>
          <w:rFonts w:hint="eastAsia" w:cs="宋体"/>
          <w:color w:val="auto"/>
          <w:sz w:val="21"/>
          <w:szCs w:val="21"/>
          <w:highlight w:val="none"/>
          <w:u w:val="single"/>
          <w:lang w:val="en-US" w:eastAsia="zh-CN"/>
        </w:rPr>
        <w:t>3</w:t>
      </w:r>
      <w:r>
        <w:rPr>
          <w:rFonts w:hint="eastAsia" w:cs="宋体"/>
          <w:color w:val="auto"/>
          <w:sz w:val="21"/>
          <w:szCs w:val="21"/>
          <w:highlight w:val="none"/>
          <w:u w:val="single"/>
        </w:rPr>
        <w:t>套</w:t>
      </w:r>
      <w:r>
        <w:rPr>
          <w:rFonts w:hint="eastAsia" w:cs="宋体"/>
          <w:color w:val="auto"/>
          <w:sz w:val="21"/>
          <w:szCs w:val="21"/>
          <w:highlight w:val="none"/>
          <w:u w:val="single"/>
          <w:lang w:eastAsia="zh-CN"/>
        </w:rPr>
        <w:t>，</w:t>
      </w:r>
      <w:r>
        <w:rPr>
          <w:rFonts w:hint="eastAsia" w:cs="宋体"/>
          <w:color w:val="auto"/>
          <w:sz w:val="21"/>
          <w:szCs w:val="21"/>
          <w:highlight w:val="none"/>
          <w:u w:val="single"/>
        </w:rPr>
        <w:t>不足的由承包人自行复制，费用自理</w:t>
      </w:r>
      <w:r>
        <w:rPr>
          <w:rFonts w:hint="eastAsia" w:cs="宋体"/>
          <w:color w:val="auto"/>
          <w:sz w:val="21"/>
          <w:szCs w:val="21"/>
          <w:highlight w:val="none"/>
          <w:u w:val="single"/>
          <w:lang w:eastAsia="zh-CN"/>
        </w:rPr>
        <w:t>，所有设计图纸和设计变更文件须经设计单位和发包人盖章确认方有效</w:t>
      </w:r>
      <w:r>
        <w:rPr>
          <w:rFonts w:hint="eastAsia" w:cs="宋体"/>
          <w:color w:val="auto"/>
          <w:sz w:val="21"/>
          <w:szCs w:val="21"/>
          <w:highlight w:val="none"/>
          <w:u w:val="single"/>
        </w:rPr>
        <w:t>；</w:t>
      </w:r>
    </w:p>
    <w:p w14:paraId="4CF582B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发包人向承包人提供图纸的内容：</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全套施工图</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97226D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1.6.4 承包人文件</w:t>
      </w:r>
    </w:p>
    <w:p w14:paraId="677428D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需要由承包人提供的文件，包括：</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按监理要求执行，包括但不限于项目部人员证书（在领取</w:t>
      </w:r>
      <w:r>
        <w:rPr>
          <w:rFonts w:hint="eastAsia" w:ascii="宋体" w:cs="宋体"/>
          <w:color w:val="auto"/>
          <w:sz w:val="21"/>
          <w:szCs w:val="21"/>
          <w:highlight w:val="none"/>
          <w:u w:val="single"/>
          <w:lang w:val="en-US" w:eastAsia="zh-CN"/>
        </w:rPr>
        <w:t>成交</w:t>
      </w:r>
      <w:r>
        <w:rPr>
          <w:rFonts w:hint="eastAsia" w:ascii="宋体" w:cs="宋体"/>
          <w:color w:val="auto"/>
          <w:sz w:val="21"/>
          <w:szCs w:val="21"/>
          <w:highlight w:val="none"/>
          <w:u w:val="single"/>
        </w:rPr>
        <w:t>通知书前）、项目部任命文、实施性施工组织设计等</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9A98D7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承包人提供的文件的期限为：</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按监理要求执行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460A67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承包人提供的文件的数量为：</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按监理要求执行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EC1187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承包人提供的文件的形式为：</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按监理要求执行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66EF87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发包人审批承包人文件的期限：</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7天</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5D31F4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1.6.5 图纸和承包人文件的保管</w:t>
      </w:r>
    </w:p>
    <w:p w14:paraId="6418F48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关于图纸和承包人文件保管的约定：</w:t>
      </w:r>
      <w:r>
        <w:rPr>
          <w:rFonts w:hint="eastAsia" w:ascii="宋体" w:cs="宋体"/>
          <w:color w:val="auto"/>
          <w:sz w:val="21"/>
          <w:szCs w:val="21"/>
          <w:highlight w:val="none"/>
          <w:u w:val="single"/>
        </w:rPr>
        <w:t>除专用合同条款另有约定外，承包人应在施工现场另外保存一套完整的图纸和承包人文件，供发包人、监理人及有关人员进行工程检查时使用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04C820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1.7 联络</w:t>
      </w:r>
    </w:p>
    <w:p w14:paraId="19CE72A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1.7.1 发包人和承包人应当在</w:t>
      </w:r>
      <w:r>
        <w:rPr>
          <w:rFonts w:hint="eastAsia" w:cs="宋体"/>
          <w:color w:val="auto"/>
          <w:sz w:val="21"/>
          <w:szCs w:val="21"/>
          <w:highlight w:val="none"/>
          <w:u w:val="single"/>
        </w:rPr>
        <w:t>7</w:t>
      </w:r>
      <w:r>
        <w:rPr>
          <w:rFonts w:hint="eastAsia" w:cs="宋体"/>
          <w:color w:val="auto"/>
          <w:sz w:val="21"/>
          <w:szCs w:val="21"/>
          <w:highlight w:val="none"/>
        </w:rPr>
        <w:t>天内将与合同有关的通知、批准、证明、证书、指示、指令、要求、请求、同意、意见、确定和决定等书面函件送达对方当事人。</w:t>
      </w:r>
    </w:p>
    <w:p w14:paraId="24CF971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1.7.2 发包人接收文件的地点：</w:t>
      </w:r>
      <w:r>
        <w:rPr>
          <w:rFonts w:hint="eastAsia" w:cs="宋体"/>
          <w:color w:val="auto"/>
          <w:sz w:val="21"/>
          <w:szCs w:val="21"/>
          <w:highlight w:val="none"/>
          <w:u w:val="single"/>
        </w:rPr>
        <w:t xml:space="preserve"> </w:t>
      </w:r>
      <w:r>
        <w:rPr>
          <w:rFonts w:hint="eastAsia" w:ascii="宋体" w:cs="宋体"/>
          <w:color w:val="auto"/>
          <w:sz w:val="21"/>
          <w:szCs w:val="21"/>
          <w:highlight w:val="none"/>
          <w:u w:val="single"/>
          <w:lang w:val="en-US" w:eastAsia="zh-CN"/>
        </w:rPr>
        <w:t>滁州市重点工程建设管理处或项目部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6CCD56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发包人指定的接收人为：</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发包人代表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614AC9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承包人接收文件的地点：</w:t>
      </w:r>
      <w:r>
        <w:rPr>
          <w:rFonts w:hint="eastAsia" w:cs="宋体"/>
          <w:color w:val="auto"/>
          <w:sz w:val="21"/>
          <w:szCs w:val="21"/>
          <w:highlight w:val="none"/>
          <w:u w:val="single"/>
        </w:rPr>
        <w:t xml:space="preserve">  </w:t>
      </w:r>
      <w:r>
        <w:rPr>
          <w:rFonts w:hint="eastAsia" w:ascii="宋体" w:cs="宋体"/>
          <w:color w:val="auto"/>
          <w:sz w:val="21"/>
          <w:szCs w:val="21"/>
          <w:highlight w:val="none"/>
          <w:u w:val="single"/>
          <w:lang w:val="en-US" w:eastAsia="zh-CN"/>
        </w:rPr>
        <w:t>滁州市重点工程建设管理处或项目部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8729DC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承包人指定的接收人为：</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项目负责人</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CF9556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监理人接收文件的地点：</w:t>
      </w:r>
      <w:r>
        <w:rPr>
          <w:rFonts w:hint="eastAsia" w:cs="宋体"/>
          <w:color w:val="auto"/>
          <w:sz w:val="21"/>
          <w:szCs w:val="21"/>
          <w:highlight w:val="none"/>
          <w:u w:val="single"/>
        </w:rPr>
        <w:t xml:space="preserve">  </w:t>
      </w:r>
      <w:r>
        <w:rPr>
          <w:rFonts w:hint="eastAsia" w:ascii="宋体" w:cs="宋体"/>
          <w:color w:val="auto"/>
          <w:sz w:val="21"/>
          <w:szCs w:val="21"/>
          <w:highlight w:val="none"/>
          <w:u w:val="single"/>
          <w:lang w:val="en-US" w:eastAsia="zh-CN"/>
        </w:rPr>
        <w:t>滁州市重点工程建设管理处或项目部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E7345B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监理人指定的接收人为：</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总监理工程师或总监代表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CF0815E">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1.10 交通运输</w:t>
      </w:r>
    </w:p>
    <w:p w14:paraId="6B27C58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w:t>
      </w:r>
      <w:bookmarkStart w:id="66" w:name="_Toc318581155"/>
      <w:bookmarkStart w:id="67" w:name="_Toc304295521"/>
      <w:bookmarkStart w:id="68" w:name="_Toc300934943"/>
      <w:bookmarkStart w:id="69" w:name="_Toc303539100"/>
      <w:bookmarkStart w:id="70" w:name="_Toc312677986"/>
      <w:r>
        <w:rPr>
          <w:rFonts w:hint="eastAsia" w:cs="宋体"/>
          <w:color w:val="auto"/>
          <w:sz w:val="21"/>
          <w:szCs w:val="21"/>
          <w:highlight w:val="none"/>
        </w:rPr>
        <w:t>.10.1 出入现场的权利</w:t>
      </w:r>
    </w:p>
    <w:p w14:paraId="44B746DD">
      <w:pPr>
        <w:pageBreakBefore w:val="0"/>
        <w:widowControl w:val="0"/>
        <w:kinsoku/>
        <w:wordWrap/>
        <w:overflowPunct/>
        <w:topLinePunct w:val="0"/>
        <w:autoSpaceDE/>
        <w:autoSpaceDN/>
        <w:bidi w:val="0"/>
        <w:snapToGrid w:val="0"/>
        <w:spacing w:line="400" w:lineRule="exact"/>
        <w:ind w:firstLine="420" w:firstLineChars="200"/>
        <w:textAlignment w:val="auto"/>
        <w:rPr>
          <w:rFonts w:hint="eastAsia" w:ascii="宋体" w:cs="宋体"/>
          <w:color w:val="auto"/>
          <w:sz w:val="21"/>
          <w:szCs w:val="21"/>
          <w:highlight w:val="none"/>
          <w:u w:val="single"/>
        </w:rPr>
      </w:pPr>
      <w:r>
        <w:rPr>
          <w:rFonts w:hint="eastAsia" w:cs="宋体"/>
          <w:color w:val="auto"/>
          <w:sz w:val="21"/>
          <w:szCs w:val="21"/>
          <w:highlight w:val="none"/>
        </w:rPr>
        <w:t>关于出入现场的权利的约定：</w:t>
      </w:r>
      <w:r>
        <w:rPr>
          <w:rFonts w:hint="eastAsia" w:ascii="宋体" w:cs="宋体"/>
          <w:color w:val="auto"/>
          <w:sz w:val="21"/>
          <w:szCs w:val="21"/>
          <w:highlight w:val="none"/>
          <w:u w:val="single"/>
        </w:rPr>
        <w:t>发包人应根据施工需要，负责取得出入施工现场所需的批准手续和全部权利，以及取得因施工所需修建道路、桥梁以及其他基础设施的权利，并承担相关手续费用和建设费用，若该费用已包含在本项目发包范围，则由承包人自行解决并承担费用。承包人应协助发包人办理修建场内外道路、桥梁以及其他基础设施的手续。</w:t>
      </w:r>
    </w:p>
    <w:p w14:paraId="75CE313B">
      <w:pPr>
        <w:pageBreakBefore w:val="0"/>
        <w:widowControl w:val="0"/>
        <w:kinsoku/>
        <w:wordWrap/>
        <w:overflowPunct/>
        <w:topLinePunct w:val="0"/>
        <w:autoSpaceDE/>
        <w:autoSpaceDN/>
        <w:bidi w:val="0"/>
        <w:snapToGrid w:val="0"/>
        <w:spacing w:line="400" w:lineRule="exact"/>
        <w:ind w:firstLine="420" w:firstLineChars="200"/>
        <w:textAlignment w:val="auto"/>
        <w:rPr>
          <w:rFonts w:cs="宋体"/>
          <w:color w:val="auto"/>
          <w:sz w:val="21"/>
          <w:szCs w:val="21"/>
          <w:highlight w:val="none"/>
          <w:u w:val="single"/>
        </w:rPr>
      </w:pPr>
      <w:r>
        <w:rPr>
          <w:rFonts w:hint="eastAsia" w:ascii="宋体" w:cs="宋体"/>
          <w:color w:val="auto"/>
          <w:sz w:val="21"/>
          <w:szCs w:val="21"/>
          <w:highlight w:val="none"/>
          <w:u w:val="single"/>
        </w:rPr>
        <w:t>承包人应在订立合同前查勘施工现场，并根据工程规模及技术参数合理预见工程施工所需的进出施工现场的方式、手段、路径等。因承包人未合理预见所增加的费用和（或）延误的工期由承包人承担。</w:t>
      </w:r>
    </w:p>
    <w:bookmarkEnd w:id="66"/>
    <w:bookmarkEnd w:id="67"/>
    <w:bookmarkEnd w:id="68"/>
    <w:bookmarkEnd w:id="69"/>
    <w:bookmarkEnd w:id="70"/>
    <w:p w14:paraId="046BB85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w:t>
      </w:r>
      <w:bookmarkStart w:id="71" w:name="_Toc318581156"/>
      <w:bookmarkStart w:id="72" w:name="_Toc300934944"/>
      <w:bookmarkStart w:id="73" w:name="_Toc304295522"/>
      <w:bookmarkStart w:id="74" w:name="_Toc312677987"/>
      <w:bookmarkStart w:id="75" w:name="_Toc303539101"/>
      <w:r>
        <w:rPr>
          <w:rFonts w:hint="eastAsia" w:cs="宋体"/>
          <w:color w:val="auto"/>
          <w:sz w:val="21"/>
          <w:szCs w:val="21"/>
          <w:highlight w:val="none"/>
        </w:rPr>
        <w:t>.10.3 场内交通</w:t>
      </w:r>
    </w:p>
    <w:p w14:paraId="36FD3F4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关于场外交通和场内交通的边界的约定：</w:t>
      </w:r>
      <w:r>
        <w:rPr>
          <w:rFonts w:hint="eastAsia" w:ascii="宋体" w:cs="宋体"/>
          <w:color w:val="auto"/>
          <w:sz w:val="21"/>
          <w:szCs w:val="21"/>
          <w:highlight w:val="none"/>
          <w:u w:val="single"/>
        </w:rPr>
        <w:t>场内交通设施和道路由承包人负责建设，发包人不另支付费用，场内交通边界现场确定</w:t>
      </w:r>
      <w:r>
        <w:rPr>
          <w:rFonts w:hint="eastAsia" w:cs="宋体"/>
          <w:color w:val="auto"/>
          <w:sz w:val="21"/>
          <w:szCs w:val="21"/>
          <w:highlight w:val="none"/>
        </w:rPr>
        <w:t>。</w:t>
      </w:r>
    </w:p>
    <w:p w14:paraId="7214669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关于发包人向承包人免费提供满足工程施工需要的场内道路和交通设施的约定：</w:t>
      </w:r>
      <w:r>
        <w:rPr>
          <w:rFonts w:hint="eastAsia" w:ascii="宋体" w:cs="宋体"/>
          <w:color w:val="auto"/>
          <w:sz w:val="21"/>
          <w:szCs w:val="21"/>
          <w:highlight w:val="none"/>
          <w:u w:val="single"/>
        </w:rPr>
        <w:t>自行踏勘，自行解决</w:t>
      </w:r>
      <w:r>
        <w:rPr>
          <w:rFonts w:hint="eastAsia" w:cs="宋体"/>
          <w:color w:val="auto"/>
          <w:sz w:val="21"/>
          <w:szCs w:val="21"/>
          <w:highlight w:val="none"/>
          <w:u w:val="single"/>
        </w:rPr>
        <w:t xml:space="preserve"> </w:t>
      </w:r>
      <w:r>
        <w:rPr>
          <w:rFonts w:hint="eastAsia" w:cs="宋体"/>
          <w:color w:val="auto"/>
          <w:sz w:val="21"/>
          <w:szCs w:val="21"/>
          <w:highlight w:val="none"/>
        </w:rPr>
        <w:t>。</w:t>
      </w:r>
      <w:bookmarkEnd w:id="71"/>
      <w:bookmarkEnd w:id="72"/>
      <w:bookmarkEnd w:id="73"/>
      <w:bookmarkEnd w:id="74"/>
      <w:bookmarkEnd w:id="75"/>
      <w:bookmarkStart w:id="76" w:name="_Toc318581157"/>
    </w:p>
    <w:p w14:paraId="4300F04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1.10.4 超大件和超重件的运输</w:t>
      </w:r>
    </w:p>
    <w:p w14:paraId="496A384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运输超大件或超重件所需的道路和桥梁临时加固改造费用和其他有关费用由</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承包方</w:t>
      </w:r>
      <w:r>
        <w:rPr>
          <w:rFonts w:hint="eastAsia" w:cs="宋体"/>
          <w:color w:val="auto"/>
          <w:sz w:val="21"/>
          <w:szCs w:val="21"/>
          <w:highlight w:val="none"/>
          <w:u w:val="single"/>
        </w:rPr>
        <w:t xml:space="preserve"> </w:t>
      </w:r>
      <w:r>
        <w:rPr>
          <w:rFonts w:hint="eastAsia" w:cs="宋体"/>
          <w:color w:val="auto"/>
          <w:sz w:val="21"/>
          <w:szCs w:val="21"/>
          <w:highlight w:val="none"/>
        </w:rPr>
        <w:t>承担。</w:t>
      </w:r>
    </w:p>
    <w:bookmarkEnd w:id="76"/>
    <w:p w14:paraId="1C93AFA9">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1.11 知识产权</w:t>
      </w:r>
    </w:p>
    <w:p w14:paraId="1EA20AF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1.11.1 关于发包人提供给承包人的图纸、发包人为实施工程自行编制或委托编制的技术规范以及反映发包人关于合同要求或其他类似性质的文件的著作权的归属：</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发包人</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36184E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关于发包人提供的上述文件的使用限制的要求：</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承包人可以为实现合同目的而复制、使用此类文件，但不能用于与合同无关的其他事项。未经发包人书面同意，承包人不得为了合同以外的目的而复制、使用上述文件或将之提供给任何第三方</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289315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1.11.2 关于承包人为实施工程所编制文件的著作权的归属：</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发包人</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195C62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关于承包人提供的上述文件的使用限制的要求：</w:t>
      </w:r>
      <w:r>
        <w:rPr>
          <w:rFonts w:hint="eastAsia" w:ascii="宋体" w:cs="宋体"/>
          <w:color w:val="auto"/>
          <w:sz w:val="21"/>
          <w:szCs w:val="21"/>
          <w:highlight w:val="none"/>
          <w:u w:val="single"/>
        </w:rPr>
        <w:t>承包人可因实施工程的运行、调试、维修、改造等目的而复制、使用此类文件，但不能用于与合同无关的其他事项。未经发包人书面同意，承包人不得为了合同以外的目的而复制、使用上述文件或将之提供给任何第三方</w:t>
      </w:r>
      <w:r>
        <w:rPr>
          <w:rFonts w:hint="eastAsia" w:cs="宋体"/>
          <w:color w:val="auto"/>
          <w:sz w:val="21"/>
          <w:szCs w:val="21"/>
          <w:highlight w:val="none"/>
        </w:rPr>
        <w:t>。</w:t>
      </w:r>
    </w:p>
    <w:p w14:paraId="58B3316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1.11.4 承包人在施工过程中所采用的专利、专有技术、技术秘密的使用费的承担方式：</w:t>
      </w:r>
      <w:r>
        <w:rPr>
          <w:rFonts w:hint="eastAsia" w:ascii="宋体" w:cs="宋体"/>
          <w:color w:val="auto"/>
          <w:sz w:val="21"/>
          <w:szCs w:val="21"/>
          <w:highlight w:val="none"/>
          <w:u w:val="single"/>
        </w:rPr>
        <w:t>该费用已包含在签约合同价中</w:t>
      </w:r>
      <w:r>
        <w:rPr>
          <w:rFonts w:hint="eastAsia" w:cs="宋体"/>
          <w:color w:val="auto"/>
          <w:sz w:val="21"/>
          <w:szCs w:val="21"/>
          <w:highlight w:val="none"/>
        </w:rPr>
        <w:t>。</w:t>
      </w:r>
    </w:p>
    <w:p w14:paraId="7A1DDE9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1.13 工程量清单错误的修正</w:t>
      </w:r>
    </w:p>
    <w:p w14:paraId="68E52AF4">
      <w:pPr>
        <w:pageBreakBefore w:val="0"/>
        <w:widowControl w:val="0"/>
        <w:kinsoku/>
        <w:wordWrap/>
        <w:overflowPunct/>
        <w:topLinePunct w:val="0"/>
        <w:bidi w:val="0"/>
        <w:adjustRightInd w:val="0"/>
        <w:snapToGrid w:val="0"/>
        <w:spacing w:line="400" w:lineRule="exact"/>
        <w:ind w:firstLine="420" w:firstLineChars="200"/>
        <w:textAlignment w:val="auto"/>
        <w:rPr>
          <w:rFonts w:cs="宋体"/>
          <w:b/>
          <w:bCs/>
          <w:i/>
          <w:iCs/>
          <w:color w:val="auto"/>
          <w:kern w:val="2"/>
          <w:sz w:val="21"/>
          <w:szCs w:val="21"/>
          <w:highlight w:val="none"/>
        </w:rPr>
      </w:pPr>
      <w:r>
        <w:rPr>
          <w:rFonts w:hint="eastAsia" w:cs="宋体"/>
          <w:color w:val="auto"/>
          <w:sz w:val="21"/>
          <w:szCs w:val="21"/>
          <w:highlight w:val="none"/>
        </w:rPr>
        <w:t>出现工程量清单错误时，是否调整合同价格：</w:t>
      </w:r>
      <w:r>
        <w:rPr>
          <w:rFonts w:hint="eastAsia" w:cs="宋体"/>
          <w:color w:val="auto"/>
          <w:sz w:val="21"/>
          <w:szCs w:val="21"/>
          <w:highlight w:val="none"/>
          <w:u w:val="single"/>
        </w:rPr>
        <w:t xml:space="preserve"> </w:t>
      </w:r>
      <w:r>
        <w:rPr>
          <w:rFonts w:hint="eastAsia" w:ascii="宋体" w:hAnsi="宋体" w:cs="宋体"/>
          <w:color w:val="auto"/>
          <w:sz w:val="21"/>
          <w:szCs w:val="21"/>
          <w:highlight w:val="none"/>
          <w:u w:val="single"/>
        </w:rPr>
        <w:t>是，具体调整方式见下款</w:t>
      </w:r>
      <w:r>
        <w:rPr>
          <w:rFonts w:hint="eastAsia" w:cs="宋体"/>
          <w:color w:val="auto"/>
          <w:sz w:val="21"/>
          <w:szCs w:val="21"/>
          <w:highlight w:val="none"/>
          <w:u w:val="single"/>
        </w:rPr>
        <w:t xml:space="preserve"> </w:t>
      </w:r>
      <w:r>
        <w:rPr>
          <w:rFonts w:hint="eastAsia" w:cs="宋体"/>
          <w:b/>
          <w:bCs/>
          <w:i/>
          <w:iCs/>
          <w:color w:val="auto"/>
          <w:kern w:val="2"/>
          <w:sz w:val="21"/>
          <w:szCs w:val="21"/>
          <w:highlight w:val="none"/>
        </w:rPr>
        <w:t xml:space="preserve">  </w:t>
      </w:r>
    </w:p>
    <w:p w14:paraId="2E24B83C">
      <w:pPr>
        <w:pageBreakBefore w:val="0"/>
        <w:widowControl w:val="0"/>
        <w:kinsoku/>
        <w:wordWrap/>
        <w:overflowPunct/>
        <w:topLinePunct w:val="0"/>
        <w:autoSpaceDE/>
        <w:autoSpaceDN/>
        <w:bidi w:val="0"/>
        <w:snapToGrid w:val="0"/>
        <w:spacing w:line="400" w:lineRule="exact"/>
        <w:ind w:firstLine="420" w:firstLineChars="200"/>
        <w:textAlignment w:val="auto"/>
        <w:rPr>
          <w:rFonts w:hint="eastAsia" w:cs="宋体"/>
          <w:b/>
          <w:bCs/>
          <w:color w:val="auto"/>
          <w:sz w:val="21"/>
          <w:szCs w:val="21"/>
          <w:highlight w:val="none"/>
          <w:u w:val="single"/>
          <w:lang w:eastAsia="zh-CN"/>
        </w:rPr>
      </w:pPr>
      <w:r>
        <w:rPr>
          <w:rFonts w:hint="eastAsia" w:cs="宋体"/>
          <w:color w:val="auto"/>
          <w:sz w:val="21"/>
          <w:szCs w:val="21"/>
          <w:highlight w:val="none"/>
        </w:rPr>
        <w:t>允许调整合同价格的工程量偏差范围：</w:t>
      </w:r>
      <w:r>
        <w:rPr>
          <w:rFonts w:hint="eastAsia" w:ascii="宋体" w:hAnsi="宋体" w:eastAsia="宋体" w:cs="宋体"/>
          <w:b/>
          <w:bCs/>
          <w:color w:val="auto"/>
          <w:sz w:val="21"/>
          <w:szCs w:val="21"/>
          <w:highlight w:val="none"/>
          <w:u w:val="single"/>
        </w:rPr>
        <w:t>承包人拒绝实施因</w:t>
      </w:r>
      <w:r>
        <w:rPr>
          <w:rFonts w:hint="eastAsia" w:ascii="宋体" w:hAnsi="宋体" w:eastAsia="宋体" w:cs="宋体"/>
          <w:b/>
          <w:bCs/>
          <w:color w:val="auto"/>
          <w:spacing w:val="-6"/>
          <w:kern w:val="0"/>
          <w:sz w:val="21"/>
          <w:szCs w:val="21"/>
          <w:highlight w:val="none"/>
          <w:u w:val="single"/>
        </w:rPr>
        <w:t>此产生变化的施工内容或范围</w:t>
      </w:r>
      <w:r>
        <w:rPr>
          <w:rFonts w:hint="eastAsia" w:ascii="宋体" w:hAnsi="宋体" w:eastAsia="宋体" w:cs="宋体"/>
          <w:b/>
          <w:bCs/>
          <w:color w:val="auto"/>
          <w:sz w:val="21"/>
          <w:szCs w:val="21"/>
          <w:highlight w:val="none"/>
          <w:u w:val="single"/>
        </w:rPr>
        <w:t>，将被视为违约，发包人视情节轻重给予违约处罚。结算时，工程量按实计算。结算工程量减少0-100%或增加15%以内部分，执行中标单价；超出15%以外部分，结算单价按最高投标限价单价×投标让利幅度计算且结算单价不得高于中标单价；</w:t>
      </w:r>
      <w:r>
        <w:rPr>
          <w:rFonts w:hint="eastAsia" w:ascii="宋体" w:hAnsi="宋体" w:eastAsia="宋体" w:cs="宋体"/>
          <w:b/>
          <w:bCs/>
          <w:color w:val="auto"/>
          <w:spacing w:val="-6"/>
          <w:kern w:val="0"/>
          <w:sz w:val="21"/>
          <w:szCs w:val="21"/>
          <w:highlight w:val="none"/>
          <w:u w:val="single"/>
        </w:rPr>
        <w:t>缺漏</w:t>
      </w:r>
      <w:r>
        <w:rPr>
          <w:rFonts w:hint="eastAsia" w:ascii="宋体" w:hAnsi="宋体" w:eastAsia="宋体" w:cs="宋体"/>
          <w:b/>
          <w:bCs/>
          <w:color w:val="auto"/>
          <w:sz w:val="21"/>
          <w:szCs w:val="21"/>
          <w:highlight w:val="none"/>
          <w:u w:val="single"/>
        </w:rPr>
        <w:t>项目单价按照最高投标限价的编制原则重新组价×投标让利幅度（上述投标让利幅度为中标价/最高投标限价，其中中标价和最高投标限价均扣除暂列金额、暂估价及相应税金）</w:t>
      </w:r>
      <w:r>
        <w:rPr>
          <w:rFonts w:hint="eastAsia" w:cs="宋体"/>
          <w:b/>
          <w:bCs/>
          <w:color w:val="auto"/>
          <w:sz w:val="21"/>
          <w:szCs w:val="21"/>
          <w:highlight w:val="none"/>
          <w:u w:val="single"/>
          <w:lang w:eastAsia="zh-CN"/>
        </w:rPr>
        <w:t>。</w:t>
      </w:r>
    </w:p>
    <w:p w14:paraId="519D0F2B">
      <w:pPr>
        <w:pageBreakBefore w:val="0"/>
        <w:widowControl w:val="0"/>
        <w:kinsoku/>
        <w:wordWrap/>
        <w:overflowPunct/>
        <w:topLinePunct w:val="0"/>
        <w:autoSpaceDE/>
        <w:autoSpaceDN/>
        <w:bidi w:val="0"/>
        <w:snapToGrid w:val="0"/>
        <w:spacing w:line="400" w:lineRule="exact"/>
        <w:ind w:firstLine="420" w:firstLineChars="200"/>
        <w:textAlignment w:val="auto"/>
        <w:rPr>
          <w:rFonts w:hint="eastAsia" w:ascii="宋体" w:hAnsi="宋体" w:cs="宋体"/>
          <w:b/>
          <w:color w:val="auto"/>
          <w:sz w:val="21"/>
          <w:szCs w:val="21"/>
          <w:highlight w:val="none"/>
          <w:u w:val="single"/>
        </w:rPr>
      </w:pPr>
      <w:r>
        <w:rPr>
          <w:rFonts w:hint="eastAsia" w:ascii="宋体" w:hAnsi="宋体" w:cs="宋体"/>
          <w:color w:val="auto"/>
          <w:sz w:val="21"/>
          <w:szCs w:val="21"/>
          <w:highlight w:val="none"/>
        </w:rPr>
        <w:t>技术措施费调整：</w:t>
      </w:r>
      <w:r>
        <w:rPr>
          <w:rFonts w:hint="eastAsia" w:ascii="宋体" w:hAnsi="宋体" w:cs="宋体"/>
          <w:b/>
          <w:color w:val="auto"/>
          <w:sz w:val="21"/>
          <w:szCs w:val="21"/>
          <w:highlight w:val="none"/>
          <w:u w:val="single"/>
        </w:rPr>
        <w:t>因承包人改变施工技术措施，造成的价格变动，措施费不予调整。因工程量清单错误必须改变原来施工技术措施，造成价格变动的，按实调整，变更组价原则同上。</w:t>
      </w:r>
    </w:p>
    <w:p w14:paraId="112CD06B">
      <w:pPr>
        <w:pageBreakBefore w:val="0"/>
        <w:widowControl w:val="0"/>
        <w:kinsoku/>
        <w:wordWrap/>
        <w:overflowPunct/>
        <w:topLinePunct w:val="0"/>
        <w:autoSpaceDE/>
        <w:autoSpaceDN/>
        <w:bidi w:val="0"/>
        <w:snapToGrid w:val="0"/>
        <w:spacing w:line="400" w:lineRule="exact"/>
        <w:ind w:firstLine="420" w:firstLineChars="200"/>
        <w:textAlignment w:val="auto"/>
        <w:rPr>
          <w:rFonts w:hint="eastAsia" w:ascii="宋体" w:hAnsi="宋体" w:cs="宋体"/>
          <w:b/>
          <w:color w:val="auto"/>
          <w:sz w:val="21"/>
          <w:szCs w:val="21"/>
          <w:highlight w:val="none"/>
          <w:u w:val="single"/>
          <w:lang w:eastAsia="zh-CN"/>
        </w:rPr>
      </w:pPr>
      <w:r>
        <w:rPr>
          <w:rFonts w:hint="eastAsia" w:ascii="宋体" w:hAnsi="宋体" w:cs="宋体"/>
          <w:color w:val="auto"/>
          <w:sz w:val="21"/>
          <w:szCs w:val="21"/>
          <w:highlight w:val="none"/>
        </w:rPr>
        <w:t>组织措施费调整：</w:t>
      </w:r>
      <w:r>
        <w:rPr>
          <w:rFonts w:hint="eastAsia" w:ascii="宋体" w:hAnsi="宋体" w:cs="宋体"/>
          <w:b/>
          <w:color w:val="auto"/>
          <w:sz w:val="21"/>
          <w:szCs w:val="21"/>
          <w:highlight w:val="none"/>
          <w:u w:val="single"/>
        </w:rPr>
        <w:t>按实调整。</w:t>
      </w:r>
    </w:p>
    <w:p w14:paraId="4EDD4BF1">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77" w:name="_Toc351203634"/>
      <w:r>
        <w:rPr>
          <w:rFonts w:hint="eastAsia" w:cs="宋体"/>
          <w:color w:val="auto"/>
          <w:sz w:val="21"/>
          <w:szCs w:val="21"/>
          <w:highlight w:val="none"/>
        </w:rPr>
        <w:t>2</w:t>
      </w:r>
      <w:bookmarkStart w:id="78" w:name="_Toc296891197"/>
      <w:bookmarkStart w:id="79" w:name="_Toc296503157"/>
      <w:bookmarkStart w:id="80" w:name="_Toc296944496"/>
      <w:bookmarkStart w:id="81" w:name="_Toc296347156"/>
      <w:bookmarkStart w:id="82" w:name="_Toc296890985"/>
      <w:bookmarkStart w:id="83" w:name="_Toc292559362"/>
      <w:bookmarkStart w:id="84" w:name="_Toc297048343"/>
      <w:bookmarkStart w:id="85" w:name="_Toc297120457"/>
      <w:bookmarkStart w:id="86" w:name="_Toc292559867"/>
      <w:bookmarkStart w:id="87" w:name="_Toc296346658"/>
      <w:r>
        <w:rPr>
          <w:rFonts w:hint="eastAsia" w:cs="宋体"/>
          <w:color w:val="auto"/>
          <w:sz w:val="21"/>
          <w:szCs w:val="21"/>
          <w:highlight w:val="none"/>
        </w:rPr>
        <w:t>. 发包人</w:t>
      </w:r>
      <w:bookmarkEnd w:id="77"/>
    </w:p>
    <w:bookmarkEnd w:id="78"/>
    <w:bookmarkEnd w:id="79"/>
    <w:bookmarkEnd w:id="80"/>
    <w:bookmarkEnd w:id="81"/>
    <w:bookmarkEnd w:id="82"/>
    <w:bookmarkEnd w:id="83"/>
    <w:bookmarkEnd w:id="84"/>
    <w:bookmarkEnd w:id="85"/>
    <w:bookmarkEnd w:id="86"/>
    <w:bookmarkEnd w:id="87"/>
    <w:p w14:paraId="2BF858BC">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2.2 发包人代表</w:t>
      </w:r>
    </w:p>
    <w:p w14:paraId="3C1147D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发包人代表：</w:t>
      </w:r>
    </w:p>
    <w:p w14:paraId="64BC8C6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姓    名：</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9E6EB6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身份证号：</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F0302E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职    务：</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1ED6BE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联系电话：</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1BDE92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7C3189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通信地址：</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5800665">
      <w:pPr>
        <w:pageBreakBefore w:val="0"/>
        <w:widowControl w:val="0"/>
        <w:kinsoku/>
        <w:wordWrap/>
        <w:overflowPunct/>
        <w:topLinePunct w:val="0"/>
        <w:bidi w:val="0"/>
        <w:adjustRightInd w:val="0"/>
        <w:snapToGrid w:val="0"/>
        <w:spacing w:line="400" w:lineRule="exact"/>
        <w:ind w:firstLine="420" w:firstLineChars="200"/>
        <w:textAlignment w:val="auto"/>
        <w:rPr>
          <w:rFonts w:cs="宋体"/>
          <w:b/>
          <w:strike/>
          <w:color w:val="auto"/>
          <w:sz w:val="21"/>
          <w:szCs w:val="21"/>
          <w:highlight w:val="none"/>
        </w:rPr>
      </w:pPr>
      <w:r>
        <w:rPr>
          <w:rFonts w:hint="eastAsia" w:cs="宋体"/>
          <w:color w:val="auto"/>
          <w:sz w:val="21"/>
          <w:szCs w:val="21"/>
          <w:highlight w:val="none"/>
        </w:rPr>
        <w:t>发包人对发包人代表的授权范围如下：</w:t>
      </w:r>
      <w:r>
        <w:rPr>
          <w:rFonts w:hint="eastAsia" w:ascii="宋体" w:cs="宋体"/>
          <w:color w:val="auto"/>
          <w:sz w:val="21"/>
          <w:szCs w:val="21"/>
          <w:highlight w:val="none"/>
          <w:u w:val="single"/>
        </w:rPr>
        <w:t>施工组织设计和总进度计划的审批权和调整权；人员在岗、工程进度、质量、安全、环保的监督检查权和建议处罚权；工程款的初步审查权；第三方检测的委托权；主要材料的质量否决权；工程量的确认权；工程变更签证的审核权；可调价格材料的价格确认权；工程结算的审核权；合同的解释；等等</w:t>
      </w:r>
      <w:r>
        <w:rPr>
          <w:rFonts w:hint="eastAsia" w:cs="宋体"/>
          <w:color w:val="auto"/>
          <w:sz w:val="21"/>
          <w:szCs w:val="21"/>
          <w:highlight w:val="none"/>
        </w:rPr>
        <w:t>。</w:t>
      </w:r>
    </w:p>
    <w:p w14:paraId="4103099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2.4 施工现场、施工条件和基础资料的提供</w:t>
      </w:r>
    </w:p>
    <w:p w14:paraId="27F7FA2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2.4.1 提供施工现场</w:t>
      </w:r>
    </w:p>
    <w:p w14:paraId="598B839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关于发包人移交施工现场的期限要求：</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发包人应最迟于开工日期7天前向承包人移交施工现场</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C54504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2.4.2 提供施工条件</w:t>
      </w:r>
    </w:p>
    <w:p w14:paraId="41FAE8F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关于发包人应负责提供施工所需要的条件，包括：</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1）将施工用水、电力、通讯线路等施工所必需的条件接至施工现场内；（2）保证向承包人提供正常施工所需要的进入施工现场的交通条件；（3）协调处理施工现场周围地下管线和邻近建筑物、构筑物、古树名木的保护工作，并承担相关费用。若上述费用已包含在本项目发包范围，则由承包人自行解决并承担费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9DAF0A7">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2.5 资金来源证明及支付担保</w:t>
      </w:r>
    </w:p>
    <w:p w14:paraId="41BDF31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发包人提供资金来源证明的期限要求：</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3EE4C49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发包人是否提供支付担保：</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00F73CC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发包人提供支付担保的形式：</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7A0BBAE2">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88" w:name="_Toc351203635"/>
      <w:r>
        <w:rPr>
          <w:rFonts w:hint="eastAsia" w:cs="宋体"/>
          <w:color w:val="auto"/>
          <w:sz w:val="21"/>
          <w:szCs w:val="21"/>
          <w:highlight w:val="none"/>
        </w:rPr>
        <w:t>3</w:t>
      </w:r>
      <w:bookmarkStart w:id="89" w:name="_Toc297048344"/>
      <w:bookmarkStart w:id="90" w:name="_Toc296891198"/>
      <w:bookmarkStart w:id="91" w:name="_Toc296944497"/>
      <w:bookmarkStart w:id="92" w:name="_Toc297120458"/>
      <w:bookmarkStart w:id="93" w:name="_Toc292559868"/>
      <w:bookmarkStart w:id="94" w:name="_Toc296346659"/>
      <w:bookmarkStart w:id="95" w:name="_Toc296347157"/>
      <w:bookmarkStart w:id="96" w:name="_Toc296503158"/>
      <w:bookmarkStart w:id="97" w:name="_Toc292559363"/>
      <w:bookmarkStart w:id="98" w:name="_Toc296890986"/>
      <w:r>
        <w:rPr>
          <w:rFonts w:hint="eastAsia" w:cs="宋体"/>
          <w:color w:val="auto"/>
          <w:sz w:val="21"/>
          <w:szCs w:val="21"/>
          <w:highlight w:val="none"/>
        </w:rPr>
        <w:t>. 承包人</w:t>
      </w:r>
      <w:bookmarkEnd w:id="88"/>
    </w:p>
    <w:bookmarkEnd w:id="89"/>
    <w:bookmarkEnd w:id="90"/>
    <w:bookmarkEnd w:id="91"/>
    <w:bookmarkEnd w:id="92"/>
    <w:bookmarkEnd w:id="93"/>
    <w:bookmarkEnd w:id="94"/>
    <w:bookmarkEnd w:id="95"/>
    <w:bookmarkEnd w:id="96"/>
    <w:bookmarkEnd w:id="97"/>
    <w:bookmarkEnd w:id="98"/>
    <w:p w14:paraId="7EE7EAE4">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3.1 承包人的一般义务</w:t>
      </w:r>
    </w:p>
    <w:p w14:paraId="42F5C0C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（9）承包人提交的竣工资料的内容：</w:t>
      </w:r>
      <w:r>
        <w:rPr>
          <w:rFonts w:hint="eastAsia" w:ascii="宋体" w:cs="宋体"/>
          <w:color w:val="auto"/>
          <w:sz w:val="21"/>
          <w:szCs w:val="21"/>
          <w:highlight w:val="none"/>
          <w:u w:val="single"/>
        </w:rPr>
        <w:t>按相关要求执行，包括但不限于竣工图、竣工报告、项目质检资料、结算资料等</w:t>
      </w:r>
      <w:r>
        <w:rPr>
          <w:rFonts w:hint="eastAsia" w:cs="宋体"/>
          <w:color w:val="auto"/>
          <w:sz w:val="21"/>
          <w:szCs w:val="21"/>
          <w:highlight w:val="none"/>
        </w:rPr>
        <w:t>。</w:t>
      </w:r>
    </w:p>
    <w:p w14:paraId="13BD3C6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承包人需要提交的竣工资料套数：</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按相关要求执行，且不少于3套</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2DDC1E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承包人提交的竣工资料的费用承担：</w:t>
      </w:r>
      <w:r>
        <w:rPr>
          <w:rFonts w:hint="eastAsia" w:cs="宋体"/>
          <w:color w:val="auto"/>
          <w:sz w:val="21"/>
          <w:szCs w:val="21"/>
          <w:highlight w:val="none"/>
          <w:u w:val="single"/>
        </w:rPr>
        <w:t>承包人承担</w:t>
      </w:r>
      <w:r>
        <w:rPr>
          <w:rFonts w:hint="eastAsia" w:cs="宋体"/>
          <w:color w:val="auto"/>
          <w:sz w:val="21"/>
          <w:szCs w:val="21"/>
          <w:highlight w:val="none"/>
        </w:rPr>
        <w:t>。</w:t>
      </w:r>
    </w:p>
    <w:p w14:paraId="2393F3C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承包人提交的竣工资料移交时间：</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竣工验收合格后15日内</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8DCC85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承包人提交的竣工资料形式要求：</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纸质及电子形式</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A07E0B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（10）承包人应履行的其他义务：</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①工程竣工半年(含)内完成竣工结算的；②无合同纠纷等原因拖欠农民工工资、材料款，出现群访及时处理；③质量无缺陷，及时整改到位，处理及时；④施工现场服从调度或工程进度不超过合同工期或按合同期限按时移交的；⑤遵守滁重[2020]53号《关于限制不良建筑市场主体投标的规定》的；⑥月工程量进度及时完成；⑦按规定提供工程资料并及时归档的</w:t>
      </w:r>
      <w:r>
        <w:rPr>
          <w:rFonts w:hint="eastAsia" w:cs="宋体"/>
          <w:color w:val="auto"/>
          <w:sz w:val="21"/>
          <w:szCs w:val="21"/>
          <w:highlight w:val="none"/>
        </w:rPr>
        <w:t>。</w:t>
      </w:r>
    </w:p>
    <w:p w14:paraId="504D6C1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3.2 项目经理</w:t>
      </w:r>
    </w:p>
    <w:p w14:paraId="54957DF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3.2.1 项目经理：</w:t>
      </w:r>
    </w:p>
    <w:p w14:paraId="4E663AA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姓    名：</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697D840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身份证号：</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2327DE1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建造师执业资格等级：</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52405C2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建造师注册证书号：</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6607D2D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建造师执业印章号：</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7E76BB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安全生产考核合格证书号：</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F2C33B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联系电话：</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9D4EA6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575587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通信地址：</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930F03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承包人对项目经理的授权范围如下：</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4130379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关于项目经理每月在施工现场的时间要求：</w:t>
      </w:r>
      <w:r>
        <w:rPr>
          <w:rFonts w:hint="eastAsia" w:ascii="宋体" w:cs="宋体"/>
          <w:color w:val="auto"/>
          <w:sz w:val="21"/>
          <w:szCs w:val="21"/>
          <w:highlight w:val="none"/>
          <w:u w:val="single"/>
          <w:shd w:val="clear" w:color="auto" w:fill="auto"/>
        </w:rPr>
        <w:t>项目经理每月在岗时间不得少于20天，施工现场其他管理人员每月在岗时间不得少于22天</w:t>
      </w:r>
      <w:r>
        <w:rPr>
          <w:rFonts w:hint="eastAsia" w:cs="宋体"/>
          <w:color w:val="auto"/>
          <w:sz w:val="21"/>
          <w:szCs w:val="21"/>
          <w:highlight w:val="none"/>
          <w:u w:val="single"/>
        </w:rPr>
        <w:t>。</w:t>
      </w:r>
    </w:p>
    <w:p w14:paraId="6472E89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承包人未提交劳动合同，以及没有为项目经理缴纳社会保险证明的违约责任：</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签订本合同前提供，资格审查时已提供的，不再重复提供</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233873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项目经理未经批准，擅自离开施工现场的违约责任：</w:t>
      </w:r>
      <w:r>
        <w:rPr>
          <w:rFonts w:hint="eastAsia" w:cs="宋体"/>
          <w:color w:val="auto"/>
          <w:sz w:val="21"/>
          <w:szCs w:val="21"/>
          <w:highlight w:val="none"/>
          <w:u w:val="single"/>
          <w:lang w:val="en-US" w:eastAsia="zh-CN"/>
        </w:rPr>
        <w:t>未按规定在岗履责的，对项目经理和技术负责人处罚5000元/人·天的违约金，对施工现场其他管理人员处罚1000元/人·天的违约金。项目部关键岗位人员离岗必须向发包人项目组长履行请假手续，若被我处和相关部门日常检查和随机抽查中发现不在岗的，又未履行请假手续的，处罚5000元/人·次的违约金</w:t>
      </w:r>
      <w:r>
        <w:rPr>
          <w:rFonts w:hint="eastAsia" w:cs="宋体"/>
          <w:color w:val="auto"/>
          <w:sz w:val="21"/>
          <w:szCs w:val="21"/>
          <w:highlight w:val="none"/>
          <w:u w:val="single"/>
        </w:rPr>
        <w:t>。</w:t>
      </w:r>
    </w:p>
    <w:p w14:paraId="4AABDFA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3.2.3 承包人擅自更换项目经理的违约责任：</w:t>
      </w:r>
    </w:p>
    <w:p w14:paraId="5B92B4C1">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t>承包人不得擅自更换投标时所报项目经理，否则发包人有权解除合同，由此造成的损失由承包人自行承担，承包人还应赔偿由此造成发包人的全部损失。确需更换的须在签订合同后，报经发包人同意后按相关规定办理，更换后的人员不得低于承包人投标时所报人员资质和技术水平。</w:t>
      </w:r>
    </w:p>
    <w:p w14:paraId="52503AA9">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t>项目负责人变更必须经发包人批准，并满足《关于进一步加强建筑施工现场项目负责人变更行为管理的通知》及滁州市其他相关规定要求，除①因重病或重伤三个月以上，不能履行职责的；②辞职的；③发生重大质量安全责任事故，受到刑事或行政处罚，不能担任项目负责人的；④无能力履行合同责任和义务，建设单位要求更换的；⑤被责令停止职业资格的；⑥因犯罪被羁押或判刑的；⑦死亡的等原因外，原则上不得变更。其中，亡故的需提供公安部门开具的死亡证明；重大疾病的需提供三甲及以上医院证明。出国、辞职等原因提出变更的，除需提供相关证明外，须缴纳10万元违约金，否则不得变更。变更后的项目负责人必须符合本项目采购文件和响应承诺配备的同等条件人员，并按照滁州市有关规定履行变更审批程序。</w:t>
      </w:r>
    </w:p>
    <w:p w14:paraId="5E162E4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3.2.4 承包人无正当理由拒绝更换项目经理的违约责任：</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发包人将组织对项目经理进行业务能力考核，对未按响应文件配备或经考核不合格要求更换人员的，承包人7日内必须整改调整到位。否则，对于项目经理和技术负责人，按照5000元/人•天的违约金进行处罚，对于施工现场其他管理人员按照1000元/人•天的违约金进行处罚。28日内未整改调整到位的，发包人有权终止合同，并提请相关行政主管部门对企业和人员进行“黑名单”处罚</w:t>
      </w:r>
      <w:r>
        <w:rPr>
          <w:rFonts w:hint="eastAsia" w:cs="宋体"/>
          <w:color w:val="auto"/>
          <w:sz w:val="21"/>
          <w:szCs w:val="21"/>
          <w:highlight w:val="none"/>
        </w:rPr>
        <w:t>。</w:t>
      </w:r>
    </w:p>
    <w:p w14:paraId="03DADAC9">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3.3 承包人人员</w:t>
      </w:r>
    </w:p>
    <w:p w14:paraId="0000BE1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3.3.1 承包人提交项目管理机构及施工现场管理人员安排报告的期限：</w:t>
      </w:r>
      <w:r>
        <w:rPr>
          <w:rFonts w:hint="eastAsia" w:cs="宋体"/>
          <w:color w:val="auto"/>
          <w:sz w:val="21"/>
          <w:szCs w:val="21"/>
          <w:highlight w:val="none"/>
          <w:u w:val="single"/>
          <w:shd w:val="clear" w:color="auto" w:fill="auto"/>
          <w:lang w:val="en-US" w:eastAsia="zh-CN"/>
        </w:rPr>
        <w:t>承包人应在合同签订后7日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r>
        <w:rPr>
          <w:rFonts w:hint="eastAsia" w:cs="宋体"/>
          <w:color w:val="auto"/>
          <w:sz w:val="21"/>
          <w:szCs w:val="21"/>
          <w:highlight w:val="none"/>
        </w:rPr>
        <w:t>。</w:t>
      </w:r>
    </w:p>
    <w:p w14:paraId="50F51C8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3.3.3 承包人无正当理由拒绝撤换主要施工管理人员的违约责任：</w:t>
      </w:r>
      <w:r>
        <w:rPr>
          <w:rFonts w:hint="eastAsia" w:cs="宋体"/>
          <w:color w:val="auto"/>
          <w:sz w:val="21"/>
          <w:szCs w:val="21"/>
          <w:highlight w:val="none"/>
          <w:u w:val="single"/>
          <w:lang w:val="en-US" w:eastAsia="zh-CN"/>
        </w:rPr>
        <w:t>发包人将组织对人员进行业务能力考核，对未按响应文件配备或经考核不合格要求更换人员的，承包人7日内必须整改调整到位。否则，对于项目经理和技术负责人，按照5000元/人·天的违约金进行处罚，对于施工现场其他管理人员按照1000元/人·天的违约金进行处罚。28日内未整改调整到位的，发包人有权终止合同，并提请相关行政主管部门对企业和人员进行“黑名单”处罚</w:t>
      </w:r>
      <w:r>
        <w:rPr>
          <w:rFonts w:hint="eastAsia" w:cs="宋体"/>
          <w:color w:val="auto"/>
          <w:sz w:val="21"/>
          <w:szCs w:val="21"/>
          <w:highlight w:val="none"/>
        </w:rPr>
        <w:t>。</w:t>
      </w:r>
    </w:p>
    <w:p w14:paraId="1CAD399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3.3.4 承包人主要施工管理人员离开施工现场的批准要求：</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未按规定在岗履责的，对项目经理和技术负责人处罚5000元/人·天的违约金，对施工现场其他管理人员处罚1000元/人·天的违约金。项目部关键岗位人员离岗必须向发包人项目组长履行请假手续，若被我处和相关部门日常检查和随机抽查中发现不在岗的，又未履行请假手续的，处罚5000元/人·次的违约金</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0A05F10">
      <w:pPr>
        <w:pageBreakBefore w:val="0"/>
        <w:widowControl w:val="0"/>
        <w:kinsoku/>
        <w:wordWrap/>
        <w:overflowPunct/>
        <w:topLinePunct w:val="0"/>
        <w:bidi w:val="0"/>
        <w:adjustRightInd w:val="0"/>
        <w:snapToGrid w:val="0"/>
        <w:spacing w:line="400" w:lineRule="exact"/>
        <w:ind w:firstLine="424" w:firstLineChars="202"/>
        <w:textAlignment w:val="auto"/>
        <w:rPr>
          <w:rFonts w:cs="宋体"/>
          <w:color w:val="auto"/>
          <w:sz w:val="21"/>
          <w:szCs w:val="21"/>
          <w:highlight w:val="none"/>
        </w:rPr>
      </w:pPr>
      <w:r>
        <w:rPr>
          <w:rFonts w:hint="eastAsia" w:cs="宋体"/>
          <w:color w:val="auto"/>
          <w:sz w:val="21"/>
          <w:szCs w:val="21"/>
          <w:highlight w:val="none"/>
        </w:rPr>
        <w:t>3.3.5 承包人擅自更换主要施工管理人员的违约责任：</w:t>
      </w:r>
      <w:r>
        <w:rPr>
          <w:rFonts w:hint="eastAsia" w:cs="宋体"/>
          <w:color w:val="auto"/>
          <w:sz w:val="21"/>
          <w:szCs w:val="21"/>
          <w:highlight w:val="none"/>
          <w:u w:val="single"/>
        </w:rPr>
        <w:t>承包人不得擅自更换主要管理人员，否则发包人有权解除合同，由此造成的损失由承包人自行承担，承包人还应赔偿由此造成发包人的全部损失。确需更换的须在签订合同后，报经发包人同意后按相关规定办理，更换后的人员不得低于承包人投标时所报人员资质和技术水平。发包人如认为有必要，可要求对上述人员中的部分人员作出更好的调整。</w:t>
      </w:r>
    </w:p>
    <w:p w14:paraId="738F95F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承包人主要施工管理人员擅自离开施工现场的违约责任：</w:t>
      </w:r>
      <w:r>
        <w:rPr>
          <w:rFonts w:hint="eastAsia" w:cs="宋体"/>
          <w:color w:val="auto"/>
          <w:sz w:val="21"/>
          <w:szCs w:val="21"/>
          <w:highlight w:val="none"/>
          <w:u w:val="single"/>
        </w:rPr>
        <w:t xml:space="preserve">按照未按规定在岗履责进行处罚 </w:t>
      </w:r>
      <w:r>
        <w:rPr>
          <w:rFonts w:hint="eastAsia" w:cs="宋体"/>
          <w:color w:val="auto"/>
          <w:sz w:val="21"/>
          <w:szCs w:val="21"/>
          <w:highlight w:val="none"/>
        </w:rPr>
        <w:t>。</w:t>
      </w:r>
    </w:p>
    <w:p w14:paraId="62650FA9">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3</w:t>
      </w:r>
      <w:bookmarkStart w:id="99" w:name="_Toc312677988"/>
      <w:bookmarkStart w:id="100" w:name="_Toc292559869"/>
      <w:bookmarkStart w:id="101" w:name="_Toc296346660"/>
      <w:bookmarkStart w:id="102" w:name="_Toc300934945"/>
      <w:bookmarkStart w:id="103" w:name="_Toc297120459"/>
      <w:bookmarkStart w:id="104" w:name="_Toc296347158"/>
      <w:bookmarkStart w:id="105" w:name="_Toc297123492"/>
      <w:bookmarkStart w:id="106" w:name="_Toc303539102"/>
      <w:bookmarkStart w:id="107" w:name="_Toc297048345"/>
      <w:bookmarkStart w:id="108" w:name="_Toc304295523"/>
      <w:bookmarkStart w:id="109" w:name="_Toc297216151"/>
      <w:bookmarkStart w:id="110" w:name="_Toc296891199"/>
      <w:bookmarkStart w:id="111" w:name="_Toc296944498"/>
      <w:bookmarkStart w:id="112" w:name="_Toc292559364"/>
      <w:bookmarkStart w:id="113" w:name="_Toc296503159"/>
      <w:bookmarkStart w:id="114" w:name="_Toc296890987"/>
      <w:r>
        <w:rPr>
          <w:rFonts w:hint="eastAsia" w:cs="宋体"/>
          <w:bCs/>
          <w:color w:val="auto"/>
          <w:sz w:val="21"/>
          <w:szCs w:val="21"/>
          <w:highlight w:val="none"/>
        </w:rPr>
        <w:t>.5 分包</w:t>
      </w:r>
    </w:p>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14:paraId="1EC75ED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w:t>
      </w:r>
      <w:bookmarkStart w:id="115" w:name="_Toc296503160"/>
      <w:bookmarkStart w:id="116" w:name="_Toc296346661"/>
      <w:bookmarkStart w:id="117" w:name="_Toc300934946"/>
      <w:bookmarkStart w:id="118" w:name="_Toc296890988"/>
      <w:bookmarkStart w:id="119" w:name="_Toc297120460"/>
      <w:bookmarkStart w:id="120" w:name="_Toc296347159"/>
      <w:bookmarkStart w:id="121" w:name="_Toc297123493"/>
      <w:bookmarkStart w:id="122" w:name="_Toc304295524"/>
      <w:bookmarkStart w:id="123" w:name="_Toc292559365"/>
      <w:bookmarkStart w:id="124" w:name="_Toc292559870"/>
      <w:bookmarkStart w:id="125" w:name="_Toc297048346"/>
      <w:bookmarkStart w:id="126" w:name="_Toc303539103"/>
      <w:bookmarkStart w:id="127" w:name="_Toc296891200"/>
      <w:bookmarkStart w:id="128" w:name="_Toc296944499"/>
      <w:bookmarkStart w:id="129" w:name="_Toc297216152"/>
      <w:bookmarkStart w:id="130" w:name="_Toc318581158"/>
      <w:bookmarkStart w:id="131" w:name="_Toc312677989"/>
      <w:r>
        <w:rPr>
          <w:rFonts w:hint="eastAsia" w:cs="宋体"/>
          <w:color w:val="auto"/>
          <w:sz w:val="21"/>
          <w:szCs w:val="21"/>
          <w:highlight w:val="none"/>
        </w:rPr>
        <w:t>.5.1 分包的一般约定</w:t>
      </w:r>
    </w:p>
    <w:p w14:paraId="5781725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禁止分包的工程包括：</w:t>
      </w:r>
      <w:r>
        <w:rPr>
          <w:rFonts w:hint="eastAsia" w:cs="宋体"/>
          <w:color w:val="auto"/>
          <w:sz w:val="21"/>
          <w:szCs w:val="21"/>
          <w:highlight w:val="none"/>
          <w:u w:val="single"/>
        </w:rPr>
        <w:t xml:space="preserve"> </w:t>
      </w:r>
      <w:r>
        <w:rPr>
          <w:color w:val="auto"/>
          <w:spacing w:val="-7"/>
          <w:sz w:val="21"/>
          <w:szCs w:val="21"/>
          <w:highlight w:val="none"/>
          <w:u w:val="single" w:color="auto"/>
        </w:rPr>
        <w:t>按照发包人及相关国家规范要求</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A77DF2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主体结构、关键性工作的范围：</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Start w:id="132" w:name="_Toc296944500"/>
      <w:bookmarkStart w:id="133" w:name="_Toc304295525"/>
      <w:bookmarkStart w:id="134" w:name="_Toc296346662"/>
      <w:bookmarkStart w:id="135" w:name="_Toc297120461"/>
      <w:bookmarkStart w:id="136" w:name="_Toc303539104"/>
      <w:bookmarkStart w:id="137" w:name="_Toc297048347"/>
      <w:bookmarkStart w:id="138" w:name="_Toc297123494"/>
      <w:bookmarkStart w:id="139" w:name="_Toc296891201"/>
      <w:bookmarkStart w:id="140" w:name="_Toc297216153"/>
      <w:bookmarkStart w:id="141" w:name="_Toc296890989"/>
      <w:bookmarkStart w:id="142" w:name="_Toc296503161"/>
      <w:bookmarkStart w:id="143" w:name="_Toc296347160"/>
      <w:bookmarkStart w:id="144" w:name="_Toc300934947"/>
      <w:r>
        <w:rPr>
          <w:rFonts w:hint="eastAsia" w:cs="宋体"/>
          <w:color w:val="auto"/>
          <w:sz w:val="21"/>
          <w:szCs w:val="21"/>
          <w:highlight w:val="none"/>
          <w:u w:val="single"/>
        </w:rPr>
        <w:t xml:space="preserve"> 房建、水利工程为主体结构；市政工程为道路基层、面层；桥梁为主体结构；园林景观工程为绿化采购、栽植、养护；等等 </w:t>
      </w:r>
      <w:r>
        <w:rPr>
          <w:rFonts w:hint="eastAsia" w:cs="宋体"/>
          <w:color w:val="auto"/>
          <w:sz w:val="21"/>
          <w:szCs w:val="21"/>
          <w:highlight w:val="none"/>
        </w:rPr>
        <w:t>。</w:t>
      </w:r>
    </w:p>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14:paraId="2B4A037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w:t>
      </w:r>
      <w:bookmarkStart w:id="145" w:name="_Toc312677990"/>
      <w:bookmarkStart w:id="146" w:name="_Toc318581159"/>
      <w:r>
        <w:rPr>
          <w:rFonts w:hint="eastAsia" w:cs="宋体"/>
          <w:color w:val="auto"/>
          <w:sz w:val="21"/>
          <w:szCs w:val="21"/>
          <w:highlight w:val="none"/>
        </w:rPr>
        <w:t>.5.2 分包的确定</w:t>
      </w:r>
    </w:p>
    <w:p w14:paraId="210D557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允许分包的专业工程包括：</w:t>
      </w:r>
      <w:r>
        <w:rPr>
          <w:rFonts w:hint="eastAsia" w:cs="宋体"/>
          <w:color w:val="auto"/>
          <w:sz w:val="21"/>
          <w:szCs w:val="21"/>
          <w:highlight w:val="none"/>
          <w:u w:val="single"/>
        </w:rPr>
        <w:t xml:space="preserve"> </w:t>
      </w:r>
      <w:r>
        <w:rPr>
          <w:rFonts w:hint="eastAsia" w:cs="宋体"/>
          <w:color w:val="auto"/>
          <w:sz w:val="21"/>
          <w:szCs w:val="21"/>
          <w:highlight w:val="none"/>
          <w:u w:val="single"/>
          <w:shd w:val="clear" w:color="auto" w:fill="auto"/>
          <w:lang w:val="en-US" w:eastAsia="zh-CN"/>
        </w:rPr>
        <w:t>主体结构、关键性工作的范围以外的专业工程。 承包人应按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4121E2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其他关于分包的约定：</w:t>
      </w:r>
      <w:r>
        <w:rPr>
          <w:rFonts w:hint="eastAsia" w:cs="宋体"/>
          <w:color w:val="auto"/>
          <w:sz w:val="21"/>
          <w:szCs w:val="21"/>
          <w:highlight w:val="none"/>
          <w:u w:val="single"/>
          <w:shd w:val="clear" w:color="auto" w:fill="auto"/>
          <w:lang w:val="en-US" w:eastAsia="zh-CN"/>
        </w:rPr>
        <w:t>承包人不得以劳务分包的名义转包或违法分包工程。</w:t>
      </w:r>
      <w:r>
        <w:rPr>
          <w:rFonts w:hint="eastAsia" w:cs="宋体"/>
          <w:b/>
          <w:bCs/>
          <w:color w:val="auto"/>
          <w:sz w:val="21"/>
          <w:szCs w:val="21"/>
          <w:highlight w:val="none"/>
          <w:u w:val="single"/>
          <w:shd w:val="clear" w:color="auto" w:fill="auto"/>
          <w:lang w:val="en-US" w:eastAsia="zh-CN"/>
        </w:rPr>
        <w:t>发包人在施工进场第一个月或施工过程中发现承包人转包、挂靠等行为的，发包人立即解除合同，清退出场，承包人已完合格工程量按合同价款70%进行结算</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E4609C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3.5.4 分包合同价款</w:t>
      </w:r>
    </w:p>
    <w:p w14:paraId="4799AFE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关于分包合同价款支付的约定：</w:t>
      </w:r>
      <w:r>
        <w:rPr>
          <w:rFonts w:hint="eastAsia" w:cs="宋体"/>
          <w:color w:val="auto"/>
          <w:sz w:val="21"/>
          <w:szCs w:val="21"/>
          <w:highlight w:val="none"/>
          <w:u w:val="single"/>
          <w:lang w:val="en-US" w:eastAsia="zh-CN"/>
        </w:rPr>
        <w:t>（1）除本项第（2）目约定的情况外，分包合同价款由承包人与分包人结算，未经承包人同意，发包人不得向分包人支付分包工程价款；（2）生效法律文书要求发包人向分包人支付分包合同价款的，发包人有权从应付承包人工程款中扣除该部分款项</w:t>
      </w:r>
      <w:r>
        <w:rPr>
          <w:rFonts w:hint="eastAsia" w:cs="宋体"/>
          <w:color w:val="auto"/>
          <w:sz w:val="21"/>
          <w:szCs w:val="21"/>
          <w:highlight w:val="none"/>
        </w:rPr>
        <w:t>。</w:t>
      </w:r>
    </w:p>
    <w:bookmarkEnd w:id="145"/>
    <w:bookmarkEnd w:id="146"/>
    <w:p w14:paraId="14D44BFC">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3.6 工程照管与成品、半成品保护</w:t>
      </w:r>
    </w:p>
    <w:p w14:paraId="3441F09E">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u w:val="single"/>
          <w:lang w:val="en-US" w:eastAsia="zh-CN"/>
        </w:rPr>
      </w:pPr>
      <w:r>
        <w:rPr>
          <w:rFonts w:hint="eastAsia" w:cs="宋体"/>
          <w:color w:val="auto"/>
          <w:sz w:val="21"/>
          <w:szCs w:val="21"/>
          <w:highlight w:val="none"/>
        </w:rPr>
        <w:t>承包人负责照管工程及工程相关的材料、工程设备的起始时间：</w:t>
      </w:r>
      <w:r>
        <w:rPr>
          <w:rFonts w:hint="eastAsia" w:cs="宋体"/>
          <w:color w:val="auto"/>
          <w:sz w:val="21"/>
          <w:szCs w:val="21"/>
          <w:highlight w:val="none"/>
          <w:u w:val="single"/>
          <w:lang w:val="en-US" w:eastAsia="zh-CN"/>
        </w:rPr>
        <w:t>（1）自发包人向承包人移交施工现场之日起，承包人应负责照管工程及工程相关的材料、工程设备，直到办理移交手续之日止。（2）在承包人负责照管期间，因承包人原因造成工程、材料、工程设备损坏的，由承包人负责修复或更换，并承担由此增加的费用和（或）延误的工期。（3）对合同内分期完成的成品和半成品，在办理移交手续前，由承包人承担保护责任。因承包人原因造成成品或半成品损坏的，由承包人负责修复或更换，并承担由此增加的费用和（或）延误的工期。</w:t>
      </w:r>
    </w:p>
    <w:p w14:paraId="0FE6AE4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3.7 履约保证金</w:t>
      </w:r>
    </w:p>
    <w:p w14:paraId="63B64E6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承包人是否提供履约保证金：</w:t>
      </w:r>
      <w:r>
        <w:rPr>
          <w:rFonts w:hint="eastAsia" w:ascii="宋体" w:hAnsi="宋体" w:eastAsia="宋体" w:cs="宋体"/>
          <w:color w:val="auto"/>
          <w:sz w:val="21"/>
          <w:szCs w:val="21"/>
          <w:highlight w:val="none"/>
          <w:u w:val="single"/>
        </w:rPr>
        <w:t>提供</w:t>
      </w:r>
      <w:r>
        <w:rPr>
          <w:rFonts w:hint="eastAsia" w:cs="宋体"/>
          <w:color w:val="auto"/>
          <w:sz w:val="21"/>
          <w:szCs w:val="21"/>
          <w:highlight w:val="none"/>
        </w:rPr>
        <w:t>。</w:t>
      </w:r>
    </w:p>
    <w:p w14:paraId="668844B4">
      <w:pPr>
        <w:pageBreakBefore w:val="0"/>
        <w:widowControl w:val="0"/>
        <w:kinsoku/>
        <w:wordWrap/>
        <w:overflowPunct/>
        <w:topLinePunct w:val="0"/>
        <w:bidi w:val="0"/>
        <w:adjustRightInd w:val="0"/>
        <w:snapToGrid w:val="0"/>
        <w:spacing w:line="400" w:lineRule="exact"/>
        <w:ind w:left="-70" w:leftChars="-35" w:firstLine="497" w:firstLineChars="237"/>
        <w:textAlignment w:val="auto"/>
        <w:rPr>
          <w:rFonts w:cs="宋体"/>
          <w:b/>
          <w:color w:val="auto"/>
          <w:sz w:val="21"/>
          <w:szCs w:val="21"/>
          <w:highlight w:val="none"/>
        </w:rPr>
      </w:pPr>
      <w:r>
        <w:rPr>
          <w:rFonts w:hint="eastAsia" w:cs="宋体"/>
          <w:color w:val="auto"/>
          <w:sz w:val="21"/>
          <w:szCs w:val="21"/>
          <w:highlight w:val="none"/>
        </w:rPr>
        <w:t>承包人提供履约保证金的形式：</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4141ECD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履约保证金的金额：</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6ABCC53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履约保证金提交期限的要求：</w:t>
      </w:r>
      <w:r>
        <w:rPr>
          <w:rFonts w:hint="eastAsia" w:cs="宋体"/>
          <w:color w:val="auto"/>
          <w:sz w:val="21"/>
          <w:szCs w:val="21"/>
          <w:highlight w:val="none"/>
          <w:u w:val="single"/>
        </w:rPr>
        <w:t>见《专用合同条款数据表》。</w:t>
      </w:r>
    </w:p>
    <w:p w14:paraId="0AD9C7B1">
      <w:pPr>
        <w:pageBreakBefore w:val="0"/>
        <w:widowControl w:val="0"/>
        <w:kinsoku/>
        <w:wordWrap/>
        <w:overflowPunct/>
        <w:topLinePunct w:val="0"/>
        <w:bidi w:val="0"/>
        <w:adjustRightInd w:val="0"/>
        <w:snapToGrid w:val="0"/>
        <w:spacing w:line="400" w:lineRule="exact"/>
        <w:ind w:firstLine="420" w:firstLineChars="200"/>
        <w:textAlignment w:val="auto"/>
        <w:rPr>
          <w:rFonts w:cs="宋体"/>
          <w:strike/>
          <w:color w:val="auto"/>
          <w:sz w:val="21"/>
          <w:szCs w:val="21"/>
          <w:highlight w:val="none"/>
        </w:rPr>
      </w:pPr>
      <w:r>
        <w:rPr>
          <w:rFonts w:hint="eastAsia" w:cs="宋体"/>
          <w:bCs/>
          <w:snapToGrid w:val="0"/>
          <w:color w:val="auto"/>
          <w:sz w:val="21"/>
          <w:szCs w:val="21"/>
          <w:highlight w:val="none"/>
        </w:rPr>
        <w:t>履约保证金退还时限：</w:t>
      </w:r>
      <w:r>
        <w:rPr>
          <w:rFonts w:hint="eastAsia" w:cs="宋体"/>
          <w:color w:val="auto"/>
          <w:sz w:val="21"/>
          <w:szCs w:val="21"/>
          <w:highlight w:val="none"/>
          <w:u w:val="single"/>
        </w:rPr>
        <w:t>见《专用合同条款数据表》。</w:t>
      </w:r>
    </w:p>
    <w:p w14:paraId="685F4656">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147" w:name="_Toc351203636"/>
      <w:r>
        <w:rPr>
          <w:rFonts w:hint="eastAsia" w:cs="宋体"/>
          <w:color w:val="auto"/>
          <w:sz w:val="21"/>
          <w:szCs w:val="21"/>
          <w:highlight w:val="none"/>
        </w:rPr>
        <w:t>4</w:t>
      </w:r>
      <w:bookmarkStart w:id="148" w:name="_Toc296503162"/>
      <w:bookmarkStart w:id="149" w:name="_Toc296346663"/>
      <w:bookmarkStart w:id="150" w:name="_Toc297048348"/>
      <w:bookmarkStart w:id="151" w:name="_Toc297120462"/>
      <w:bookmarkStart w:id="152" w:name="_Toc296347161"/>
      <w:bookmarkStart w:id="153" w:name="_Toc267251413"/>
      <w:bookmarkStart w:id="154" w:name="_Toc296890990"/>
      <w:bookmarkStart w:id="155" w:name="_Toc296944501"/>
      <w:bookmarkStart w:id="156" w:name="_Toc292559871"/>
      <w:bookmarkStart w:id="157" w:name="_Toc296891202"/>
      <w:bookmarkStart w:id="158" w:name="_Toc292559366"/>
      <w:r>
        <w:rPr>
          <w:rFonts w:hint="eastAsia" w:cs="宋体"/>
          <w:color w:val="auto"/>
          <w:sz w:val="21"/>
          <w:szCs w:val="21"/>
          <w:highlight w:val="none"/>
        </w:rPr>
        <w:t>. 监</w:t>
      </w:r>
      <w:bookmarkEnd w:id="148"/>
      <w:bookmarkEnd w:id="149"/>
      <w:bookmarkEnd w:id="150"/>
      <w:bookmarkEnd w:id="151"/>
      <w:bookmarkEnd w:id="152"/>
      <w:bookmarkEnd w:id="153"/>
      <w:bookmarkEnd w:id="154"/>
      <w:bookmarkEnd w:id="155"/>
      <w:bookmarkEnd w:id="156"/>
      <w:bookmarkEnd w:id="157"/>
      <w:bookmarkEnd w:id="158"/>
      <w:r>
        <w:rPr>
          <w:rFonts w:hint="eastAsia" w:cs="宋体"/>
          <w:color w:val="auto"/>
          <w:sz w:val="21"/>
          <w:szCs w:val="21"/>
          <w:highlight w:val="none"/>
        </w:rPr>
        <w:t>理人</w:t>
      </w:r>
      <w:bookmarkEnd w:id="147"/>
    </w:p>
    <w:p w14:paraId="3B25AA38">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4.1 监理人的一般规定</w:t>
      </w:r>
    </w:p>
    <w:p w14:paraId="5C613B7B">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u w:val="single"/>
        </w:rPr>
      </w:pPr>
      <w:r>
        <w:rPr>
          <w:rFonts w:hint="eastAsia" w:cs="宋体"/>
          <w:color w:val="auto"/>
          <w:sz w:val="21"/>
          <w:szCs w:val="21"/>
          <w:highlight w:val="none"/>
        </w:rPr>
        <w:t>关于监理人的监理内容：</w:t>
      </w:r>
      <w:r>
        <w:rPr>
          <w:rFonts w:hint="eastAsia" w:ascii="宋体" w:cs="宋体"/>
          <w:color w:val="auto"/>
          <w:sz w:val="21"/>
          <w:szCs w:val="21"/>
          <w:highlight w:val="none"/>
          <w:u w:val="single"/>
          <w:shd w:val="clear" w:color="auto" w:fill="auto"/>
        </w:rPr>
        <w:t>详见监理合同</w:t>
      </w:r>
      <w:r>
        <w:rPr>
          <w:rFonts w:hint="eastAsia" w:cs="宋体"/>
          <w:color w:val="auto"/>
          <w:sz w:val="21"/>
          <w:szCs w:val="21"/>
          <w:highlight w:val="none"/>
        </w:rPr>
        <w:t>。</w:t>
      </w:r>
    </w:p>
    <w:p w14:paraId="0EA03A7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关于监理人的监理权限：</w:t>
      </w:r>
      <w:r>
        <w:rPr>
          <w:rFonts w:hint="eastAsia" w:ascii="宋体" w:cs="宋体"/>
          <w:color w:val="auto"/>
          <w:sz w:val="21"/>
          <w:szCs w:val="21"/>
          <w:highlight w:val="none"/>
          <w:u w:val="single"/>
          <w:shd w:val="clear" w:color="auto" w:fill="auto"/>
        </w:rPr>
        <w:t>发布开工令、停工令、复工令权；工程质量的监督权；工程上使用的材料和施工质量检验权、确认权；工程施工进度、安全的检查、监督权、发包人授权的处罚权；工程款支付的审核权；向承包人提出施工组织设计和技术方案的建议权；发包人和承包人间的组织协调的主持权；撤换不合格的工程建设分包单位和项目负责人及有关人员的建议权；分包单位资质及能力的审查权；等等</w:t>
      </w:r>
      <w:r>
        <w:rPr>
          <w:rFonts w:hint="eastAsia" w:cs="宋体"/>
          <w:color w:val="auto"/>
          <w:sz w:val="21"/>
          <w:szCs w:val="21"/>
          <w:highlight w:val="none"/>
        </w:rPr>
        <w:t>。</w:t>
      </w:r>
    </w:p>
    <w:p w14:paraId="6EFAC7A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关于监理人在施工现场的办公场所、生活场所的提供和费用承担的约定：</w:t>
      </w:r>
      <w:r>
        <w:rPr>
          <w:rFonts w:hint="eastAsia" w:ascii="宋体" w:cs="宋体"/>
          <w:color w:val="auto"/>
          <w:sz w:val="21"/>
          <w:szCs w:val="21"/>
          <w:highlight w:val="none"/>
          <w:u w:val="single"/>
          <w:shd w:val="clear" w:color="auto" w:fill="auto"/>
        </w:rPr>
        <w:t>办公场所由承包人提供和承担，生活场所由监理人自行解决和承担</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0FDB34B">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4.2 监理人员</w:t>
      </w:r>
    </w:p>
    <w:p w14:paraId="79AA925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总监理工程师：</w:t>
      </w:r>
    </w:p>
    <w:p w14:paraId="43DCF04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姓    名：</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FC9406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职    务：</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2BCE26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监理工程师执业资格证书号：</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731A4A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联系电话：</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EFDC35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C5BA98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通信地址：</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44BD1A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关于监理人的其他约定：</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EE8A20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4.4 商定或确定</w:t>
      </w:r>
    </w:p>
    <w:p w14:paraId="44B1A20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bookmarkStart w:id="159" w:name="_Toc267251418"/>
      <w:r>
        <w:rPr>
          <w:rFonts w:hint="eastAsia" w:cs="宋体"/>
          <w:color w:val="auto"/>
          <w:sz w:val="21"/>
          <w:szCs w:val="21"/>
          <w:highlight w:val="none"/>
        </w:rPr>
        <w:t>在发包人和承包人不能通过协商达成一致意见时，发包人授权监理人对以下事项进行确定：</w:t>
      </w:r>
    </w:p>
    <w:p w14:paraId="2D7F948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施工方案</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53CA00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索赔事项等</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D4421C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C5490E4">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160" w:name="_Toc351203637"/>
      <w:r>
        <w:rPr>
          <w:rFonts w:hint="eastAsia" w:cs="宋体"/>
          <w:color w:val="auto"/>
          <w:sz w:val="21"/>
          <w:szCs w:val="21"/>
          <w:highlight w:val="none"/>
        </w:rPr>
        <w:t>5</w:t>
      </w:r>
      <w:bookmarkEnd w:id="159"/>
      <w:bookmarkStart w:id="161" w:name="_Toc296891203"/>
      <w:bookmarkStart w:id="162" w:name="_Toc296346664"/>
      <w:bookmarkStart w:id="163" w:name="_Toc292559367"/>
      <w:bookmarkStart w:id="164" w:name="_Toc296347162"/>
      <w:bookmarkStart w:id="165" w:name="_Toc296503163"/>
      <w:bookmarkStart w:id="166" w:name="_Toc292559872"/>
      <w:bookmarkStart w:id="167" w:name="_Toc296890991"/>
      <w:bookmarkStart w:id="168" w:name="_Toc297048349"/>
      <w:bookmarkStart w:id="169" w:name="_Toc297120463"/>
      <w:bookmarkStart w:id="170" w:name="_Toc296944502"/>
      <w:r>
        <w:rPr>
          <w:rFonts w:hint="eastAsia" w:cs="宋体"/>
          <w:color w:val="auto"/>
          <w:sz w:val="21"/>
          <w:szCs w:val="21"/>
          <w:highlight w:val="none"/>
        </w:rPr>
        <w:t>. 工程质量</w:t>
      </w:r>
      <w:bookmarkEnd w:id="160"/>
    </w:p>
    <w:p w14:paraId="7184F254">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5.1 质量要求</w:t>
      </w:r>
    </w:p>
    <w:p w14:paraId="7E16412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5</w:t>
      </w:r>
      <w:bookmarkStart w:id="171" w:name="_Toc304295527"/>
      <w:bookmarkStart w:id="172" w:name="_Toc303539106"/>
      <w:bookmarkStart w:id="173" w:name="_Toc312677997"/>
      <w:bookmarkStart w:id="174" w:name="_Toc297216155"/>
      <w:bookmarkStart w:id="175" w:name="_Toc300934949"/>
      <w:bookmarkStart w:id="176" w:name="_Toc318581164"/>
      <w:bookmarkStart w:id="177" w:name="_Toc297123496"/>
      <w:r>
        <w:rPr>
          <w:rFonts w:hint="eastAsia" w:cs="宋体"/>
          <w:color w:val="auto"/>
          <w:sz w:val="21"/>
          <w:szCs w:val="21"/>
          <w:highlight w:val="none"/>
        </w:rPr>
        <w:t>.1.1 特殊质量标准和要求：</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1CBB0BD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关于工程奖项的约定：</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742FE67C">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bookmarkStart w:id="178" w:name="_Toc351203638"/>
      <w:r>
        <w:rPr>
          <w:rFonts w:hint="eastAsia" w:cs="宋体"/>
          <w:color w:val="auto"/>
          <w:sz w:val="21"/>
          <w:szCs w:val="21"/>
          <w:highlight w:val="none"/>
        </w:rPr>
        <w:t>关于建造要求：</w:t>
      </w:r>
    </w:p>
    <w:p w14:paraId="277D56E6">
      <w:pPr>
        <w:pStyle w:val="13"/>
        <w:pageBreakBefore w:val="0"/>
        <w:widowControl w:val="0"/>
        <w:kinsoku/>
        <w:wordWrap/>
        <w:overflowPunct/>
        <w:topLinePunct w:val="0"/>
        <w:bidi w:val="0"/>
        <w:snapToGrid w:val="0"/>
        <w:spacing w:line="400" w:lineRule="exact"/>
        <w:ind w:firstLine="480"/>
        <w:textAlignment w:val="auto"/>
        <w:rPr>
          <w:rFonts w:hAnsi="宋体" w:cs="宋体"/>
          <w:color w:val="auto"/>
          <w:sz w:val="21"/>
          <w:szCs w:val="21"/>
          <w:highlight w:val="none"/>
        </w:rPr>
      </w:pPr>
      <w:r>
        <w:rPr>
          <w:rFonts w:hint="eastAsia" w:hAnsi="宋体" w:cs="宋体"/>
          <w:color w:val="auto"/>
          <w:sz w:val="21"/>
          <w:szCs w:val="21"/>
          <w:highlight w:val="none"/>
        </w:rPr>
        <w:t>（1）绿色建筑等级要求：</w:t>
      </w:r>
      <w:r>
        <w:rPr>
          <w:rFonts w:hint="eastAsia" w:hAnsi="宋体" w:cs="宋体"/>
          <w:color w:val="auto"/>
          <w:sz w:val="21"/>
          <w:szCs w:val="21"/>
          <w:highlight w:val="none"/>
          <w:u w:val="single"/>
        </w:rPr>
        <w:t>见《专用合同条款数据表》</w:t>
      </w:r>
      <w:r>
        <w:rPr>
          <w:rFonts w:hint="eastAsia" w:hAnsi="宋体" w:cs="宋体"/>
          <w:color w:val="auto"/>
          <w:sz w:val="21"/>
          <w:szCs w:val="21"/>
          <w:highlight w:val="none"/>
        </w:rPr>
        <w:t>；</w:t>
      </w:r>
    </w:p>
    <w:p w14:paraId="013F0A21">
      <w:pPr>
        <w:pStyle w:val="13"/>
        <w:pageBreakBefore w:val="0"/>
        <w:widowControl w:val="0"/>
        <w:kinsoku/>
        <w:wordWrap/>
        <w:overflowPunct/>
        <w:topLinePunct w:val="0"/>
        <w:bidi w:val="0"/>
        <w:snapToGrid w:val="0"/>
        <w:spacing w:line="400" w:lineRule="exact"/>
        <w:ind w:firstLine="480"/>
        <w:textAlignment w:val="auto"/>
        <w:rPr>
          <w:rFonts w:hAnsi="宋体" w:cs="宋体"/>
          <w:color w:val="auto"/>
          <w:sz w:val="21"/>
          <w:szCs w:val="21"/>
          <w:highlight w:val="none"/>
        </w:rPr>
      </w:pPr>
      <w:r>
        <w:rPr>
          <w:rFonts w:hint="eastAsia" w:hAnsi="宋体" w:cs="宋体"/>
          <w:color w:val="auto"/>
          <w:sz w:val="21"/>
          <w:szCs w:val="21"/>
          <w:highlight w:val="none"/>
        </w:rPr>
        <w:t>（2）智慧工地管理要求：</w:t>
      </w:r>
      <w:r>
        <w:rPr>
          <w:rFonts w:hint="eastAsia" w:hAnsi="宋体" w:cs="宋体"/>
          <w:color w:val="auto"/>
          <w:sz w:val="21"/>
          <w:szCs w:val="21"/>
          <w:highlight w:val="none"/>
          <w:u w:val="single"/>
        </w:rPr>
        <w:t>见《专用合同条款数据表》</w:t>
      </w:r>
      <w:r>
        <w:rPr>
          <w:rFonts w:hint="eastAsia" w:hAnsi="宋体" w:cs="宋体"/>
          <w:color w:val="auto"/>
          <w:sz w:val="21"/>
          <w:szCs w:val="21"/>
          <w:highlight w:val="none"/>
        </w:rPr>
        <w:t>；</w:t>
      </w:r>
    </w:p>
    <w:p w14:paraId="015D0720">
      <w:pPr>
        <w:pStyle w:val="13"/>
        <w:pageBreakBefore w:val="0"/>
        <w:widowControl w:val="0"/>
        <w:kinsoku/>
        <w:wordWrap/>
        <w:overflowPunct/>
        <w:topLinePunct w:val="0"/>
        <w:bidi w:val="0"/>
        <w:snapToGrid w:val="0"/>
        <w:spacing w:line="400" w:lineRule="exact"/>
        <w:ind w:firstLine="480"/>
        <w:textAlignment w:val="auto"/>
        <w:rPr>
          <w:rFonts w:hAnsi="宋体" w:cs="宋体"/>
          <w:color w:val="auto"/>
          <w:sz w:val="21"/>
          <w:szCs w:val="21"/>
          <w:highlight w:val="none"/>
        </w:rPr>
      </w:pPr>
      <w:r>
        <w:rPr>
          <w:rFonts w:hint="eastAsia" w:hAnsi="宋体" w:cs="宋体"/>
          <w:color w:val="auto"/>
          <w:sz w:val="21"/>
          <w:szCs w:val="21"/>
          <w:highlight w:val="none"/>
        </w:rPr>
        <w:t>（3）建筑垃圾减量化目标：</w:t>
      </w:r>
      <w:r>
        <w:rPr>
          <w:rFonts w:hint="eastAsia" w:hAnsi="宋体" w:cs="宋体"/>
          <w:color w:val="auto"/>
          <w:sz w:val="21"/>
          <w:szCs w:val="21"/>
          <w:highlight w:val="none"/>
          <w:u w:val="single"/>
        </w:rPr>
        <w:t>见《专用合同条款数据表》</w:t>
      </w:r>
      <w:r>
        <w:rPr>
          <w:rFonts w:hint="eastAsia" w:hAnsi="宋体" w:cs="宋体"/>
          <w:color w:val="auto"/>
          <w:sz w:val="21"/>
          <w:szCs w:val="21"/>
          <w:highlight w:val="none"/>
        </w:rPr>
        <w:t>；</w:t>
      </w:r>
    </w:p>
    <w:p w14:paraId="1DB87896">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r>
        <w:rPr>
          <w:rFonts w:hint="eastAsia" w:cs="宋体"/>
          <w:color w:val="auto"/>
          <w:sz w:val="21"/>
          <w:szCs w:val="21"/>
          <w:highlight w:val="none"/>
        </w:rPr>
        <w:t>（4）装配式建筑装配率要求：</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52171127">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r>
        <w:rPr>
          <w:rFonts w:hint="eastAsia" w:cs="宋体"/>
          <w:color w:val="auto"/>
          <w:sz w:val="21"/>
          <w:szCs w:val="21"/>
          <w:highlight w:val="none"/>
        </w:rPr>
        <w:t>（5）</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720D7581">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5.3 隐蔽工程检查</w:t>
      </w:r>
    </w:p>
    <w:p w14:paraId="497E6C46">
      <w:pPr>
        <w:keepNext w:val="0"/>
        <w:keepLines w:val="0"/>
        <w:pageBreakBefore w:val="0"/>
        <w:widowControl w:val="0"/>
        <w:kinsoku/>
        <w:wordWrap/>
        <w:overflowPunct/>
        <w:topLinePunct w:val="0"/>
        <w:autoSpaceDE/>
        <w:autoSpaceDN/>
        <w:bidi w:val="0"/>
        <w:snapToGrid w:val="0"/>
        <w:spacing w:line="400" w:lineRule="exact"/>
        <w:ind w:firstLine="420" w:firstLineChars="200"/>
        <w:textAlignment w:val="auto"/>
        <w:rPr>
          <w:rFonts w:hint="eastAsia" w:ascii="宋体" w:cs="宋体"/>
          <w:color w:val="auto"/>
          <w:sz w:val="21"/>
          <w:szCs w:val="21"/>
          <w:highlight w:val="none"/>
          <w:shd w:val="clear" w:color="auto" w:fill="auto"/>
        </w:rPr>
      </w:pPr>
      <w:r>
        <w:rPr>
          <w:rFonts w:hint="eastAsia" w:ascii="宋体" w:cs="宋体"/>
          <w:color w:val="auto"/>
          <w:sz w:val="21"/>
          <w:szCs w:val="21"/>
          <w:highlight w:val="none"/>
          <w:shd w:val="clear" w:color="auto" w:fill="auto"/>
        </w:rPr>
        <w:t>5.3.1隐蔽工程隐蔽前，承包人应当对工程隐蔽部位进行自检，并经自检确认是否具备覆盖条件。</w:t>
      </w:r>
    </w:p>
    <w:p w14:paraId="75209A52">
      <w:pPr>
        <w:keepNext w:val="0"/>
        <w:keepLines w:val="0"/>
        <w:pageBreakBefore w:val="0"/>
        <w:widowControl w:val="0"/>
        <w:kinsoku/>
        <w:wordWrap/>
        <w:overflowPunct/>
        <w:topLinePunct w:val="0"/>
        <w:autoSpaceDE/>
        <w:autoSpaceDN/>
        <w:bidi w:val="0"/>
        <w:snapToGrid w:val="0"/>
        <w:spacing w:line="400" w:lineRule="exact"/>
        <w:ind w:firstLine="420" w:firstLineChars="200"/>
        <w:jc w:val="left"/>
        <w:textAlignment w:val="auto"/>
        <w:rPr>
          <w:rFonts w:hint="eastAsia" w:ascii="宋体" w:cs="宋体"/>
          <w:color w:val="auto"/>
          <w:sz w:val="21"/>
          <w:szCs w:val="21"/>
          <w:highlight w:val="none"/>
          <w:shd w:val="clear" w:color="auto" w:fill="auto"/>
        </w:rPr>
      </w:pPr>
      <w:r>
        <w:rPr>
          <w:rFonts w:hint="eastAsia" w:ascii="宋体" w:cs="宋体"/>
          <w:color w:val="auto"/>
          <w:sz w:val="21"/>
          <w:szCs w:val="21"/>
          <w:highlight w:val="none"/>
          <w:shd w:val="clear" w:color="auto" w:fill="auto"/>
        </w:rPr>
        <w:t>5.3.2承包人提前通知监理人隐蔽工程检查的期限的约定：工程隐蔽部位经承包人自检确认具备覆盖条件的，承包人应在共同检查前6小时书面通知监理人检查，通知中应载明隐蔽检查的内容、时间和地点，并应附有自检记录和必要的检查资料。</w:t>
      </w:r>
    </w:p>
    <w:p w14:paraId="7DF77F25">
      <w:pPr>
        <w:keepNext w:val="0"/>
        <w:keepLines w:val="0"/>
        <w:pageBreakBefore w:val="0"/>
        <w:widowControl w:val="0"/>
        <w:kinsoku/>
        <w:wordWrap/>
        <w:overflowPunct/>
        <w:topLinePunct w:val="0"/>
        <w:autoSpaceDE/>
        <w:autoSpaceDN/>
        <w:bidi w:val="0"/>
        <w:snapToGrid w:val="0"/>
        <w:spacing w:line="400" w:lineRule="exact"/>
        <w:ind w:firstLine="420" w:firstLineChars="200"/>
        <w:jc w:val="left"/>
        <w:textAlignment w:val="auto"/>
        <w:rPr>
          <w:rFonts w:hint="eastAsia" w:ascii="宋体" w:cs="宋体"/>
          <w:color w:val="auto"/>
          <w:sz w:val="21"/>
          <w:szCs w:val="21"/>
          <w:highlight w:val="none"/>
          <w:shd w:val="clear" w:color="auto" w:fill="auto"/>
        </w:rPr>
      </w:pPr>
      <w:r>
        <w:rPr>
          <w:rFonts w:hint="eastAsia" w:ascii="宋体" w:cs="宋体"/>
          <w:color w:val="auto"/>
          <w:sz w:val="21"/>
          <w:szCs w:val="21"/>
          <w:highlight w:val="none"/>
          <w:shd w:val="clear" w:color="auto" w:fill="auto"/>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1D8BAFED">
      <w:pPr>
        <w:keepNext w:val="0"/>
        <w:keepLines w:val="0"/>
        <w:pageBreakBefore w:val="0"/>
        <w:widowControl w:val="0"/>
        <w:kinsoku/>
        <w:wordWrap/>
        <w:overflowPunct/>
        <w:topLinePunct w:val="0"/>
        <w:autoSpaceDE/>
        <w:autoSpaceDN/>
        <w:bidi w:val="0"/>
        <w:snapToGrid w:val="0"/>
        <w:spacing w:line="400" w:lineRule="exact"/>
        <w:ind w:firstLine="420" w:firstLineChars="200"/>
        <w:jc w:val="left"/>
        <w:textAlignment w:val="auto"/>
        <w:rPr>
          <w:rFonts w:hint="eastAsia" w:ascii="宋体" w:cs="宋体"/>
          <w:color w:val="auto"/>
          <w:sz w:val="21"/>
          <w:szCs w:val="21"/>
          <w:highlight w:val="none"/>
          <w:shd w:val="clear" w:color="auto" w:fill="auto"/>
        </w:rPr>
      </w:pPr>
      <w:r>
        <w:rPr>
          <w:rFonts w:hint="eastAsia" w:ascii="宋体" w:cs="宋体"/>
          <w:color w:val="auto"/>
          <w:sz w:val="21"/>
          <w:szCs w:val="21"/>
          <w:highlight w:val="none"/>
          <w:shd w:val="clear" w:color="auto" w:fill="auto"/>
        </w:rPr>
        <w:t>监理人不能按时进行检查的，应在检查前3小时向承包人提交书面延期要求，但延期不能超过6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41A28D99">
      <w:pPr>
        <w:keepNext w:val="0"/>
        <w:keepLines w:val="0"/>
        <w:pageBreakBefore w:val="0"/>
        <w:widowControl w:val="0"/>
        <w:kinsoku/>
        <w:wordWrap/>
        <w:overflowPunct/>
        <w:topLinePunct w:val="0"/>
        <w:autoSpaceDE/>
        <w:autoSpaceDN/>
        <w:bidi w:val="0"/>
        <w:snapToGrid w:val="0"/>
        <w:spacing w:line="400" w:lineRule="exact"/>
        <w:ind w:firstLine="420" w:firstLineChars="200"/>
        <w:jc w:val="left"/>
        <w:textAlignment w:val="auto"/>
        <w:rPr>
          <w:rFonts w:hint="eastAsia" w:ascii="宋体" w:cs="宋体"/>
          <w:color w:val="auto"/>
          <w:sz w:val="21"/>
          <w:szCs w:val="21"/>
          <w:highlight w:val="none"/>
          <w:shd w:val="clear" w:color="auto" w:fill="auto"/>
        </w:rPr>
      </w:pPr>
      <w:r>
        <w:rPr>
          <w:rFonts w:hint="eastAsia" w:ascii="宋体" w:cs="宋体"/>
          <w:color w:val="auto"/>
          <w:sz w:val="21"/>
          <w:szCs w:val="21"/>
          <w:highlight w:val="none"/>
          <w:shd w:val="clear" w:color="auto" w:fill="auto"/>
        </w:rPr>
        <w:t>监理人不能按时进行检查时，应提前</w:t>
      </w:r>
      <w:r>
        <w:rPr>
          <w:rFonts w:hint="eastAsia" w:ascii="宋体" w:cs="宋体"/>
          <w:color w:val="auto"/>
          <w:sz w:val="21"/>
          <w:szCs w:val="21"/>
          <w:highlight w:val="none"/>
          <w:u w:val="single"/>
          <w:shd w:val="clear" w:color="auto" w:fill="auto"/>
        </w:rPr>
        <w:t xml:space="preserve">  3  </w:t>
      </w:r>
      <w:r>
        <w:rPr>
          <w:rFonts w:hint="eastAsia" w:ascii="宋体" w:cs="宋体"/>
          <w:color w:val="auto"/>
          <w:sz w:val="21"/>
          <w:szCs w:val="21"/>
          <w:highlight w:val="none"/>
          <w:shd w:val="clear" w:color="auto" w:fill="auto"/>
        </w:rPr>
        <w:t>小时提交书面延期要求。</w:t>
      </w:r>
    </w:p>
    <w:p w14:paraId="2516C88C">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cs="宋体"/>
          <w:color w:val="auto"/>
          <w:sz w:val="21"/>
          <w:szCs w:val="21"/>
          <w:highlight w:val="none"/>
        </w:rPr>
      </w:pPr>
      <w:r>
        <w:rPr>
          <w:rFonts w:hint="eastAsia" w:ascii="宋体" w:cs="宋体"/>
          <w:color w:val="auto"/>
          <w:sz w:val="21"/>
          <w:szCs w:val="21"/>
          <w:highlight w:val="none"/>
          <w:shd w:val="clear" w:color="auto" w:fill="auto"/>
        </w:rPr>
        <w:t>关于延期最长不得超过：</w:t>
      </w:r>
      <w:r>
        <w:rPr>
          <w:rFonts w:hint="eastAsia" w:ascii="宋体" w:cs="宋体"/>
          <w:color w:val="auto"/>
          <w:sz w:val="21"/>
          <w:szCs w:val="21"/>
          <w:highlight w:val="none"/>
          <w:u w:val="single"/>
          <w:shd w:val="clear" w:color="auto" w:fill="auto"/>
        </w:rPr>
        <w:t xml:space="preserve">  6  </w:t>
      </w:r>
      <w:r>
        <w:rPr>
          <w:rFonts w:hint="eastAsia" w:ascii="宋体" w:cs="宋体"/>
          <w:color w:val="auto"/>
          <w:sz w:val="21"/>
          <w:szCs w:val="21"/>
          <w:highlight w:val="none"/>
          <w:shd w:val="clear" w:color="auto" w:fill="auto"/>
        </w:rPr>
        <w:t>小时</w:t>
      </w:r>
      <w:r>
        <w:rPr>
          <w:rFonts w:hint="eastAsia" w:cs="宋体"/>
          <w:color w:val="auto"/>
          <w:sz w:val="21"/>
          <w:szCs w:val="21"/>
          <w:highlight w:val="none"/>
        </w:rPr>
        <w:t>。</w:t>
      </w:r>
    </w:p>
    <w:p w14:paraId="7AEB1AA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5</w:t>
      </w:r>
      <w:bookmarkStart w:id="179" w:name="_Toc337558762"/>
      <w:r>
        <w:rPr>
          <w:rFonts w:hint="eastAsia" w:cs="宋体"/>
          <w:bCs/>
          <w:color w:val="auto"/>
          <w:sz w:val="21"/>
          <w:szCs w:val="21"/>
          <w:highlight w:val="none"/>
        </w:rPr>
        <w:t>.4 不合格工程的处理</w:t>
      </w:r>
    </w:p>
    <w:bookmarkEnd w:id="179"/>
    <w:p w14:paraId="4E289058">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r>
        <w:rPr>
          <w:rFonts w:hint="eastAsia" w:cs="宋体"/>
          <w:color w:val="auto"/>
          <w:sz w:val="21"/>
          <w:szCs w:val="21"/>
          <w:highlight w:val="none"/>
        </w:rPr>
        <w:t>本款补充5.4.3项：</w:t>
      </w:r>
    </w:p>
    <w:p w14:paraId="54718DA8">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r>
        <w:rPr>
          <w:rFonts w:hint="eastAsia" w:cs="宋体"/>
          <w:color w:val="auto"/>
          <w:sz w:val="21"/>
          <w:szCs w:val="21"/>
          <w:highlight w:val="none"/>
        </w:rPr>
        <w:t>5.4.3 承包人在收到监理人发出的《不合格分项报告》或监理通知单后，必须在监理人规定时间内按要求完成整改，未能在限定时间内完成整改的，须承担相应违约责任。</w:t>
      </w:r>
    </w:p>
    <w:p w14:paraId="432F15EF">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r>
        <w:rPr>
          <w:rFonts w:hint="eastAsia" w:cs="宋体"/>
          <w:color w:val="auto"/>
          <w:sz w:val="21"/>
          <w:szCs w:val="21"/>
          <w:highlight w:val="none"/>
        </w:rPr>
        <w:t>本条补充5.6款：</w:t>
      </w:r>
    </w:p>
    <w:p w14:paraId="33049C28">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bookmarkStart w:id="180" w:name="_Toc532377348"/>
      <w:r>
        <w:rPr>
          <w:rFonts w:hint="eastAsia" w:cs="宋体"/>
          <w:bCs/>
          <w:color w:val="auto"/>
          <w:sz w:val="21"/>
          <w:szCs w:val="21"/>
          <w:highlight w:val="none"/>
        </w:rPr>
        <w:t>5.6 质量事故的处理</w:t>
      </w:r>
      <w:bookmarkEnd w:id="180"/>
    </w:p>
    <w:p w14:paraId="116D573E">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r>
        <w:rPr>
          <w:rFonts w:hint="eastAsia" w:cs="宋体"/>
          <w:color w:val="auto"/>
          <w:sz w:val="21"/>
          <w:szCs w:val="21"/>
          <w:highlight w:val="none"/>
        </w:rPr>
        <w:t>5.6.1 合同履行过程中，发生工程质量事故的调查处理按照国家现行规定处理。</w:t>
      </w:r>
    </w:p>
    <w:p w14:paraId="3DE199C4">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r>
        <w:rPr>
          <w:rFonts w:hint="eastAsia" w:cs="宋体"/>
          <w:color w:val="auto"/>
          <w:sz w:val="21"/>
          <w:szCs w:val="21"/>
          <w:highlight w:val="none"/>
        </w:rPr>
        <w:t>5.6.2 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p w14:paraId="5BDDC724">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r>
        <w:rPr>
          <w:rFonts w:hint="eastAsia" w:cs="宋体"/>
          <w:color w:val="auto"/>
          <w:sz w:val="21"/>
          <w:szCs w:val="21"/>
          <w:highlight w:val="none"/>
        </w:rPr>
        <w:t>6. 安全文明施工与环境保护</w:t>
      </w:r>
      <w:bookmarkEnd w:id="178"/>
    </w:p>
    <w:p w14:paraId="0A71D131">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6.1 安全文明施工</w:t>
      </w:r>
    </w:p>
    <w:bookmarkEnd w:id="171"/>
    <w:bookmarkEnd w:id="172"/>
    <w:bookmarkEnd w:id="173"/>
    <w:bookmarkEnd w:id="174"/>
    <w:bookmarkEnd w:id="175"/>
    <w:bookmarkEnd w:id="176"/>
    <w:bookmarkEnd w:id="177"/>
    <w:p w14:paraId="5C3E22E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bookmarkStart w:id="181" w:name="_Toc351203639"/>
      <w:r>
        <w:rPr>
          <w:rFonts w:hint="eastAsia" w:cs="宋体"/>
          <w:color w:val="auto"/>
          <w:sz w:val="21"/>
          <w:szCs w:val="21"/>
          <w:highlight w:val="none"/>
        </w:rPr>
        <w:t>6.1.1 项目安全生产的达标目标及相应事项的约定：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8DFFAE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6.1.4 关于治安保卫的特别约定：</w:t>
      </w:r>
      <w:r>
        <w:rPr>
          <w:rFonts w:hint="eastAsia" w:ascii="宋体" w:cs="宋体"/>
          <w:color w:val="auto"/>
          <w:sz w:val="21"/>
          <w:szCs w:val="21"/>
          <w:highlight w:val="none"/>
          <w:u w:val="single"/>
          <w:shd w:val="clear" w:color="auto" w:fill="auto"/>
        </w:rPr>
        <w:t>发包人应与当地公安部门协商，在现场建立治安管理机构或联防组织，统一管理施工场地的治安保卫事项，履行合同工程的治安保卫职责。发包人和承包人除应协助现场治安管理机构或联防组织维护施工场地的社会治安外，还应做好包括生活区在内的各自管辖区的治安保卫工作。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r>
        <w:rPr>
          <w:rFonts w:hint="eastAsia" w:cs="宋体"/>
          <w:color w:val="auto"/>
          <w:sz w:val="21"/>
          <w:szCs w:val="21"/>
          <w:highlight w:val="none"/>
        </w:rPr>
        <w:t>。</w:t>
      </w:r>
    </w:p>
    <w:p w14:paraId="282F746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关于编制施工场地治安管理计划的约定：</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由承包人负责</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D6EFDD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6.1.5 文明施工</w:t>
      </w:r>
    </w:p>
    <w:p w14:paraId="4C10607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合同当事人对文明施工的要求：</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执行采购文件</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0D6968A">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rPr>
      </w:pPr>
      <w:r>
        <w:rPr>
          <w:rFonts w:hint="eastAsia" w:cs="宋体"/>
          <w:color w:val="auto"/>
          <w:sz w:val="21"/>
          <w:szCs w:val="21"/>
          <w:highlight w:val="none"/>
        </w:rPr>
        <w:t>6.1.6 关于安全文明施工费支付比例和支付期限的约定：</w:t>
      </w:r>
      <w:r>
        <w:rPr>
          <w:rFonts w:hint="eastAsia" w:cs="宋体"/>
          <w:color w:val="auto"/>
          <w:sz w:val="21"/>
          <w:szCs w:val="21"/>
          <w:highlight w:val="none"/>
          <w:u w:val="single"/>
        </w:rPr>
        <w:t xml:space="preserve"> </w:t>
      </w:r>
      <w:r>
        <w:rPr>
          <w:rFonts w:hint="eastAsia" w:ascii="宋体" w:hAnsi="宋体" w:cs="宋体"/>
          <w:bCs/>
          <w:color w:val="auto"/>
          <w:sz w:val="21"/>
          <w:szCs w:val="21"/>
          <w:highlight w:val="none"/>
          <w:u w:val="single"/>
          <w:shd w:val="clear" w:color="auto" w:fill="auto"/>
        </w:rPr>
        <w:t>按照《关于落实&lt;市规建委关于规范建设工程安全防护和文明施工措施费使用管理的通知&gt;的意见》，支付方式为：房建工程基础验收合格后支付40%，主体结构施工封</w:t>
      </w:r>
      <w:r>
        <w:rPr>
          <w:rFonts w:hint="eastAsia" w:ascii="宋体" w:hAnsi="宋体" w:cs="宋体"/>
          <w:bCs/>
          <w:color w:val="auto"/>
          <w:sz w:val="21"/>
          <w:szCs w:val="21"/>
          <w:highlight w:val="none"/>
          <w:u w:val="single"/>
          <w:shd w:val="clear" w:color="auto" w:fill="auto"/>
          <w:lang w:val="en-US" w:eastAsia="zh-CN"/>
        </w:rPr>
        <w:t>顶</w:t>
      </w:r>
      <w:r>
        <w:rPr>
          <w:rFonts w:hint="eastAsia" w:ascii="宋体" w:hAnsi="宋体" w:cs="宋体"/>
          <w:bCs/>
          <w:color w:val="auto"/>
          <w:sz w:val="21"/>
          <w:szCs w:val="21"/>
          <w:highlight w:val="none"/>
          <w:u w:val="single"/>
          <w:shd w:val="clear" w:color="auto" w:fill="auto"/>
        </w:rPr>
        <w:t>支付40%，工程初验合格支付剩余20%；市政基础设施工程正常开工并达到第一期工程请款条件时支付50%，工程初验合格后支付剩余50%。该费用付至施工企业在银行开立的专户。施工企业应当确保安全防护、文明施工措施费专款专用，在财务管理中单独列出安全防护、文明施工措施项目费用清单备查</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52F9140">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r>
        <w:rPr>
          <w:rFonts w:hint="eastAsia" w:cs="宋体"/>
          <w:color w:val="auto"/>
          <w:sz w:val="21"/>
          <w:szCs w:val="21"/>
          <w:highlight w:val="none"/>
        </w:rPr>
        <w:t>7. 工期和进度</w:t>
      </w:r>
      <w:bookmarkEnd w:id="181"/>
    </w:p>
    <w:p w14:paraId="02DD7C49">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7.1 施工组织设计</w:t>
      </w:r>
    </w:p>
    <w:p w14:paraId="6FC5297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7.1.1 合同当事人约定的施工组织设计应包括的其他内容：</w:t>
      </w:r>
      <w:r>
        <w:rPr>
          <w:rFonts w:hint="eastAsia" w:cs="宋体"/>
          <w:color w:val="auto"/>
          <w:sz w:val="21"/>
          <w:szCs w:val="21"/>
          <w:highlight w:val="none"/>
          <w:u w:val="single"/>
          <w:lang w:val="en-US" w:eastAsia="zh-CN"/>
        </w:rPr>
        <w:t>本工程需按照总进度计划编制每月施工进度计划，经监理、发包人审批后作为进度考核和进度款支付的依据。</w:t>
      </w:r>
    </w:p>
    <w:p w14:paraId="7A50F64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7.1.2 施工组织设计的提交和修改</w:t>
      </w:r>
    </w:p>
    <w:p w14:paraId="182F94E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承包人提交详细施工组织设计的期限的约定：</w:t>
      </w:r>
      <w:r>
        <w:rPr>
          <w:rFonts w:hint="eastAsia" w:cs="宋体"/>
          <w:color w:val="auto"/>
          <w:sz w:val="21"/>
          <w:szCs w:val="21"/>
          <w:highlight w:val="none"/>
          <w:u w:val="single"/>
          <w:lang w:val="en-US" w:eastAsia="zh-CN"/>
        </w:rPr>
        <w:t>图纸会审及设计交底后一周内提供标后实施性施工组织设计</w:t>
      </w:r>
      <w:r>
        <w:rPr>
          <w:rFonts w:hint="eastAsia" w:cs="宋体"/>
          <w:color w:val="auto"/>
          <w:sz w:val="21"/>
          <w:szCs w:val="21"/>
          <w:highlight w:val="none"/>
        </w:rPr>
        <w:t>。</w:t>
      </w:r>
    </w:p>
    <w:p w14:paraId="3EB2BE8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发包人和监理人在收到详细的施工组织设计后确认或提出修改意见的期限：</w:t>
      </w:r>
      <w:r>
        <w:rPr>
          <w:rFonts w:hint="eastAsia" w:cs="宋体"/>
          <w:color w:val="auto"/>
          <w:sz w:val="21"/>
          <w:szCs w:val="21"/>
          <w:highlight w:val="none"/>
          <w:u w:val="single"/>
          <w:lang w:val="en-US" w:eastAsia="zh-CN"/>
        </w:rPr>
        <w:t>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1C1632F">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w:t>
      </w:r>
      <w:bookmarkStart w:id="182" w:name="_Toc300934966"/>
      <w:bookmarkStart w:id="183" w:name="_Toc312678005"/>
      <w:bookmarkStart w:id="184" w:name="_Toc297216173"/>
      <w:bookmarkStart w:id="185" w:name="_Toc303539123"/>
      <w:bookmarkStart w:id="186" w:name="_Toc304295541"/>
      <w:bookmarkStart w:id="187" w:name="_Toc312677479"/>
      <w:bookmarkStart w:id="188" w:name="_Toc297123514"/>
      <w:r>
        <w:rPr>
          <w:rFonts w:hint="eastAsia" w:cs="宋体"/>
          <w:bCs/>
          <w:color w:val="auto"/>
          <w:sz w:val="21"/>
          <w:szCs w:val="21"/>
          <w:highlight w:val="none"/>
        </w:rPr>
        <w:t>.2 施工进度计划</w:t>
      </w:r>
    </w:p>
    <w:p w14:paraId="19A1A32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7.2.2 施工进度计划的修订</w:t>
      </w:r>
    </w:p>
    <w:p w14:paraId="10261D9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发包人和监理人在收到修订的施工进度计划后确认或提出修改意见的期限：</w:t>
      </w:r>
      <w:r>
        <w:rPr>
          <w:rFonts w:hint="eastAsia" w:cs="宋体"/>
          <w:color w:val="auto"/>
          <w:sz w:val="21"/>
          <w:szCs w:val="21"/>
          <w:highlight w:val="none"/>
          <w:u w:val="single"/>
          <w:lang w:val="en-US" w:eastAsia="zh-CN"/>
        </w:rPr>
        <w:t>发包人和监理人应在收到修订的施工进度计划后7天内完成审核和批准或提出修改意见。发包人和监理人对承包人提交的施工进度计划的确认，不能减轻或免除承包人根据法律规定和合同约定应承担的任何责任或义务。承包人必须按照批准的进度计划组织施工，接受发包人对进度的检查、监督，工程实际进展与进度计划不符时，应提供修改，调整后的进度计划及相应的措施报发包人批准后执行</w:t>
      </w:r>
      <w:r>
        <w:rPr>
          <w:rFonts w:hint="eastAsia" w:cs="宋体"/>
          <w:color w:val="auto"/>
          <w:sz w:val="21"/>
          <w:szCs w:val="21"/>
          <w:highlight w:val="none"/>
        </w:rPr>
        <w:t>。</w:t>
      </w:r>
    </w:p>
    <w:p w14:paraId="392E549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7.3 开工</w:t>
      </w:r>
    </w:p>
    <w:p w14:paraId="22B493B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7.3.1 开工准备</w:t>
      </w:r>
    </w:p>
    <w:p w14:paraId="382747F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关于承包人提交工程开工报审表的期限：</w:t>
      </w:r>
      <w:r>
        <w:rPr>
          <w:rFonts w:hint="eastAsia" w:cs="宋体"/>
          <w:color w:val="auto"/>
          <w:sz w:val="21"/>
          <w:szCs w:val="21"/>
          <w:highlight w:val="none"/>
          <w:u w:val="single"/>
          <w:lang w:val="en-US" w:eastAsia="zh-CN"/>
        </w:rPr>
        <w:t>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r>
        <w:rPr>
          <w:rFonts w:hint="eastAsia" w:cs="宋体"/>
          <w:color w:val="auto"/>
          <w:sz w:val="21"/>
          <w:szCs w:val="21"/>
          <w:highlight w:val="none"/>
        </w:rPr>
        <w:t>。</w:t>
      </w:r>
    </w:p>
    <w:p w14:paraId="4380A56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关于发包人应完成的其他开工准备工作及期限：</w:t>
      </w:r>
      <w:r>
        <w:rPr>
          <w:rFonts w:hint="eastAsia" w:cs="宋体"/>
          <w:color w:val="auto"/>
          <w:sz w:val="21"/>
          <w:szCs w:val="21"/>
          <w:highlight w:val="none"/>
          <w:u w:val="single"/>
          <w:lang w:val="en-US" w:eastAsia="zh-CN"/>
        </w:rPr>
        <w:t>合同当事人应按约定完成开工准备工作</w:t>
      </w:r>
      <w:r>
        <w:rPr>
          <w:rFonts w:hint="eastAsia" w:cs="宋体"/>
          <w:color w:val="auto"/>
          <w:sz w:val="21"/>
          <w:szCs w:val="21"/>
          <w:highlight w:val="none"/>
        </w:rPr>
        <w:t>。</w:t>
      </w:r>
    </w:p>
    <w:p w14:paraId="6943DFA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关于承包人应完成的其他开工准备工作及期限：</w:t>
      </w:r>
      <w:r>
        <w:rPr>
          <w:rFonts w:hint="eastAsia" w:cs="宋体"/>
          <w:color w:val="auto"/>
          <w:sz w:val="21"/>
          <w:szCs w:val="21"/>
          <w:highlight w:val="none"/>
          <w:u w:val="single"/>
          <w:lang w:val="en-US" w:eastAsia="zh-CN"/>
        </w:rPr>
        <w:t>合同当事人应按约定完成开工准备工作</w:t>
      </w:r>
      <w:r>
        <w:rPr>
          <w:rFonts w:hint="eastAsia" w:cs="宋体"/>
          <w:color w:val="auto"/>
          <w:sz w:val="21"/>
          <w:szCs w:val="21"/>
          <w:highlight w:val="none"/>
        </w:rPr>
        <w:t>。</w:t>
      </w:r>
    </w:p>
    <w:p w14:paraId="0AC9A9C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7.3.2 开工通知</w:t>
      </w:r>
    </w:p>
    <w:p w14:paraId="1B2DE37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因发包人原因造成监理人未能在计划开工日期之日起</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90</w:t>
      </w:r>
      <w:r>
        <w:rPr>
          <w:rFonts w:hint="eastAsia" w:cs="宋体"/>
          <w:color w:val="auto"/>
          <w:sz w:val="21"/>
          <w:szCs w:val="21"/>
          <w:highlight w:val="none"/>
          <w:u w:val="single"/>
        </w:rPr>
        <w:t xml:space="preserve"> </w:t>
      </w:r>
      <w:r>
        <w:rPr>
          <w:rFonts w:hint="eastAsia" w:cs="宋体"/>
          <w:color w:val="auto"/>
          <w:sz w:val="21"/>
          <w:szCs w:val="21"/>
          <w:highlight w:val="none"/>
        </w:rPr>
        <w:t>天内发出开工通知的，承包人有权提出价格调整要求，或者解除合同。</w:t>
      </w:r>
    </w:p>
    <w:bookmarkEnd w:id="182"/>
    <w:bookmarkEnd w:id="183"/>
    <w:bookmarkEnd w:id="184"/>
    <w:bookmarkEnd w:id="185"/>
    <w:bookmarkEnd w:id="186"/>
    <w:bookmarkEnd w:id="187"/>
    <w:bookmarkEnd w:id="188"/>
    <w:p w14:paraId="24640841">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7.4 测量放线</w:t>
      </w:r>
    </w:p>
    <w:p w14:paraId="0EE2A44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7.4.1 发包人通过监理人向承包人提供测量基准点、基准线和水准点及其书面资料的期限：</w:t>
      </w:r>
      <w:r>
        <w:rPr>
          <w:rFonts w:hint="eastAsia" w:cs="宋体"/>
          <w:color w:val="auto"/>
          <w:sz w:val="21"/>
          <w:szCs w:val="21"/>
          <w:highlight w:val="none"/>
          <w:u w:val="single"/>
        </w:rPr>
        <w:t xml:space="preserve"> 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 </w:t>
      </w:r>
      <w:r>
        <w:rPr>
          <w:rFonts w:hint="eastAsia" w:cs="宋体"/>
          <w:color w:val="auto"/>
          <w:sz w:val="21"/>
          <w:szCs w:val="21"/>
          <w:highlight w:val="none"/>
        </w:rPr>
        <w:t>。</w:t>
      </w:r>
    </w:p>
    <w:p w14:paraId="2D52F01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w:t>
      </w:r>
      <w:bookmarkStart w:id="189" w:name="_Toc304295546"/>
      <w:bookmarkStart w:id="190" w:name="_Toc312678010"/>
      <w:bookmarkStart w:id="191" w:name="_Toc312677484"/>
      <w:bookmarkStart w:id="192" w:name="_Toc300934968"/>
      <w:bookmarkStart w:id="193" w:name="_Toc297216175"/>
      <w:bookmarkStart w:id="194" w:name="_Toc303539125"/>
      <w:bookmarkStart w:id="195" w:name="_Toc297123516"/>
      <w:r>
        <w:rPr>
          <w:rFonts w:hint="eastAsia" w:cs="宋体"/>
          <w:bCs/>
          <w:color w:val="auto"/>
          <w:sz w:val="21"/>
          <w:szCs w:val="21"/>
          <w:highlight w:val="none"/>
        </w:rPr>
        <w:t>.5 工期延误</w:t>
      </w:r>
    </w:p>
    <w:bookmarkEnd w:id="189"/>
    <w:bookmarkEnd w:id="190"/>
    <w:bookmarkEnd w:id="191"/>
    <w:bookmarkEnd w:id="192"/>
    <w:bookmarkEnd w:id="193"/>
    <w:bookmarkEnd w:id="194"/>
    <w:bookmarkEnd w:id="195"/>
    <w:p w14:paraId="06EB59D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7.5.1 因发包人原因导致工期延误</w:t>
      </w:r>
    </w:p>
    <w:p w14:paraId="16E740D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（7）因发包人原因导致工期延误的其他情形：</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327AE3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w:t>
      </w:r>
      <w:bookmarkStart w:id="196" w:name="_Toc312677486"/>
      <w:bookmarkStart w:id="197" w:name="_Toc318581169"/>
      <w:bookmarkStart w:id="198" w:name="_Toc312678012"/>
      <w:bookmarkStart w:id="199" w:name="_Toc297216177"/>
      <w:bookmarkStart w:id="200" w:name="_Toc300934970"/>
      <w:bookmarkStart w:id="201" w:name="_Toc303539127"/>
      <w:bookmarkStart w:id="202" w:name="_Toc304295548"/>
      <w:bookmarkStart w:id="203" w:name="_Toc297123518"/>
      <w:r>
        <w:rPr>
          <w:rFonts w:hint="eastAsia" w:cs="宋体"/>
          <w:color w:val="auto"/>
          <w:sz w:val="21"/>
          <w:szCs w:val="21"/>
          <w:highlight w:val="none"/>
        </w:rPr>
        <w:t>.5.2 因承包人原因导致工期延误</w:t>
      </w:r>
    </w:p>
    <w:bookmarkEnd w:id="196"/>
    <w:bookmarkEnd w:id="197"/>
    <w:bookmarkEnd w:id="198"/>
    <w:p w14:paraId="56BB168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因</w:t>
      </w:r>
      <w:bookmarkStart w:id="204" w:name="_Toc312677487"/>
      <w:bookmarkStart w:id="205" w:name="_Toc312678013"/>
      <w:bookmarkStart w:id="206" w:name="_Toc318581170"/>
      <w:r>
        <w:rPr>
          <w:rFonts w:hint="eastAsia" w:cs="宋体"/>
          <w:color w:val="auto"/>
          <w:sz w:val="21"/>
          <w:szCs w:val="21"/>
          <w:highlight w:val="none"/>
        </w:rPr>
        <w:t>承包人原因造成工期延误，逾期竣工违约金的计算方法为：</w:t>
      </w:r>
      <w:r>
        <w:rPr>
          <w:rFonts w:hint="eastAsia" w:cs="宋体"/>
          <w:color w:val="auto"/>
          <w:sz w:val="21"/>
          <w:szCs w:val="21"/>
          <w:highlight w:val="none"/>
          <w:u w:val="single"/>
        </w:rPr>
        <w:t>见《专用合同条款数据表》</w:t>
      </w:r>
      <w:r>
        <w:rPr>
          <w:rFonts w:hint="eastAsia" w:cs="宋体"/>
          <w:color w:val="auto"/>
          <w:sz w:val="21"/>
          <w:szCs w:val="21"/>
          <w:highlight w:val="none"/>
        </w:rPr>
        <w:t>。</w:t>
      </w:r>
      <w:bookmarkEnd w:id="199"/>
      <w:bookmarkEnd w:id="200"/>
      <w:bookmarkEnd w:id="201"/>
      <w:bookmarkEnd w:id="202"/>
      <w:bookmarkEnd w:id="203"/>
      <w:bookmarkEnd w:id="204"/>
      <w:bookmarkEnd w:id="205"/>
    </w:p>
    <w:bookmarkEnd w:id="206"/>
    <w:p w14:paraId="42688FF9">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rPr>
      </w:pPr>
      <w:r>
        <w:rPr>
          <w:rFonts w:hint="eastAsia" w:cs="宋体"/>
          <w:color w:val="auto"/>
          <w:sz w:val="21"/>
          <w:szCs w:val="21"/>
          <w:highlight w:val="none"/>
        </w:rPr>
        <w:t>因承包人原因造成工期延误，逾</w:t>
      </w:r>
      <w:bookmarkStart w:id="207" w:name="_Toc318581171"/>
      <w:bookmarkStart w:id="208" w:name="_Toc312678014"/>
      <w:r>
        <w:rPr>
          <w:rFonts w:hint="eastAsia" w:cs="宋体"/>
          <w:color w:val="auto"/>
          <w:sz w:val="21"/>
          <w:szCs w:val="21"/>
          <w:highlight w:val="none"/>
        </w:rPr>
        <w:t>期竣工违约金的上限：</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1D8E1C31">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t>（1）督促承包人采取有效的赶工措施（费用自理）；</w:t>
      </w:r>
    </w:p>
    <w:p w14:paraId="1D8A2851">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t>（2）发包人根据本项目总体施工计划对工程各分部分项工程的进度目标确定之后，承包人应采取各种措施确保本合同内各分部分项工程进度目标的实现，如果在工程实施某个分部分项工程，承包人的实际进度滞后该分部分项工程进度目标7天以上，并无法确保该分部分项工程进度目标的完成或承包人虽采取了一些措施，但仍无法按交工期交工时，监理工程师应立即通知发包人，并抄送承包人。发包人向承包人发出书面警告通知3天后，发包人有权终止合同，也可将本合同工程中的一部分或剩余工作交由其他承包人或指定分包人完成，因此所增加的一切费用由原承包人承担。</w:t>
      </w:r>
    </w:p>
    <w:p w14:paraId="3FA362C2">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rPr>
      </w:pPr>
      <w:r>
        <w:rPr>
          <w:rFonts w:hint="eastAsia" w:cs="宋体"/>
          <w:color w:val="auto"/>
          <w:sz w:val="21"/>
          <w:szCs w:val="21"/>
          <w:highlight w:val="none"/>
          <w:u w:val="single"/>
        </w:rPr>
        <w:t>（3）对严重拖延工期，经发包人多次督促，承包人拒不执行的，发包人可中止施工合同，并和承包人进行清算。同时按原</w:t>
      </w:r>
      <w:r>
        <w:rPr>
          <w:rFonts w:hint="eastAsia" w:cs="宋体"/>
          <w:color w:val="auto"/>
          <w:sz w:val="21"/>
          <w:szCs w:val="21"/>
          <w:highlight w:val="none"/>
          <w:u w:val="single"/>
          <w:lang w:val="en-US" w:eastAsia="zh-CN"/>
        </w:rPr>
        <w:t>成交</w:t>
      </w:r>
      <w:r>
        <w:rPr>
          <w:rFonts w:hint="eastAsia" w:cs="宋体"/>
          <w:color w:val="auto"/>
          <w:sz w:val="21"/>
          <w:szCs w:val="21"/>
          <w:highlight w:val="none"/>
          <w:u w:val="single"/>
        </w:rPr>
        <w:t xml:space="preserve">价格另选同样资质的施工队伍进场施工，原承包人须无条件配合，不得以任何借口阻挠另选的施工队伍施工，不得向发包人提出任何索赔要求，详见补充条款。  </w:t>
      </w:r>
    </w:p>
    <w:bookmarkEnd w:id="207"/>
    <w:bookmarkEnd w:id="208"/>
    <w:p w14:paraId="35EE880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w:t>
      </w:r>
      <w:bookmarkStart w:id="209" w:name="_Toc303539128"/>
      <w:bookmarkStart w:id="210" w:name="_Toc312678015"/>
      <w:bookmarkStart w:id="211" w:name="_Toc304295549"/>
      <w:bookmarkStart w:id="212" w:name="_Toc297216178"/>
      <w:bookmarkStart w:id="213" w:name="_Toc300934971"/>
      <w:bookmarkStart w:id="214" w:name="_Toc297123519"/>
      <w:r>
        <w:rPr>
          <w:rFonts w:hint="eastAsia" w:cs="宋体"/>
          <w:bCs/>
          <w:color w:val="auto"/>
          <w:sz w:val="21"/>
          <w:szCs w:val="21"/>
          <w:highlight w:val="none"/>
        </w:rPr>
        <w:t>.6 不</w:t>
      </w:r>
      <w:bookmarkEnd w:id="209"/>
      <w:bookmarkEnd w:id="210"/>
      <w:bookmarkEnd w:id="211"/>
      <w:bookmarkEnd w:id="212"/>
      <w:bookmarkEnd w:id="213"/>
      <w:bookmarkEnd w:id="214"/>
      <w:r>
        <w:rPr>
          <w:rFonts w:hint="eastAsia" w:cs="宋体"/>
          <w:bCs/>
          <w:color w:val="auto"/>
          <w:sz w:val="21"/>
          <w:szCs w:val="21"/>
          <w:highlight w:val="none"/>
        </w:rPr>
        <w:t>利物质条件</w:t>
      </w:r>
    </w:p>
    <w:p w14:paraId="55BA368D">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u w:val="single"/>
        </w:rPr>
      </w:pPr>
      <w:bookmarkStart w:id="215" w:name="_Toc303539129"/>
      <w:bookmarkStart w:id="216" w:name="_Toc300934972"/>
      <w:bookmarkStart w:id="217" w:name="_Toc312678016"/>
      <w:bookmarkStart w:id="218" w:name="_Toc318581172"/>
      <w:bookmarkStart w:id="219" w:name="_Toc297216179"/>
      <w:bookmarkStart w:id="220" w:name="_Toc304295550"/>
      <w:bookmarkStart w:id="221" w:name="_Toc297123520"/>
      <w:r>
        <w:rPr>
          <w:rFonts w:hint="eastAsia" w:cs="宋体"/>
          <w:color w:val="auto"/>
          <w:sz w:val="21"/>
          <w:szCs w:val="21"/>
          <w:highlight w:val="none"/>
        </w:rPr>
        <w:t>不利物质条件的其他情形和有关约定：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bookmarkEnd w:id="215"/>
    <w:bookmarkEnd w:id="216"/>
    <w:bookmarkEnd w:id="217"/>
    <w:bookmarkEnd w:id="218"/>
    <w:bookmarkEnd w:id="219"/>
    <w:bookmarkEnd w:id="220"/>
    <w:bookmarkEnd w:id="221"/>
    <w:p w14:paraId="4E43F5BC">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w:t>
      </w:r>
      <w:bookmarkStart w:id="222" w:name="_Toc303539130"/>
      <w:bookmarkStart w:id="223" w:name="_Toc297216180"/>
      <w:bookmarkStart w:id="224" w:name="_Toc297123521"/>
      <w:bookmarkStart w:id="225" w:name="_Toc300934973"/>
      <w:bookmarkStart w:id="226" w:name="_Toc304295551"/>
      <w:bookmarkStart w:id="227" w:name="_Toc312678017"/>
      <w:r>
        <w:rPr>
          <w:rFonts w:hint="eastAsia" w:cs="宋体"/>
          <w:bCs/>
          <w:color w:val="auto"/>
          <w:sz w:val="21"/>
          <w:szCs w:val="21"/>
          <w:highlight w:val="none"/>
        </w:rPr>
        <w:t>.7 异常恶劣的气候条件</w:t>
      </w:r>
    </w:p>
    <w:bookmarkEnd w:id="222"/>
    <w:bookmarkEnd w:id="223"/>
    <w:bookmarkEnd w:id="224"/>
    <w:bookmarkEnd w:id="225"/>
    <w:bookmarkEnd w:id="226"/>
    <w:bookmarkEnd w:id="227"/>
    <w:p w14:paraId="0CB840B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发包人和承包人同意以下情形视为异常恶劣的气候条件：</w:t>
      </w:r>
    </w:p>
    <w:p w14:paraId="74A8493F">
      <w:pPr>
        <w:pageBreakBefore w:val="0"/>
        <w:widowControl w:val="0"/>
        <w:kinsoku/>
        <w:wordWrap/>
        <w:overflowPunct/>
        <w:topLinePunct w:val="0"/>
        <w:bidi w:val="0"/>
        <w:adjustRightInd w:val="0"/>
        <w:snapToGrid w:val="0"/>
        <w:spacing w:line="400" w:lineRule="exact"/>
        <w:ind w:left="0" w:leftChars="0" w:right="0" w:rightChars="0" w:firstLine="420" w:firstLineChars="200"/>
        <w:textAlignment w:val="auto"/>
        <w:rPr>
          <w:rFonts w:cs="宋体"/>
          <w:color w:val="auto"/>
          <w:sz w:val="21"/>
          <w:szCs w:val="21"/>
          <w:highlight w:val="none"/>
        </w:rPr>
      </w:pPr>
      <w:r>
        <w:rPr>
          <w:rFonts w:hint="eastAsia" w:cs="宋体"/>
          <w:color w:val="auto"/>
          <w:sz w:val="21"/>
          <w:szCs w:val="21"/>
          <w:highlight w:val="none"/>
        </w:rPr>
        <w:t>（1）</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A403E1B">
      <w:pPr>
        <w:pageBreakBefore w:val="0"/>
        <w:widowControl w:val="0"/>
        <w:kinsoku/>
        <w:wordWrap/>
        <w:overflowPunct/>
        <w:topLinePunct w:val="0"/>
        <w:bidi w:val="0"/>
        <w:adjustRightInd w:val="0"/>
        <w:snapToGrid w:val="0"/>
        <w:spacing w:line="400" w:lineRule="exact"/>
        <w:ind w:left="0" w:leftChars="0" w:right="0" w:rightChars="0" w:firstLine="420" w:firstLineChars="200"/>
        <w:textAlignment w:val="auto"/>
        <w:rPr>
          <w:rFonts w:cs="宋体"/>
          <w:color w:val="auto"/>
          <w:sz w:val="21"/>
          <w:szCs w:val="21"/>
          <w:highlight w:val="none"/>
        </w:rPr>
      </w:pPr>
      <w:r>
        <w:rPr>
          <w:rFonts w:hint="eastAsia" w:cs="宋体"/>
          <w:color w:val="auto"/>
          <w:sz w:val="21"/>
          <w:szCs w:val="21"/>
          <w:highlight w:val="none"/>
        </w:rPr>
        <w:t>（2）</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E6E6D89">
      <w:pPr>
        <w:pageBreakBefore w:val="0"/>
        <w:widowControl w:val="0"/>
        <w:kinsoku/>
        <w:wordWrap/>
        <w:overflowPunct/>
        <w:topLinePunct w:val="0"/>
        <w:bidi w:val="0"/>
        <w:adjustRightInd w:val="0"/>
        <w:snapToGrid w:val="0"/>
        <w:spacing w:line="400" w:lineRule="exact"/>
        <w:ind w:left="0" w:leftChars="0" w:right="0" w:rightChars="0" w:firstLine="420" w:firstLineChars="200"/>
        <w:textAlignment w:val="auto"/>
        <w:rPr>
          <w:rFonts w:cs="宋体"/>
          <w:color w:val="auto"/>
          <w:sz w:val="21"/>
          <w:szCs w:val="21"/>
          <w:highlight w:val="none"/>
        </w:rPr>
      </w:pPr>
      <w:r>
        <w:rPr>
          <w:rFonts w:hint="eastAsia" w:cs="宋体"/>
          <w:color w:val="auto"/>
          <w:sz w:val="21"/>
          <w:szCs w:val="21"/>
          <w:highlight w:val="none"/>
        </w:rPr>
        <w:t>（3）</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无  </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EC6759D">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7.9 提前竣工</w:t>
      </w:r>
    </w:p>
    <w:p w14:paraId="61BCB64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7.9.2 提前竣工的奖励：</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6238E138">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228" w:name="_Toc351203640"/>
      <w:r>
        <w:rPr>
          <w:rFonts w:hint="eastAsia" w:cs="宋体"/>
          <w:color w:val="auto"/>
          <w:sz w:val="21"/>
          <w:szCs w:val="21"/>
          <w:highlight w:val="none"/>
        </w:rPr>
        <w:t>8. 材料与设备</w:t>
      </w:r>
      <w:bookmarkEnd w:id="228"/>
    </w:p>
    <w:bookmarkEnd w:id="161"/>
    <w:bookmarkEnd w:id="162"/>
    <w:bookmarkEnd w:id="163"/>
    <w:bookmarkEnd w:id="164"/>
    <w:bookmarkEnd w:id="165"/>
    <w:bookmarkEnd w:id="166"/>
    <w:bookmarkEnd w:id="167"/>
    <w:bookmarkEnd w:id="168"/>
    <w:bookmarkEnd w:id="169"/>
    <w:bookmarkEnd w:id="170"/>
    <w:p w14:paraId="7D52BD8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8</w:t>
      </w:r>
      <w:bookmarkStart w:id="229" w:name="_Toc300934979"/>
      <w:bookmarkStart w:id="230" w:name="_Toc297048353"/>
      <w:bookmarkStart w:id="231" w:name="_Toc296944506"/>
      <w:bookmarkStart w:id="232" w:name="_Toc292559372"/>
      <w:bookmarkStart w:id="233" w:name="_Toc296891207"/>
      <w:bookmarkStart w:id="234" w:name="_Toc297123527"/>
      <w:bookmarkStart w:id="235" w:name="_Toc297120467"/>
      <w:bookmarkStart w:id="236" w:name="_Toc312678019"/>
      <w:bookmarkStart w:id="237" w:name="_Toc296346668"/>
      <w:bookmarkStart w:id="238" w:name="_Toc296347166"/>
      <w:bookmarkStart w:id="239" w:name="_Toc280868654"/>
      <w:bookmarkStart w:id="240" w:name="_Toc296890995"/>
      <w:bookmarkStart w:id="241" w:name="_Toc304295556"/>
      <w:bookmarkStart w:id="242" w:name="_Toc312677493"/>
      <w:bookmarkStart w:id="243" w:name="_Toc292559877"/>
      <w:bookmarkStart w:id="244" w:name="_Toc296503167"/>
      <w:bookmarkStart w:id="245" w:name="_Toc303539136"/>
      <w:bookmarkStart w:id="246" w:name="_Toc297216186"/>
      <w:bookmarkStart w:id="247" w:name="_Toc280868655"/>
      <w:bookmarkStart w:id="248" w:name="_Toc267251424"/>
      <w:bookmarkStart w:id="249" w:name="_Toc280868656"/>
      <w:r>
        <w:rPr>
          <w:rFonts w:hint="eastAsia" w:cs="宋体"/>
          <w:color w:val="auto"/>
          <w:sz w:val="21"/>
          <w:szCs w:val="21"/>
          <w:highlight w:val="none"/>
        </w:rPr>
        <w:t>.4 材料与工程设备的保管与使用</w:t>
      </w:r>
    </w:p>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14:paraId="7E6E510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8</w:t>
      </w:r>
      <w:bookmarkStart w:id="250" w:name="_Toc292559373"/>
      <w:bookmarkStart w:id="251" w:name="_Toc292559878"/>
      <w:bookmarkStart w:id="252" w:name="_Toc304295557"/>
      <w:bookmarkStart w:id="253" w:name="_Toc296347167"/>
      <w:bookmarkStart w:id="254" w:name="_Toc297120468"/>
      <w:bookmarkStart w:id="255" w:name="_Toc300934980"/>
      <w:bookmarkStart w:id="256" w:name="_Toc296944507"/>
      <w:bookmarkStart w:id="257" w:name="_Toc312678020"/>
      <w:bookmarkStart w:id="258" w:name="_Toc297123528"/>
      <w:bookmarkStart w:id="259" w:name="_Toc312677494"/>
      <w:bookmarkStart w:id="260" w:name="_Toc296890996"/>
      <w:bookmarkStart w:id="261" w:name="_Toc297048354"/>
      <w:bookmarkStart w:id="262" w:name="_Toc296891208"/>
      <w:bookmarkStart w:id="263" w:name="_Toc297216187"/>
      <w:bookmarkStart w:id="264" w:name="_Toc296503168"/>
      <w:bookmarkStart w:id="265" w:name="_Toc296346669"/>
      <w:bookmarkStart w:id="266" w:name="_Toc303539137"/>
      <w:bookmarkStart w:id="267" w:name="_Toc318581173"/>
      <w:r>
        <w:rPr>
          <w:rFonts w:hint="eastAsia" w:cs="宋体"/>
          <w:color w:val="auto"/>
          <w:sz w:val="21"/>
          <w:szCs w:val="21"/>
          <w:highlight w:val="none"/>
        </w:rPr>
        <w:t>.4.1 发包人供应的材料设备的保管费用的承担：</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r>
        <w:rPr>
          <w:rFonts w:hint="eastAsia" w:cs="宋体"/>
          <w:color w:val="auto"/>
          <w:sz w:val="21"/>
          <w:szCs w:val="21"/>
          <w:highlight w:val="none"/>
        </w:rPr>
        <w:t>。</w:t>
      </w:r>
      <w:bookmarkEnd w:id="250"/>
      <w:bookmarkEnd w:id="251"/>
    </w:p>
    <w:p w14:paraId="2D1531EC">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8.6 样品</w:t>
      </w:r>
    </w:p>
    <w:p w14:paraId="710FFCB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8.6.1 样品的报送与封存</w:t>
      </w:r>
    </w:p>
    <w:p w14:paraId="74BB4C4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需要承包人报送样品的材料或工程设备，样品的种类、名称、规格、数量要求：</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22D6C0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8.8 施工设备和临时设施</w:t>
      </w:r>
    </w:p>
    <w:p w14:paraId="5826692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8.8.1 承包人提供的施工设备和临时设施</w:t>
      </w:r>
    </w:p>
    <w:p w14:paraId="0D7B077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关于修建临时设施费用承担的约定：</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由承包人自行承担费用</w:t>
      </w:r>
      <w:r>
        <w:rPr>
          <w:rFonts w:hint="eastAsia" w:cs="宋体"/>
          <w:color w:val="auto"/>
          <w:sz w:val="21"/>
          <w:szCs w:val="21"/>
          <w:highlight w:val="none"/>
          <w:u w:val="single"/>
        </w:rPr>
        <w:t xml:space="preserve"> </w:t>
      </w:r>
      <w:r>
        <w:rPr>
          <w:rFonts w:hint="eastAsia" w:cs="宋体"/>
          <w:color w:val="auto"/>
          <w:sz w:val="21"/>
          <w:szCs w:val="21"/>
          <w:highlight w:val="none"/>
        </w:rPr>
        <w:t>。</w:t>
      </w:r>
    </w:p>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14:paraId="659347D2">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268" w:name="_Toc351203641"/>
      <w:r>
        <w:rPr>
          <w:rFonts w:hint="eastAsia" w:cs="宋体"/>
          <w:color w:val="auto"/>
          <w:sz w:val="21"/>
          <w:szCs w:val="21"/>
          <w:highlight w:val="none"/>
        </w:rPr>
        <w:t>9</w:t>
      </w:r>
      <w:bookmarkEnd w:id="247"/>
      <w:bookmarkEnd w:id="248"/>
      <w:bookmarkEnd w:id="249"/>
      <w:bookmarkStart w:id="269" w:name="_Toc297216192"/>
      <w:bookmarkStart w:id="270" w:name="_Toc297123533"/>
      <w:bookmarkStart w:id="271" w:name="_Toc312677495"/>
      <w:bookmarkStart w:id="272" w:name="_Toc304295559"/>
      <w:bookmarkStart w:id="273" w:name="_Toc312678021"/>
      <w:bookmarkStart w:id="274" w:name="_Toc300934982"/>
      <w:bookmarkStart w:id="275" w:name="_Toc303539139"/>
      <w:bookmarkStart w:id="276" w:name="_Toc296944512"/>
      <w:bookmarkStart w:id="277" w:name="_Toc296891213"/>
      <w:bookmarkStart w:id="278" w:name="_Toc296347172"/>
      <w:bookmarkStart w:id="279" w:name="_Toc292559883"/>
      <w:bookmarkStart w:id="280" w:name="_Toc292559378"/>
      <w:bookmarkStart w:id="281" w:name="_Toc296891001"/>
      <w:bookmarkStart w:id="282" w:name="_Toc267251427"/>
      <w:bookmarkStart w:id="283" w:name="_Toc297048359"/>
      <w:bookmarkStart w:id="284" w:name="_Toc296503173"/>
      <w:bookmarkStart w:id="285" w:name="_Toc297120473"/>
      <w:bookmarkStart w:id="286" w:name="_Toc296346674"/>
      <w:bookmarkStart w:id="287" w:name="_Toc267251428"/>
      <w:r>
        <w:rPr>
          <w:rFonts w:hint="eastAsia" w:cs="宋体"/>
          <w:color w:val="auto"/>
          <w:sz w:val="21"/>
          <w:szCs w:val="21"/>
          <w:highlight w:val="none"/>
        </w:rPr>
        <w:t>. 试验与检验</w:t>
      </w:r>
      <w:bookmarkEnd w:id="268"/>
    </w:p>
    <w:bookmarkEnd w:id="269"/>
    <w:bookmarkEnd w:id="270"/>
    <w:bookmarkEnd w:id="271"/>
    <w:bookmarkEnd w:id="272"/>
    <w:bookmarkEnd w:id="273"/>
    <w:bookmarkEnd w:id="274"/>
    <w:bookmarkEnd w:id="275"/>
    <w:p w14:paraId="13E65E4D">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9</w:t>
      </w:r>
      <w:bookmarkStart w:id="288" w:name="_Toc300934983"/>
      <w:bookmarkStart w:id="289" w:name="_Toc303539140"/>
      <w:bookmarkStart w:id="290" w:name="_Toc312677496"/>
      <w:bookmarkStart w:id="291" w:name="_Toc297123534"/>
      <w:bookmarkStart w:id="292" w:name="_Toc297216193"/>
      <w:bookmarkStart w:id="293" w:name="_Toc312678022"/>
      <w:bookmarkStart w:id="294" w:name="_Toc304295560"/>
      <w:r>
        <w:rPr>
          <w:rFonts w:hint="eastAsia" w:cs="宋体"/>
          <w:bCs/>
          <w:color w:val="auto"/>
          <w:sz w:val="21"/>
          <w:szCs w:val="21"/>
          <w:highlight w:val="none"/>
        </w:rPr>
        <w:t>.1 试验设备与试验人员</w:t>
      </w:r>
    </w:p>
    <w:bookmarkEnd w:id="288"/>
    <w:bookmarkEnd w:id="289"/>
    <w:bookmarkEnd w:id="290"/>
    <w:bookmarkEnd w:id="291"/>
    <w:bookmarkEnd w:id="292"/>
    <w:bookmarkEnd w:id="293"/>
    <w:bookmarkEnd w:id="294"/>
    <w:p w14:paraId="3B0F642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9</w:t>
      </w:r>
      <w:bookmarkStart w:id="295" w:name="_Toc304295561"/>
      <w:bookmarkStart w:id="296" w:name="_Toc297216194"/>
      <w:bookmarkStart w:id="297" w:name="_Toc297123535"/>
      <w:bookmarkStart w:id="298" w:name="_Toc312677497"/>
      <w:bookmarkStart w:id="299" w:name="_Toc300934984"/>
      <w:bookmarkStart w:id="300" w:name="_Toc312678023"/>
      <w:bookmarkStart w:id="301" w:name="_Toc303539141"/>
      <w:bookmarkStart w:id="302" w:name="_Toc318581174"/>
      <w:r>
        <w:rPr>
          <w:rFonts w:hint="eastAsia" w:cs="宋体"/>
          <w:color w:val="auto"/>
          <w:sz w:val="21"/>
          <w:szCs w:val="21"/>
          <w:highlight w:val="none"/>
        </w:rPr>
        <w:t>.1.2 试验设备</w:t>
      </w:r>
    </w:p>
    <w:p w14:paraId="24131AA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施工现场需要配置的试验场所</w:t>
      </w:r>
      <w:bookmarkEnd w:id="295"/>
      <w:bookmarkEnd w:id="296"/>
      <w:bookmarkEnd w:id="297"/>
      <w:bookmarkEnd w:id="298"/>
      <w:bookmarkEnd w:id="299"/>
      <w:bookmarkEnd w:id="300"/>
      <w:bookmarkEnd w:id="301"/>
      <w:bookmarkStart w:id="303" w:name="_Toc312678024"/>
      <w:bookmarkStart w:id="304" w:name="_Toc297123536"/>
      <w:bookmarkStart w:id="305" w:name="_Toc300934985"/>
      <w:bookmarkStart w:id="306" w:name="_Toc303539142"/>
      <w:bookmarkStart w:id="307" w:name="_Toc304295562"/>
      <w:bookmarkStart w:id="308" w:name="_Toc297216195"/>
      <w:bookmarkStart w:id="309" w:name="_Toc312677498"/>
      <w:r>
        <w:rPr>
          <w:rFonts w:hint="eastAsia" w:cs="宋体"/>
          <w:color w:val="auto"/>
          <w:sz w:val="21"/>
          <w:szCs w:val="21"/>
          <w:highlight w:val="none"/>
        </w:rPr>
        <w:t xml:space="preserve">：  </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执行采购文件</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587D81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施工现场需要配备的试验设备：</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执行采购文件</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259F21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施工现场需要具备的其他试验条件：</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执行采购文件</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B4BABAC">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 xml:space="preserve">9.4 现场工艺试验 </w:t>
      </w:r>
    </w:p>
    <w:p w14:paraId="4ECC7C9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现场工艺试验的有关约定：</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按监理人指示</w:t>
      </w:r>
      <w:r>
        <w:rPr>
          <w:rFonts w:hint="eastAsia" w:cs="宋体"/>
          <w:color w:val="auto"/>
          <w:sz w:val="21"/>
          <w:szCs w:val="21"/>
          <w:highlight w:val="none"/>
          <w:u w:val="single"/>
        </w:rPr>
        <w:t xml:space="preserve">        </w:t>
      </w:r>
      <w:r>
        <w:rPr>
          <w:rFonts w:hint="eastAsia" w:cs="宋体"/>
          <w:color w:val="auto"/>
          <w:sz w:val="21"/>
          <w:szCs w:val="21"/>
          <w:highlight w:val="none"/>
        </w:rPr>
        <w:t>。</w:t>
      </w:r>
    </w:p>
    <w:bookmarkEnd w:id="302"/>
    <w:bookmarkEnd w:id="303"/>
    <w:bookmarkEnd w:id="304"/>
    <w:bookmarkEnd w:id="305"/>
    <w:bookmarkEnd w:id="306"/>
    <w:bookmarkEnd w:id="307"/>
    <w:bookmarkEnd w:id="308"/>
    <w:bookmarkEnd w:id="309"/>
    <w:p w14:paraId="44661E63">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310" w:name="_Toc351203642"/>
      <w:r>
        <w:rPr>
          <w:rFonts w:hint="eastAsia" w:cs="宋体"/>
          <w:color w:val="auto"/>
          <w:sz w:val="21"/>
          <w:szCs w:val="21"/>
          <w:highlight w:val="none"/>
        </w:rPr>
        <w:t>1</w:t>
      </w:r>
      <w:bookmarkEnd w:id="276"/>
      <w:bookmarkEnd w:id="277"/>
      <w:bookmarkEnd w:id="278"/>
      <w:bookmarkEnd w:id="279"/>
      <w:bookmarkEnd w:id="280"/>
      <w:bookmarkEnd w:id="281"/>
      <w:bookmarkEnd w:id="282"/>
      <w:bookmarkEnd w:id="283"/>
      <w:bookmarkEnd w:id="284"/>
      <w:bookmarkEnd w:id="285"/>
      <w:bookmarkEnd w:id="286"/>
      <w:bookmarkEnd w:id="287"/>
      <w:bookmarkStart w:id="311" w:name="_Toc296347192"/>
      <w:bookmarkStart w:id="312" w:name="_Toc303539146"/>
      <w:bookmarkStart w:id="313" w:name="_Toc292559903"/>
      <w:bookmarkStart w:id="314" w:name="_Toc296346694"/>
      <w:bookmarkStart w:id="315" w:name="_Toc297048379"/>
      <w:bookmarkStart w:id="316" w:name="_Toc296503193"/>
      <w:bookmarkStart w:id="317" w:name="_Toc297216199"/>
      <w:bookmarkStart w:id="318" w:name="_Toc300934989"/>
      <w:bookmarkStart w:id="319" w:name="_Toc296891021"/>
      <w:bookmarkStart w:id="320" w:name="_Toc304295566"/>
      <w:bookmarkStart w:id="321" w:name="_Toc296944532"/>
      <w:bookmarkStart w:id="322" w:name="_Toc297120493"/>
      <w:bookmarkStart w:id="323" w:name="_Toc297123540"/>
      <w:bookmarkStart w:id="324" w:name="_Toc296891233"/>
      <w:bookmarkStart w:id="325" w:name="_Toc292559398"/>
      <w:bookmarkStart w:id="326" w:name="_Toc312678025"/>
      <w:bookmarkStart w:id="327" w:name="_Toc312677499"/>
      <w:bookmarkStart w:id="328" w:name="_Toc267251439"/>
      <w:bookmarkStart w:id="329" w:name="_Toc267251441"/>
      <w:bookmarkStart w:id="330" w:name="_Toc267251433"/>
      <w:bookmarkStart w:id="331" w:name="_Toc267251437"/>
      <w:bookmarkStart w:id="332" w:name="_Toc267251440"/>
      <w:bookmarkStart w:id="333" w:name="_Toc267251435"/>
      <w:bookmarkStart w:id="334" w:name="_Toc267251442"/>
      <w:r>
        <w:rPr>
          <w:rFonts w:hint="eastAsia" w:cs="宋体"/>
          <w:color w:val="auto"/>
          <w:sz w:val="21"/>
          <w:szCs w:val="21"/>
          <w:highlight w:val="none"/>
        </w:rPr>
        <w:t>0. 变更</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bookmarkEnd w:id="326"/>
    <w:bookmarkEnd w:id="327"/>
    <w:p w14:paraId="1420C5F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w:t>
      </w:r>
      <w:bookmarkStart w:id="335" w:name="_Toc296891022"/>
      <w:bookmarkStart w:id="336" w:name="_Toc296944533"/>
      <w:bookmarkStart w:id="337" w:name="_Toc296503194"/>
      <w:bookmarkStart w:id="338" w:name="_Toc297048380"/>
      <w:bookmarkStart w:id="339" w:name="_Toc303539147"/>
      <w:bookmarkStart w:id="340" w:name="_Toc304295567"/>
      <w:bookmarkStart w:id="341" w:name="_Toc292559399"/>
      <w:bookmarkStart w:id="342" w:name="_Toc292559904"/>
      <w:bookmarkStart w:id="343" w:name="_Toc300934990"/>
      <w:bookmarkStart w:id="344" w:name="_Toc312678026"/>
      <w:bookmarkStart w:id="345" w:name="_Toc296347193"/>
      <w:bookmarkStart w:id="346" w:name="_Toc312677500"/>
      <w:bookmarkStart w:id="347" w:name="_Toc297216200"/>
      <w:bookmarkStart w:id="348" w:name="_Toc297120494"/>
      <w:bookmarkStart w:id="349" w:name="_Toc297123541"/>
      <w:bookmarkStart w:id="350" w:name="_Toc296346695"/>
      <w:bookmarkStart w:id="351" w:name="_Toc296891234"/>
      <w:r>
        <w:rPr>
          <w:rFonts w:hint="eastAsia" w:cs="宋体"/>
          <w:bCs/>
          <w:color w:val="auto"/>
          <w:sz w:val="21"/>
          <w:szCs w:val="21"/>
          <w:highlight w:val="none"/>
        </w:rPr>
        <w:t>0.1 变更的范围</w:t>
      </w:r>
    </w:p>
    <w:p w14:paraId="6A71AB2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关于变更的范围的约定：</w:t>
      </w:r>
      <w:r>
        <w:rPr>
          <w:rFonts w:hint="eastAsia" w:cs="宋体"/>
          <w:color w:val="auto"/>
          <w:sz w:val="21"/>
          <w:szCs w:val="21"/>
          <w:highlight w:val="none"/>
          <w:u w:val="single"/>
        </w:rPr>
        <w:t xml:space="preserve">  </w:t>
      </w:r>
      <w:r>
        <w:rPr>
          <w:rFonts w:hint="eastAsia" w:ascii="宋体" w:hAnsi="宋体" w:cs="宋体"/>
          <w:b/>
          <w:color w:val="auto"/>
          <w:sz w:val="21"/>
          <w:szCs w:val="21"/>
          <w:highlight w:val="none"/>
          <w:u w:val="single"/>
          <w:shd w:val="clear" w:color="auto" w:fill="auto"/>
        </w:rPr>
        <w:t>执行合同通用条款</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96A822D">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10.4 变更估价</w:t>
      </w:r>
    </w:p>
    <w:p w14:paraId="0434A5AD">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10.4.1 变更估价原则</w:t>
      </w:r>
    </w:p>
    <w:p w14:paraId="07604461">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关于变更估价的约定：</w:t>
      </w:r>
    </w:p>
    <w:p w14:paraId="0865130F">
      <w:pPr>
        <w:keepNext w:val="0"/>
        <w:keepLines w:val="0"/>
        <w:pageBreakBefore w:val="0"/>
        <w:widowControl w:val="0"/>
        <w:kinsoku/>
        <w:wordWrap/>
        <w:overflowPunct/>
        <w:topLinePunct w:val="0"/>
        <w:autoSpaceDE/>
        <w:autoSpaceDN/>
        <w:bidi w:val="0"/>
        <w:snapToGrid w:val="0"/>
        <w:spacing w:beforeAutospacing="0" w:line="400" w:lineRule="exact"/>
        <w:ind w:firstLine="422" w:firstLineChars="200"/>
        <w:textAlignment w:val="auto"/>
        <w:rPr>
          <w:rFonts w:hint="eastAsia" w:cs="宋体"/>
          <w:b/>
          <w:bCs w:val="0"/>
          <w:color w:val="auto"/>
          <w:sz w:val="21"/>
          <w:szCs w:val="21"/>
          <w:highlight w:val="none"/>
          <w:u w:val="single"/>
        </w:rPr>
      </w:pPr>
      <w:r>
        <w:rPr>
          <w:rFonts w:hint="eastAsia" w:cs="宋体"/>
          <w:b/>
          <w:bCs w:val="0"/>
          <w:color w:val="auto"/>
          <w:sz w:val="21"/>
          <w:szCs w:val="21"/>
          <w:highlight w:val="none"/>
          <w:u w:val="single"/>
        </w:rPr>
        <w:t>变更导致结算工程量（含1.13清单工程量错误产生的工程量）减少0-100%或增加15%以内部分，执行下列第（1）款或第（2）款确定的单价；但超出15%以外部分，结算单价按第（1）款或第（2）款对应的最高投标限价单价×投标让利幅度计算，组价明显错误的予以纠正；已标价工程量清单或预算书中无相同项目及类似项目单价的新增项目单价按照最高投标限价的编制原则重新组价×投标让利幅度（上述投标让利幅度为成交价/最高投标限价，其中成交价和最高投标限价均扣除暂列金额、暂估价及相应税金），结算价格最终以相关部门审核价为准；</w:t>
      </w:r>
    </w:p>
    <w:p w14:paraId="4B956118">
      <w:pPr>
        <w:keepNext w:val="0"/>
        <w:keepLines w:val="0"/>
        <w:pageBreakBefore w:val="0"/>
        <w:widowControl w:val="0"/>
        <w:kinsoku/>
        <w:wordWrap/>
        <w:overflowPunct/>
        <w:topLinePunct w:val="0"/>
        <w:autoSpaceDE/>
        <w:autoSpaceDN/>
        <w:bidi w:val="0"/>
        <w:snapToGrid w:val="0"/>
        <w:spacing w:beforeAutospacing="0" w:line="400" w:lineRule="exact"/>
        <w:ind w:firstLine="422" w:firstLineChars="200"/>
        <w:textAlignment w:val="auto"/>
        <w:rPr>
          <w:rFonts w:hint="eastAsia" w:cs="宋体"/>
          <w:b/>
          <w:bCs w:val="0"/>
          <w:color w:val="auto"/>
          <w:sz w:val="21"/>
          <w:szCs w:val="21"/>
          <w:highlight w:val="none"/>
          <w:u w:val="single"/>
        </w:rPr>
      </w:pPr>
      <w:r>
        <w:rPr>
          <w:rFonts w:hint="eastAsia" w:cs="宋体"/>
          <w:b/>
          <w:bCs w:val="0"/>
          <w:color w:val="auto"/>
          <w:sz w:val="21"/>
          <w:szCs w:val="21"/>
          <w:highlight w:val="none"/>
          <w:u w:val="single"/>
        </w:rPr>
        <w:t>（1）已标价工程量清单或预算书有相同项目的，按照相同项目单价认定；</w:t>
      </w:r>
    </w:p>
    <w:p w14:paraId="1B28AE97">
      <w:pPr>
        <w:keepNext w:val="0"/>
        <w:keepLines w:val="0"/>
        <w:pageBreakBefore w:val="0"/>
        <w:widowControl w:val="0"/>
        <w:kinsoku/>
        <w:wordWrap/>
        <w:overflowPunct/>
        <w:topLinePunct w:val="0"/>
        <w:autoSpaceDE/>
        <w:autoSpaceDN/>
        <w:bidi w:val="0"/>
        <w:snapToGrid w:val="0"/>
        <w:spacing w:beforeAutospacing="0" w:line="400" w:lineRule="exact"/>
        <w:ind w:firstLine="422" w:firstLineChars="200"/>
        <w:textAlignment w:val="auto"/>
        <w:rPr>
          <w:rFonts w:hint="eastAsia" w:cs="宋体"/>
          <w:b/>
          <w:bCs w:val="0"/>
          <w:color w:val="auto"/>
          <w:sz w:val="21"/>
          <w:szCs w:val="21"/>
          <w:highlight w:val="none"/>
          <w:u w:val="single"/>
        </w:rPr>
      </w:pPr>
      <w:r>
        <w:rPr>
          <w:rFonts w:hint="eastAsia" w:cs="宋体"/>
          <w:b/>
          <w:bCs w:val="0"/>
          <w:color w:val="auto"/>
          <w:sz w:val="21"/>
          <w:szCs w:val="21"/>
          <w:highlight w:val="none"/>
          <w:u w:val="single"/>
        </w:rPr>
        <w:t>（2）已标价工程量清单或预算书中无相同项目，但有类似项目的，参照类似项目的单价认定。</w:t>
      </w:r>
    </w:p>
    <w:p w14:paraId="0F7809BB">
      <w:pPr>
        <w:keepNext w:val="0"/>
        <w:keepLines w:val="0"/>
        <w:pageBreakBefore w:val="0"/>
        <w:widowControl w:val="0"/>
        <w:kinsoku/>
        <w:wordWrap/>
        <w:overflowPunct/>
        <w:topLinePunct w:val="0"/>
        <w:autoSpaceDE/>
        <w:autoSpaceDN/>
        <w:bidi w:val="0"/>
        <w:snapToGrid w:val="0"/>
        <w:spacing w:beforeAutospacing="0" w:line="400" w:lineRule="exact"/>
        <w:ind w:firstLine="420" w:firstLineChars="200"/>
        <w:textAlignment w:val="auto"/>
        <w:rPr>
          <w:rFonts w:hint="eastAsia" w:cs="宋体"/>
          <w:b/>
          <w:bCs w:val="0"/>
          <w:color w:val="auto"/>
          <w:sz w:val="21"/>
          <w:szCs w:val="21"/>
          <w:highlight w:val="none"/>
          <w:u w:val="single"/>
        </w:rPr>
      </w:pPr>
      <w:r>
        <w:rPr>
          <w:rFonts w:hint="eastAsia" w:cs="宋体"/>
          <w:b w:val="0"/>
          <w:bCs/>
          <w:color w:val="auto"/>
          <w:sz w:val="21"/>
          <w:szCs w:val="21"/>
          <w:highlight w:val="none"/>
          <w:u w:val="none"/>
        </w:rPr>
        <w:t>技术措施费调整：</w:t>
      </w:r>
      <w:r>
        <w:rPr>
          <w:rFonts w:hint="eastAsia" w:cs="宋体"/>
          <w:b/>
          <w:bCs w:val="0"/>
          <w:color w:val="auto"/>
          <w:sz w:val="21"/>
          <w:szCs w:val="21"/>
          <w:highlight w:val="none"/>
          <w:u w:val="single"/>
        </w:rPr>
        <w:t>因承包人改变施工技术措施，造成的价格变动，措施费不予调整。因工程变更必须改变原来施工技术措施，造成价格变动的，按实调整，变更组价原则同上。</w:t>
      </w:r>
    </w:p>
    <w:p w14:paraId="1599912C">
      <w:pPr>
        <w:keepNext w:val="0"/>
        <w:keepLines w:val="0"/>
        <w:pageBreakBefore w:val="0"/>
        <w:widowControl w:val="0"/>
        <w:kinsoku/>
        <w:wordWrap/>
        <w:overflowPunct/>
        <w:topLinePunct w:val="0"/>
        <w:autoSpaceDE/>
        <w:autoSpaceDN/>
        <w:bidi w:val="0"/>
        <w:snapToGrid w:val="0"/>
        <w:spacing w:before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cs="宋体"/>
          <w:b w:val="0"/>
          <w:bCs/>
          <w:color w:val="auto"/>
          <w:sz w:val="21"/>
          <w:szCs w:val="21"/>
          <w:highlight w:val="none"/>
          <w:u w:val="none"/>
        </w:rPr>
        <w:t>组织措施费调整：</w:t>
      </w:r>
      <w:r>
        <w:rPr>
          <w:rFonts w:hint="eastAsia" w:cs="宋体"/>
          <w:b/>
          <w:bCs w:val="0"/>
          <w:color w:val="auto"/>
          <w:sz w:val="21"/>
          <w:szCs w:val="21"/>
          <w:highlight w:val="none"/>
          <w:u w:val="single"/>
        </w:rPr>
        <w:t>按实调整。</w:t>
      </w:r>
    </w:p>
    <w:p w14:paraId="250D9885">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Start w:id="352" w:name="_Toc300934993"/>
      <w:bookmarkStart w:id="353" w:name="_Toc296891025"/>
      <w:bookmarkStart w:id="354" w:name="_Toc296347196"/>
      <w:bookmarkStart w:id="355" w:name="_Toc292559907"/>
      <w:bookmarkStart w:id="356" w:name="_Toc292559402"/>
      <w:bookmarkStart w:id="357" w:name="_Toc297216203"/>
      <w:bookmarkStart w:id="358" w:name="_Toc303539150"/>
      <w:bookmarkStart w:id="359" w:name="_Toc297048383"/>
      <w:bookmarkStart w:id="360" w:name="_Toc296503197"/>
      <w:bookmarkStart w:id="361" w:name="_Toc297123544"/>
      <w:bookmarkStart w:id="362" w:name="_Toc296944536"/>
      <w:bookmarkStart w:id="363" w:name="_Toc296891237"/>
      <w:bookmarkStart w:id="364" w:name="_Toc297120497"/>
      <w:bookmarkStart w:id="365" w:name="_Toc296346698"/>
      <w:bookmarkStart w:id="366" w:name="_Toc312678029"/>
      <w:bookmarkStart w:id="367" w:name="_Toc304295570"/>
      <w:bookmarkStart w:id="368" w:name="_Toc312677503"/>
      <w:r>
        <w:rPr>
          <w:rFonts w:hint="eastAsia" w:cs="宋体"/>
          <w:bCs/>
          <w:color w:val="auto"/>
          <w:sz w:val="21"/>
          <w:szCs w:val="21"/>
          <w:highlight w:val="none"/>
        </w:rPr>
        <w:t>0.5 承</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Start w:id="369" w:name="_Toc296891031"/>
      <w:bookmarkStart w:id="370" w:name="_Toc292559408"/>
      <w:bookmarkStart w:id="371" w:name="_Toc300934994"/>
      <w:bookmarkStart w:id="372" w:name="_Toc296347202"/>
      <w:bookmarkStart w:id="373" w:name="_Toc296891243"/>
      <w:bookmarkStart w:id="374" w:name="_Toc297048389"/>
      <w:bookmarkStart w:id="375" w:name="_Toc296503203"/>
      <w:bookmarkStart w:id="376" w:name="_Toc292559913"/>
      <w:bookmarkStart w:id="377" w:name="_Toc297123545"/>
      <w:bookmarkStart w:id="378" w:name="_Toc303539151"/>
      <w:bookmarkStart w:id="379" w:name="_Toc296346704"/>
      <w:bookmarkStart w:id="380" w:name="_Toc297120503"/>
      <w:bookmarkStart w:id="381" w:name="_Toc297216204"/>
      <w:bookmarkStart w:id="382" w:name="_Toc296944542"/>
      <w:r>
        <w:rPr>
          <w:rFonts w:hint="eastAsia" w:cs="宋体"/>
          <w:bCs/>
          <w:color w:val="auto"/>
          <w:sz w:val="21"/>
          <w:szCs w:val="21"/>
          <w:highlight w:val="none"/>
        </w:rPr>
        <w:t>包人的合理化建议</w:t>
      </w:r>
    </w:p>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14:paraId="0D4D3104">
      <w:pPr>
        <w:pageBreakBefore w:val="0"/>
        <w:widowControl w:val="0"/>
        <w:kinsoku/>
        <w:wordWrap/>
        <w:overflowPunct/>
        <w:topLinePunct w:val="0"/>
        <w:bidi w:val="0"/>
        <w:snapToGrid w:val="0"/>
        <w:spacing w:beforeAutospacing="0"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监理人审查承包人合理化建议的期限：</w:t>
      </w:r>
      <w:r>
        <w:rPr>
          <w:rFonts w:hint="eastAsia" w:ascii="宋体" w:hAnsi="宋体" w:eastAsia="宋体" w:cs="宋体"/>
          <w:color w:val="auto"/>
          <w:sz w:val="21"/>
          <w:szCs w:val="21"/>
          <w:highlight w:val="none"/>
          <w:u w:val="single"/>
        </w:rPr>
        <w:t xml:space="preserve"> 监理人应在收到承包人提交的合理化建议后7天内审查完毕并报送发包人，发现其中存在技术上的缺陷，应通知承包人修改。</w:t>
      </w:r>
    </w:p>
    <w:p w14:paraId="13F57C55">
      <w:pPr>
        <w:pageBreakBefore w:val="0"/>
        <w:widowControl w:val="0"/>
        <w:kinsoku/>
        <w:wordWrap/>
        <w:overflowPunct/>
        <w:topLinePunct w:val="0"/>
        <w:bidi w:val="0"/>
        <w:snapToGrid w:val="0"/>
        <w:spacing w:beforeAutospacing="0"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发包人审批承包人合理化建议的期限：</w:t>
      </w:r>
      <w:r>
        <w:rPr>
          <w:rFonts w:hint="eastAsia" w:ascii="宋体" w:hAnsi="宋体" w:eastAsia="宋体" w:cs="宋体"/>
          <w:color w:val="auto"/>
          <w:sz w:val="21"/>
          <w:szCs w:val="21"/>
          <w:highlight w:val="none"/>
          <w:u w:val="single"/>
        </w:rPr>
        <w:t xml:space="preserve"> 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7CE72581">
      <w:pPr>
        <w:pageBreakBefore w:val="0"/>
        <w:widowControl w:val="0"/>
        <w:kinsoku/>
        <w:wordWrap/>
        <w:overflowPunct/>
        <w:topLinePunct w:val="0"/>
        <w:bidi w:val="0"/>
        <w:snapToGrid w:val="0"/>
        <w:spacing w:beforeAutospacing="0" w:line="400" w:lineRule="exact"/>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承包人提出的合理化建议降低了合同价格或者提高了工程经济效益的奖励的方法和金额为：</w:t>
      </w:r>
      <w:r>
        <w:rPr>
          <w:rFonts w:hint="eastAsia" w:cs="宋体"/>
          <w:color w:val="auto"/>
          <w:sz w:val="21"/>
          <w:szCs w:val="21"/>
          <w:highlight w:val="none"/>
          <w:u w:val="single"/>
          <w:lang w:val="en-US" w:eastAsia="zh-CN"/>
        </w:rPr>
        <w:t xml:space="preserve"> 由发包人根据合同价格降低额或工程经济效益提高承担，结合项目考勤、质量、安全、进度等实际情况综合考虑</w:t>
      </w:r>
      <w:r>
        <w:rPr>
          <w:rFonts w:hint="eastAsia" w:ascii="宋体" w:hAnsi="宋体" w:eastAsia="宋体" w:cs="宋体"/>
          <w:color w:val="auto"/>
          <w:sz w:val="21"/>
          <w:szCs w:val="21"/>
          <w:highlight w:val="none"/>
        </w:rPr>
        <w:t>。</w:t>
      </w:r>
    </w:p>
    <w:p w14:paraId="16C1849D">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w:t>
      </w:r>
      <w:bookmarkStart w:id="383" w:name="_Toc297123548"/>
      <w:bookmarkStart w:id="384" w:name="_Toc297216207"/>
      <w:bookmarkStart w:id="385" w:name="_Toc304295574"/>
      <w:bookmarkStart w:id="386" w:name="_Toc296347198"/>
      <w:bookmarkStart w:id="387" w:name="_Toc312678033"/>
      <w:bookmarkStart w:id="388" w:name="_Toc296503199"/>
      <w:bookmarkStart w:id="389" w:name="_Toc297048385"/>
      <w:bookmarkStart w:id="390" w:name="_Toc296891239"/>
      <w:bookmarkStart w:id="391" w:name="_Toc292559909"/>
      <w:bookmarkStart w:id="392" w:name="_Toc296346700"/>
      <w:bookmarkStart w:id="393" w:name="_Toc296891027"/>
      <w:bookmarkStart w:id="394" w:name="_Toc296944538"/>
      <w:bookmarkStart w:id="395" w:name="_Toc303539154"/>
      <w:bookmarkStart w:id="396" w:name="_Toc312677507"/>
      <w:bookmarkStart w:id="397" w:name="_Toc297120499"/>
      <w:bookmarkStart w:id="398" w:name="_Toc300934997"/>
      <w:bookmarkStart w:id="399" w:name="_Toc292559404"/>
      <w:r>
        <w:rPr>
          <w:rFonts w:hint="eastAsia" w:cs="宋体"/>
          <w:bCs/>
          <w:color w:val="auto"/>
          <w:sz w:val="21"/>
          <w:szCs w:val="21"/>
          <w:highlight w:val="none"/>
        </w:rPr>
        <w:t>0.7 暂估价</w:t>
      </w:r>
    </w:p>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14:paraId="2BE44D9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暂</w:t>
      </w:r>
      <w:bookmarkStart w:id="400" w:name="_Toc312677508"/>
      <w:bookmarkStart w:id="401" w:name="_Toc318581176"/>
      <w:bookmarkStart w:id="402" w:name="_Toc312678034"/>
      <w:r>
        <w:rPr>
          <w:rFonts w:hint="eastAsia" w:cs="宋体"/>
          <w:color w:val="auto"/>
          <w:sz w:val="21"/>
          <w:szCs w:val="21"/>
          <w:highlight w:val="none"/>
        </w:rPr>
        <w:t>估价材料和工程设备的明细见附件12：《暂估价一览表》。</w:t>
      </w:r>
    </w:p>
    <w:bookmarkEnd w:id="400"/>
    <w:bookmarkEnd w:id="401"/>
    <w:bookmarkEnd w:id="402"/>
    <w:p w14:paraId="5472836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w:t>
      </w:r>
      <w:bookmarkStart w:id="403" w:name="_Toc312678035"/>
      <w:bookmarkStart w:id="404" w:name="_Toc312677509"/>
      <w:bookmarkStart w:id="405" w:name="_Toc318581177"/>
      <w:r>
        <w:rPr>
          <w:rFonts w:hint="eastAsia" w:cs="宋体"/>
          <w:color w:val="auto"/>
          <w:sz w:val="21"/>
          <w:szCs w:val="21"/>
          <w:highlight w:val="none"/>
        </w:rPr>
        <w:t>0.7.1 依法必须招标的暂估价项目</w:t>
      </w:r>
    </w:p>
    <w:bookmarkEnd w:id="403"/>
    <w:bookmarkEnd w:id="404"/>
    <w:bookmarkEnd w:id="405"/>
    <w:p w14:paraId="0701D08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对于依法必须招标的暂估价项目的确认和批准采取第</w:t>
      </w:r>
      <w:r>
        <w:rPr>
          <w:rFonts w:hint="eastAsia" w:cs="宋体"/>
          <w:color w:val="auto"/>
          <w:sz w:val="21"/>
          <w:szCs w:val="21"/>
          <w:highlight w:val="none"/>
          <w:u w:val="single"/>
        </w:rPr>
        <w:t>2</w:t>
      </w:r>
      <w:r>
        <w:rPr>
          <w:rFonts w:hint="eastAsia" w:cs="宋体"/>
          <w:color w:val="auto"/>
          <w:sz w:val="21"/>
          <w:szCs w:val="21"/>
          <w:highlight w:val="none"/>
        </w:rPr>
        <w:t>种方式确定。</w:t>
      </w:r>
      <w:r>
        <w:rPr>
          <w:rFonts w:hint="eastAsia" w:cs="宋体"/>
          <w:b/>
          <w:color w:val="auto"/>
          <w:sz w:val="21"/>
          <w:szCs w:val="21"/>
          <w:highlight w:val="none"/>
          <w:u w:val="single"/>
        </w:rPr>
        <w:t>并应按相关规定进行二次招标</w:t>
      </w:r>
      <w:r>
        <w:rPr>
          <w:rFonts w:hint="eastAsia" w:cs="宋体"/>
          <w:color w:val="auto"/>
          <w:sz w:val="21"/>
          <w:szCs w:val="21"/>
          <w:highlight w:val="none"/>
        </w:rPr>
        <w:t>。</w:t>
      </w:r>
    </w:p>
    <w:p w14:paraId="641C932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10.7.2 不属于依法必须招标的暂估价项目</w:t>
      </w:r>
    </w:p>
    <w:p w14:paraId="0E7B6E0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对于不属于依法必须招标的暂估价项目的确认和批准采取第</w:t>
      </w:r>
      <w:r>
        <w:rPr>
          <w:rFonts w:hint="eastAsia" w:cs="宋体"/>
          <w:color w:val="auto"/>
          <w:sz w:val="21"/>
          <w:szCs w:val="21"/>
          <w:highlight w:val="none"/>
          <w:u w:val="single"/>
        </w:rPr>
        <w:t>1</w:t>
      </w:r>
      <w:r>
        <w:rPr>
          <w:rFonts w:hint="eastAsia" w:cs="宋体"/>
          <w:color w:val="auto"/>
          <w:sz w:val="21"/>
          <w:szCs w:val="21"/>
          <w:highlight w:val="none"/>
        </w:rPr>
        <w:t>种方式确定。</w:t>
      </w:r>
    </w:p>
    <w:p w14:paraId="03DCEF3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第3种方式：承包人直接实施的暂估价项目</w:t>
      </w:r>
    </w:p>
    <w:p w14:paraId="376ABE3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承包人直接实施的暂估价项目的约定：</w:t>
      </w:r>
      <w:r>
        <w:rPr>
          <w:rFonts w:hint="eastAsia" w:cs="宋体"/>
          <w:color w:val="auto"/>
          <w:sz w:val="21"/>
          <w:szCs w:val="21"/>
          <w:highlight w:val="none"/>
          <w:u w:val="single"/>
        </w:rPr>
        <w:t xml:space="preserve">  /  </w:t>
      </w:r>
      <w:r>
        <w:rPr>
          <w:rFonts w:hint="eastAsia" w:cs="宋体"/>
          <w:color w:val="auto"/>
          <w:sz w:val="21"/>
          <w:szCs w:val="21"/>
          <w:highlight w:val="none"/>
        </w:rPr>
        <w:t>。</w:t>
      </w:r>
    </w:p>
    <w:p w14:paraId="411F1087">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10.8 暂列金额</w:t>
      </w:r>
    </w:p>
    <w:p w14:paraId="035285C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合同当事人关于暂列金额使用的约定：</w:t>
      </w:r>
      <w:r>
        <w:rPr>
          <w:rFonts w:hint="eastAsia" w:ascii="宋体" w:cs="宋体"/>
          <w:color w:val="auto"/>
          <w:sz w:val="21"/>
          <w:szCs w:val="21"/>
          <w:highlight w:val="none"/>
          <w:u w:val="single"/>
          <w:shd w:val="clear" w:color="auto" w:fill="auto"/>
        </w:rPr>
        <w:t>暂列金额应按照发包人的要求使用</w:t>
      </w:r>
      <w:r>
        <w:rPr>
          <w:rFonts w:hint="eastAsia" w:cs="宋体"/>
          <w:color w:val="auto"/>
          <w:sz w:val="21"/>
          <w:szCs w:val="21"/>
          <w:highlight w:val="none"/>
        </w:rPr>
        <w:t>。</w:t>
      </w:r>
    </w:p>
    <w:p w14:paraId="251E63AA">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406" w:name="_Toc351203643"/>
      <w:r>
        <w:rPr>
          <w:rFonts w:hint="eastAsia" w:cs="宋体"/>
          <w:color w:val="auto"/>
          <w:sz w:val="21"/>
          <w:szCs w:val="21"/>
          <w:highlight w:val="none"/>
        </w:rPr>
        <w:t>11. 价格调整</w:t>
      </w:r>
      <w:bookmarkEnd w:id="406"/>
    </w:p>
    <w:p w14:paraId="577B4BCC">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bookmarkStart w:id="407" w:name="_Toc296944540"/>
      <w:bookmarkStart w:id="408" w:name="_Toc303539157"/>
      <w:bookmarkStart w:id="409" w:name="_Toc296891029"/>
      <w:bookmarkStart w:id="410" w:name="_Toc292559911"/>
      <w:bookmarkStart w:id="411" w:name="_Toc297120501"/>
      <w:bookmarkStart w:id="412" w:name="_Toc312678039"/>
      <w:bookmarkStart w:id="413" w:name="_Toc297123550"/>
      <w:bookmarkStart w:id="414" w:name="_Toc296346702"/>
      <w:bookmarkStart w:id="415" w:name="_Toc297048387"/>
      <w:bookmarkStart w:id="416" w:name="_Toc297216209"/>
      <w:bookmarkStart w:id="417" w:name="_Toc300935000"/>
      <w:bookmarkStart w:id="418" w:name="_Toc296347200"/>
      <w:bookmarkStart w:id="419" w:name="_Toc304295577"/>
      <w:bookmarkStart w:id="420" w:name="_Toc292559406"/>
      <w:bookmarkStart w:id="421" w:name="_Toc296503201"/>
      <w:bookmarkStart w:id="422" w:name="_Toc296891241"/>
      <w:r>
        <w:rPr>
          <w:rFonts w:hint="eastAsia" w:cs="宋体"/>
          <w:bCs/>
          <w:color w:val="auto"/>
          <w:sz w:val="21"/>
          <w:szCs w:val="21"/>
          <w:highlight w:val="none"/>
        </w:rPr>
        <w:t>11.1 市场价格波动引起的调整</w:t>
      </w:r>
    </w:p>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14:paraId="3D2F151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市场价格波动是否调整合同价格的约定：</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bookmarkEnd w:id="328"/>
    <w:bookmarkEnd w:id="329"/>
    <w:bookmarkEnd w:id="330"/>
    <w:bookmarkEnd w:id="331"/>
    <w:bookmarkEnd w:id="332"/>
    <w:bookmarkEnd w:id="333"/>
    <w:p w14:paraId="7A4B8F24">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423" w:name="_Toc296346706"/>
      <w:bookmarkStart w:id="424" w:name="_Toc296891245"/>
      <w:bookmarkStart w:id="425" w:name="_Toc296891033"/>
      <w:bookmarkStart w:id="426" w:name="_Toc292559915"/>
      <w:bookmarkStart w:id="427" w:name="_Toc297120505"/>
      <w:bookmarkStart w:id="428" w:name="_Toc296503205"/>
      <w:bookmarkStart w:id="429" w:name="_Toc292559410"/>
      <w:bookmarkStart w:id="430" w:name="_Toc296944544"/>
      <w:bookmarkStart w:id="431" w:name="_Toc296347204"/>
      <w:bookmarkStart w:id="432" w:name="_Toc297048391"/>
      <w:bookmarkStart w:id="433" w:name="_Toc351203644"/>
      <w:bookmarkStart w:id="434" w:name="_Toc300935002"/>
      <w:bookmarkStart w:id="435" w:name="_Toc297216211"/>
      <w:bookmarkStart w:id="436" w:name="_Toc297123552"/>
      <w:bookmarkStart w:id="437" w:name="_Toc303539159"/>
      <w:bookmarkStart w:id="438" w:name="_Toc304295579"/>
      <w:bookmarkStart w:id="439" w:name="_Toc312678040"/>
      <w:r>
        <w:rPr>
          <w:rFonts w:hint="eastAsia" w:cs="宋体"/>
          <w:color w:val="auto"/>
          <w:sz w:val="21"/>
          <w:szCs w:val="21"/>
          <w:highlight w:val="none"/>
        </w:rPr>
        <w:t xml:space="preserve">12. </w:t>
      </w:r>
      <w:bookmarkEnd w:id="423"/>
      <w:bookmarkEnd w:id="424"/>
      <w:bookmarkEnd w:id="425"/>
      <w:bookmarkEnd w:id="426"/>
      <w:bookmarkEnd w:id="427"/>
      <w:bookmarkEnd w:id="428"/>
      <w:bookmarkEnd w:id="429"/>
      <w:bookmarkEnd w:id="430"/>
      <w:bookmarkEnd w:id="431"/>
      <w:bookmarkEnd w:id="432"/>
      <w:r>
        <w:rPr>
          <w:rFonts w:hint="eastAsia" w:cs="宋体"/>
          <w:color w:val="auto"/>
          <w:sz w:val="21"/>
          <w:szCs w:val="21"/>
          <w:highlight w:val="none"/>
        </w:rPr>
        <w:t>合同价格、计量与支付</w:t>
      </w:r>
      <w:bookmarkEnd w:id="433"/>
    </w:p>
    <w:bookmarkEnd w:id="434"/>
    <w:bookmarkEnd w:id="435"/>
    <w:bookmarkEnd w:id="436"/>
    <w:bookmarkEnd w:id="437"/>
    <w:bookmarkEnd w:id="438"/>
    <w:bookmarkEnd w:id="439"/>
    <w:p w14:paraId="0D498EA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bookmarkStart w:id="440" w:name="_Toc267251461"/>
      <w:bookmarkStart w:id="441" w:name="_Toc292559916"/>
      <w:bookmarkStart w:id="442" w:name="_Toc292559411"/>
      <w:bookmarkStart w:id="443" w:name="_Toc297120506"/>
      <w:bookmarkStart w:id="444" w:name="_Toc297048392"/>
      <w:bookmarkStart w:id="445" w:name="_Toc296891246"/>
      <w:bookmarkStart w:id="446" w:name="_Toc296346707"/>
      <w:bookmarkStart w:id="447" w:name="_Toc296891034"/>
      <w:bookmarkStart w:id="448" w:name="_Toc296944545"/>
      <w:bookmarkStart w:id="449" w:name="_Toc296503206"/>
      <w:bookmarkStart w:id="450" w:name="_Toc296347205"/>
      <w:bookmarkStart w:id="451" w:name="_Toc303539160"/>
      <w:bookmarkStart w:id="452" w:name="_Toc304295580"/>
      <w:bookmarkStart w:id="453" w:name="_Toc312678041"/>
      <w:bookmarkStart w:id="454" w:name="_Toc300935003"/>
      <w:bookmarkStart w:id="455" w:name="_Toc297123553"/>
      <w:bookmarkStart w:id="456" w:name="_Toc297216212"/>
      <w:r>
        <w:rPr>
          <w:rFonts w:hint="eastAsia" w:cs="宋体"/>
          <w:bCs/>
          <w:color w:val="auto"/>
          <w:sz w:val="21"/>
          <w:szCs w:val="21"/>
          <w:highlight w:val="none"/>
        </w:rPr>
        <w:t>12.1 合</w:t>
      </w:r>
      <w:bookmarkEnd w:id="440"/>
      <w:bookmarkEnd w:id="441"/>
      <w:bookmarkEnd w:id="442"/>
      <w:r>
        <w:rPr>
          <w:rFonts w:hint="eastAsia" w:cs="宋体"/>
          <w:bCs/>
          <w:color w:val="auto"/>
          <w:sz w:val="21"/>
          <w:szCs w:val="21"/>
          <w:highlight w:val="none"/>
        </w:rPr>
        <w:t>同价</w:t>
      </w:r>
      <w:bookmarkEnd w:id="443"/>
      <w:bookmarkEnd w:id="444"/>
      <w:bookmarkEnd w:id="445"/>
      <w:bookmarkEnd w:id="446"/>
      <w:bookmarkEnd w:id="447"/>
      <w:bookmarkEnd w:id="448"/>
      <w:bookmarkEnd w:id="449"/>
      <w:bookmarkEnd w:id="450"/>
      <w:r>
        <w:rPr>
          <w:rFonts w:hint="eastAsia" w:cs="宋体"/>
          <w:bCs/>
          <w:color w:val="auto"/>
          <w:sz w:val="21"/>
          <w:szCs w:val="21"/>
          <w:highlight w:val="none"/>
        </w:rPr>
        <w:t>格形式</w:t>
      </w:r>
    </w:p>
    <w:bookmarkEnd w:id="451"/>
    <w:bookmarkEnd w:id="452"/>
    <w:bookmarkEnd w:id="453"/>
    <w:bookmarkEnd w:id="454"/>
    <w:bookmarkEnd w:id="455"/>
    <w:bookmarkEnd w:id="456"/>
    <w:p w14:paraId="44164F7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（1）单价合同。</w:t>
      </w:r>
    </w:p>
    <w:p w14:paraId="2BFBC30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综合单价包含的风险范围：</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3A5306D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风险费用的计算方法：</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5FE6DBC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风险范围以外合同价格的调整方法：</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7B0EC0E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（2）总价合同。</w:t>
      </w:r>
    </w:p>
    <w:p w14:paraId="3D84682A">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rPr>
      </w:pPr>
      <w:r>
        <w:rPr>
          <w:rFonts w:hint="eastAsia" w:cs="宋体"/>
          <w:color w:val="auto"/>
          <w:sz w:val="21"/>
          <w:szCs w:val="21"/>
          <w:highlight w:val="none"/>
        </w:rPr>
        <w:t>总价包含的风险范围：</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7E02D9A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风险费用的计算方法：</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0FD333B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风险范围以外合同价格的调整方法：</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1EEA5EA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（3）其他价格方式：</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17CEB934">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bookmarkStart w:id="457" w:name="_Toc300935004"/>
      <w:bookmarkStart w:id="458" w:name="_Toc303539161"/>
      <w:bookmarkStart w:id="459" w:name="_Toc312678042"/>
      <w:bookmarkStart w:id="460" w:name="_Toc297216213"/>
      <w:bookmarkStart w:id="461" w:name="_Toc304295581"/>
      <w:bookmarkStart w:id="462" w:name="_Toc297123554"/>
      <w:bookmarkStart w:id="463" w:name="_Toc297048393"/>
      <w:bookmarkStart w:id="464" w:name="_Toc296891247"/>
      <w:bookmarkStart w:id="465" w:name="_Toc296891035"/>
      <w:bookmarkStart w:id="466" w:name="_Toc292559917"/>
      <w:bookmarkStart w:id="467" w:name="_Toc296346708"/>
      <w:bookmarkStart w:id="468" w:name="_Toc296503207"/>
      <w:bookmarkStart w:id="469" w:name="_Toc292559412"/>
      <w:bookmarkStart w:id="470" w:name="_Toc297120507"/>
      <w:bookmarkStart w:id="471" w:name="_Toc296944546"/>
      <w:bookmarkStart w:id="472" w:name="_Toc296347206"/>
      <w:r>
        <w:rPr>
          <w:rFonts w:hint="eastAsia" w:cs="宋体"/>
          <w:bCs/>
          <w:color w:val="auto"/>
          <w:sz w:val="21"/>
          <w:szCs w:val="21"/>
          <w:highlight w:val="none"/>
        </w:rPr>
        <w:t>12.2 预付款</w:t>
      </w:r>
    </w:p>
    <w:bookmarkEnd w:id="457"/>
    <w:bookmarkEnd w:id="458"/>
    <w:bookmarkEnd w:id="459"/>
    <w:bookmarkEnd w:id="460"/>
    <w:bookmarkEnd w:id="461"/>
    <w:bookmarkEnd w:id="462"/>
    <w:p w14:paraId="02817F0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12.2.1 预付款的支付</w:t>
      </w:r>
    </w:p>
    <w:p w14:paraId="3E0057F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预付款支付比例或金额：</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17DF191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预付款支付期限：</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5E9B101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预付款扣回的方式：</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33E2A2E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12.2.2 预付款担保</w:t>
      </w:r>
    </w:p>
    <w:p w14:paraId="22F5DBE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承包人提交预付款担保的期限：</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697A3D7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预付款担保的形式为：</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bookmarkEnd w:id="463"/>
    <w:bookmarkEnd w:id="464"/>
    <w:bookmarkEnd w:id="465"/>
    <w:bookmarkEnd w:id="466"/>
    <w:bookmarkEnd w:id="467"/>
    <w:bookmarkEnd w:id="468"/>
    <w:bookmarkEnd w:id="469"/>
    <w:bookmarkEnd w:id="470"/>
    <w:bookmarkEnd w:id="471"/>
    <w:bookmarkEnd w:id="472"/>
    <w:p w14:paraId="46F00E39">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12.3 计量</w:t>
      </w:r>
    </w:p>
    <w:p w14:paraId="7878C04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12.3.1 计量原则</w:t>
      </w:r>
    </w:p>
    <w:p w14:paraId="068E3655">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rPr>
      </w:pPr>
      <w:r>
        <w:rPr>
          <w:rFonts w:hint="eastAsia" w:cs="宋体"/>
          <w:color w:val="auto"/>
          <w:sz w:val="21"/>
          <w:szCs w:val="21"/>
          <w:highlight w:val="none"/>
        </w:rPr>
        <w:t>工程量计算规则：</w:t>
      </w:r>
      <w:r>
        <w:rPr>
          <w:rFonts w:hint="eastAsia" w:cs="宋体"/>
          <w:color w:val="auto"/>
          <w:sz w:val="21"/>
          <w:szCs w:val="21"/>
          <w:highlight w:val="none"/>
          <w:u w:val="single"/>
        </w:rPr>
        <w:t>按招标工程量清单及最高投标限价所采用的工程量清单计价规范及配套文件等</w:t>
      </w:r>
      <w:r>
        <w:rPr>
          <w:rFonts w:hint="eastAsia" w:cs="宋体"/>
          <w:b/>
          <w:color w:val="auto"/>
          <w:sz w:val="21"/>
          <w:szCs w:val="21"/>
          <w:highlight w:val="none"/>
        </w:rPr>
        <w:t>。</w:t>
      </w:r>
    </w:p>
    <w:p w14:paraId="77F164F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12.3.2 计量周期</w:t>
      </w:r>
    </w:p>
    <w:p w14:paraId="23A6AAF3">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rPr>
      </w:pPr>
      <w:r>
        <w:rPr>
          <w:rFonts w:hint="eastAsia" w:cs="宋体"/>
          <w:color w:val="auto"/>
          <w:sz w:val="21"/>
          <w:szCs w:val="21"/>
          <w:highlight w:val="none"/>
        </w:rPr>
        <w:t>关于计量周期的约定</w:t>
      </w:r>
      <w:r>
        <w:rPr>
          <w:rFonts w:hint="eastAsia" w:cs="宋体"/>
          <w:b/>
          <w:color w:val="auto"/>
          <w:sz w:val="21"/>
          <w:szCs w:val="21"/>
          <w:highlight w:val="none"/>
        </w:rPr>
        <w:t>：</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按月计量</w:t>
      </w:r>
      <w:r>
        <w:rPr>
          <w:rFonts w:hint="eastAsia" w:cs="宋体"/>
          <w:color w:val="auto"/>
          <w:sz w:val="21"/>
          <w:szCs w:val="21"/>
          <w:highlight w:val="none"/>
          <w:u w:val="single"/>
        </w:rPr>
        <w:t xml:space="preserve"> </w:t>
      </w:r>
      <w:r>
        <w:rPr>
          <w:rFonts w:hint="eastAsia" w:cs="宋体"/>
          <w:b/>
          <w:color w:val="auto"/>
          <w:sz w:val="21"/>
          <w:szCs w:val="21"/>
          <w:highlight w:val="none"/>
        </w:rPr>
        <w:t>。</w:t>
      </w:r>
    </w:p>
    <w:p w14:paraId="75F16EE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12.3.3 单价合同的计量</w:t>
      </w:r>
    </w:p>
    <w:p w14:paraId="1BC5916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关于单价合同计量的约定：</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1）承包人应于每月25日向监理人报送上月20日至当月19日已完成的工程量报告，并附已完成工程量报表和有关资料。（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3）监理人未在收到承包人提交的工程量报表后的7天内完成审核的，承包人报送的工程量报告中的工程量视为承包人实际完成的工程量</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520E70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12.3.4 总价合同的计量</w:t>
      </w:r>
    </w:p>
    <w:p w14:paraId="72B4054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关于总价合同计量的约定：</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不采用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60F29A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12.3.5 总价合同采用支付分解表计量支付的，是否适用第12.3.4项〔总价合同的计量〕约定进行计量：</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不采用</w:t>
      </w:r>
      <w:r>
        <w:rPr>
          <w:rFonts w:hint="eastAsia" w:cs="宋体"/>
          <w:color w:val="auto"/>
          <w:sz w:val="21"/>
          <w:szCs w:val="21"/>
          <w:highlight w:val="none"/>
          <w:u w:val="single"/>
        </w:rPr>
        <w:t xml:space="preserve"> </w:t>
      </w:r>
      <w:r>
        <w:rPr>
          <w:rFonts w:hint="eastAsia" w:cs="宋体"/>
          <w:b/>
          <w:color w:val="auto"/>
          <w:sz w:val="21"/>
          <w:szCs w:val="21"/>
          <w:highlight w:val="none"/>
        </w:rPr>
        <w:t>。</w:t>
      </w:r>
    </w:p>
    <w:p w14:paraId="46FC49E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12.3.6 其他价格形式合同的计量</w:t>
      </w:r>
    </w:p>
    <w:p w14:paraId="1E995D7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其他价格形式的计量方式和程序：</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不采用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E338262">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12.4 工程进度款支付</w:t>
      </w:r>
    </w:p>
    <w:p w14:paraId="6474DA9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bookmarkStart w:id="473" w:name="_Toc296503211"/>
      <w:bookmarkStart w:id="474" w:name="_Toc296944550"/>
      <w:bookmarkStart w:id="475" w:name="_Toc303539163"/>
      <w:bookmarkStart w:id="476" w:name="_Toc297123556"/>
      <w:bookmarkStart w:id="477" w:name="_Toc297216215"/>
      <w:bookmarkStart w:id="478" w:name="_Toc296891039"/>
      <w:bookmarkStart w:id="479" w:name="_Toc296347210"/>
      <w:bookmarkStart w:id="480" w:name="_Toc297120511"/>
      <w:bookmarkStart w:id="481" w:name="_Toc296346712"/>
      <w:bookmarkStart w:id="482" w:name="_Toc300935006"/>
      <w:bookmarkStart w:id="483" w:name="_Toc292559416"/>
      <w:bookmarkStart w:id="484" w:name="_Toc292559921"/>
      <w:bookmarkStart w:id="485" w:name="_Toc296891251"/>
      <w:bookmarkStart w:id="486" w:name="_Toc297048397"/>
      <w:r>
        <w:rPr>
          <w:rFonts w:hint="eastAsia" w:cs="宋体"/>
          <w:color w:val="auto"/>
          <w:sz w:val="21"/>
          <w:szCs w:val="21"/>
          <w:highlight w:val="none"/>
        </w:rPr>
        <w:t>12.4.1 付款周期</w:t>
      </w:r>
    </w:p>
    <w:p w14:paraId="6316DF8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关于付款周期的约定：</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18DD508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12.4.2 进度付款申请单的编制</w:t>
      </w:r>
    </w:p>
    <w:p w14:paraId="0917A3D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关于进度付款申请单编制的约定：</w:t>
      </w:r>
      <w:r>
        <w:rPr>
          <w:rFonts w:hint="eastAsia" w:cs="宋体"/>
          <w:color w:val="auto"/>
          <w:sz w:val="21"/>
          <w:szCs w:val="21"/>
          <w:highlight w:val="none"/>
          <w:u w:val="single"/>
        </w:rPr>
        <w:t xml:space="preserve"> </w:t>
      </w:r>
      <w:r>
        <w:rPr>
          <w:rFonts w:hint="eastAsia"/>
          <w:color w:val="auto"/>
          <w:spacing w:val="-7"/>
          <w:sz w:val="21"/>
          <w:szCs w:val="21"/>
          <w:highlight w:val="none"/>
          <w:u w:val="single" w:color="auto"/>
        </w:rPr>
        <w:t>执行发包人统一内容格式</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BDAF58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hint="eastAsia" w:cs="宋体"/>
          <w:color w:val="auto"/>
          <w:sz w:val="21"/>
          <w:szCs w:val="21"/>
          <w:highlight w:val="none"/>
        </w:rPr>
        <w:t>2.4.3 进度付款申请单的提交</w:t>
      </w:r>
    </w:p>
    <w:p w14:paraId="1786983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（1）单价合同进度付款申请单提交的约定：</w:t>
      </w:r>
      <w:r>
        <w:rPr>
          <w:rFonts w:hint="eastAsia" w:cs="宋体"/>
          <w:color w:val="auto"/>
          <w:sz w:val="21"/>
          <w:szCs w:val="21"/>
          <w:highlight w:val="none"/>
          <w:u w:val="single"/>
        </w:rPr>
        <w:t xml:space="preserve"> </w:t>
      </w:r>
      <w:r>
        <w:rPr>
          <w:rFonts w:hint="eastAsia"/>
          <w:color w:val="auto"/>
          <w:spacing w:val="-7"/>
          <w:sz w:val="21"/>
          <w:szCs w:val="21"/>
          <w:highlight w:val="none"/>
          <w:u w:val="single" w:color="auto"/>
        </w:rPr>
        <w:t>按工程进度付款</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9D5196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（2）总价合同进度付款申请单提交的约定：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009688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（3）其他价格形式合同进度付款申请单提交的约定：</w:t>
      </w:r>
      <w:r>
        <w:rPr>
          <w:rFonts w:hint="eastAsia" w:cs="宋体"/>
          <w:color w:val="auto"/>
          <w:sz w:val="21"/>
          <w:szCs w:val="21"/>
          <w:highlight w:val="none"/>
          <w:u w:val="single"/>
        </w:rPr>
        <w:t xml:space="preserve">  /  </w:t>
      </w:r>
      <w:r>
        <w:rPr>
          <w:rFonts w:hint="eastAsia" w:cs="宋体"/>
          <w:color w:val="auto"/>
          <w:sz w:val="21"/>
          <w:szCs w:val="21"/>
          <w:highlight w:val="none"/>
        </w:rPr>
        <w:t>。</w:t>
      </w:r>
    </w:p>
    <w:p w14:paraId="4A39D70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12.4.4 进度款审核和支付</w:t>
      </w:r>
    </w:p>
    <w:p w14:paraId="26B29CF1">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u w:val="single"/>
        </w:rPr>
      </w:pPr>
      <w:r>
        <w:rPr>
          <w:rFonts w:hint="eastAsia" w:cs="宋体"/>
          <w:color w:val="auto"/>
          <w:sz w:val="21"/>
          <w:szCs w:val="21"/>
          <w:highlight w:val="none"/>
        </w:rPr>
        <w:t>（1）监理人审查并报送发包人的期限：</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监理人应在收到承包人进度付款申请单以及相关资料后7天内完成审查并报送发包人</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FD8563E">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u w:val="single"/>
        </w:rPr>
      </w:pPr>
      <w:r>
        <w:rPr>
          <w:rFonts w:hint="eastAsia" w:cs="宋体"/>
          <w:color w:val="auto"/>
          <w:sz w:val="21"/>
          <w:szCs w:val="21"/>
          <w:highlight w:val="none"/>
        </w:rPr>
        <w:t>发包人完成审批并签发进度款支付证书的期限：</w:t>
      </w:r>
      <w:r>
        <w:rPr>
          <w:rFonts w:hint="eastAsia" w:cs="宋体"/>
          <w:color w:val="auto"/>
          <w:sz w:val="21"/>
          <w:szCs w:val="21"/>
          <w:highlight w:val="none"/>
          <w:u w:val="single"/>
        </w:rPr>
        <w:t xml:space="preserve"> 发包人应在收到后7天内完成审批并签发进度款支付证书，跟踪审计人员审核时间除外 </w:t>
      </w:r>
      <w:r>
        <w:rPr>
          <w:rFonts w:hint="eastAsia" w:cs="宋体"/>
          <w:color w:val="auto"/>
          <w:sz w:val="21"/>
          <w:szCs w:val="21"/>
          <w:highlight w:val="none"/>
        </w:rPr>
        <w:t>。</w:t>
      </w:r>
    </w:p>
    <w:p w14:paraId="2FAC15C3">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rPr>
      </w:pPr>
      <w:r>
        <w:rPr>
          <w:rFonts w:hint="eastAsia" w:cs="宋体"/>
          <w:color w:val="auto"/>
          <w:sz w:val="21"/>
          <w:szCs w:val="21"/>
          <w:highlight w:val="none"/>
        </w:rPr>
        <w:t>（2）发包人支付进度款的期限：</w:t>
      </w:r>
      <w:r>
        <w:rPr>
          <w:rFonts w:hint="eastAsia" w:cs="宋体"/>
          <w:color w:val="auto"/>
          <w:sz w:val="21"/>
          <w:szCs w:val="21"/>
          <w:highlight w:val="none"/>
          <w:u w:val="single"/>
        </w:rPr>
        <w:t xml:space="preserve"> </w:t>
      </w:r>
      <w:r>
        <w:rPr>
          <w:rFonts w:hint="eastAsia" w:cs="宋体"/>
          <w:bCs/>
          <w:color w:val="auto"/>
          <w:sz w:val="21"/>
          <w:szCs w:val="21"/>
          <w:highlight w:val="none"/>
          <w:u w:val="single"/>
          <w:lang w:val="en-US" w:eastAsia="zh-CN"/>
        </w:rPr>
        <w:t>发包人在政府资金调度会批准且发票送达一周内完成支付</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D0D5FBD">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rPr>
      </w:pPr>
      <w:r>
        <w:rPr>
          <w:rFonts w:hint="eastAsia" w:cs="宋体"/>
          <w:color w:val="auto"/>
          <w:sz w:val="21"/>
          <w:szCs w:val="21"/>
          <w:highlight w:val="none"/>
        </w:rPr>
        <w:t>发包人逾期支付进度款的违约金的计算方式</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31F5D6A">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ascii="宋体" w:hAnsi="宋体" w:cs="宋体"/>
          <w:b/>
          <w:bCs/>
          <w:color w:val="auto"/>
          <w:sz w:val="21"/>
          <w:szCs w:val="21"/>
          <w:highlight w:val="none"/>
          <w:shd w:val="clear" w:color="auto" w:fill="auto"/>
          <w:lang w:val="en-US" w:eastAsia="zh-CN"/>
        </w:rPr>
      </w:pPr>
      <w:r>
        <w:rPr>
          <w:rFonts w:hint="eastAsia" w:ascii="宋体" w:hAnsi="宋体" w:eastAsia="宋体" w:cs="宋体"/>
          <w:b/>
          <w:bCs/>
          <w:color w:val="auto"/>
          <w:sz w:val="21"/>
          <w:szCs w:val="21"/>
          <w:highlight w:val="none"/>
        </w:rPr>
        <w:t>支付方式：</w:t>
      </w:r>
      <w:r>
        <w:rPr>
          <w:rFonts w:hint="eastAsia" w:ascii="宋体" w:hAnsi="宋体" w:eastAsia="宋体" w:cs="宋体"/>
          <w:b/>
          <w:bCs/>
          <w:color w:val="auto"/>
          <w:sz w:val="21"/>
          <w:szCs w:val="21"/>
          <w:highlight w:val="none"/>
          <w:lang w:eastAsia="zh-CN"/>
        </w:rPr>
        <w:t>按已完成进度计划合格工程量的70%支付进度款;工程完工初验合格后付至已完成合格工程量的80%支付进度款;一年养护期满，竣工验收合格且移交付至合同价款的90%，结算审计后付清余款。绿化成活率:100%。</w:t>
      </w:r>
      <w:r>
        <w:rPr>
          <w:rFonts w:hint="eastAsia" w:ascii="宋体" w:hAnsi="宋体" w:eastAsia="宋体" w:cs="宋体"/>
          <w:b/>
          <w:bCs/>
          <w:color w:val="auto"/>
          <w:sz w:val="21"/>
          <w:szCs w:val="21"/>
          <w:highlight w:val="none"/>
        </w:rPr>
        <w:t>（注：发包人在政府资金调度会批准且发票送达后完成支付）。</w:t>
      </w:r>
    </w:p>
    <w:p w14:paraId="42331531">
      <w:pPr>
        <w:pageBreakBefore w:val="0"/>
        <w:kinsoku/>
        <w:wordWrap/>
        <w:overflowPunct/>
        <w:topLinePunct w:val="0"/>
        <w:bidi w:val="0"/>
        <w:snapToGrid w:val="0"/>
        <w:spacing w:line="400" w:lineRule="exact"/>
        <w:ind w:left="0" w:leftChars="0" w:right="0" w:rightChars="0" w:firstLine="420" w:firstLineChars="200"/>
        <w:jc w:val="left"/>
        <w:textAlignment w:val="auto"/>
        <w:rPr>
          <w:rFonts w:hint="eastAsia" w:ascii="宋体" w:cs="宋体"/>
          <w:color w:val="auto"/>
          <w:sz w:val="21"/>
          <w:szCs w:val="21"/>
          <w:highlight w:val="none"/>
          <w:shd w:val="clear" w:color="auto" w:fill="auto"/>
        </w:rPr>
      </w:pPr>
      <w:r>
        <w:rPr>
          <w:rFonts w:hint="eastAsia" w:ascii="宋体" w:hAnsi="宋体" w:cs="宋体"/>
          <w:color w:val="auto"/>
          <w:sz w:val="21"/>
          <w:szCs w:val="21"/>
          <w:highlight w:val="none"/>
          <w:shd w:val="clear" w:color="auto" w:fill="auto"/>
        </w:rPr>
        <w:t>（3）承包人必须与指定银行签订委托支付协议。总承包企业（专业承包企业）应及时确认劳务</w:t>
      </w:r>
      <w:r>
        <w:rPr>
          <w:rFonts w:hint="eastAsia" w:ascii="宋体" w:cs="宋体"/>
          <w:color w:val="auto"/>
          <w:sz w:val="21"/>
          <w:szCs w:val="21"/>
          <w:highlight w:val="none"/>
          <w:shd w:val="clear" w:color="auto" w:fill="auto"/>
        </w:rPr>
        <w:t>分包企业按月提供的农民工工资详单。保证在签订施工合同前严格按照</w:t>
      </w:r>
      <w:r>
        <w:rPr>
          <w:rFonts w:hint="eastAsia" w:ascii="宋体" w:cs="宋体"/>
          <w:color w:val="auto"/>
          <w:sz w:val="21"/>
          <w:szCs w:val="21"/>
          <w:highlight w:val="none"/>
          <w:shd w:val="clear" w:color="auto" w:fill="auto"/>
          <w:lang w:eastAsia="zh-CN"/>
        </w:rPr>
        <w:t>“</w:t>
      </w:r>
      <w:r>
        <w:rPr>
          <w:rFonts w:hint="eastAsia" w:ascii="宋体" w:cs="宋体"/>
          <w:color w:val="auto"/>
          <w:sz w:val="21"/>
          <w:szCs w:val="21"/>
          <w:highlight w:val="none"/>
          <w:shd w:val="clear" w:color="auto" w:fill="auto"/>
        </w:rPr>
        <w:t>滁州市建设领域农民工工资管理暂行办法{滁人社发【2018】215 号文件}</w:t>
      </w:r>
      <w:r>
        <w:rPr>
          <w:rFonts w:hint="eastAsia" w:ascii="宋体" w:cs="宋体"/>
          <w:color w:val="auto"/>
          <w:sz w:val="21"/>
          <w:szCs w:val="21"/>
          <w:highlight w:val="none"/>
          <w:shd w:val="clear" w:color="auto" w:fill="auto"/>
          <w:lang w:eastAsia="zh-CN"/>
        </w:rPr>
        <w:t>”</w:t>
      </w:r>
      <w:r>
        <w:rPr>
          <w:rFonts w:hint="eastAsia" w:ascii="宋体" w:cs="宋体"/>
          <w:color w:val="auto"/>
          <w:sz w:val="21"/>
          <w:szCs w:val="21"/>
          <w:highlight w:val="none"/>
          <w:shd w:val="clear" w:color="auto" w:fill="auto"/>
          <w:lang w:val="en-US" w:eastAsia="zh-CN"/>
        </w:rPr>
        <w:t>和“关于进一步完善工程建设领域农民工工资保证金和农民工工资（劳务费）专户管理制度的实施意见”</w:t>
      </w:r>
      <w:r>
        <w:rPr>
          <w:rFonts w:hint="eastAsia" w:ascii="宋体" w:cs="宋体"/>
          <w:color w:val="auto"/>
          <w:sz w:val="21"/>
          <w:szCs w:val="21"/>
          <w:highlight w:val="none"/>
          <w:shd w:val="clear" w:color="auto" w:fill="auto"/>
        </w:rPr>
        <w:t>要求办理“农民工工资专用账户”手续。</w:t>
      </w:r>
    </w:p>
    <w:p w14:paraId="207B47DA">
      <w:pPr>
        <w:pStyle w:val="54"/>
        <w:pageBreakBefore w:val="0"/>
        <w:kinsoku/>
        <w:wordWrap/>
        <w:overflowPunct/>
        <w:topLinePunct w:val="0"/>
        <w:bidi w:val="0"/>
        <w:spacing w:after="0" w:afterLines="0" w:line="400" w:lineRule="exact"/>
        <w:ind w:left="0" w:leftChars="0" w:right="0" w:rightChars="0"/>
        <w:textAlignment w:val="auto"/>
        <w:rPr>
          <w:rFonts w:hint="eastAsia" w:hAnsi="宋体" w:cs="宋体"/>
          <w:bCs/>
          <w:color w:val="auto"/>
          <w:sz w:val="21"/>
          <w:szCs w:val="21"/>
          <w:highlight w:val="none"/>
          <w:u w:val="single"/>
          <w:shd w:val="clear" w:color="auto" w:fill="auto"/>
        </w:rPr>
      </w:pPr>
      <w:r>
        <w:rPr>
          <w:rFonts w:hint="eastAsia" w:hAnsi="宋体" w:cs="宋体"/>
          <w:bCs/>
          <w:color w:val="auto"/>
          <w:sz w:val="21"/>
          <w:szCs w:val="21"/>
          <w:highlight w:val="none"/>
          <w:shd w:val="clear" w:color="auto" w:fill="auto"/>
        </w:rPr>
        <w:t>开户名称：</w:t>
      </w:r>
      <w:r>
        <w:rPr>
          <w:rFonts w:hint="eastAsia" w:hAnsi="宋体" w:cs="宋体"/>
          <w:bCs/>
          <w:color w:val="auto"/>
          <w:sz w:val="21"/>
          <w:szCs w:val="21"/>
          <w:highlight w:val="none"/>
          <w:u w:val="single"/>
          <w:shd w:val="clear" w:color="auto" w:fill="auto"/>
        </w:rPr>
        <w:t xml:space="preserve">                              ；</w:t>
      </w:r>
    </w:p>
    <w:p w14:paraId="651CA701">
      <w:pPr>
        <w:pStyle w:val="54"/>
        <w:pageBreakBefore w:val="0"/>
        <w:kinsoku/>
        <w:wordWrap/>
        <w:overflowPunct/>
        <w:topLinePunct w:val="0"/>
        <w:bidi w:val="0"/>
        <w:spacing w:after="0" w:afterLines="0" w:line="400" w:lineRule="exact"/>
        <w:ind w:left="0" w:leftChars="0" w:right="0" w:rightChars="0"/>
        <w:textAlignment w:val="auto"/>
        <w:rPr>
          <w:rFonts w:hint="eastAsia" w:hAnsi="宋体" w:cs="宋体"/>
          <w:bCs/>
          <w:color w:val="auto"/>
          <w:sz w:val="21"/>
          <w:szCs w:val="21"/>
          <w:highlight w:val="none"/>
          <w:u w:val="single"/>
          <w:shd w:val="clear" w:color="auto" w:fill="auto"/>
        </w:rPr>
      </w:pPr>
      <w:r>
        <w:rPr>
          <w:rFonts w:hint="eastAsia" w:hAnsi="宋体" w:cs="宋体"/>
          <w:bCs/>
          <w:color w:val="auto"/>
          <w:sz w:val="21"/>
          <w:szCs w:val="21"/>
          <w:highlight w:val="none"/>
          <w:shd w:val="clear" w:color="auto" w:fill="auto"/>
        </w:rPr>
        <w:t>开 户 行：</w:t>
      </w:r>
      <w:r>
        <w:rPr>
          <w:rFonts w:hint="eastAsia" w:hAnsi="宋体" w:cs="宋体"/>
          <w:bCs/>
          <w:color w:val="auto"/>
          <w:sz w:val="21"/>
          <w:szCs w:val="21"/>
          <w:highlight w:val="none"/>
          <w:u w:val="single"/>
          <w:shd w:val="clear" w:color="auto" w:fill="auto"/>
        </w:rPr>
        <w:t xml:space="preserve">                              ；</w:t>
      </w:r>
    </w:p>
    <w:p w14:paraId="311E967B">
      <w:pPr>
        <w:pageBreakBefore w:val="0"/>
        <w:kinsoku/>
        <w:wordWrap/>
        <w:overflowPunct/>
        <w:topLinePunct w:val="0"/>
        <w:bidi w:val="0"/>
        <w:snapToGrid w:val="0"/>
        <w:spacing w:line="400" w:lineRule="exact"/>
        <w:ind w:right="0" w:rightChars="0" w:firstLine="210" w:firstLineChars="100"/>
        <w:textAlignment w:val="auto"/>
        <w:rPr>
          <w:rFonts w:hint="eastAsia" w:ascii="宋体" w:hAnsi="宋体" w:eastAsia="宋体" w:cs="宋体"/>
          <w:b/>
          <w:bCs/>
          <w:color w:val="auto"/>
          <w:sz w:val="21"/>
          <w:szCs w:val="21"/>
          <w:highlight w:val="none"/>
        </w:rPr>
      </w:pPr>
      <w:r>
        <w:rPr>
          <w:rFonts w:hint="eastAsia" w:hAnsi="宋体" w:cs="宋体"/>
          <w:bCs/>
          <w:color w:val="auto"/>
          <w:sz w:val="21"/>
          <w:szCs w:val="21"/>
          <w:highlight w:val="none"/>
          <w:shd w:val="clear" w:color="auto" w:fill="auto"/>
        </w:rPr>
        <w:t>账    号：</w:t>
      </w:r>
      <w:r>
        <w:rPr>
          <w:rFonts w:hint="eastAsia" w:hAnsi="宋体" w:cs="宋体"/>
          <w:bCs/>
          <w:color w:val="auto"/>
          <w:sz w:val="21"/>
          <w:szCs w:val="21"/>
          <w:highlight w:val="none"/>
          <w:u w:val="single"/>
          <w:shd w:val="clear" w:color="auto" w:fill="auto"/>
        </w:rPr>
        <w:t xml:space="preserve">                              </w:t>
      </w:r>
      <w:r>
        <w:rPr>
          <w:rFonts w:hint="eastAsia" w:cs="宋体"/>
          <w:bCs/>
          <w:color w:val="auto"/>
          <w:sz w:val="21"/>
          <w:szCs w:val="21"/>
          <w:highlight w:val="none"/>
          <w:u w:val="single"/>
          <w:shd w:val="clear" w:color="auto" w:fill="auto"/>
          <w:lang w:eastAsia="zh-CN"/>
        </w:rPr>
        <w:t>。</w:t>
      </w:r>
    </w:p>
    <w:p w14:paraId="343979E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12.4.6 支付分解表的编制</w:t>
      </w:r>
    </w:p>
    <w:p w14:paraId="35E1A2C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（2）总价合同支付分解表的编制与审批：</w:t>
      </w:r>
      <w:r>
        <w:rPr>
          <w:rFonts w:hint="eastAsia" w:cs="宋体"/>
          <w:color w:val="auto"/>
          <w:sz w:val="21"/>
          <w:szCs w:val="21"/>
          <w:highlight w:val="none"/>
          <w:u w:val="single"/>
        </w:rPr>
        <w:t xml:space="preserve">  /  </w:t>
      </w:r>
      <w:r>
        <w:rPr>
          <w:rFonts w:hint="eastAsia" w:cs="宋体"/>
          <w:color w:val="auto"/>
          <w:sz w:val="21"/>
          <w:szCs w:val="21"/>
          <w:highlight w:val="none"/>
        </w:rPr>
        <w:t>。</w:t>
      </w:r>
    </w:p>
    <w:p w14:paraId="082387C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（3）单价合同的总价项目支付分解表的编制与审批：</w:t>
      </w:r>
      <w:r>
        <w:rPr>
          <w:rFonts w:hint="eastAsia" w:cs="宋体"/>
          <w:color w:val="auto"/>
          <w:sz w:val="21"/>
          <w:szCs w:val="21"/>
          <w:highlight w:val="none"/>
          <w:u w:val="single"/>
        </w:rPr>
        <w:t xml:space="preserve">  /  </w:t>
      </w:r>
      <w:r>
        <w:rPr>
          <w:rFonts w:hint="eastAsia" w:cs="宋体"/>
          <w:color w:val="auto"/>
          <w:sz w:val="21"/>
          <w:szCs w:val="21"/>
          <w:highlight w:val="none"/>
        </w:rPr>
        <w:t>。</w:t>
      </w:r>
    </w:p>
    <w:p w14:paraId="6447170E">
      <w:pPr>
        <w:pageBreakBefore w:val="0"/>
        <w:widowControl w:val="0"/>
        <w:kinsoku/>
        <w:wordWrap/>
        <w:overflowPunct/>
        <w:topLinePunct w:val="0"/>
        <w:bidi w:val="0"/>
        <w:adjustRightInd w:val="0"/>
        <w:snapToGrid w:val="0"/>
        <w:spacing w:line="400" w:lineRule="exact"/>
        <w:ind w:firstLine="420" w:firstLineChars="200"/>
        <w:textAlignment w:val="auto"/>
        <w:rPr>
          <w:rFonts w:cs="宋体"/>
          <w:bCs/>
          <w:color w:val="auto"/>
          <w:sz w:val="21"/>
          <w:szCs w:val="21"/>
          <w:highlight w:val="none"/>
        </w:rPr>
      </w:pPr>
      <w:r>
        <w:rPr>
          <w:rFonts w:hint="eastAsia" w:cs="宋体"/>
          <w:bCs/>
          <w:color w:val="auto"/>
          <w:sz w:val="21"/>
          <w:szCs w:val="21"/>
          <w:highlight w:val="none"/>
        </w:rPr>
        <w:t>12.4.7 农民工工资管理</w:t>
      </w:r>
    </w:p>
    <w:p w14:paraId="31959E45">
      <w:pPr>
        <w:pageBreakBefore w:val="0"/>
        <w:widowControl w:val="0"/>
        <w:kinsoku/>
        <w:wordWrap/>
        <w:overflowPunct/>
        <w:topLinePunct w:val="0"/>
        <w:bidi w:val="0"/>
        <w:adjustRightInd w:val="0"/>
        <w:snapToGrid w:val="0"/>
        <w:spacing w:line="400" w:lineRule="exact"/>
        <w:ind w:firstLine="420" w:firstLineChars="200"/>
        <w:textAlignment w:val="auto"/>
        <w:rPr>
          <w:rFonts w:cs="宋体"/>
          <w:bCs/>
          <w:color w:val="auto"/>
          <w:sz w:val="21"/>
          <w:szCs w:val="21"/>
          <w:highlight w:val="none"/>
        </w:rPr>
      </w:pPr>
      <w:r>
        <w:rPr>
          <w:rFonts w:hint="eastAsia" w:cs="宋体"/>
          <w:color w:val="auto"/>
          <w:sz w:val="21"/>
          <w:szCs w:val="21"/>
          <w:highlight w:val="none"/>
        </w:rPr>
        <w:t>（1）</w:t>
      </w:r>
      <w:r>
        <w:rPr>
          <w:rFonts w:hint="eastAsia" w:cs="宋体"/>
          <w:bCs/>
          <w:color w:val="auto"/>
          <w:sz w:val="21"/>
          <w:szCs w:val="21"/>
          <w:highlight w:val="none"/>
        </w:rPr>
        <w:t>本工程农民工工资实行专用账户管理，承包人设立的专用账户开户行为</w:t>
      </w:r>
      <w:r>
        <w:rPr>
          <w:rFonts w:hint="eastAsia" w:cs="宋体"/>
          <w:bCs/>
          <w:color w:val="auto"/>
          <w:sz w:val="21"/>
          <w:szCs w:val="21"/>
          <w:highlight w:val="none"/>
          <w:u w:val="single"/>
        </w:rPr>
        <w:t xml:space="preserve">：        </w:t>
      </w:r>
      <w:r>
        <w:rPr>
          <w:rFonts w:hint="eastAsia" w:cs="宋体"/>
          <w:bCs/>
          <w:color w:val="auto"/>
          <w:sz w:val="21"/>
          <w:szCs w:val="21"/>
          <w:highlight w:val="none"/>
        </w:rPr>
        <w:t>，账号：</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7BF7E29F">
      <w:pPr>
        <w:pageBreakBefore w:val="0"/>
        <w:widowControl w:val="0"/>
        <w:kinsoku/>
        <w:wordWrap/>
        <w:overflowPunct/>
        <w:topLinePunct w:val="0"/>
        <w:bidi w:val="0"/>
        <w:adjustRightInd w:val="0"/>
        <w:snapToGrid w:val="0"/>
        <w:spacing w:line="400" w:lineRule="exact"/>
        <w:ind w:firstLine="420" w:firstLineChars="200"/>
        <w:textAlignment w:val="auto"/>
        <w:rPr>
          <w:rFonts w:cs="宋体"/>
          <w:bCs/>
          <w:color w:val="auto"/>
          <w:sz w:val="21"/>
          <w:szCs w:val="21"/>
          <w:highlight w:val="none"/>
        </w:rPr>
      </w:pPr>
      <w:r>
        <w:rPr>
          <w:rFonts w:hint="eastAsia" w:cs="宋体"/>
          <w:color w:val="auto"/>
          <w:sz w:val="21"/>
          <w:szCs w:val="21"/>
          <w:highlight w:val="none"/>
        </w:rPr>
        <w:t>（2）</w:t>
      </w:r>
      <w:r>
        <w:rPr>
          <w:rFonts w:hint="eastAsia" w:cs="宋体"/>
          <w:bCs/>
          <w:color w:val="auto"/>
          <w:sz w:val="21"/>
          <w:szCs w:val="21"/>
          <w:highlight w:val="none"/>
        </w:rPr>
        <w:t>本工程工资性工程款</w:t>
      </w:r>
      <w:r>
        <w:rPr>
          <w:rFonts w:hint="eastAsia" w:cs="宋体"/>
          <w:bCs/>
          <w:color w:val="auto"/>
          <w:sz w:val="21"/>
          <w:szCs w:val="21"/>
          <w:highlight w:val="none"/>
          <w:u w:val="single"/>
        </w:rPr>
        <w:t xml:space="preserve">         </w:t>
      </w:r>
      <w:r>
        <w:rPr>
          <w:rFonts w:hint="eastAsia" w:cs="宋体"/>
          <w:bCs/>
          <w:color w:val="auto"/>
          <w:sz w:val="21"/>
          <w:szCs w:val="21"/>
          <w:highlight w:val="none"/>
        </w:rPr>
        <w:t>元。</w:t>
      </w:r>
    </w:p>
    <w:p w14:paraId="374E13D9">
      <w:pPr>
        <w:pageBreakBefore w:val="0"/>
        <w:widowControl w:val="0"/>
        <w:kinsoku/>
        <w:wordWrap/>
        <w:overflowPunct/>
        <w:topLinePunct w:val="0"/>
        <w:bidi w:val="0"/>
        <w:adjustRightInd w:val="0"/>
        <w:snapToGrid w:val="0"/>
        <w:spacing w:line="400" w:lineRule="exact"/>
        <w:ind w:firstLine="420" w:firstLineChars="200"/>
        <w:textAlignment w:val="auto"/>
        <w:rPr>
          <w:rFonts w:cs="宋体"/>
          <w:bCs/>
          <w:color w:val="auto"/>
          <w:sz w:val="21"/>
          <w:szCs w:val="21"/>
          <w:highlight w:val="none"/>
        </w:rPr>
      </w:pPr>
      <w:r>
        <w:rPr>
          <w:rFonts w:hint="eastAsia" w:cs="宋体"/>
          <w:color w:val="auto"/>
          <w:sz w:val="21"/>
          <w:szCs w:val="21"/>
          <w:highlight w:val="none"/>
        </w:rPr>
        <w:t>（3）</w:t>
      </w:r>
      <w:r>
        <w:rPr>
          <w:rFonts w:hint="eastAsia" w:cs="宋体"/>
          <w:bCs/>
          <w:color w:val="auto"/>
          <w:sz w:val="21"/>
          <w:szCs w:val="21"/>
          <w:highlight w:val="none"/>
        </w:rPr>
        <w:t>发包人于每月25日前将工资性工程进度款转入农民工工资专用账户。</w:t>
      </w:r>
    </w:p>
    <w:p w14:paraId="38083303">
      <w:pPr>
        <w:pageBreakBefore w:val="0"/>
        <w:widowControl w:val="0"/>
        <w:kinsoku/>
        <w:wordWrap/>
        <w:overflowPunct/>
        <w:topLinePunct w:val="0"/>
        <w:bidi w:val="0"/>
        <w:adjustRightInd w:val="0"/>
        <w:snapToGrid w:val="0"/>
        <w:spacing w:line="400" w:lineRule="exact"/>
        <w:ind w:firstLine="420" w:firstLineChars="200"/>
        <w:textAlignment w:val="auto"/>
        <w:rPr>
          <w:rFonts w:cs="宋体"/>
          <w:bCs/>
          <w:color w:val="auto"/>
          <w:sz w:val="21"/>
          <w:szCs w:val="21"/>
          <w:highlight w:val="none"/>
        </w:rPr>
      </w:pPr>
      <w:r>
        <w:rPr>
          <w:rFonts w:hint="eastAsia" w:cs="宋体"/>
          <w:color w:val="auto"/>
          <w:sz w:val="21"/>
          <w:szCs w:val="21"/>
          <w:highlight w:val="none"/>
        </w:rPr>
        <w:t>（4）</w:t>
      </w:r>
      <w:r>
        <w:rPr>
          <w:rFonts w:hint="eastAsia" w:cs="宋体"/>
          <w:bCs/>
          <w:color w:val="auto"/>
          <w:sz w:val="21"/>
          <w:szCs w:val="21"/>
          <w:highlight w:val="none"/>
        </w:rPr>
        <w:t>承包人每月25日前上报本工程农民工工资清单，每月10日前委托开设农民工工资专用账户的银行支付农民工工资。</w:t>
      </w:r>
    </w:p>
    <w:p w14:paraId="007FD833">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rPr>
      </w:pPr>
      <w:r>
        <w:rPr>
          <w:rFonts w:hint="eastAsia" w:cs="宋体"/>
          <w:color w:val="auto"/>
          <w:sz w:val="21"/>
          <w:szCs w:val="21"/>
          <w:highlight w:val="none"/>
        </w:rPr>
        <w:t>（5）</w:t>
      </w:r>
      <w:r>
        <w:rPr>
          <w:rFonts w:hint="eastAsia" w:cs="宋体"/>
          <w:bCs/>
          <w:color w:val="auto"/>
          <w:sz w:val="21"/>
          <w:szCs w:val="21"/>
          <w:highlight w:val="none"/>
        </w:rPr>
        <w:t>工程竣工后，经项目部农民工维权组确认无农民工工资拖欠后，发、承双方办理农民工工资专用账户撤销手续，农民工工资专用账户余额划至本合同约定的承包人账户。</w:t>
      </w:r>
    </w:p>
    <w:bookmarkEnd w:id="334"/>
    <w:p w14:paraId="78E6AF75">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487" w:name="_Toc351203645"/>
      <w:bookmarkStart w:id="488" w:name="_Toc292559929"/>
      <w:bookmarkStart w:id="489" w:name="_Toc297123564"/>
      <w:bookmarkStart w:id="490" w:name="_Toc303539172"/>
      <w:bookmarkStart w:id="491" w:name="_Toc297120519"/>
      <w:bookmarkStart w:id="492" w:name="_Toc292559424"/>
      <w:bookmarkStart w:id="493" w:name="_Toc296347218"/>
      <w:bookmarkStart w:id="494" w:name="_Toc296891259"/>
      <w:bookmarkStart w:id="495" w:name="_Toc312678053"/>
      <w:bookmarkStart w:id="496" w:name="_Toc300935015"/>
      <w:bookmarkStart w:id="497" w:name="_Toc296944558"/>
      <w:bookmarkStart w:id="498" w:name="_Toc297048405"/>
      <w:bookmarkStart w:id="499" w:name="_Toc296346720"/>
      <w:bookmarkStart w:id="500" w:name="_Toc297216223"/>
      <w:bookmarkStart w:id="501" w:name="_Toc304295593"/>
      <w:bookmarkStart w:id="502" w:name="_Toc296891047"/>
      <w:bookmarkStart w:id="503" w:name="_Toc296503219"/>
      <w:r>
        <w:rPr>
          <w:rFonts w:hint="eastAsia" w:cs="宋体"/>
          <w:color w:val="auto"/>
          <w:sz w:val="21"/>
          <w:szCs w:val="21"/>
          <w:highlight w:val="none"/>
        </w:rPr>
        <w:t>13. 验收和工程试车</w:t>
      </w:r>
      <w:bookmarkEnd w:id="487"/>
    </w:p>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14:paraId="4183834C">
      <w:pPr>
        <w:keepNext/>
        <w:keepLines/>
        <w:pageBreakBefore w:val="0"/>
        <w:widowControl w:val="0"/>
        <w:kinsoku/>
        <w:wordWrap/>
        <w:overflowPunct/>
        <w:topLinePunct w:val="0"/>
        <w:bidi w:val="0"/>
        <w:snapToGrid w:val="0"/>
        <w:spacing w:before="120" w:after="120" w:line="400" w:lineRule="exact"/>
        <w:jc w:val="left"/>
        <w:textAlignment w:val="auto"/>
        <w:outlineLvl w:val="2"/>
        <w:rPr>
          <w:rFonts w:cs="宋体"/>
          <w:bCs/>
          <w:color w:val="auto"/>
          <w:sz w:val="21"/>
          <w:szCs w:val="21"/>
          <w:highlight w:val="none"/>
        </w:rPr>
      </w:pPr>
      <w:r>
        <w:rPr>
          <w:rFonts w:hint="eastAsia" w:cs="宋体"/>
          <w:bCs/>
          <w:color w:val="auto"/>
          <w:sz w:val="21"/>
          <w:szCs w:val="21"/>
          <w:highlight w:val="none"/>
        </w:rPr>
        <w:t>13.1 分部分项工程验收</w:t>
      </w:r>
    </w:p>
    <w:p w14:paraId="2430DB4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13.1.2 监理人不能按时进行验收时，应提前</w:t>
      </w:r>
      <w:r>
        <w:rPr>
          <w:rFonts w:hint="eastAsia" w:cs="宋体"/>
          <w:color w:val="auto"/>
          <w:sz w:val="21"/>
          <w:szCs w:val="21"/>
          <w:highlight w:val="none"/>
          <w:u w:val="single"/>
        </w:rPr>
        <w:t>24</w:t>
      </w:r>
      <w:r>
        <w:rPr>
          <w:rFonts w:hint="eastAsia" w:cs="宋体"/>
          <w:color w:val="auto"/>
          <w:sz w:val="21"/>
          <w:szCs w:val="21"/>
          <w:highlight w:val="none"/>
        </w:rPr>
        <w:t>小时提交书面延期要求。</w:t>
      </w:r>
    </w:p>
    <w:p w14:paraId="22B129FC">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rPr>
      </w:pPr>
      <w:r>
        <w:rPr>
          <w:rFonts w:hint="eastAsia" w:cs="宋体"/>
          <w:color w:val="auto"/>
          <w:sz w:val="21"/>
          <w:szCs w:val="21"/>
          <w:highlight w:val="none"/>
        </w:rPr>
        <w:t>关于延期最长不得超过：</w:t>
      </w:r>
      <w:r>
        <w:rPr>
          <w:rFonts w:hint="eastAsia" w:cs="宋体"/>
          <w:color w:val="auto"/>
          <w:sz w:val="21"/>
          <w:szCs w:val="21"/>
          <w:highlight w:val="none"/>
          <w:u w:val="single"/>
        </w:rPr>
        <w:t>48</w:t>
      </w:r>
      <w:r>
        <w:rPr>
          <w:rFonts w:hint="eastAsia" w:cs="宋体"/>
          <w:color w:val="auto"/>
          <w:sz w:val="21"/>
          <w:szCs w:val="21"/>
          <w:highlight w:val="none"/>
        </w:rPr>
        <w:t>小时。</w:t>
      </w:r>
    </w:p>
    <w:p w14:paraId="4210A2CF">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bookmarkStart w:id="504" w:name="_Toc303539173"/>
      <w:bookmarkStart w:id="505" w:name="_Toc297120523"/>
      <w:bookmarkStart w:id="506" w:name="_Toc300935016"/>
      <w:bookmarkStart w:id="507" w:name="_Toc292559428"/>
      <w:bookmarkStart w:id="508" w:name="_Toc296944562"/>
      <w:bookmarkStart w:id="509" w:name="_Toc297216224"/>
      <w:bookmarkStart w:id="510" w:name="_Toc292559933"/>
      <w:bookmarkStart w:id="511" w:name="_Toc296503223"/>
      <w:bookmarkStart w:id="512" w:name="_Toc296347222"/>
      <w:bookmarkStart w:id="513" w:name="_Toc297123565"/>
      <w:bookmarkStart w:id="514" w:name="_Toc297048409"/>
      <w:bookmarkStart w:id="515" w:name="_Toc304295596"/>
      <w:bookmarkStart w:id="516" w:name="_Toc296346724"/>
      <w:bookmarkStart w:id="517" w:name="_Toc296891263"/>
      <w:bookmarkStart w:id="518" w:name="_Toc312678056"/>
      <w:bookmarkStart w:id="519" w:name="_Toc296891051"/>
      <w:bookmarkStart w:id="520" w:name="_Toc267251475"/>
      <w:bookmarkStart w:id="521" w:name="_Toc267251470"/>
      <w:bookmarkStart w:id="522" w:name="_Toc267251472"/>
      <w:bookmarkStart w:id="523" w:name="_Toc267251474"/>
      <w:bookmarkStart w:id="524" w:name="_Toc267251476"/>
      <w:bookmarkStart w:id="525" w:name="_Toc267251471"/>
      <w:bookmarkStart w:id="526" w:name="_Toc267251473"/>
      <w:r>
        <w:rPr>
          <w:rFonts w:hint="eastAsia" w:cs="宋体"/>
          <w:bCs/>
          <w:color w:val="auto"/>
          <w:sz w:val="21"/>
          <w:szCs w:val="21"/>
          <w:highlight w:val="none"/>
        </w:rPr>
        <w:t>13.2 竣工验收</w:t>
      </w:r>
    </w:p>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14:paraId="2E618EB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bookmarkStart w:id="527" w:name="_Toc280868704"/>
      <w:bookmarkStart w:id="528" w:name="_Toc280868705"/>
      <w:bookmarkStart w:id="529" w:name="_Toc280868706"/>
      <w:bookmarkStart w:id="530" w:name="_Toc280868707"/>
      <w:bookmarkStart w:id="531" w:name="_Toc280868708"/>
      <w:bookmarkStart w:id="532" w:name="_Toc280868709"/>
      <w:r>
        <w:rPr>
          <w:rFonts w:hint="eastAsia" w:cs="宋体"/>
          <w:color w:val="auto"/>
          <w:sz w:val="21"/>
          <w:szCs w:val="21"/>
          <w:highlight w:val="none"/>
        </w:rPr>
        <w:t>13.2.2 竣工验收程序</w:t>
      </w:r>
    </w:p>
    <w:bookmarkEnd w:id="527"/>
    <w:p w14:paraId="62E28A9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关于竣工验收程序的约定：</w:t>
      </w:r>
      <w:r>
        <w:rPr>
          <w:rFonts w:hint="eastAsia" w:ascii="宋体" w:cs="宋体"/>
          <w:color w:val="auto"/>
          <w:sz w:val="21"/>
          <w:szCs w:val="21"/>
          <w:highlight w:val="none"/>
          <w:u w:val="single"/>
          <w:shd w:val="clear" w:color="auto" w:fill="auto"/>
        </w:rPr>
        <w:t>严格按照市重点处《工程竣工验收要求》和《重点工程进度管理办法》执行（从工程完工到竣工验收原则上不得超过30天，特殊情况经分管领导批准的可以延长）。整体工程完工后组织竣工验收，验收合格之日作为竣工日期</w:t>
      </w:r>
      <w:r>
        <w:rPr>
          <w:rFonts w:hint="eastAsia" w:cs="宋体"/>
          <w:color w:val="auto"/>
          <w:sz w:val="21"/>
          <w:szCs w:val="21"/>
          <w:highlight w:val="none"/>
        </w:rPr>
        <w:t>。</w:t>
      </w:r>
    </w:p>
    <w:p w14:paraId="03FD89F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发包人不按照本项约定组织竣工验收、颁发工程接收证书的违约金的计算方法：</w:t>
      </w:r>
      <w:r>
        <w:rPr>
          <w:rFonts w:hint="eastAsia" w:cs="宋体"/>
          <w:color w:val="auto"/>
          <w:sz w:val="21"/>
          <w:szCs w:val="21"/>
          <w:highlight w:val="none"/>
          <w:u w:val="single"/>
        </w:rPr>
        <w:t>执行通用条款</w:t>
      </w:r>
      <w:r>
        <w:rPr>
          <w:rFonts w:hint="eastAsia" w:cs="宋体"/>
          <w:color w:val="auto"/>
          <w:sz w:val="21"/>
          <w:szCs w:val="21"/>
          <w:highlight w:val="none"/>
        </w:rPr>
        <w:t>。</w:t>
      </w:r>
    </w:p>
    <w:bookmarkEnd w:id="528"/>
    <w:p w14:paraId="1D5E80C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13.2.5 移交、接收全部与部分工程</w:t>
      </w:r>
    </w:p>
    <w:bookmarkEnd w:id="529"/>
    <w:p w14:paraId="27C4D11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承包人向发包人移交工程的期限：</w:t>
      </w:r>
      <w:r>
        <w:rPr>
          <w:rFonts w:hint="eastAsia" w:ascii="宋体" w:cs="宋体"/>
          <w:color w:val="auto"/>
          <w:sz w:val="21"/>
          <w:szCs w:val="21"/>
          <w:highlight w:val="none"/>
          <w:u w:val="single"/>
          <w:shd w:val="clear" w:color="auto" w:fill="auto"/>
        </w:rPr>
        <w:t>承包人应当无条件配合发包人在30日内将工程移交给管养单位</w:t>
      </w:r>
      <w:r>
        <w:rPr>
          <w:rFonts w:hint="eastAsia" w:cs="宋体"/>
          <w:color w:val="auto"/>
          <w:sz w:val="21"/>
          <w:szCs w:val="21"/>
          <w:highlight w:val="none"/>
        </w:rPr>
        <w:t>。</w:t>
      </w:r>
    </w:p>
    <w:p w14:paraId="5F7A664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发包人未按本合同约定接收全部或部分工程的，违约金的计算方法为：</w:t>
      </w:r>
      <w:r>
        <w:rPr>
          <w:rFonts w:hint="eastAsia"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cs="宋体"/>
          <w:color w:val="auto"/>
          <w:sz w:val="21"/>
          <w:szCs w:val="21"/>
          <w:highlight w:val="none"/>
        </w:rPr>
        <w:t>。</w:t>
      </w:r>
    </w:p>
    <w:bookmarkEnd w:id="530"/>
    <w:p w14:paraId="167A104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承包人未按时移交工程的，违约金的计算方法为：</w:t>
      </w:r>
      <w:r>
        <w:rPr>
          <w:rFonts w:hint="eastAsia" w:cs="宋体"/>
          <w:color w:val="auto"/>
          <w:sz w:val="21"/>
          <w:szCs w:val="21"/>
          <w:highlight w:val="none"/>
          <w:u w:val="single"/>
          <w:lang w:val="en-US" w:eastAsia="zh-CN"/>
        </w:rPr>
        <w:t>因承包人原因，未按合同期限按时移交的，暂停工程款支付，发包人可动用质保金，用于工程质量整改</w:t>
      </w:r>
      <w:r>
        <w:rPr>
          <w:rFonts w:hint="eastAsia" w:ascii="宋体" w:hAnsi="宋体" w:eastAsia="宋体" w:cs="宋体"/>
          <w:color w:val="auto"/>
          <w:sz w:val="21"/>
          <w:szCs w:val="21"/>
          <w:highlight w:val="none"/>
          <w:u w:val="single"/>
        </w:rPr>
        <w:t xml:space="preserve"> </w:t>
      </w:r>
      <w:r>
        <w:rPr>
          <w:rFonts w:hint="eastAsia" w:cs="宋体"/>
          <w:color w:val="auto"/>
          <w:sz w:val="21"/>
          <w:szCs w:val="21"/>
          <w:highlight w:val="none"/>
        </w:rPr>
        <w:t>。</w:t>
      </w:r>
    </w:p>
    <w:p w14:paraId="5C2C12F6">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13.3 工程试车</w:t>
      </w:r>
    </w:p>
    <w:bookmarkEnd w:id="531"/>
    <w:p w14:paraId="741F621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13.3.1 试车程序</w:t>
      </w:r>
    </w:p>
    <w:p w14:paraId="5E94F72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工程试车内容：</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工程需要试车的，试车内容应与承包人承包范围相一致，试车费用由承包人承担</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4A1BDA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（1）单机无负荷试车费用由</w:t>
      </w:r>
      <w:r>
        <w:rPr>
          <w:rFonts w:hint="eastAsia" w:cs="宋体"/>
          <w:color w:val="auto"/>
          <w:sz w:val="21"/>
          <w:szCs w:val="21"/>
          <w:highlight w:val="none"/>
          <w:u w:val="single"/>
        </w:rPr>
        <w:t>承包人在</w:t>
      </w:r>
      <w:r>
        <w:rPr>
          <w:rFonts w:hint="eastAsia" w:cs="宋体"/>
          <w:color w:val="auto"/>
          <w:sz w:val="21"/>
          <w:szCs w:val="21"/>
          <w:highlight w:val="none"/>
          <w:u w:val="single"/>
          <w:lang w:val="en-US" w:eastAsia="zh-CN"/>
        </w:rPr>
        <w:t>响应</w:t>
      </w:r>
      <w:r>
        <w:rPr>
          <w:rFonts w:hint="eastAsia" w:cs="宋体"/>
          <w:color w:val="auto"/>
          <w:sz w:val="21"/>
          <w:szCs w:val="21"/>
          <w:highlight w:val="none"/>
          <w:u w:val="single"/>
        </w:rPr>
        <w:t>报价中综合考虑并</w:t>
      </w:r>
      <w:r>
        <w:rPr>
          <w:rFonts w:hint="eastAsia" w:cs="宋体"/>
          <w:color w:val="auto"/>
          <w:sz w:val="21"/>
          <w:szCs w:val="21"/>
          <w:highlight w:val="none"/>
        </w:rPr>
        <w:t>承担；</w:t>
      </w:r>
    </w:p>
    <w:p w14:paraId="32656DF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（2）无负荷联动试车费用由</w:t>
      </w:r>
      <w:r>
        <w:rPr>
          <w:rFonts w:hint="eastAsia" w:cs="宋体"/>
          <w:color w:val="auto"/>
          <w:sz w:val="21"/>
          <w:szCs w:val="21"/>
          <w:highlight w:val="none"/>
          <w:u w:val="single"/>
        </w:rPr>
        <w:t>承包人在</w:t>
      </w:r>
      <w:r>
        <w:rPr>
          <w:rFonts w:hint="eastAsia" w:cs="宋体"/>
          <w:color w:val="auto"/>
          <w:sz w:val="21"/>
          <w:szCs w:val="21"/>
          <w:highlight w:val="none"/>
          <w:u w:val="single"/>
          <w:lang w:val="en-US" w:eastAsia="zh-CN"/>
        </w:rPr>
        <w:t>响应</w:t>
      </w:r>
      <w:r>
        <w:rPr>
          <w:rFonts w:hint="eastAsia" w:cs="宋体"/>
          <w:color w:val="auto"/>
          <w:sz w:val="21"/>
          <w:szCs w:val="21"/>
          <w:highlight w:val="none"/>
          <w:u w:val="single"/>
        </w:rPr>
        <w:t>报价中综合考虑并</w:t>
      </w:r>
      <w:r>
        <w:rPr>
          <w:rFonts w:hint="eastAsia" w:cs="宋体"/>
          <w:color w:val="auto"/>
          <w:sz w:val="21"/>
          <w:szCs w:val="21"/>
          <w:highlight w:val="none"/>
        </w:rPr>
        <w:t>承担。</w:t>
      </w:r>
    </w:p>
    <w:p w14:paraId="2BB6802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13.3.3 投料试车</w:t>
      </w:r>
    </w:p>
    <w:p w14:paraId="05DE364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关于投料试车相关事项的约定：</w:t>
      </w:r>
      <w:r>
        <w:rPr>
          <w:rFonts w:hint="eastAsia" w:ascii="宋体" w:cs="宋体"/>
          <w:color w:val="auto"/>
          <w:kern w:val="0"/>
          <w:sz w:val="21"/>
          <w:szCs w:val="21"/>
          <w:highlight w:val="none"/>
          <w:u w:val="single"/>
          <w:shd w:val="clear" w:color="auto" w:fill="auto"/>
        </w:rPr>
        <w:t>如需进行投料试车的，发包人应在工程竣工验收后组织投料试车。发包人要求在工程竣工验收前进行或需要承包人配合时，应征得承包人同意。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r>
        <w:rPr>
          <w:rFonts w:hint="eastAsia" w:cs="宋体"/>
          <w:color w:val="auto"/>
          <w:sz w:val="21"/>
          <w:szCs w:val="21"/>
          <w:highlight w:val="none"/>
        </w:rPr>
        <w:t>。</w:t>
      </w:r>
    </w:p>
    <w:p w14:paraId="13926459">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13.6 竣工退场</w:t>
      </w:r>
    </w:p>
    <w:p w14:paraId="3B103CB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13.6.1 竣工退场</w:t>
      </w:r>
    </w:p>
    <w:p w14:paraId="79954B8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承包人完成竣工退场的期限：</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工程竣工合格后，7天内退场</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0337998">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533" w:name="_Toc351203646"/>
      <w:r>
        <w:rPr>
          <w:rFonts w:hint="eastAsia" w:cs="宋体"/>
          <w:color w:val="auto"/>
          <w:sz w:val="21"/>
          <w:szCs w:val="21"/>
          <w:highlight w:val="none"/>
        </w:rPr>
        <w:t>14. 竣工结算</w:t>
      </w:r>
      <w:bookmarkEnd w:id="533"/>
    </w:p>
    <w:p w14:paraId="7240D00D">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14.1 竣工结算申请</w:t>
      </w:r>
    </w:p>
    <w:p w14:paraId="11C7CB5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承包人提交竣工结算申请单的期限：</w:t>
      </w:r>
      <w:r>
        <w:rPr>
          <w:rFonts w:hint="eastAsia" w:ascii="宋体" w:cs="宋体"/>
          <w:color w:val="auto"/>
          <w:sz w:val="21"/>
          <w:szCs w:val="21"/>
          <w:highlight w:val="none"/>
          <w:u w:val="single"/>
          <w:shd w:val="clear" w:color="auto" w:fill="auto"/>
        </w:rPr>
        <w:t>承包人须于竣工验收合格后60日内完成竣工结算报告和完整结算资料上报，特殊情况，经分管领导批准的可以延长。凡因承包人原因，未能在规定时间内上报竣工结算的，处罚10000元/月的违约金。情节严重的，项目单位有权按已有资料或按已付款报相关部门办理结算</w:t>
      </w:r>
      <w:r>
        <w:rPr>
          <w:rFonts w:hint="eastAsia" w:cs="宋体"/>
          <w:color w:val="auto"/>
          <w:sz w:val="21"/>
          <w:szCs w:val="21"/>
          <w:highlight w:val="none"/>
        </w:rPr>
        <w:t>。</w:t>
      </w:r>
    </w:p>
    <w:p w14:paraId="04E7963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竣工结算申请单应包括的内容：</w:t>
      </w:r>
      <w:r>
        <w:rPr>
          <w:rFonts w:hint="eastAsia" w:cs="宋体"/>
          <w:color w:val="auto"/>
          <w:sz w:val="21"/>
          <w:szCs w:val="21"/>
          <w:highlight w:val="none"/>
          <w:u w:val="single"/>
          <w:lang w:val="en-US" w:eastAsia="zh-CN"/>
        </w:rPr>
        <w:t>执行发包人统一内容格式</w:t>
      </w:r>
      <w:r>
        <w:rPr>
          <w:rFonts w:hint="eastAsia" w:cs="宋体"/>
          <w:color w:val="auto"/>
          <w:sz w:val="21"/>
          <w:szCs w:val="21"/>
          <w:highlight w:val="none"/>
        </w:rPr>
        <w:t>。</w:t>
      </w:r>
    </w:p>
    <w:p w14:paraId="25A0CD1A">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14.2 竣工结算审核</w:t>
      </w:r>
    </w:p>
    <w:p w14:paraId="38F5E2F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发包人审批竣工付款申请单的期限：</w:t>
      </w:r>
      <w:r>
        <w:rPr>
          <w:rFonts w:hint="eastAsia" w:cs="宋体"/>
          <w:color w:val="auto"/>
          <w:sz w:val="21"/>
          <w:szCs w:val="21"/>
          <w:highlight w:val="none"/>
          <w:u w:val="single"/>
          <w:lang w:val="en-US" w:eastAsia="zh-CN"/>
        </w:rPr>
        <w:t>相关部门审核通过后7天内完成审批并签发结算款支付证书</w:t>
      </w:r>
      <w:r>
        <w:rPr>
          <w:rFonts w:hint="eastAsia" w:cs="宋体"/>
          <w:color w:val="auto"/>
          <w:sz w:val="21"/>
          <w:szCs w:val="21"/>
          <w:highlight w:val="none"/>
        </w:rPr>
        <w:t>。</w:t>
      </w:r>
    </w:p>
    <w:p w14:paraId="5D3DEFD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发包人完成竣工付款的期限：</w:t>
      </w:r>
      <w:r>
        <w:rPr>
          <w:rFonts w:hint="eastAsia" w:cs="宋体"/>
          <w:color w:val="auto"/>
          <w:sz w:val="21"/>
          <w:szCs w:val="21"/>
          <w:highlight w:val="none"/>
          <w:u w:val="single"/>
          <w:lang w:val="en-US" w:eastAsia="zh-CN"/>
        </w:rPr>
        <w:t>发包人在政府资金调度会批准且发票送达一周内完成支付</w:t>
      </w:r>
      <w:r>
        <w:rPr>
          <w:rFonts w:hint="eastAsia" w:cs="宋体"/>
          <w:color w:val="auto"/>
          <w:sz w:val="21"/>
          <w:szCs w:val="21"/>
          <w:highlight w:val="none"/>
        </w:rPr>
        <w:t>。</w:t>
      </w:r>
    </w:p>
    <w:p w14:paraId="61702C9E">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rPr>
      </w:pPr>
      <w:r>
        <w:rPr>
          <w:rFonts w:hint="eastAsia" w:cs="宋体"/>
          <w:color w:val="auto"/>
          <w:sz w:val="21"/>
          <w:szCs w:val="21"/>
          <w:highlight w:val="none"/>
        </w:rPr>
        <w:t>关于竣工付款证书异议部分复核的方式和程序：</w:t>
      </w:r>
      <w:r>
        <w:rPr>
          <w:rFonts w:hint="eastAsia" w:ascii="宋体" w:cs="宋体"/>
          <w:color w:val="auto"/>
          <w:sz w:val="21"/>
          <w:szCs w:val="21"/>
          <w:highlight w:val="none"/>
          <w:u w:val="single"/>
          <w:shd w:val="clear" w:color="auto" w:fill="auto"/>
        </w:rPr>
        <w:t>按照第20条〔争议解决〕约定处理</w:t>
      </w:r>
      <w:r>
        <w:rPr>
          <w:rFonts w:hint="eastAsia" w:cs="宋体"/>
          <w:color w:val="auto"/>
          <w:sz w:val="21"/>
          <w:szCs w:val="21"/>
          <w:highlight w:val="none"/>
        </w:rPr>
        <w:t>。</w:t>
      </w:r>
    </w:p>
    <w:p w14:paraId="440D6B5F">
      <w:pPr>
        <w:pageBreakBefore w:val="0"/>
        <w:kinsoku/>
        <w:wordWrap/>
        <w:overflowPunct/>
        <w:topLinePunct w:val="0"/>
        <w:bidi w:val="0"/>
        <w:adjustRightInd w:val="0"/>
        <w:snapToGrid w:val="0"/>
        <w:spacing w:line="400" w:lineRule="exact"/>
        <w:ind w:left="0" w:leftChars="0" w:right="0" w:rightChars="0" w:firstLine="422" w:firstLineChars="200"/>
        <w:textAlignment w:val="auto"/>
        <w:rPr>
          <w:rFonts w:hint="eastAsia" w:eastAsia="宋体" w:cs="宋体"/>
          <w:color w:val="auto"/>
          <w:sz w:val="21"/>
          <w:szCs w:val="21"/>
          <w:highlight w:val="none"/>
          <w:lang w:val="en-US" w:eastAsia="zh-CN"/>
        </w:rPr>
      </w:pPr>
      <w:r>
        <w:rPr>
          <w:rFonts w:hint="eastAsia" w:ascii="黑体" w:hAnsi="黑体" w:eastAsia="黑体" w:cs="黑体"/>
          <w:b/>
          <w:bCs/>
          <w:color w:val="auto"/>
          <w:sz w:val="21"/>
          <w:szCs w:val="21"/>
          <w:highlight w:val="none"/>
          <w:shd w:val="clear" w:color="auto" w:fill="auto"/>
        </w:rPr>
        <w:t>工程造价审减率超过3%时，将对施工单位进行处罚，处罚金额为审减率超过3%以上的报送金额的6%，由综合计划科在定案时明确处罚金额报工程监管科落实处罚</w:t>
      </w:r>
      <w:r>
        <w:rPr>
          <w:rFonts w:hint="eastAsia" w:ascii="黑体" w:hAnsi="黑体" w:eastAsia="黑体" w:cs="黑体"/>
          <w:b/>
          <w:bCs/>
          <w:color w:val="auto"/>
          <w:sz w:val="21"/>
          <w:szCs w:val="21"/>
          <w:highlight w:val="none"/>
          <w:shd w:val="clear" w:color="auto" w:fill="auto"/>
          <w:lang w:eastAsia="zh-CN"/>
        </w:rPr>
        <w:t>。</w:t>
      </w:r>
    </w:p>
    <w:p w14:paraId="40EEB80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14.4 最终结清</w:t>
      </w:r>
    </w:p>
    <w:p w14:paraId="774EC58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14.4.1 最终结清申请单</w:t>
      </w:r>
    </w:p>
    <w:p w14:paraId="2E9D7B9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承包人提交最终结清申请单的份数：</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4份</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9C59A1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承包人提交最终结算申请单的期限：</w:t>
      </w:r>
      <w:r>
        <w:rPr>
          <w:rFonts w:hint="eastAsia" w:cs="宋体"/>
          <w:color w:val="auto"/>
          <w:sz w:val="21"/>
          <w:szCs w:val="21"/>
          <w:highlight w:val="none"/>
          <w:u w:val="single"/>
        </w:rPr>
        <w:t>缺陷责任期终止证书颁发后7天内</w:t>
      </w:r>
      <w:r>
        <w:rPr>
          <w:rFonts w:hint="eastAsia" w:cs="宋体"/>
          <w:color w:val="auto"/>
          <w:sz w:val="21"/>
          <w:szCs w:val="21"/>
          <w:highlight w:val="none"/>
        </w:rPr>
        <w:t xml:space="preserve">。 </w:t>
      </w:r>
    </w:p>
    <w:p w14:paraId="72430A6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14.4.2 最终结清证书和支付</w:t>
      </w:r>
    </w:p>
    <w:p w14:paraId="61B811E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（1）发包人完成最终结清申请单的审批并颁发最终结清证书的期限：</w:t>
      </w:r>
      <w:r>
        <w:rPr>
          <w:rFonts w:hint="eastAsia" w:ascii="宋体" w:cs="宋体"/>
          <w:color w:val="auto"/>
          <w:sz w:val="21"/>
          <w:szCs w:val="21"/>
          <w:highlight w:val="none"/>
          <w:u w:val="single"/>
          <w:shd w:val="clear" w:color="auto" w:fill="auto"/>
        </w:rPr>
        <w:t>缺陷责任期满经复查合格后14天内</w:t>
      </w:r>
      <w:r>
        <w:rPr>
          <w:rFonts w:hint="eastAsia" w:cs="宋体"/>
          <w:color w:val="auto"/>
          <w:sz w:val="21"/>
          <w:szCs w:val="21"/>
          <w:highlight w:val="none"/>
        </w:rPr>
        <w:t>。</w:t>
      </w:r>
    </w:p>
    <w:p w14:paraId="68B30A7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（2）发包人完成支付的期限：</w:t>
      </w:r>
      <w:r>
        <w:rPr>
          <w:rFonts w:hint="eastAsia" w:ascii="宋体" w:cs="宋体"/>
          <w:color w:val="auto"/>
          <w:sz w:val="21"/>
          <w:szCs w:val="21"/>
          <w:highlight w:val="none"/>
          <w:u w:val="single"/>
          <w:shd w:val="clear" w:color="auto" w:fill="auto"/>
        </w:rPr>
        <w:t>发包人在政府资金调度会批准且发票送达一周内完成支付</w:t>
      </w:r>
      <w:r>
        <w:rPr>
          <w:rFonts w:hint="eastAsia" w:cs="宋体"/>
          <w:color w:val="auto"/>
          <w:sz w:val="21"/>
          <w:szCs w:val="21"/>
          <w:highlight w:val="none"/>
        </w:rPr>
        <w:t>。</w:t>
      </w:r>
    </w:p>
    <w:bookmarkEnd w:id="520"/>
    <w:bookmarkEnd w:id="521"/>
    <w:bookmarkEnd w:id="522"/>
    <w:bookmarkEnd w:id="523"/>
    <w:bookmarkEnd w:id="524"/>
    <w:bookmarkEnd w:id="525"/>
    <w:bookmarkEnd w:id="526"/>
    <w:bookmarkEnd w:id="532"/>
    <w:p w14:paraId="6E643921">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534" w:name="_Toc351203647"/>
      <w:bookmarkStart w:id="535" w:name="_Toc267251483"/>
      <w:bookmarkStart w:id="536" w:name="_Toc267251482"/>
      <w:bookmarkStart w:id="537" w:name="_Toc267251484"/>
      <w:bookmarkStart w:id="538" w:name="_Toc267251485"/>
      <w:bookmarkStart w:id="539" w:name="_Toc267251489"/>
      <w:bookmarkStart w:id="540" w:name="_Toc267251488"/>
      <w:bookmarkStart w:id="541" w:name="_Toc267251486"/>
      <w:bookmarkStart w:id="542" w:name="_Toc267251490"/>
      <w:bookmarkStart w:id="543" w:name="_Toc267251493"/>
      <w:bookmarkStart w:id="544" w:name="_Toc267251496"/>
      <w:bookmarkStart w:id="545" w:name="_Toc267251494"/>
      <w:bookmarkStart w:id="546" w:name="_Toc267251492"/>
      <w:bookmarkStart w:id="547" w:name="_Toc267251498"/>
      <w:bookmarkStart w:id="548" w:name="_Toc267251503"/>
      <w:bookmarkStart w:id="549" w:name="_Toc267251491"/>
      <w:bookmarkStart w:id="550" w:name="_Toc267251497"/>
      <w:bookmarkStart w:id="551" w:name="_Toc267251495"/>
      <w:bookmarkStart w:id="552" w:name="_Toc267251499"/>
      <w:bookmarkStart w:id="553" w:name="_Toc267251501"/>
      <w:bookmarkStart w:id="554" w:name="_Toc267251502"/>
      <w:bookmarkStart w:id="555" w:name="_Toc267251506"/>
      <w:bookmarkStart w:id="556" w:name="_Toc267251504"/>
      <w:bookmarkStart w:id="557" w:name="_Toc267251507"/>
      <w:bookmarkStart w:id="558" w:name="_Toc267251508"/>
      <w:bookmarkStart w:id="559" w:name="_Toc267251514"/>
      <w:bookmarkStart w:id="560" w:name="_Toc267251511"/>
      <w:bookmarkStart w:id="561" w:name="_Toc267251510"/>
      <w:bookmarkStart w:id="562" w:name="_Toc267251515"/>
      <w:bookmarkStart w:id="563" w:name="_Toc267251513"/>
      <w:bookmarkStart w:id="564" w:name="_Toc267251509"/>
      <w:r>
        <w:rPr>
          <w:rFonts w:hint="eastAsia" w:cs="宋体"/>
          <w:color w:val="auto"/>
          <w:sz w:val="21"/>
          <w:szCs w:val="21"/>
          <w:highlight w:val="none"/>
        </w:rPr>
        <w:t>15. 缺陷责任期与保修</w:t>
      </w:r>
      <w:bookmarkEnd w:id="534"/>
    </w:p>
    <w:p w14:paraId="5D4D512B">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15.2 缺陷责任期</w:t>
      </w:r>
      <w:bookmarkEnd w:id="535"/>
    </w:p>
    <w:p w14:paraId="2B66249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缺陷责任期的具体期限：</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47444B0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15.3 质量保证金</w:t>
      </w:r>
    </w:p>
    <w:p w14:paraId="70FA60C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关于是否扣留质量保证金的约定：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否</w:t>
      </w:r>
      <w:r>
        <w:rPr>
          <w:rFonts w:hint="eastAsia" w:cs="宋体"/>
          <w:color w:val="auto"/>
          <w:sz w:val="21"/>
          <w:szCs w:val="21"/>
          <w:highlight w:val="none"/>
          <w:u w:val="single"/>
        </w:rPr>
        <w:t xml:space="preserve">   </w:t>
      </w:r>
      <w:r>
        <w:rPr>
          <w:rFonts w:hint="eastAsia" w:cs="宋体"/>
          <w:color w:val="auto"/>
          <w:sz w:val="21"/>
          <w:szCs w:val="21"/>
          <w:highlight w:val="none"/>
        </w:rPr>
        <w:t>。在工程项目竣工前，承包人按专用合同条款第3.7款提供履约保证金的，发包人不得同时预留工程质量保证金。</w:t>
      </w:r>
    </w:p>
    <w:p w14:paraId="1787449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15.3.1 承包人提供质量保证金的方式</w:t>
      </w:r>
    </w:p>
    <w:p w14:paraId="31F4D77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质量保证金可采用以下任意一种方式：</w:t>
      </w:r>
    </w:p>
    <w:p w14:paraId="158DD27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（1）由银行业金融机构、工程担保公司、保险机构出具银行保函、工程质量保险等担保方式，担保/保证金额为：</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3613F59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3C6DE73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（3）其他方式：</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4D13671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 xml:space="preserve">15.3.2 质量保证金的扣留 </w:t>
      </w:r>
    </w:p>
    <w:p w14:paraId="72A0323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质量保证金的扣留采取以下第</w:t>
      </w:r>
      <w:r>
        <w:rPr>
          <w:rFonts w:hint="eastAsia" w:cs="宋体"/>
          <w:color w:val="auto"/>
          <w:sz w:val="21"/>
          <w:szCs w:val="21"/>
          <w:highlight w:val="none"/>
          <w:u w:val="single"/>
        </w:rPr>
        <w:t xml:space="preserve">   </w:t>
      </w:r>
      <w:r>
        <w:rPr>
          <w:rFonts w:hint="eastAsia" w:cs="宋体"/>
          <w:color w:val="auto"/>
          <w:sz w:val="21"/>
          <w:szCs w:val="21"/>
          <w:highlight w:val="none"/>
        </w:rPr>
        <w:t>种方式：</w:t>
      </w:r>
    </w:p>
    <w:p w14:paraId="5328516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（1）在支付工程进度款时逐次扣留，在此情形下，质量保证金的计算基数不包括预付款的支付、扣回以及价格调整的金额；</w:t>
      </w:r>
    </w:p>
    <w:p w14:paraId="2434192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（2）工程竣工结算时一次性扣留质量保证金；</w:t>
      </w:r>
    </w:p>
    <w:p w14:paraId="6B9C2AF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（3）其他扣留方式：</w:t>
      </w:r>
      <w:r>
        <w:rPr>
          <w:rFonts w:hint="eastAsia" w:cs="宋体"/>
          <w:color w:val="auto"/>
          <w:sz w:val="21"/>
          <w:szCs w:val="21"/>
          <w:highlight w:val="none"/>
          <w:u w:val="single"/>
        </w:rPr>
        <w:t xml:space="preserve"> </w:t>
      </w:r>
      <w:r>
        <w:rPr>
          <w:rFonts w:hint="eastAsia" w:ascii="宋体" w:cs="宋体"/>
          <w:color w:val="auto"/>
          <w:kern w:val="0"/>
          <w:sz w:val="21"/>
          <w:szCs w:val="21"/>
          <w:highlight w:val="none"/>
          <w:u w:val="single"/>
          <w:shd w:val="clear" w:color="auto" w:fill="auto"/>
        </w:rPr>
        <w:t>详见工程款支付方式</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071F88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关于质量保证金的补充约定：</w:t>
      </w:r>
    </w:p>
    <w:p w14:paraId="35C08B7F">
      <w:pPr>
        <w:pageBreakBefore w:val="0"/>
        <w:kinsoku/>
        <w:wordWrap/>
        <w:overflowPunct/>
        <w:topLinePunct w:val="0"/>
        <w:bidi w:val="0"/>
        <w:adjustRightInd w:val="0"/>
        <w:snapToGrid w:val="0"/>
        <w:spacing w:line="400" w:lineRule="exact"/>
        <w:ind w:left="0" w:leftChars="0" w:right="0" w:rightChars="0" w:firstLine="420" w:firstLineChars="200"/>
        <w:textAlignment w:val="auto"/>
        <w:rPr>
          <w:rFonts w:cs="宋体"/>
          <w:color w:val="auto"/>
          <w:sz w:val="21"/>
          <w:szCs w:val="21"/>
          <w:highlight w:val="none"/>
        </w:rPr>
      </w:pPr>
      <w:r>
        <w:rPr>
          <w:rFonts w:hint="eastAsia" w:ascii="宋体" w:cs="宋体"/>
          <w:color w:val="auto"/>
          <w:kern w:val="0"/>
          <w:sz w:val="21"/>
          <w:szCs w:val="21"/>
          <w:highlight w:val="none"/>
          <w:u w:val="single"/>
          <w:shd w:val="clear" w:color="auto" w:fill="auto"/>
        </w:rPr>
        <w:t>质量保证金支持保函（银行保函、担保机构担保、保证保险）使用。采用保函的，保函有效期须与缺陷责任期截止时间保持一致</w:t>
      </w:r>
      <w:r>
        <w:rPr>
          <w:rFonts w:hint="eastAsia" w:ascii="宋体" w:cs="宋体"/>
          <w:color w:val="auto"/>
          <w:kern w:val="0"/>
          <w:sz w:val="21"/>
          <w:szCs w:val="21"/>
          <w:highlight w:val="none"/>
          <w:u w:val="single"/>
          <w:shd w:val="clear" w:color="auto" w:fill="auto"/>
          <w:lang w:eastAsia="zh-CN"/>
        </w:rPr>
        <w:t>。</w:t>
      </w:r>
      <w:r>
        <w:rPr>
          <w:rFonts w:hint="eastAsia" w:ascii="宋体" w:cs="宋体"/>
          <w:color w:val="auto"/>
          <w:sz w:val="21"/>
          <w:szCs w:val="21"/>
          <w:highlight w:val="none"/>
          <w:u w:val="single"/>
          <w:shd w:val="clear" w:color="auto" w:fill="auto"/>
        </w:rPr>
        <w:t>承包人在缺陷责任期内未履行保修义务的，缺陷责任期满经复查不合格的，质量保证金不予退还。</w:t>
      </w:r>
      <w:r>
        <w:rPr>
          <w:rFonts w:hint="eastAsia" w:ascii="宋体" w:cs="宋体"/>
          <w:color w:val="auto"/>
          <w:kern w:val="0"/>
          <w:sz w:val="21"/>
          <w:szCs w:val="21"/>
          <w:highlight w:val="none"/>
          <w:u w:val="single"/>
          <w:shd w:val="clear" w:color="auto" w:fill="auto"/>
        </w:rPr>
        <w:t>质量缺陷较多，多次催促整改不到位，处理不及时的，</w:t>
      </w:r>
      <w:r>
        <w:rPr>
          <w:rFonts w:hint="eastAsia" w:ascii="宋体" w:cs="宋体"/>
          <w:color w:val="auto"/>
          <w:sz w:val="21"/>
          <w:szCs w:val="21"/>
          <w:highlight w:val="none"/>
          <w:u w:val="single"/>
          <w:shd w:val="clear" w:color="auto" w:fill="auto"/>
        </w:rPr>
        <w:t>发包人可动用质保金，用于工程质量整改</w:t>
      </w:r>
      <w:r>
        <w:rPr>
          <w:rFonts w:hint="eastAsia" w:cs="宋体"/>
          <w:color w:val="auto"/>
          <w:sz w:val="21"/>
          <w:szCs w:val="21"/>
          <w:highlight w:val="none"/>
        </w:rPr>
        <w:t>。</w:t>
      </w:r>
    </w:p>
    <w:bookmarkEnd w:id="536"/>
    <w:bookmarkEnd w:id="537"/>
    <w:p w14:paraId="24E90D6E">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15.4 保修</w:t>
      </w:r>
    </w:p>
    <w:bookmarkEnd w:id="538"/>
    <w:p w14:paraId="47227A1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15.4.1 保修责任</w:t>
      </w:r>
    </w:p>
    <w:p w14:paraId="3E7A7A0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工程保修期为：</w:t>
      </w:r>
      <w:r>
        <w:rPr>
          <w:rFonts w:hint="eastAsia" w:cs="宋体"/>
          <w:color w:val="auto"/>
          <w:kern w:val="0"/>
          <w:sz w:val="21"/>
          <w:szCs w:val="21"/>
          <w:highlight w:val="none"/>
          <w:u w:val="single"/>
          <w:lang w:val="en-US" w:eastAsia="zh-CN"/>
        </w:rPr>
        <w:t>执行《建设工程质量管理条例》及有关规定，如与国家最新相关标准冲突的按标准较高的执行</w:t>
      </w:r>
      <w:r>
        <w:rPr>
          <w:rFonts w:hint="eastAsia" w:cs="宋体"/>
          <w:color w:val="auto"/>
          <w:sz w:val="21"/>
          <w:szCs w:val="21"/>
          <w:highlight w:val="none"/>
        </w:rPr>
        <w:t>。</w:t>
      </w:r>
    </w:p>
    <w:p w14:paraId="60A4702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15.4.3 修复通知</w:t>
      </w:r>
    </w:p>
    <w:p w14:paraId="380ADDD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承包人收到保修通知并到达工程现场的合理时间：</w:t>
      </w:r>
      <w:r>
        <w:rPr>
          <w:rFonts w:hint="eastAsia" w:cs="宋体"/>
          <w:color w:val="auto"/>
          <w:sz w:val="21"/>
          <w:szCs w:val="21"/>
          <w:highlight w:val="none"/>
          <w:u w:val="single"/>
        </w:rPr>
        <w:t xml:space="preserve"> </w:t>
      </w:r>
      <w:r>
        <w:rPr>
          <w:rFonts w:hint="eastAsia" w:cs="宋体"/>
          <w:color w:val="auto"/>
          <w:kern w:val="0"/>
          <w:sz w:val="21"/>
          <w:szCs w:val="21"/>
          <w:highlight w:val="none"/>
          <w:u w:val="single"/>
          <w:shd w:val="clear" w:color="auto" w:fill="auto"/>
          <w:lang w:val="en-US" w:eastAsia="zh-CN"/>
        </w:rPr>
        <w:t xml:space="preserve"> 自承包人收到保修通知起24小时内到达工程现场</w:t>
      </w:r>
      <w:r>
        <w:rPr>
          <w:rFonts w:hint="eastAsia" w:cs="宋体"/>
          <w:color w:val="auto"/>
          <w:sz w:val="21"/>
          <w:szCs w:val="21"/>
          <w:highlight w:val="none"/>
          <w:u w:val="single"/>
        </w:rPr>
        <w:t xml:space="preserve"> </w:t>
      </w:r>
      <w:r>
        <w:rPr>
          <w:rFonts w:hint="eastAsia" w:cs="宋体"/>
          <w:color w:val="auto"/>
          <w:sz w:val="21"/>
          <w:szCs w:val="21"/>
          <w:highlight w:val="none"/>
        </w:rPr>
        <w:t>。</w:t>
      </w:r>
    </w:p>
    <w:bookmarkEnd w:id="539"/>
    <w:bookmarkEnd w:id="540"/>
    <w:bookmarkEnd w:id="541"/>
    <w:bookmarkEnd w:id="542"/>
    <w:p w14:paraId="1355C7DA">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565" w:name="_Toc351203648"/>
      <w:bookmarkStart w:id="566" w:name="_Toc280868717"/>
      <w:bookmarkStart w:id="567" w:name="_Toc280868718"/>
      <w:r>
        <w:rPr>
          <w:rFonts w:hint="eastAsia" w:cs="宋体"/>
          <w:color w:val="auto"/>
          <w:sz w:val="21"/>
          <w:szCs w:val="21"/>
          <w:highlight w:val="none"/>
        </w:rPr>
        <w:t>16. 违约</w:t>
      </w:r>
      <w:bookmarkEnd w:id="565"/>
    </w:p>
    <w:p w14:paraId="3128F852">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16.1 发包人违约</w:t>
      </w:r>
    </w:p>
    <w:p w14:paraId="33E102A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16.1.1 发包人违约的情形</w:t>
      </w:r>
    </w:p>
    <w:p w14:paraId="0B7D91F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发包人违约的其他情形：</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DE3D7F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16.1.2 发包人违约的责任</w:t>
      </w:r>
    </w:p>
    <w:p w14:paraId="11B4CAD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发包人违约责任的承担方式和计算方法：</w:t>
      </w:r>
    </w:p>
    <w:p w14:paraId="784CFCA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（1）因发包人原因未能在计划开工日期前7天内下达开工通知的违约责任：</w:t>
      </w:r>
      <w:r>
        <w:rPr>
          <w:rFonts w:hint="eastAsia" w:cs="宋体"/>
          <w:color w:val="auto"/>
          <w:sz w:val="21"/>
          <w:szCs w:val="21"/>
          <w:highlight w:val="none"/>
          <w:u w:val="single"/>
        </w:rPr>
        <w:t xml:space="preserve"> </w:t>
      </w:r>
      <w:r>
        <w:rPr>
          <w:rFonts w:hint="eastAsia" w:ascii="宋体" w:cs="宋体"/>
          <w:color w:val="auto"/>
          <w:kern w:val="0"/>
          <w:sz w:val="21"/>
          <w:szCs w:val="21"/>
          <w:highlight w:val="none"/>
          <w:u w:val="single"/>
        </w:rPr>
        <w:t>对工期造成影响的可顺延工期</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9F59A6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（2）因发包人原因未能按合同约定支付合同价款的违约责任：</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4927229">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u w:val="single"/>
        </w:rPr>
      </w:pPr>
      <w:r>
        <w:rPr>
          <w:rFonts w:hint="eastAsia" w:cs="宋体"/>
          <w:color w:val="auto"/>
          <w:sz w:val="21"/>
          <w:szCs w:val="21"/>
          <w:highlight w:val="none"/>
        </w:rPr>
        <w:t>（3）发包人违反第10.1款〔变更的范围〕第（2）项约定，自行实施被取消的工作或转由他人实施的违约责任：</w:t>
      </w:r>
      <w:r>
        <w:rPr>
          <w:rFonts w:hint="eastAsia" w:cs="宋体"/>
          <w:color w:val="auto"/>
          <w:sz w:val="21"/>
          <w:szCs w:val="21"/>
          <w:highlight w:val="none"/>
          <w:u w:val="single"/>
        </w:rPr>
        <w:t xml:space="preserve">  发包人可追加与被取消的工作造价相当的额外工作做为补偿   </w:t>
      </w:r>
      <w:r>
        <w:rPr>
          <w:rFonts w:hint="eastAsia" w:cs="宋体"/>
          <w:color w:val="auto"/>
          <w:sz w:val="21"/>
          <w:szCs w:val="21"/>
          <w:highlight w:val="none"/>
        </w:rPr>
        <w:t>。</w:t>
      </w:r>
    </w:p>
    <w:p w14:paraId="64E9F4D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（4）发包人提供的材料、工程设备的规格、数量或质量不符合合同约定，或因发包人原因导致交货日期延误或交货地点变更等情况的违约责任：</w:t>
      </w:r>
      <w:r>
        <w:rPr>
          <w:rFonts w:hint="eastAsia" w:cs="宋体"/>
          <w:color w:val="auto"/>
          <w:sz w:val="21"/>
          <w:szCs w:val="21"/>
          <w:highlight w:val="none"/>
          <w:u w:val="single"/>
        </w:rPr>
        <w:t xml:space="preserve">  发包人可补足或更换材料、工程设备；对工期造成延误的可以顺延；增加承包人成本的可予以补偿  </w:t>
      </w:r>
      <w:r>
        <w:rPr>
          <w:rFonts w:hint="eastAsia" w:cs="宋体"/>
          <w:color w:val="auto"/>
          <w:sz w:val="21"/>
          <w:szCs w:val="21"/>
          <w:highlight w:val="none"/>
        </w:rPr>
        <w:t>。</w:t>
      </w:r>
    </w:p>
    <w:p w14:paraId="356E118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（5）因发包人违反合同约定造成暂停施工的违约责任：</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可顺延工期</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66ED2E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（6）发包人无正当理由没有在约定期限内发出复工指示，导致承包人无法复工的违约责任：</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 xml:space="preserve">对工期造成影响的可顺延工期 </w:t>
      </w:r>
      <w:r>
        <w:rPr>
          <w:rFonts w:hint="eastAsia" w:cs="宋体"/>
          <w:color w:val="auto"/>
          <w:sz w:val="21"/>
          <w:szCs w:val="21"/>
          <w:highlight w:val="none"/>
        </w:rPr>
        <w:t>。</w:t>
      </w:r>
    </w:p>
    <w:p w14:paraId="4BBE7F7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（7）其他：</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E2C4AE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16.1.3 因发包人违约解除合同</w:t>
      </w:r>
    </w:p>
    <w:p w14:paraId="005CB34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承包人按16.1.1项〔发包人违约的情形〕约定暂停施工满</w:t>
      </w:r>
      <w:r>
        <w:rPr>
          <w:rFonts w:hint="eastAsia" w:cs="宋体"/>
          <w:color w:val="auto"/>
          <w:sz w:val="21"/>
          <w:szCs w:val="21"/>
          <w:highlight w:val="none"/>
          <w:u w:val="single"/>
        </w:rPr>
        <w:t>28</w:t>
      </w:r>
      <w:r>
        <w:rPr>
          <w:rFonts w:hint="eastAsia" w:cs="宋体"/>
          <w:color w:val="auto"/>
          <w:sz w:val="21"/>
          <w:szCs w:val="21"/>
          <w:highlight w:val="none"/>
        </w:rPr>
        <w:t>天后发包人仍不纠正其违约行为并致使合同目的不能实现的，承包人有权解除合同。</w:t>
      </w:r>
    </w:p>
    <w:p w14:paraId="12D5A86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16.2 承包人违约</w:t>
      </w:r>
    </w:p>
    <w:p w14:paraId="772D915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16.2.1 承包人违约的情形</w:t>
      </w:r>
    </w:p>
    <w:p w14:paraId="2F15B45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承包人违约的其他情形：</w:t>
      </w:r>
      <w:r>
        <w:rPr>
          <w:rFonts w:hint="eastAsia" w:cs="宋体"/>
          <w:color w:val="auto"/>
          <w:sz w:val="21"/>
          <w:szCs w:val="21"/>
          <w:highlight w:val="none"/>
          <w:u w:val="single"/>
        </w:rPr>
        <w:t xml:space="preserve">        </w:t>
      </w:r>
      <w:r>
        <w:rPr>
          <w:rFonts w:hint="eastAsia" w:ascii="宋体" w:hAnsi="宋体" w:eastAsia="宋体" w:cs="宋体"/>
          <w:color w:val="auto"/>
          <w:kern w:val="0"/>
          <w:sz w:val="21"/>
          <w:szCs w:val="21"/>
          <w:highlight w:val="none"/>
          <w:u w:val="single"/>
        </w:rPr>
        <w:t>执行补充条款</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CFB6DB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16.2.2 承包人违约的责任</w:t>
      </w:r>
    </w:p>
    <w:p w14:paraId="771C89D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承包人违约责任的承担方式和计算方法：</w:t>
      </w:r>
      <w:r>
        <w:rPr>
          <w:rFonts w:hint="eastAsia" w:cs="宋体"/>
          <w:color w:val="auto"/>
          <w:sz w:val="21"/>
          <w:szCs w:val="21"/>
          <w:highlight w:val="none"/>
          <w:u w:val="single"/>
        </w:rPr>
        <w:t xml:space="preserve">      </w:t>
      </w:r>
      <w:r>
        <w:rPr>
          <w:rFonts w:hint="eastAsia" w:ascii="宋体" w:hAnsi="宋体" w:eastAsia="宋体" w:cs="宋体"/>
          <w:color w:val="auto"/>
          <w:kern w:val="0"/>
          <w:sz w:val="21"/>
          <w:szCs w:val="21"/>
          <w:highlight w:val="none"/>
          <w:u w:val="single"/>
        </w:rPr>
        <w:t>执行补充条款</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FD02AB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16.2.3 因承包人违约解除合同</w:t>
      </w:r>
    </w:p>
    <w:p w14:paraId="4701D50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关于承包人违约解除合同的特别约定：</w:t>
      </w:r>
      <w:r>
        <w:rPr>
          <w:rFonts w:hint="eastAsia" w:cs="宋体"/>
          <w:color w:val="auto"/>
          <w:sz w:val="21"/>
          <w:szCs w:val="21"/>
          <w:highlight w:val="none"/>
          <w:u w:val="single"/>
        </w:rPr>
        <w:t xml:space="preserve">      </w:t>
      </w:r>
      <w:r>
        <w:rPr>
          <w:rFonts w:hint="eastAsia" w:ascii="宋体" w:hAnsi="宋体" w:eastAsia="宋体" w:cs="宋体"/>
          <w:color w:val="auto"/>
          <w:kern w:val="0"/>
          <w:sz w:val="21"/>
          <w:szCs w:val="21"/>
          <w:highlight w:val="none"/>
          <w:u w:val="single"/>
        </w:rPr>
        <w:t>执行补充条款</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4FE118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发包人继续使用承包人在施工现场的材料、设备、临时工程、承包人文件和由承包人或以其名义编制的其他文件的费用承担方式：</w:t>
      </w:r>
      <w:r>
        <w:rPr>
          <w:rFonts w:hint="eastAsia" w:cs="宋体"/>
          <w:color w:val="auto"/>
          <w:sz w:val="21"/>
          <w:szCs w:val="21"/>
          <w:highlight w:val="none"/>
          <w:u w:val="single"/>
        </w:rPr>
        <w:t xml:space="preserve">    </w:t>
      </w:r>
      <w:r>
        <w:rPr>
          <w:rFonts w:hint="eastAsia" w:ascii="宋体" w:hAnsi="宋体" w:eastAsia="宋体" w:cs="宋体"/>
          <w:color w:val="auto"/>
          <w:kern w:val="0"/>
          <w:sz w:val="21"/>
          <w:szCs w:val="21"/>
          <w:highlight w:val="none"/>
          <w:u w:val="single"/>
        </w:rPr>
        <w:t>承包人承担费用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30A4E03">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568" w:name="_Toc351203649"/>
      <w:r>
        <w:rPr>
          <w:rFonts w:hint="eastAsia" w:cs="宋体"/>
          <w:color w:val="auto"/>
          <w:sz w:val="21"/>
          <w:szCs w:val="21"/>
          <w:highlight w:val="none"/>
        </w:rPr>
        <w:t>17. 不可抗力</w:t>
      </w:r>
      <w:bookmarkEnd w:id="568"/>
      <w:r>
        <w:rPr>
          <w:rFonts w:hint="eastAsia" w:cs="宋体"/>
          <w:color w:val="auto"/>
          <w:sz w:val="21"/>
          <w:szCs w:val="21"/>
          <w:highlight w:val="none"/>
        </w:rPr>
        <w:t xml:space="preserve"> </w:t>
      </w:r>
      <w:bookmarkEnd w:id="566"/>
    </w:p>
    <w:p w14:paraId="5B74B7A1">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17.1 不可抗力的确认</w:t>
      </w:r>
    </w:p>
    <w:p w14:paraId="235D533C">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u w:val="single"/>
        </w:rPr>
      </w:pPr>
      <w:r>
        <w:rPr>
          <w:rFonts w:hint="eastAsia" w:cs="宋体"/>
          <w:color w:val="auto"/>
          <w:sz w:val="21"/>
          <w:szCs w:val="21"/>
          <w:highlight w:val="none"/>
        </w:rPr>
        <w:t>除通用合同条款约定的不可抗力事件之外，视为不可抗力的其他情形：</w:t>
      </w:r>
      <w:r>
        <w:rPr>
          <w:rFonts w:hint="eastAsia" w:cs="宋体"/>
          <w:color w:val="auto"/>
          <w:sz w:val="21"/>
          <w:szCs w:val="21"/>
          <w:highlight w:val="none"/>
          <w:u w:val="single"/>
          <w:lang w:val="en-US" w:eastAsia="zh-CN"/>
        </w:rPr>
        <w:t>无</w:t>
      </w:r>
      <w:r>
        <w:rPr>
          <w:rFonts w:hint="eastAsia" w:cs="宋体"/>
          <w:color w:val="auto"/>
          <w:sz w:val="21"/>
          <w:szCs w:val="21"/>
          <w:highlight w:val="none"/>
        </w:rPr>
        <w:t>。</w:t>
      </w:r>
    </w:p>
    <w:p w14:paraId="1C1F0A3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17.4 因不可抗力解除合同</w:t>
      </w:r>
    </w:p>
    <w:p w14:paraId="58A9F1D9">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rPr>
      </w:pPr>
      <w:bookmarkStart w:id="569" w:name="_Toc351203650"/>
      <w:r>
        <w:rPr>
          <w:rFonts w:hint="eastAsia" w:cs="宋体"/>
          <w:color w:val="auto"/>
          <w:sz w:val="21"/>
          <w:szCs w:val="21"/>
          <w:highlight w:val="none"/>
        </w:rPr>
        <w:t>合同解除后，发包人应在政府资金调度会批准且发票送达一周内完成款项的支付。</w:t>
      </w:r>
    </w:p>
    <w:p w14:paraId="212E9965">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r>
        <w:rPr>
          <w:rFonts w:hint="eastAsia" w:cs="宋体"/>
          <w:color w:val="auto"/>
          <w:sz w:val="21"/>
          <w:szCs w:val="21"/>
          <w:highlight w:val="none"/>
        </w:rPr>
        <w:t>18. 保险</w:t>
      </w:r>
      <w:bookmarkEnd w:id="569"/>
    </w:p>
    <w:bookmarkEnd w:id="567"/>
    <w:p w14:paraId="3452747D">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18.1 工程保险</w:t>
      </w:r>
    </w:p>
    <w:p w14:paraId="4702C549">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rPr>
      </w:pPr>
      <w:r>
        <w:rPr>
          <w:rFonts w:hint="eastAsia" w:cs="宋体"/>
          <w:color w:val="auto"/>
          <w:sz w:val="21"/>
          <w:szCs w:val="21"/>
          <w:highlight w:val="none"/>
        </w:rPr>
        <w:t>关于工程保险的特别约定：</w:t>
      </w:r>
      <w:r>
        <w:rPr>
          <w:rFonts w:hint="eastAsia" w:cs="宋体"/>
          <w:b/>
          <w:color w:val="auto"/>
          <w:sz w:val="21"/>
          <w:szCs w:val="21"/>
          <w:highlight w:val="none"/>
          <w:u w:val="single"/>
        </w:rPr>
        <w:t xml:space="preserve"> </w:t>
      </w:r>
      <w:r>
        <w:rPr>
          <w:rFonts w:hint="eastAsia" w:ascii="宋体" w:hAnsi="宋体" w:eastAsia="宋体" w:cs="宋体"/>
          <w:color w:val="auto"/>
          <w:sz w:val="21"/>
          <w:szCs w:val="21"/>
          <w:highlight w:val="none"/>
          <w:u w:val="single"/>
        </w:rPr>
        <w:t>承包人自行考虑</w:t>
      </w:r>
      <w:r>
        <w:rPr>
          <w:rFonts w:hint="eastAsia" w:cs="宋体"/>
          <w:b/>
          <w:color w:val="auto"/>
          <w:sz w:val="21"/>
          <w:szCs w:val="21"/>
          <w:highlight w:val="none"/>
          <w:u w:val="single"/>
        </w:rPr>
        <w:t xml:space="preserve"> </w:t>
      </w:r>
      <w:r>
        <w:rPr>
          <w:rFonts w:hint="eastAsia" w:cs="宋体"/>
          <w:b/>
          <w:color w:val="auto"/>
          <w:sz w:val="21"/>
          <w:szCs w:val="21"/>
          <w:highlight w:val="none"/>
        </w:rPr>
        <w:t>。</w:t>
      </w:r>
    </w:p>
    <w:p w14:paraId="076E5BD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18.3 其他保险</w:t>
      </w:r>
    </w:p>
    <w:p w14:paraId="360BE3F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关于其他保险的约定：</w:t>
      </w:r>
      <w:r>
        <w:rPr>
          <w:rFonts w:hint="eastAsia" w:cs="宋体"/>
          <w:color w:val="auto"/>
          <w:sz w:val="21"/>
          <w:szCs w:val="21"/>
          <w:highlight w:val="none"/>
          <w:u w:val="single"/>
          <w:lang w:val="en-US" w:eastAsia="zh-CN"/>
        </w:rPr>
        <w:t xml:space="preserve"> 执行国家、省、市有关规定</w:t>
      </w:r>
      <w:r>
        <w:rPr>
          <w:rFonts w:hint="eastAsia" w:cs="宋体"/>
          <w:color w:val="auto"/>
          <w:sz w:val="21"/>
          <w:szCs w:val="21"/>
          <w:highlight w:val="none"/>
        </w:rPr>
        <w:t>。</w:t>
      </w:r>
    </w:p>
    <w:p w14:paraId="2DF7278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承包人是否应为其施工设备等办理财产保险：</w:t>
      </w:r>
      <w:r>
        <w:rPr>
          <w:rFonts w:hint="eastAsia" w:cs="宋体"/>
          <w:color w:val="auto"/>
          <w:sz w:val="21"/>
          <w:szCs w:val="21"/>
          <w:highlight w:val="none"/>
          <w:u w:val="single"/>
          <w:lang w:val="en-US" w:eastAsia="zh-CN"/>
        </w:rPr>
        <w:t>承包人应为其施工设备等办理财产保险</w:t>
      </w:r>
      <w:r>
        <w:rPr>
          <w:rFonts w:hint="eastAsia" w:cs="宋体"/>
          <w:color w:val="auto"/>
          <w:sz w:val="21"/>
          <w:szCs w:val="21"/>
          <w:highlight w:val="none"/>
        </w:rPr>
        <w:t>。</w:t>
      </w:r>
    </w:p>
    <w:p w14:paraId="216C21C2">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18.7 通知义务</w:t>
      </w:r>
    </w:p>
    <w:p w14:paraId="505D1B8A">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rPr>
      </w:pPr>
      <w:r>
        <w:rPr>
          <w:rFonts w:hint="eastAsia" w:cs="宋体"/>
          <w:color w:val="auto"/>
          <w:sz w:val="21"/>
          <w:szCs w:val="21"/>
          <w:highlight w:val="none"/>
        </w:rPr>
        <w:t>关于变更保险合同时的通知义务的约定：</w:t>
      </w:r>
      <w:r>
        <w:rPr>
          <w:rFonts w:hint="eastAsia" w:cs="宋体"/>
          <w:color w:val="auto"/>
          <w:sz w:val="21"/>
          <w:szCs w:val="21"/>
          <w:highlight w:val="none"/>
          <w:u w:val="single"/>
          <w:lang w:val="en-US" w:eastAsia="zh-CN"/>
        </w:rPr>
        <w:t>发包人变更除工伤保险之外的保险合同时，应事先征得承包人同意，并通知监理人；承包人变更除工伤保险之外的保险合同时，应事先征得发包人同意，并通知监理人</w:t>
      </w:r>
      <w:r>
        <w:rPr>
          <w:rFonts w:hint="eastAsia" w:cs="宋体"/>
          <w:color w:val="auto"/>
          <w:sz w:val="21"/>
          <w:szCs w:val="21"/>
          <w:highlight w:val="none"/>
        </w:rPr>
        <w:t>。</w:t>
      </w:r>
    </w:p>
    <w:p w14:paraId="4C4383B2">
      <w:pPr>
        <w:pageBreakBefore w:val="0"/>
        <w:kinsoku/>
        <w:wordWrap/>
        <w:topLinePunct w:val="0"/>
        <w:bidi w:val="0"/>
        <w:adjustRightInd w:val="0"/>
        <w:snapToGrid w:val="0"/>
        <w:spacing w:beforeAutospacing="0" w:line="520" w:lineRule="exact"/>
        <w:ind w:firstLine="420" w:firstLineChars="200"/>
        <w:rPr>
          <w:rFonts w:hint="eastAsia" w:cs="宋体"/>
          <w:color w:val="auto"/>
          <w:sz w:val="21"/>
          <w:szCs w:val="21"/>
          <w:highlight w:val="none"/>
        </w:rPr>
      </w:pPr>
      <w:r>
        <w:rPr>
          <w:rFonts w:hint="eastAsia" w:cs="宋体"/>
          <w:color w:val="auto"/>
          <w:sz w:val="21"/>
          <w:szCs w:val="21"/>
          <w:highlight w:val="none"/>
          <w:u w:val="single"/>
          <w:lang w:val="en-US" w:eastAsia="zh-CN"/>
        </w:rPr>
        <w:t>保险事故发生时，投保人应按照保险合同规定的条件和期限及时向保险人报告。发包人和承包人应当在知道保险事故发生后及时通知对方</w:t>
      </w:r>
      <w:r>
        <w:rPr>
          <w:rFonts w:hint="eastAsia" w:cs="宋体"/>
          <w:color w:val="auto"/>
          <w:sz w:val="21"/>
          <w:szCs w:val="21"/>
          <w:highlight w:val="none"/>
        </w:rPr>
        <w:t>。</w:t>
      </w:r>
    </w:p>
    <w:bookmarkEnd w:id="543"/>
    <w:bookmarkEnd w:id="544"/>
    <w:bookmarkEnd w:id="545"/>
    <w:bookmarkEnd w:id="546"/>
    <w:bookmarkEnd w:id="547"/>
    <w:bookmarkEnd w:id="548"/>
    <w:bookmarkEnd w:id="549"/>
    <w:bookmarkEnd w:id="550"/>
    <w:bookmarkEnd w:id="551"/>
    <w:bookmarkEnd w:id="552"/>
    <w:bookmarkEnd w:id="553"/>
    <w:bookmarkEnd w:id="554"/>
    <w:p w14:paraId="2EAB4F6A">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570" w:name="_Toc351203651"/>
      <w:r>
        <w:rPr>
          <w:rFonts w:hint="eastAsia" w:cs="宋体"/>
          <w:color w:val="auto"/>
          <w:sz w:val="21"/>
          <w:szCs w:val="21"/>
          <w:highlight w:val="none"/>
        </w:rPr>
        <w:t>20. 争议解决</w:t>
      </w:r>
      <w:bookmarkEnd w:id="570"/>
    </w:p>
    <w:bookmarkEnd w:id="555"/>
    <w:bookmarkEnd w:id="556"/>
    <w:p w14:paraId="01769341">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20.3 争</w:t>
      </w:r>
      <w:bookmarkEnd w:id="557"/>
      <w:r>
        <w:rPr>
          <w:rFonts w:hint="eastAsia" w:cs="宋体"/>
          <w:bCs/>
          <w:color w:val="auto"/>
          <w:sz w:val="21"/>
          <w:szCs w:val="21"/>
          <w:highlight w:val="none"/>
        </w:rPr>
        <w:t>议评审</w:t>
      </w:r>
    </w:p>
    <w:p w14:paraId="07FE6D1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合同当事人是否同意将工程争议提交争议评审小组决定：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不同意</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BAB1AF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20.3.1 争议评审小组的确定</w:t>
      </w:r>
    </w:p>
    <w:p w14:paraId="7EE9FC3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争议评审小组成员的确定：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71F802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选定争议评审员的期限：</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DE54F4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争议评审小组成员的报酬承担方式：</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67A783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其他事项的约定：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185E97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20.3.2 争议评审小组的决定</w:t>
      </w:r>
    </w:p>
    <w:p w14:paraId="2B0E74D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合同当事人关于本项的约定：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5ECE24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20.4 仲裁或诉讼</w:t>
      </w:r>
      <w:bookmarkEnd w:id="558"/>
    </w:p>
    <w:bookmarkEnd w:id="559"/>
    <w:bookmarkEnd w:id="560"/>
    <w:bookmarkEnd w:id="561"/>
    <w:bookmarkEnd w:id="562"/>
    <w:bookmarkEnd w:id="563"/>
    <w:bookmarkEnd w:id="564"/>
    <w:p w14:paraId="51B8B37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因合同及合同有关事项发生的争议，按下列</w:t>
      </w:r>
      <w:r>
        <w:rPr>
          <w:rFonts w:hint="eastAsia" w:cs="宋体"/>
          <w:b/>
          <w:bCs/>
          <w:color w:val="auto"/>
          <w:sz w:val="21"/>
          <w:szCs w:val="21"/>
          <w:highlight w:val="none"/>
        </w:rPr>
        <w:t>第</w:t>
      </w:r>
      <w:r>
        <w:rPr>
          <w:rFonts w:hint="eastAsia" w:cs="宋体"/>
          <w:b/>
          <w:bCs/>
          <w:color w:val="auto"/>
          <w:sz w:val="21"/>
          <w:szCs w:val="21"/>
          <w:highlight w:val="none"/>
          <w:u w:val="single"/>
        </w:rPr>
        <w:t xml:space="preserve"> 2 </w:t>
      </w:r>
      <w:r>
        <w:rPr>
          <w:rFonts w:hint="eastAsia" w:cs="宋体"/>
          <w:b/>
          <w:bCs/>
          <w:color w:val="auto"/>
          <w:sz w:val="21"/>
          <w:szCs w:val="21"/>
          <w:highlight w:val="none"/>
        </w:rPr>
        <w:t>种</w:t>
      </w:r>
      <w:r>
        <w:rPr>
          <w:rFonts w:hint="eastAsia" w:cs="宋体"/>
          <w:color w:val="auto"/>
          <w:sz w:val="21"/>
          <w:szCs w:val="21"/>
          <w:highlight w:val="none"/>
        </w:rPr>
        <w:t>方式解决：</w:t>
      </w:r>
    </w:p>
    <w:p w14:paraId="54E6149A">
      <w:pPr>
        <w:pageBreakBefore w:val="0"/>
        <w:widowControl w:val="0"/>
        <w:numPr>
          <w:ilvl w:val="0"/>
          <w:numId w:val="5"/>
        </w:numPr>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向</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滁州</w:t>
      </w:r>
      <w:r>
        <w:rPr>
          <w:rFonts w:hint="eastAsia" w:cs="宋体"/>
          <w:color w:val="auto"/>
          <w:sz w:val="21"/>
          <w:szCs w:val="21"/>
          <w:highlight w:val="none"/>
          <w:u w:val="single"/>
        </w:rPr>
        <w:t xml:space="preserve"> </w:t>
      </w:r>
      <w:r>
        <w:rPr>
          <w:rFonts w:hint="eastAsia" w:cs="宋体"/>
          <w:color w:val="auto"/>
          <w:sz w:val="21"/>
          <w:szCs w:val="21"/>
          <w:highlight w:val="none"/>
        </w:rPr>
        <w:t>仲裁委员会申请仲裁；</w:t>
      </w:r>
    </w:p>
    <w:p w14:paraId="6947D30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（2）向</w:t>
      </w:r>
      <w:r>
        <w:rPr>
          <w:rFonts w:hint="eastAsia" w:cs="宋体"/>
          <w:color w:val="auto"/>
          <w:sz w:val="21"/>
          <w:szCs w:val="21"/>
          <w:highlight w:val="none"/>
          <w:u w:val="single"/>
        </w:rPr>
        <w:t>工程所在地</w:t>
      </w:r>
      <w:r>
        <w:rPr>
          <w:rFonts w:hint="eastAsia" w:cs="宋体"/>
          <w:color w:val="auto"/>
          <w:sz w:val="21"/>
          <w:szCs w:val="21"/>
          <w:highlight w:val="none"/>
        </w:rPr>
        <w:t>人民法院起诉。</w:t>
      </w:r>
    </w:p>
    <w:p w14:paraId="476EFA61">
      <w:pPr>
        <w:snapToGrid w:val="0"/>
        <w:spacing w:before="312" w:beforeLines="100" w:after="312" w:afterLines="100" w:line="360" w:lineRule="auto"/>
        <w:outlineLvl w:val="2"/>
        <w:rPr>
          <w:rFonts w:hint="eastAsia" w:cs="宋体"/>
          <w:color w:val="auto"/>
          <w:sz w:val="21"/>
          <w:szCs w:val="21"/>
          <w:highlight w:val="none"/>
        </w:rPr>
      </w:pPr>
      <w:r>
        <w:rPr>
          <w:rFonts w:hint="eastAsia" w:cs="宋体"/>
          <w:color w:val="auto"/>
          <w:sz w:val="21"/>
          <w:szCs w:val="21"/>
          <w:highlight w:val="none"/>
        </w:rPr>
        <w:t xml:space="preserve">21. 补充条款 </w:t>
      </w:r>
    </w:p>
    <w:p w14:paraId="460D28E7">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w:t>
      </w:r>
      <w:r>
        <w:rPr>
          <w:rFonts w:hint="eastAsia" w:ascii="宋体" w:hAnsi="宋体" w:cs="宋体"/>
          <w:color w:val="auto"/>
          <w:sz w:val="21"/>
          <w:szCs w:val="21"/>
          <w:highlight w:val="none"/>
        </w:rPr>
        <w:t>1、工程量清单、最高</w:t>
      </w:r>
      <w:r>
        <w:rPr>
          <w:rFonts w:hint="eastAsia" w:ascii="宋体" w:hAnsi="宋体" w:cs="宋体"/>
          <w:color w:val="auto"/>
          <w:sz w:val="21"/>
          <w:szCs w:val="21"/>
          <w:highlight w:val="none"/>
          <w:lang w:val="en-US" w:eastAsia="zh-CN"/>
        </w:rPr>
        <w:t>投标</w:t>
      </w:r>
      <w:r>
        <w:rPr>
          <w:rFonts w:hint="eastAsia" w:ascii="宋体" w:hAnsi="宋体" w:cs="宋体"/>
          <w:color w:val="auto"/>
          <w:sz w:val="21"/>
          <w:szCs w:val="21"/>
          <w:highlight w:val="none"/>
        </w:rPr>
        <w:t>限价：投标人须认真研究项目的招标文件、图纸、清单、最高</w:t>
      </w:r>
      <w:r>
        <w:rPr>
          <w:rFonts w:hint="eastAsia" w:ascii="宋体" w:hAnsi="宋体" w:cs="宋体"/>
          <w:color w:val="auto"/>
          <w:sz w:val="21"/>
          <w:szCs w:val="21"/>
          <w:highlight w:val="none"/>
          <w:lang w:val="en-US" w:eastAsia="zh-CN"/>
        </w:rPr>
        <w:t>投标</w:t>
      </w:r>
      <w:r>
        <w:rPr>
          <w:rFonts w:hint="eastAsia" w:ascii="宋体" w:hAnsi="宋体" w:cs="宋体"/>
          <w:color w:val="auto"/>
          <w:sz w:val="21"/>
          <w:szCs w:val="21"/>
          <w:highlight w:val="none"/>
        </w:rPr>
        <w:t>限价，并仔细踏勘现场，若对清单和最高投标限价有异议，应在投标答疑时向招标人提出。招标人应对投标人提出的异议认真复核修正。答疑结束后，除招标人发布的清单单位错误，其余情况在工程结算时单价一律不予调整。清单的工程量错误或漏项，按实调整，但预估实际发生工程量超出清单工程量15%或漏项时，中标人（承包人）应在施工前提出，并履行滁州市重点处变更程序，否则，不予认可。</w:t>
      </w:r>
    </w:p>
    <w:p w14:paraId="4E704AA1">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w:t>
      </w:r>
      <w:r>
        <w:rPr>
          <w:rFonts w:hint="eastAsia" w:ascii="宋体" w:hAnsi="宋体" w:cs="宋体"/>
          <w:color w:val="auto"/>
          <w:sz w:val="21"/>
          <w:szCs w:val="21"/>
          <w:highlight w:val="none"/>
        </w:rPr>
        <w:t>2、前期手续办理：合同签订后90日内配合发包人完成质量、安全报监和施工许可证办理，否则，每延期一天处罚承包人5000元/天的违约金（因发包人原因除外）。</w:t>
      </w:r>
    </w:p>
    <w:p w14:paraId="044E8DFC">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21.3、进场考核考勤：</w:t>
      </w:r>
    </w:p>
    <w:p w14:paraId="258D6555">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人员考核：工程开工进场后，承包人必须按招标文件要求和投标承诺配备项目经理、技术负责人等施工项目部关键岗位人员。未经发包人同意，不得更换上述人员并满足《关于进一步加强建筑施工现场项目负责人变更行为管理的通知》及滁州市其他相关规定要求。发包人将组织对上述人员进行业务能力考核，对未按投标文件配备或经考核不合格要求更换人员的，承包人7日内必须整改调整到位。否则，对于项目经理和技术负责人，按照5000元/人·天的违约金进行处罚，对于施工现场其他管理人员按照1000元/人·天的违约金进行处罚。28日内未整改调整到位的，发包人有权终止合同，并提请相关行政主管部门对企业和人员进行“黑名单”处罚。</w:t>
      </w:r>
    </w:p>
    <w:p w14:paraId="6B1F20DE">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发包人在施工进场第一个月或施工过程中发现承包人转包、挂靠等行为的，发包人立即解除合同，清退出场，承包人已完合格工程量按合同价款70%进行结算。</w:t>
      </w:r>
    </w:p>
    <w:p w14:paraId="5B1517CF">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人员考勤：①项目部所有管理人员上下班实行人脸识别电子考勤，人脸识别电子考勤系统设备必须与招标人现行使用的监管平台无缝对接。②监管平台设备及人脸识别电子考勤系统设备，承包人可以租赁或购买，但租赁或购买费用由承包人在投标报价时自行考虑，含在投标报价中，招标人将不再支付任何费用。③监管平台考勤范围为本项目监理部和项目部所有管理人员，监管平台信息及数据录入（包括质量、进度、安全、施工许可办理等）均由监理单位负责。④项目经理每月在岗时间不得少于20天，施工现场其他管理人员每月在岗时间不得少于22天。未按规定在岗履责的，对项目经理和技术负责人处罚5000元/人·天的违约金，对施工现场其他管理人员处罚1000元/人·天的违约金。项目部关键岗位人员离岗必须向发包人项目组长履行请假手续，若被我局和相关部门日常检查和随机抽查中发现不在岗的，又未履行请假手续的，处罚5000元/人·次的违约金。</w:t>
      </w:r>
    </w:p>
    <w:p w14:paraId="05CBE6E9">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21.4、工程进度管理：</w:t>
      </w:r>
    </w:p>
    <w:p w14:paraId="07C97A5C">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一、合同工期管理。</w:t>
      </w:r>
    </w:p>
    <w:p w14:paraId="46C93B07">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由中介机构按国家规范计算定额工期。招标前项目分管领导和项目科室研究确定合同工期，合同工期对施工企业和项目组拥有共同约束力。合同工期以总监下达的开工令（开工通知书）和局主要领导签署的完工时间为起止点，对工期要求紧迫的特殊项目，由科室提出内控工期，作为科室安排月、周计划的参考。</w:t>
      </w:r>
    </w:p>
    <w:p w14:paraId="7B0FAD14">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工程有下列原因影响合同工期的，由承包人提出，经发包人批准可顺延合同工期：1、土地和房屋征收进度不符合施工要求，涉铁路、涉部队、涉供电等影响施工；2、因地震、洪涝灾害、突发重大事件等不可抗力影响施工；3、因规划设计调整或重大变更，对工期造成影响的；4、其它非承包人原因影响工期的。承包人未提出工期顺延的申请或申请未经批准的，工期不予顺延。</w:t>
      </w:r>
    </w:p>
    <w:p w14:paraId="4573E986">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三）因供应商原因造成的工期延误，每推迟一天，按合同价款（扣除暂估价和暂列金）万分之二处以违约金；月工程量未完成的当期不得请款，当月未完成的工程量纳入下月一并完成，完不成的仍不予请款，依次类推。</w:t>
      </w:r>
    </w:p>
    <w:p w14:paraId="597364F1">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四）对严重拖延工期，经发包人多次督促，承包人拒不整改或整改不到位的，发包人可终止施工合同，扣除50%履约保证金作为违约处罚，另选施工队伍，承包人须无条件配合，不得以任何借口阻挠另选的施工队伍施工，不得向发包人提出任何索赔要求。</w:t>
      </w:r>
    </w:p>
    <w:p w14:paraId="787DD588">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二、施工计划管理。</w:t>
      </w:r>
    </w:p>
    <w:p w14:paraId="1D67D693">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sz w:val="21"/>
          <w:szCs w:val="21"/>
          <w:highlight w:val="none"/>
          <w:lang w:val="en-US" w:eastAsia="zh-CN"/>
        </w:rPr>
        <w:t>在建工程实行“旬计划、日检查、现场处罚”制度，对工期有特殊要求的项目，实行“每日一计划、每日一检查、每日一处罚”。施工单位应按项目组的要求，每旬初（或每天）将施工内容、施工应开作业面、每个工作面应上施工人员和机械数量编报，经总监、项目经理和项目组签字后报项目科室和协调科。局巡查组不定期检查，检查中出现下列情形的给予施工企业2000-5000元/次违约处罚，出现两次以上的对项目组进行批评。（一）未按期报送进度计划；（二）计划作业面、施工人员和机械安排不足的；（三）未按计划开齐作业面、上足施工人员和机械</w:t>
      </w:r>
      <w:r>
        <w:rPr>
          <w:rFonts w:hint="eastAsia" w:ascii="宋体" w:hAnsi="宋体" w:cs="宋体"/>
          <w:color w:val="auto"/>
          <w:kern w:val="0"/>
          <w:sz w:val="21"/>
          <w:szCs w:val="21"/>
          <w:highlight w:val="none"/>
        </w:rPr>
        <w:t>。</w:t>
      </w:r>
    </w:p>
    <w:p w14:paraId="2AC23645">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sz w:val="21"/>
          <w:szCs w:val="21"/>
          <w:highlight w:val="none"/>
          <w:lang w:val="en-US" w:eastAsia="zh-CN"/>
        </w:rPr>
        <w:t>21.</w:t>
      </w:r>
      <w:r>
        <w:rPr>
          <w:rFonts w:hint="eastAsia" w:cs="宋体"/>
          <w:color w:val="auto"/>
          <w:sz w:val="21"/>
          <w:szCs w:val="21"/>
          <w:highlight w:val="none"/>
          <w:lang w:val="en-US" w:eastAsia="zh-CN"/>
        </w:rPr>
        <w:t>5</w:t>
      </w:r>
      <w:r>
        <w:rPr>
          <w:rFonts w:hint="eastAsia" w:ascii="宋体" w:hAnsi="宋体" w:cs="宋体"/>
          <w:color w:val="auto"/>
          <w:kern w:val="0"/>
          <w:sz w:val="21"/>
          <w:szCs w:val="21"/>
          <w:highlight w:val="none"/>
        </w:rPr>
        <w:t>、质量管理：</w:t>
      </w:r>
    </w:p>
    <w:p w14:paraId="5480BA58">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1）承包人被发包人项目组日常检查、专项检查或第三方巡查等检查出未按设计文件和相关规范施工，存在质量隐患的，必须按要求和规定时限整改到位，同时每次处以2000-50000元的违约金。对拒不执行或整改不力的，加重处罚。情节严重的，发包人有权解除合同，并追偿经济损失。</w:t>
      </w:r>
    </w:p>
    <w:p w14:paraId="154D39DE">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sz w:val="21"/>
          <w:szCs w:val="21"/>
          <w:highlight w:val="none"/>
        </w:rPr>
      </w:pPr>
      <w:r>
        <w:rPr>
          <w:rFonts w:hint="eastAsia" w:ascii="宋体" w:hAnsi="宋体" w:cs="宋体"/>
          <w:color w:val="auto"/>
          <w:kern w:val="0"/>
          <w:sz w:val="21"/>
          <w:szCs w:val="21"/>
          <w:highlight w:val="none"/>
        </w:rPr>
        <w:t>（2）质量缺陷责任期内出现质量问题，发包人书面通知承包人，在规定时间内不及时处理的，发包人有权直接委托其他单位进行维修，相关费用直接从工程质保金中支付</w:t>
      </w:r>
      <w:r>
        <w:rPr>
          <w:rFonts w:hint="eastAsia" w:ascii="宋体" w:hAnsi="宋体" w:cs="宋体"/>
          <w:color w:val="auto"/>
          <w:sz w:val="21"/>
          <w:szCs w:val="21"/>
          <w:highlight w:val="none"/>
        </w:rPr>
        <w:t>。</w:t>
      </w:r>
    </w:p>
    <w:p w14:paraId="7419B22D">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sz w:val="21"/>
          <w:szCs w:val="21"/>
          <w:highlight w:val="none"/>
          <w:lang w:val="en-US" w:eastAsia="zh-CN"/>
        </w:rPr>
        <w:t>21.</w:t>
      </w:r>
      <w:r>
        <w:rPr>
          <w:rFonts w:hint="eastAsia" w:cs="宋体"/>
          <w:color w:val="auto"/>
          <w:sz w:val="21"/>
          <w:szCs w:val="21"/>
          <w:highlight w:val="none"/>
          <w:lang w:val="en-US" w:eastAsia="zh-CN"/>
        </w:rPr>
        <w:t>6</w:t>
      </w:r>
      <w:r>
        <w:rPr>
          <w:rFonts w:hint="eastAsia" w:ascii="宋体" w:hAnsi="宋体" w:cs="宋体"/>
          <w:color w:val="auto"/>
          <w:kern w:val="0"/>
          <w:sz w:val="21"/>
          <w:szCs w:val="21"/>
          <w:highlight w:val="none"/>
        </w:rPr>
        <w:t>、安全文明管理：</w:t>
      </w:r>
    </w:p>
    <w:p w14:paraId="2895A7F0">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1）承包人必须确保安全文明施工，严格执行国家、安徽省、滁州市的相关规定，同时遵守建设单位对安全文明施工的相关要求。经检查，达不到相关规定和要求的，由项目组及时下发整改通知书，拒不整改或限期整改不到位的，处承包人2000元/项/次的违约金。施工现场卫生保洁自开工之日起至工程竣工移交结束，切实做好项目管理人员和工人宿舍安全、卫生工作。</w:t>
      </w:r>
    </w:p>
    <w:p w14:paraId="0D6A7286">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sz w:val="21"/>
          <w:szCs w:val="21"/>
          <w:highlight w:val="none"/>
        </w:rPr>
      </w:pPr>
      <w:r>
        <w:rPr>
          <w:rFonts w:hint="eastAsia" w:ascii="宋体" w:hAnsi="宋体" w:cs="宋体"/>
          <w:color w:val="auto"/>
          <w:kern w:val="0"/>
          <w:sz w:val="21"/>
          <w:szCs w:val="21"/>
          <w:highlight w:val="none"/>
        </w:rPr>
        <w:t>（2）按《滁州市建筑工地围挡提档升级标准》的通知（建质﹝2022﹞34号文）执行</w:t>
      </w:r>
      <w:r>
        <w:rPr>
          <w:rFonts w:hint="eastAsia" w:ascii="宋体" w:hAnsi="宋体" w:eastAsia="宋体" w:cs="宋体"/>
          <w:color w:val="auto"/>
          <w:sz w:val="21"/>
          <w:szCs w:val="21"/>
          <w:highlight w:val="none"/>
        </w:rPr>
        <w:t>。</w:t>
      </w:r>
    </w:p>
    <w:p w14:paraId="7BB5DA65">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sz w:val="21"/>
          <w:szCs w:val="21"/>
          <w:highlight w:val="none"/>
          <w:lang w:val="en-US" w:eastAsia="zh-CN"/>
        </w:rPr>
        <w:t>21.</w:t>
      </w:r>
      <w:r>
        <w:rPr>
          <w:rFonts w:hint="eastAsia" w:cs="宋体"/>
          <w:color w:val="auto"/>
          <w:sz w:val="21"/>
          <w:szCs w:val="21"/>
          <w:highlight w:val="none"/>
          <w:lang w:val="en-US" w:eastAsia="zh-CN"/>
        </w:rPr>
        <w:t>7</w:t>
      </w:r>
      <w:r>
        <w:rPr>
          <w:rFonts w:hint="eastAsia" w:ascii="宋体" w:hAnsi="宋体" w:cs="宋体"/>
          <w:color w:val="auto"/>
          <w:kern w:val="0"/>
          <w:sz w:val="21"/>
          <w:szCs w:val="21"/>
          <w:highlight w:val="none"/>
        </w:rPr>
        <w:t>、扬尘治理：严格执行《安徽省建筑工程施工扬尘污染防治规定》、《滁州市城市扬尘管理办法》和《滁州市建筑工程施工扬尘污染防治实施细则》等相关规定。对违反规定或经检查达不到规定和要求，被相关部门批评、曝光、通报的，处罚承包人10000元/次的违约金，处罚监理人3000元/次的违约金</w:t>
      </w:r>
      <w:r>
        <w:rPr>
          <w:rFonts w:hint="eastAsia" w:ascii="宋体" w:hAnsi="宋体" w:cs="宋体"/>
          <w:color w:val="auto"/>
          <w:sz w:val="21"/>
          <w:szCs w:val="21"/>
          <w:highlight w:val="none"/>
        </w:rPr>
        <w:t>。</w:t>
      </w:r>
    </w:p>
    <w:p w14:paraId="5C20B51B">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sz w:val="21"/>
          <w:szCs w:val="21"/>
          <w:highlight w:val="none"/>
          <w:lang w:val="en-US" w:eastAsia="zh-CN"/>
        </w:rPr>
        <w:t>21.</w:t>
      </w:r>
      <w:r>
        <w:rPr>
          <w:rFonts w:hint="eastAsia" w:cs="宋体"/>
          <w:color w:val="auto"/>
          <w:sz w:val="21"/>
          <w:szCs w:val="21"/>
          <w:highlight w:val="none"/>
          <w:lang w:val="en-US" w:eastAsia="zh-CN"/>
        </w:rPr>
        <w:t>8</w:t>
      </w:r>
      <w:r>
        <w:rPr>
          <w:rFonts w:hint="eastAsia" w:ascii="宋体" w:hAnsi="宋体" w:cs="宋体"/>
          <w:color w:val="auto"/>
          <w:kern w:val="0"/>
          <w:sz w:val="21"/>
          <w:szCs w:val="21"/>
          <w:highlight w:val="none"/>
        </w:rPr>
        <w:t>、农民工工资支付：承包人应严格遵守《政府投资工程农民工工资信访管理办法（试行）》的相关规定。</w:t>
      </w:r>
    </w:p>
    <w:p w14:paraId="7F9D9DAC">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1）凡到市重点处上访，滞留时间半个工作日（不足半个工作日以半个工作日计算），工程款支付比例在30%-40%（含）的，按每人每半个工作日200元的标准给予处罚，每增加工程款支付比例10%，每人每半个工作日处罚标准增加100元，依此类推。</w:t>
      </w:r>
    </w:p>
    <w:p w14:paraId="02F187D4">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2）凡赴市政府上访，滞留时间半个工作日（不足半个工作日以半个工作日计算），工程款支付比例在30%-40%（含）的，按每人每半个工作日400元的标准给予处罚，每增加工程款支付比例10%，每人每半个工作日处罚标准增加200元，依此类推。</w:t>
      </w:r>
    </w:p>
    <w:p w14:paraId="3FB484D2">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3）凡赴省政府上访，滞留时间半个工作日（不足半个工作日以半个工作日计算），工程款支付比例在30%-40%（含）的，按每人每半个工作日600元的标准给予处罚，每增加工程款支付比例10%，每人每半个工作日处罚标准增加300元，依此类推。</w:t>
      </w:r>
    </w:p>
    <w:p w14:paraId="248DA7FF">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sz w:val="21"/>
          <w:szCs w:val="21"/>
          <w:highlight w:val="none"/>
          <w:lang w:val="en-US" w:eastAsia="zh-CN"/>
        </w:rPr>
        <w:t>21.</w:t>
      </w:r>
      <w:r>
        <w:rPr>
          <w:rFonts w:hint="eastAsia" w:cs="宋体"/>
          <w:color w:val="auto"/>
          <w:sz w:val="21"/>
          <w:szCs w:val="21"/>
          <w:highlight w:val="none"/>
          <w:lang w:val="en-US" w:eastAsia="zh-CN"/>
        </w:rPr>
        <w:t>9</w:t>
      </w:r>
      <w:r>
        <w:rPr>
          <w:rFonts w:hint="eastAsia" w:ascii="宋体" w:hAnsi="宋体" w:cs="宋体"/>
          <w:color w:val="auto"/>
          <w:kern w:val="0"/>
          <w:sz w:val="21"/>
          <w:szCs w:val="21"/>
          <w:highlight w:val="none"/>
        </w:rPr>
        <w:t>、竣工验收、竣工结算</w:t>
      </w:r>
    </w:p>
    <w:p w14:paraId="0A1CF1B2">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1）竣工验收时间：严格按照市重点处《工程竣工验收要求》和《重点工程进度管理办法》执行（从工程交付使用到竣工验收原则上不得超过30天，特殊情况经分管领导批准的可以延长）。整体工程完工后组织竣工验收，验收合格之日作为竣工日期。</w:t>
      </w:r>
    </w:p>
    <w:p w14:paraId="42215BDD">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kern w:val="0"/>
          <w:sz w:val="21"/>
          <w:szCs w:val="21"/>
          <w:highlight w:val="none"/>
        </w:rPr>
        <w:t>（2）竣工结算申请：承包人须于竣工验收合格后60日内完成竣工结算报告和完整结算资料上报，特殊情况，经分管领导批准的可以延长。凡因承包人原因，未能在规定时间内上报竣工结算的，处罚10000元/月的违约金。情节严重的，招标人有权按已有资料或按已付款报审计部门办理结算</w:t>
      </w:r>
      <w:r>
        <w:rPr>
          <w:rFonts w:hint="eastAsia" w:ascii="宋体" w:hAnsi="宋体" w:cs="宋体"/>
          <w:color w:val="auto"/>
          <w:sz w:val="21"/>
          <w:szCs w:val="21"/>
          <w:highlight w:val="none"/>
        </w:rPr>
        <w:t>。</w:t>
      </w:r>
    </w:p>
    <w:p w14:paraId="63839F28">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0</w:t>
      </w:r>
      <w:r>
        <w:rPr>
          <w:rFonts w:hint="eastAsia" w:ascii="宋体" w:hAnsi="宋体" w:cs="宋体"/>
          <w:color w:val="auto"/>
          <w:sz w:val="21"/>
          <w:szCs w:val="21"/>
          <w:highlight w:val="none"/>
        </w:rPr>
        <w:t>、本工程实行跟踪审计制度，审计师的职权：1）对工程量调整及变更、签证部分的造价提出意见，并确定该部分的工程量、材料、价格等，2）参与对甲供材及设备的采购，对甲供材及设备的采购对象、材料及设备品种、规格及价格提出意见，3）对预付工程款及进度款的支付提出审核意见，4）参与对隐蔽工程的验收，并做好相关台帐，5）对完工的单项工程及时开展资料整理和结算，对结算价格提出审计意见，6）对监理出具的有关单据进行再监督。</w:t>
      </w:r>
    </w:p>
    <w:p w14:paraId="532262CC">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1</w:t>
      </w:r>
      <w:r>
        <w:rPr>
          <w:rFonts w:hint="eastAsia" w:ascii="宋体" w:hAnsi="宋体" w:cs="宋体"/>
          <w:color w:val="auto"/>
          <w:sz w:val="21"/>
          <w:szCs w:val="21"/>
          <w:highlight w:val="none"/>
        </w:rPr>
        <w:t>、招标人将保留对成交候选人的拟派项目负责人（建造师）和所提供的业绩等情况进行实地考察的权利，若考察发现有弄虚作假或发现工程存在质量等违约情形，提请相关部门对其进行处罚。</w:t>
      </w:r>
    </w:p>
    <w:p w14:paraId="796582F4">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2</w:t>
      </w:r>
      <w:r>
        <w:rPr>
          <w:rFonts w:hint="eastAsia" w:ascii="宋体" w:hAnsi="宋体" w:cs="宋体"/>
          <w:color w:val="auto"/>
          <w:sz w:val="21"/>
          <w:szCs w:val="21"/>
          <w:highlight w:val="none"/>
        </w:rPr>
        <w:t>、现场管理</w:t>
      </w:r>
    </w:p>
    <w:p w14:paraId="1D2A10D3">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（1）施工过程中，项目管理及施工人员以外的无关人员一律不得留宿施工现场，项目负责人负责管理及清理出场；</w:t>
      </w:r>
    </w:p>
    <w:p w14:paraId="259B6AE3">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（2）施工过程中，严格执行国家及地方针对环保、禁噪、防尘、防护等措施，必须满足当地行政主管部门相关规定及要求。</w:t>
      </w:r>
    </w:p>
    <w:p w14:paraId="773DCE19">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（3）所有专业承包工程，若总承包单位无此项专业承包施工资质，分包单位的选择必须经业主方认可，才能进行专业分包。</w:t>
      </w:r>
    </w:p>
    <w:p w14:paraId="6B7C9C58">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（4）施工场地及周边场地、道路、绿化、管线、围墙、设施设备等，若被施工方损坏，施工方必须无偿按照原貌恢复。</w:t>
      </w:r>
    </w:p>
    <w:p w14:paraId="58F5D390">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（5）投标人自行勘察施工现场情况，因投标人未踏勘现场而造成的损失由投标人承担。</w:t>
      </w:r>
    </w:p>
    <w:p w14:paraId="3072C343">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（6）在工程建设过程中，出现质量、安全、进度、文明施工、扬尘污染、人员不在岗履职等违约行为的，发包人将给予违约处罚；如承包人拒不缴纳违约金的，发包人有权从履约保证金中直接扣除。</w:t>
      </w:r>
    </w:p>
    <w:p w14:paraId="05642165">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（7）项目经理部需在醒目位置公示经监理、业主审定批准的月进度计划表，否则，当月不支付当月工程进度款。</w:t>
      </w:r>
    </w:p>
    <w:p w14:paraId="775E2945">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（8）本项目施工难度较大，投标人在标前应自行踏勘现场，充分考虑难度系数和不可预见因素。施工期间的协调工作由承包人自行解决。投标人在投标报价时应充分考虑上述情况自行报价。</w:t>
      </w:r>
    </w:p>
    <w:p w14:paraId="0CF2399F">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9）施工现场和取、弃土场内的施工便道、机械整平以及协调渣土、环保等相关部门办理相关手续、缴纳保证金及费用等由投标人自行承担，此部分费用包含在投标报价中。施工渣土、淤泥、建筑垃圾等弃置点需经相关部门批准，并报发包人备案后，方可施工，严禁违规倾倒堆存。否则，责任自负</w:t>
      </w:r>
      <w:r>
        <w:rPr>
          <w:rFonts w:hint="eastAsia" w:ascii="宋体" w:hAnsi="宋体" w:cs="宋体"/>
          <w:b/>
          <w:bCs/>
          <w:color w:val="auto"/>
          <w:sz w:val="21"/>
          <w:szCs w:val="21"/>
          <w:highlight w:val="none"/>
        </w:rPr>
        <w:t>。</w:t>
      </w:r>
    </w:p>
    <w:p w14:paraId="630AAED1">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3</w:t>
      </w:r>
      <w:r>
        <w:rPr>
          <w:rFonts w:hint="eastAsia" w:ascii="宋体" w:hAnsi="宋体" w:cs="宋体"/>
          <w:color w:val="auto"/>
          <w:sz w:val="21"/>
          <w:szCs w:val="21"/>
          <w:highlight w:val="none"/>
        </w:rPr>
        <w:t>、材料要求：</w:t>
      </w:r>
    </w:p>
    <w:p w14:paraId="1ED92071">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承包人自行采购的材料应满足设计和规范要求的质量等级，并须按有关技术规范要求对材料质量进行检验；承包人选定的材料供应厂家、质量须经招标人和监理单位备案，如招标人和监理单位对某种或某些材料的质量有异议，有权提出停止使用的要求， 承包人必须服从要求，若该材料经权威检验部门鉴定确有质量问题，由此发生的一切费用由承包人承担；主要材料供应商发生过质量事故及管理混乱的，不得用于重点工程建设，发包人保留否决权；因承包人自行采购的材料质量引起的工程质量问题由承包人承担所造成的一切损失。</w:t>
      </w:r>
    </w:p>
    <w:p w14:paraId="7D798804">
      <w:pPr>
        <w:pStyle w:val="54"/>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4</w:t>
      </w:r>
      <w:r>
        <w:rPr>
          <w:rFonts w:hint="eastAsia" w:ascii="宋体" w:hAnsi="宋体" w:cs="宋体"/>
          <w:color w:val="auto"/>
          <w:sz w:val="21"/>
          <w:szCs w:val="21"/>
          <w:highlight w:val="none"/>
        </w:rPr>
        <w:t>、人员变更</w:t>
      </w:r>
    </w:p>
    <w:p w14:paraId="45901F20">
      <w:pPr>
        <w:pStyle w:val="54"/>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项目负责人变更必须经发包人批准，并满足《关于进一步加强建筑施工现场项目负责人变更行为管理的通知》及滁州市其他相关规定要求，除①因重病或重伤三个月以上，不能履行职责的；②辞职的；③发生重大质量安全责任事故，受到刑事或行政处罚，不能担任项目负责人的；④无能力履行合同责任和义务，建设单位要求更换的；⑤被责令停止职业资格的；⑥因犯罪被羁押或判刑的；⑦死亡的等原因外，原则上不得变更。其中，亡故的需提供公安部门开具的死亡证明；重大疾病的需提供三甲及以上医院证明；出国、辞职等原因提出变更的，除需提供相关证明外，须缴纳10万元违约金，否则不得变更。变更后的项目负责人必须符合本项目招标文件和投标承诺配备的同等条件人员，并按照滁州市有关规定履行变更审批程序。</w:t>
      </w:r>
    </w:p>
    <w:p w14:paraId="16A26278">
      <w:pPr>
        <w:pStyle w:val="54"/>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hAnsi="宋体" w:cs="宋体"/>
          <w:color w:val="auto"/>
          <w:sz w:val="21"/>
          <w:szCs w:val="21"/>
          <w:highlight w:val="none"/>
        </w:rPr>
      </w:pPr>
      <w:r>
        <w:rPr>
          <w:rFonts w:hint="eastAsia" w:ascii="宋体" w:hAnsi="宋体" w:cs="宋体"/>
          <w:color w:val="auto"/>
          <w:sz w:val="21"/>
          <w:szCs w:val="21"/>
          <w:highlight w:val="none"/>
        </w:rPr>
        <w:t>（2）技术负责人、项目部“五大员”等关键岗位人员变更必须经发包人批准，除亡故、重大疾病、出国、辞职等原因外，原则上不得变更。其中，亡故的需提供公安部门开具的死亡证明；重大疾病的需提供三甲及以上医院证明；出国、辞职等原因提出变更的，除需提供相关证明外，须缴纳5000元违约金，否则不得变更。变更后的技术负责人、项目部“五大员”等关键岗位人员必须符合本项目招标文件和投标承诺配备的同等条件人员</w:t>
      </w:r>
      <w:r>
        <w:rPr>
          <w:rFonts w:hint="eastAsia" w:hAnsi="宋体" w:cs="宋体"/>
          <w:color w:val="auto"/>
          <w:sz w:val="21"/>
          <w:szCs w:val="21"/>
          <w:highlight w:val="none"/>
        </w:rPr>
        <w:t>。</w:t>
      </w:r>
    </w:p>
    <w:p w14:paraId="080DC46D">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5</w:t>
      </w:r>
      <w:r>
        <w:rPr>
          <w:rFonts w:hint="eastAsia" w:ascii="宋体" w:hAnsi="宋体" w:cs="宋体"/>
          <w:color w:val="auto"/>
          <w:sz w:val="21"/>
          <w:szCs w:val="21"/>
          <w:highlight w:val="none"/>
        </w:rPr>
        <w:t>、监理单位须在监管平台录入以下（但不限于）内容：</w:t>
      </w:r>
    </w:p>
    <w:p w14:paraId="478C35AA">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（1）在进度管理中，每周实际完成工作量、投入人员及机械使用情况；</w:t>
      </w:r>
    </w:p>
    <w:p w14:paraId="0A4B742B">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（2）在安全管理中，现场存在的安全隐患等问题；</w:t>
      </w:r>
    </w:p>
    <w:p w14:paraId="3BB6CF08">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（3）在质量控制要点中的关键工序、验收资料及检测资料及存在的质量问题；</w:t>
      </w:r>
    </w:p>
    <w:p w14:paraId="4CC6380D">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（4）监理日志</w:t>
      </w:r>
    </w:p>
    <w:p w14:paraId="0D4B6C33">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（5）创城、创卫管理内容</w:t>
      </w:r>
      <w:r>
        <w:rPr>
          <w:rFonts w:hint="eastAsia" w:cs="宋体"/>
          <w:color w:val="auto"/>
          <w:sz w:val="21"/>
          <w:szCs w:val="21"/>
          <w:highlight w:val="none"/>
          <w:lang w:eastAsia="zh-CN"/>
        </w:rPr>
        <w:t>。</w:t>
      </w:r>
    </w:p>
    <w:p w14:paraId="3A126ABC">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6</w:t>
      </w:r>
      <w:r>
        <w:rPr>
          <w:rFonts w:hint="eastAsia" w:ascii="宋体" w:hAnsi="宋体" w:cs="宋体"/>
          <w:color w:val="auto"/>
          <w:sz w:val="21"/>
          <w:szCs w:val="21"/>
          <w:highlight w:val="none"/>
        </w:rPr>
        <w:t>、若本项目存在暂定价材料或暂定项目，由招标人进行二次招标。采保费按照相关规定在工程结算中一次性支付。</w:t>
      </w:r>
    </w:p>
    <w:p w14:paraId="17B7A1B9">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7</w:t>
      </w:r>
      <w:r>
        <w:rPr>
          <w:rFonts w:hint="eastAsia" w:ascii="宋体" w:hAnsi="宋体" w:cs="宋体"/>
          <w:color w:val="auto"/>
          <w:sz w:val="21"/>
          <w:szCs w:val="21"/>
          <w:highlight w:val="none"/>
        </w:rPr>
        <w:t>、滁州市建设领域农民工工资管理办法</w:t>
      </w:r>
    </w:p>
    <w:p w14:paraId="38A21CE4">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执行《关于进一步完善工程建设领域农民工工资保证金和农民工工资（劳务费）专户管理制度的实施意见》 </w:t>
      </w:r>
    </w:p>
    <w:p w14:paraId="7CACDD6B">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（1）在建筑市政、铁路、电力、通信、交通、水利等工程建设领域全面实施工资保证金和设立工资专户制度，并实现所有在建工程项目全覆盖。</w:t>
      </w:r>
    </w:p>
    <w:p w14:paraId="178E8018">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（2）市人力资源和社会保障部门主管本市行政区域内工资保证金缴纳和工资专户管理工作。市交通、水利、重点工程建设管理等职能部门按照各自职能配合做好工作保证金和工资专户监管工作。</w:t>
      </w:r>
    </w:p>
    <w:p w14:paraId="589938EB">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（3）工作保证金和工资专户按照工程项目所在地实行属地化管理，由工程建设项目的施工总承包企业（包括直接承包建设单位发包工程的专业承包企业）缴存和开设。</w:t>
      </w:r>
    </w:p>
    <w:p w14:paraId="6A2EBFDA">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（4）工资保证金按工程建设项目合同造价的2%缴存。施工企业未提供劳务保障监察机构出具的缴存工资保证金和开设工资专户证明的，建设单位不予施工企业签订工程承包合同。</w:t>
      </w:r>
    </w:p>
    <w:p w14:paraId="5E6BB6C5">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（5）在同一市级行政区域内，可根据行业特点和企业信用状况等适当调整工资保证金缴存比例。</w:t>
      </w:r>
    </w:p>
    <w:p w14:paraId="04B48244">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对一年内发生拖欠农民工工资行为的，新开工项目工资保证金应按工程项目合同造价的3%缴存。对因欠薪被纳入黑名单的，应按工程项目合同造价的4%缴存，缴存金额不受缴存金额上限限制。</w:t>
      </w:r>
    </w:p>
    <w:p w14:paraId="1D2C3045">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6）缴存企业可以以银行保函方式缴存工资保证金、银行保函的种类应当是见索即付的独立保函，由施工企业向工程项目所在地的银行申请开立，受益人为工程所在地的人力资源和社会保障部门。银行保函有效期由开立申请人、受益人与银行三方根据合同约定的竣工验收期限合理确定。如银行保函到期时给出尚未竣工验收，或存在农民工工资尚未结清的，开立申请人应与银行协商续开保函；无法续开的，应按规定缴存工资保证金。需动用工资保证金垫付呗拖欠工资时，出具保函的银行原则上应在3个工作日内垫付，紧急特殊情况应当尽快办理垫付手续。符合退还工资保证金条件时，开立申请人应将银行保函退回开立银行予以注销。</w:t>
      </w:r>
    </w:p>
    <w:p w14:paraId="0BECC1DA">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（7）行业主管部门要加强对建设资金监管，同时要对建设单位工程支付和使用情况进行监督。</w:t>
      </w:r>
    </w:p>
    <w:p w14:paraId="245BCDD0">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1）交通、水利、电力、铁路、通信等工程项目在拨付工程款时，应将工程进度款的15%直接汇入施工企业开设的工资专户，专项用于支付农民工工资。</w:t>
      </w:r>
    </w:p>
    <w:p w14:paraId="55D280E1">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2）道路桥梁等市政工程项目在拨付工程进度款时，应将工程进度款的15%直接汇入施工企业开设的工资专户，专项用于支付农民工工资。</w:t>
      </w:r>
    </w:p>
    <w:p w14:paraId="513A70EA">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3）园林景观（含道路绿化）工程项目在拨付工程款时，应将工程进度款的20%直接汇入施工企业开设的工资专户，用于支付农民工工资。</w:t>
      </w:r>
    </w:p>
    <w:p w14:paraId="5600B671">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4）道路、电梯、强弱电、暖通、智能化等设备采购及安装项目在拨付工程款时，应将工程进度款的5%直接汇入工资专户，用于支付农民工工资。</w:t>
      </w:r>
    </w:p>
    <w:p w14:paraId="79B0B55B">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8）人力资源和社会保障部门要督促施工企业按规定及时足额缴存工资保证金和开设工资专户。交通、水利等行业主管部门及重点工程建设管理部门应向人力资源和社会保障部门按月通报新建工程项目信息，督促缴存施工企业按规定缴存工资保证金和开设工资专户，未缴存工资保证金或是未开设工资专户的施工企业一律不予开工建设，确保应缴尽缴。</w:t>
      </w:r>
    </w:p>
    <w:p w14:paraId="387BCF69">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9）工程项目完工并经验收后，未发现拖欠工资行为的，经缴存施工企业申请并公示，人力资源和社会保障部门自公示期满之日起5个工作日内，作出同意缴存施工企业将工资保证金本息一并转入该缴存企业其他同名银行结算账户的决定。</w:t>
      </w:r>
    </w:p>
    <w:p w14:paraId="629106E9">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10）工资保证金由缴存企业存入工资保证金账户，工资专户由施工企业在工程所在地工资保证金专户银行开设，实行专户管理。人力资源和社会保障部门要建立工资保证金和工资专户管理台账，严格规范财务、审计制度，加强账户监管，确保专款专用，防止挪作他用。对擅自减免、超限额收缴、违规挪用、无故拖延返还工资保证金的，要严肃追究责任，依法依规对有关责任人员实行问责。</w:t>
      </w:r>
    </w:p>
    <w:p w14:paraId="37A1C238">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（11）未尽事宜，按《滁州市建设领域农民工工资管理暂行办法》 执行。</w:t>
      </w:r>
    </w:p>
    <w:p w14:paraId="0FD1ABB3">
      <w:pPr>
        <w:pStyle w:val="54"/>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w:t>
      </w:r>
      <w:r>
        <w:rPr>
          <w:rFonts w:hint="eastAsia" w:cs="宋体"/>
          <w:color w:val="auto"/>
          <w:sz w:val="21"/>
          <w:szCs w:val="21"/>
          <w:highlight w:val="none"/>
          <w:lang w:val="en-US" w:eastAsia="zh-CN"/>
        </w:rPr>
        <w:t>18</w:t>
      </w:r>
      <w:r>
        <w:rPr>
          <w:rFonts w:hint="eastAsia" w:ascii="宋体" w:hAnsi="宋体" w:cs="宋体"/>
          <w:color w:val="auto"/>
          <w:sz w:val="21"/>
          <w:szCs w:val="21"/>
          <w:highlight w:val="none"/>
        </w:rPr>
        <w:t>、文明施工要求</w:t>
      </w:r>
    </w:p>
    <w:p w14:paraId="2E40F971">
      <w:pPr>
        <w:pStyle w:val="54"/>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（1）公共环境</w:t>
      </w:r>
    </w:p>
    <w:p w14:paraId="02F022D8">
      <w:pPr>
        <w:pStyle w:val="54"/>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①建筑工地采用砌体、钢结构或彩钢夹芯板等，不得使用彩钢板封闭管理，高度不低于3米；储备用地、路面施工应一律设置建筑围墙进行遮挡。环境卫生干净整洁，围墙内外无乱堆放现象，无生活垃圾；施工现场标识明显，四周设置围墙、围挡，并符合标准；施工车辆有硬化的进出通道和冲洗设备，无抛洒和污染路面现象。</w:t>
      </w:r>
    </w:p>
    <w:p w14:paraId="05C5A6EA">
      <w:pPr>
        <w:pStyle w:val="54"/>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②场内设有不少于15米硬化面，车辆进出工地实行密闭运输，有车辆冲洗平台和冲洗设备、临时厕所、垃圾收集容器、污水处理排放系统、降尘设备等设施；场内干净整洁，机械设备、物料等摆放有序，安全施工措施到位，文明施工氛围浓厚。能够开展文明工地创建，施工噪音、粉尘等达到国家环保要求。</w:t>
      </w:r>
    </w:p>
    <w:p w14:paraId="08DA87A2">
      <w:pPr>
        <w:pStyle w:val="54"/>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（2）公益宣传</w:t>
      </w:r>
    </w:p>
    <w:p w14:paraId="76F06781">
      <w:pPr>
        <w:pStyle w:val="54"/>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hAnsi="宋体" w:cs="宋体"/>
          <w:color w:val="auto"/>
          <w:sz w:val="21"/>
          <w:szCs w:val="21"/>
          <w:highlight w:val="none"/>
        </w:rPr>
      </w:pPr>
      <w:r>
        <w:rPr>
          <w:rFonts w:hint="eastAsia" w:ascii="宋体" w:hAnsi="宋体" w:cs="宋体"/>
          <w:color w:val="auto"/>
          <w:sz w:val="21"/>
          <w:szCs w:val="21"/>
          <w:highlight w:val="none"/>
        </w:rPr>
        <w:t>①运用建筑围挡宣传展示社会主义核心价值观12个主题词、市民文明行为规范，及时更新中宣部、中央文明办发布的“讲文明树新风”、“图说我们的价值观”通稿作品以及本市自创的公益广告（建筑围挡无破墙开洞现象，公益广告无污染、破旧现象）</w:t>
      </w:r>
      <w:r>
        <w:rPr>
          <w:rFonts w:hint="eastAsia" w:hAnsi="宋体" w:cs="宋体"/>
          <w:color w:val="auto"/>
          <w:sz w:val="21"/>
          <w:szCs w:val="21"/>
          <w:highlight w:val="none"/>
        </w:rPr>
        <w:t>。</w:t>
      </w:r>
    </w:p>
    <w:p w14:paraId="57C3592C">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hAnsi="宋体" w:cs="宋体"/>
          <w:color w:val="auto"/>
          <w:sz w:val="21"/>
          <w:szCs w:val="21"/>
          <w:highlight w:val="none"/>
        </w:rPr>
      </w:pPr>
      <w:r>
        <w:rPr>
          <w:rFonts w:hint="eastAsia" w:ascii="宋体" w:hAnsi="宋体" w:cs="宋体"/>
          <w:color w:val="auto"/>
          <w:sz w:val="21"/>
          <w:szCs w:val="21"/>
          <w:highlight w:val="none"/>
          <w:lang w:val="en-US" w:eastAsia="zh-CN"/>
        </w:rPr>
        <w:t>21.19</w:t>
      </w:r>
      <w:r>
        <w:rPr>
          <w:rFonts w:hint="eastAsia" w:hAnsi="宋体" w:cs="宋体"/>
          <w:color w:val="auto"/>
          <w:sz w:val="21"/>
          <w:szCs w:val="21"/>
          <w:highlight w:val="none"/>
        </w:rPr>
        <w:t>、滁州市建筑工地围挡要求按关于印发《滁州市建筑工地围挡提档升级标准》的通知（建质﹝2022﹞34号文）执行。</w:t>
      </w:r>
    </w:p>
    <w:p w14:paraId="7453D385">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hAnsi="宋体" w:cs="宋体"/>
          <w:color w:val="auto"/>
          <w:sz w:val="21"/>
          <w:szCs w:val="21"/>
          <w:highlight w:val="none"/>
        </w:rPr>
      </w:pPr>
      <w:r>
        <w:rPr>
          <w:rFonts w:hint="eastAsia" w:hAnsi="宋体" w:cs="宋体"/>
          <w:color w:val="auto"/>
          <w:sz w:val="21"/>
          <w:szCs w:val="21"/>
          <w:highlight w:val="none"/>
        </w:rPr>
        <w:t>21.</w:t>
      </w:r>
      <w:r>
        <w:rPr>
          <w:rFonts w:hint="eastAsia" w:cs="宋体"/>
          <w:color w:val="auto"/>
          <w:sz w:val="21"/>
          <w:szCs w:val="21"/>
          <w:highlight w:val="none"/>
          <w:lang w:val="en-US" w:eastAsia="zh-CN"/>
        </w:rPr>
        <w:t>20</w:t>
      </w:r>
      <w:r>
        <w:rPr>
          <w:rFonts w:hint="eastAsia" w:hAnsi="宋体" w:cs="宋体"/>
          <w:color w:val="auto"/>
          <w:sz w:val="21"/>
          <w:szCs w:val="21"/>
          <w:highlight w:val="none"/>
        </w:rPr>
        <w:t>、发包人在施工进场第一个月或施工过程中发现承包人转包、挂靠等行为的，发包人立即解除合同，清退出场，承包人已完合格工程量按合同价款70%进行结算。</w:t>
      </w:r>
    </w:p>
    <w:p w14:paraId="05BD3D4D">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hAnsi="宋体" w:cs="宋体"/>
          <w:color w:val="auto"/>
          <w:sz w:val="21"/>
          <w:szCs w:val="21"/>
          <w:highlight w:val="none"/>
        </w:rPr>
      </w:pPr>
      <w:r>
        <w:rPr>
          <w:rFonts w:hint="eastAsia" w:hAnsi="宋体" w:cs="宋体"/>
          <w:color w:val="auto"/>
          <w:sz w:val="21"/>
          <w:szCs w:val="21"/>
          <w:highlight w:val="none"/>
        </w:rPr>
        <w:t>21.2</w:t>
      </w:r>
      <w:r>
        <w:rPr>
          <w:rFonts w:hint="eastAsia" w:cs="宋体"/>
          <w:color w:val="auto"/>
          <w:sz w:val="21"/>
          <w:szCs w:val="21"/>
          <w:highlight w:val="none"/>
          <w:lang w:val="en-US" w:eastAsia="zh-CN"/>
        </w:rPr>
        <w:t>1</w:t>
      </w:r>
      <w:r>
        <w:rPr>
          <w:rFonts w:hint="eastAsia" w:hAnsi="宋体" w:cs="宋体"/>
          <w:color w:val="auto"/>
          <w:sz w:val="21"/>
          <w:szCs w:val="21"/>
          <w:highlight w:val="none"/>
        </w:rPr>
        <w:t>、执行滁州市重点处相关现行文件规定。</w:t>
      </w:r>
    </w:p>
    <w:p w14:paraId="7B4DA4A3">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cs="宋体"/>
          <w:b/>
          <w:color w:val="auto"/>
          <w:sz w:val="21"/>
          <w:szCs w:val="21"/>
          <w:highlight w:val="none"/>
        </w:rPr>
      </w:pPr>
      <w:r>
        <w:rPr>
          <w:rFonts w:hint="eastAsia" w:hAnsi="宋体" w:cs="宋体"/>
          <w:color w:val="auto"/>
          <w:sz w:val="21"/>
          <w:szCs w:val="21"/>
          <w:highlight w:val="none"/>
        </w:rPr>
        <w:t>21.2</w:t>
      </w:r>
      <w:r>
        <w:rPr>
          <w:rFonts w:hint="eastAsia" w:cs="宋体"/>
          <w:color w:val="auto"/>
          <w:sz w:val="21"/>
          <w:szCs w:val="21"/>
          <w:highlight w:val="none"/>
          <w:lang w:val="en-US" w:eastAsia="zh-CN"/>
        </w:rPr>
        <w:t>2</w:t>
      </w:r>
      <w:r>
        <w:rPr>
          <w:rFonts w:hint="eastAsia" w:hAnsi="宋体" w:cs="宋体"/>
          <w:color w:val="auto"/>
          <w:sz w:val="21"/>
          <w:szCs w:val="21"/>
          <w:highlight w:val="none"/>
        </w:rPr>
        <w:t>、本合同文本未尽事宜，由合同签定双方在发生时具体商定</w:t>
      </w:r>
      <w:r>
        <w:rPr>
          <w:rFonts w:hint="eastAsia" w:ascii="宋体" w:hAnsi="宋体" w:cs="宋体"/>
          <w:color w:val="auto"/>
          <w:sz w:val="21"/>
          <w:szCs w:val="21"/>
          <w:highlight w:val="none"/>
        </w:rPr>
        <w:t>。</w:t>
      </w:r>
    </w:p>
    <w:p w14:paraId="652B1E93">
      <w:pPr>
        <w:snapToGrid w:val="0"/>
        <w:spacing w:line="360" w:lineRule="auto"/>
        <w:rPr>
          <w:rFonts w:cs="宋体"/>
          <w:color w:val="auto"/>
          <w:sz w:val="21"/>
          <w:szCs w:val="21"/>
          <w:highlight w:val="none"/>
        </w:rPr>
      </w:pPr>
      <w:r>
        <w:rPr>
          <w:rFonts w:hint="eastAsia" w:cs="宋体"/>
          <w:color w:val="auto"/>
          <w:sz w:val="21"/>
          <w:szCs w:val="21"/>
          <w:highlight w:val="none"/>
        </w:rPr>
        <w:t>发包人：  （公章）                           承包人：  （公章）</w:t>
      </w:r>
    </w:p>
    <w:p w14:paraId="72E399AD">
      <w:pPr>
        <w:snapToGrid w:val="0"/>
        <w:spacing w:line="360" w:lineRule="auto"/>
        <w:rPr>
          <w:rFonts w:cs="宋体"/>
          <w:color w:val="auto"/>
          <w:sz w:val="21"/>
          <w:szCs w:val="21"/>
          <w:highlight w:val="none"/>
        </w:rPr>
      </w:pPr>
      <w:r>
        <w:rPr>
          <w:rFonts w:hint="eastAsia" w:cs="宋体"/>
          <w:color w:val="auto"/>
          <w:sz w:val="21"/>
          <w:szCs w:val="21"/>
          <w:highlight w:val="none"/>
        </w:rPr>
        <w:t>法定代表人或其委托代理人：                 法定代表人或其委托代理人：</w:t>
      </w:r>
    </w:p>
    <w:p w14:paraId="1B50B543">
      <w:pPr>
        <w:snapToGrid w:val="0"/>
        <w:spacing w:line="360" w:lineRule="auto"/>
        <w:rPr>
          <w:rFonts w:cs="宋体"/>
          <w:color w:val="auto"/>
          <w:sz w:val="21"/>
          <w:szCs w:val="21"/>
          <w:highlight w:val="none"/>
        </w:rPr>
      </w:pPr>
      <w:r>
        <w:rPr>
          <w:rFonts w:hint="eastAsia" w:cs="宋体"/>
          <w:color w:val="auto"/>
          <w:sz w:val="21"/>
          <w:szCs w:val="21"/>
          <w:highlight w:val="none"/>
        </w:rPr>
        <w:t>（签字）                                  （签字）</w:t>
      </w:r>
    </w:p>
    <w:p w14:paraId="445D2A3B">
      <w:pPr>
        <w:snapToGrid w:val="0"/>
        <w:spacing w:line="360" w:lineRule="auto"/>
        <w:rPr>
          <w:rFonts w:cs="宋体"/>
          <w:color w:val="auto"/>
          <w:sz w:val="21"/>
          <w:szCs w:val="21"/>
          <w:highlight w:val="none"/>
        </w:rPr>
      </w:pPr>
      <w:r>
        <w:rPr>
          <w:rFonts w:hint="eastAsia" w:cs="宋体"/>
          <w:color w:val="auto"/>
          <w:sz w:val="21"/>
          <w:szCs w:val="21"/>
          <w:highlight w:val="none"/>
        </w:rPr>
        <w:t>组织机构代码：</w:t>
      </w:r>
      <w:r>
        <w:rPr>
          <w:rFonts w:hint="eastAsia" w:cs="宋体"/>
          <w:color w:val="auto"/>
          <w:sz w:val="21"/>
          <w:szCs w:val="21"/>
          <w:highlight w:val="none"/>
          <w:u w:val="single"/>
        </w:rPr>
        <w:t xml:space="preserve">       </w:t>
      </w:r>
      <w:r>
        <w:rPr>
          <w:rFonts w:hint="eastAsia" w:cs="宋体"/>
          <w:color w:val="auto"/>
          <w:sz w:val="21"/>
          <w:szCs w:val="21"/>
          <w:highlight w:val="none"/>
        </w:rPr>
        <w:t xml:space="preserve">                组织机构代码：</w:t>
      </w:r>
      <w:r>
        <w:rPr>
          <w:rFonts w:hint="eastAsia" w:cs="宋体"/>
          <w:color w:val="auto"/>
          <w:sz w:val="21"/>
          <w:szCs w:val="21"/>
          <w:highlight w:val="none"/>
          <w:u w:val="single"/>
        </w:rPr>
        <w:t xml:space="preserve">          </w:t>
      </w:r>
      <w:r>
        <w:rPr>
          <w:rFonts w:hint="eastAsia" w:cs="宋体"/>
          <w:color w:val="auto"/>
          <w:sz w:val="21"/>
          <w:szCs w:val="21"/>
          <w:highlight w:val="none"/>
        </w:rPr>
        <w:t xml:space="preserve"> </w:t>
      </w:r>
    </w:p>
    <w:p w14:paraId="5DFD6FD4">
      <w:pPr>
        <w:snapToGrid w:val="0"/>
        <w:spacing w:line="360" w:lineRule="auto"/>
        <w:rPr>
          <w:rFonts w:cs="宋体"/>
          <w:color w:val="auto"/>
          <w:sz w:val="21"/>
          <w:szCs w:val="21"/>
          <w:highlight w:val="none"/>
        </w:rPr>
      </w:pPr>
      <w:r>
        <w:rPr>
          <w:rFonts w:hint="eastAsia" w:cs="宋体"/>
          <w:color w:val="auto"/>
          <w:sz w:val="21"/>
          <w:szCs w:val="21"/>
          <w:highlight w:val="none"/>
        </w:rPr>
        <w:t>地  址：</w:t>
      </w:r>
      <w:r>
        <w:rPr>
          <w:rFonts w:hint="eastAsia" w:cs="宋体"/>
          <w:color w:val="auto"/>
          <w:sz w:val="21"/>
          <w:szCs w:val="21"/>
          <w:highlight w:val="none"/>
          <w:u w:val="single"/>
        </w:rPr>
        <w:t xml:space="preserve">     </w:t>
      </w:r>
      <w:r>
        <w:rPr>
          <w:rFonts w:hint="eastAsia" w:cs="宋体"/>
          <w:color w:val="auto"/>
          <w:sz w:val="21"/>
          <w:szCs w:val="21"/>
          <w:highlight w:val="none"/>
        </w:rPr>
        <w:t xml:space="preserve">                地  址：</w:t>
      </w:r>
      <w:r>
        <w:rPr>
          <w:rFonts w:hint="eastAsia" w:cs="宋体"/>
          <w:color w:val="auto"/>
          <w:sz w:val="21"/>
          <w:szCs w:val="21"/>
          <w:highlight w:val="none"/>
          <w:u w:val="single"/>
        </w:rPr>
        <w:t xml:space="preserve">        </w:t>
      </w:r>
    </w:p>
    <w:p w14:paraId="75D77B0E">
      <w:pPr>
        <w:snapToGrid w:val="0"/>
        <w:spacing w:line="360" w:lineRule="auto"/>
        <w:rPr>
          <w:rFonts w:cs="宋体"/>
          <w:color w:val="auto"/>
          <w:sz w:val="21"/>
          <w:szCs w:val="21"/>
          <w:highlight w:val="none"/>
        </w:rPr>
      </w:pPr>
      <w:r>
        <w:rPr>
          <w:rFonts w:hint="eastAsia" w:cs="宋体"/>
          <w:color w:val="auto"/>
          <w:sz w:val="21"/>
          <w:szCs w:val="21"/>
          <w:highlight w:val="none"/>
        </w:rPr>
        <w:t>邮政编码：</w:t>
      </w:r>
      <w:r>
        <w:rPr>
          <w:rFonts w:hint="eastAsia" w:cs="宋体"/>
          <w:color w:val="auto"/>
          <w:sz w:val="21"/>
          <w:szCs w:val="21"/>
          <w:highlight w:val="none"/>
          <w:u w:val="single"/>
        </w:rPr>
        <w:t xml:space="preserve">      </w:t>
      </w:r>
      <w:r>
        <w:rPr>
          <w:rFonts w:hint="eastAsia" w:cs="宋体"/>
          <w:color w:val="auto"/>
          <w:sz w:val="21"/>
          <w:szCs w:val="21"/>
          <w:highlight w:val="none"/>
        </w:rPr>
        <w:t xml:space="preserve">               邮政编码：</w:t>
      </w:r>
      <w:r>
        <w:rPr>
          <w:rFonts w:hint="eastAsia" w:cs="宋体"/>
          <w:color w:val="auto"/>
          <w:sz w:val="21"/>
          <w:szCs w:val="21"/>
          <w:highlight w:val="none"/>
          <w:u w:val="single"/>
        </w:rPr>
        <w:t xml:space="preserve">   </w:t>
      </w:r>
    </w:p>
    <w:p w14:paraId="411CD513">
      <w:pPr>
        <w:snapToGrid w:val="0"/>
        <w:spacing w:line="360" w:lineRule="auto"/>
        <w:rPr>
          <w:rFonts w:cs="宋体"/>
          <w:color w:val="auto"/>
          <w:sz w:val="21"/>
          <w:szCs w:val="21"/>
          <w:highlight w:val="none"/>
        </w:rPr>
      </w:pPr>
      <w:r>
        <w:rPr>
          <w:rFonts w:hint="eastAsia" w:cs="宋体"/>
          <w:color w:val="auto"/>
          <w:sz w:val="21"/>
          <w:szCs w:val="21"/>
          <w:highlight w:val="none"/>
        </w:rPr>
        <w:t>法定代表人：</w:t>
      </w:r>
      <w:r>
        <w:rPr>
          <w:rFonts w:hint="eastAsia" w:cs="宋体"/>
          <w:color w:val="auto"/>
          <w:sz w:val="21"/>
          <w:szCs w:val="21"/>
          <w:highlight w:val="none"/>
          <w:u w:val="single"/>
        </w:rPr>
        <w:t xml:space="preserve">           </w:t>
      </w:r>
      <w:r>
        <w:rPr>
          <w:rFonts w:hint="eastAsia" w:cs="宋体"/>
          <w:color w:val="auto"/>
          <w:sz w:val="21"/>
          <w:szCs w:val="21"/>
          <w:highlight w:val="none"/>
        </w:rPr>
        <w:t xml:space="preserve">                法定代表人：</w:t>
      </w:r>
      <w:r>
        <w:rPr>
          <w:rFonts w:hint="eastAsia" w:cs="宋体"/>
          <w:color w:val="auto"/>
          <w:sz w:val="21"/>
          <w:szCs w:val="21"/>
          <w:highlight w:val="none"/>
          <w:u w:val="single"/>
        </w:rPr>
        <w:t xml:space="preserve">             </w:t>
      </w:r>
    </w:p>
    <w:p w14:paraId="781C4136">
      <w:pPr>
        <w:snapToGrid w:val="0"/>
        <w:spacing w:line="360" w:lineRule="auto"/>
        <w:rPr>
          <w:rFonts w:cs="宋体"/>
          <w:color w:val="auto"/>
          <w:sz w:val="21"/>
          <w:szCs w:val="21"/>
          <w:highlight w:val="none"/>
        </w:rPr>
      </w:pPr>
      <w:r>
        <w:rPr>
          <w:rFonts w:hint="eastAsia" w:cs="宋体"/>
          <w:color w:val="auto"/>
          <w:sz w:val="21"/>
          <w:szCs w:val="21"/>
          <w:highlight w:val="none"/>
        </w:rPr>
        <w:t>委托代理人：</w:t>
      </w:r>
      <w:r>
        <w:rPr>
          <w:rFonts w:hint="eastAsia" w:cs="宋体"/>
          <w:color w:val="auto"/>
          <w:sz w:val="21"/>
          <w:szCs w:val="21"/>
          <w:highlight w:val="none"/>
          <w:u w:val="single"/>
        </w:rPr>
        <w:t xml:space="preserve">           </w:t>
      </w:r>
      <w:r>
        <w:rPr>
          <w:rFonts w:hint="eastAsia" w:cs="宋体"/>
          <w:color w:val="auto"/>
          <w:sz w:val="21"/>
          <w:szCs w:val="21"/>
          <w:highlight w:val="none"/>
        </w:rPr>
        <w:t xml:space="preserve">                委托代理人：</w:t>
      </w:r>
      <w:r>
        <w:rPr>
          <w:rFonts w:hint="eastAsia" w:cs="宋体"/>
          <w:color w:val="auto"/>
          <w:sz w:val="21"/>
          <w:szCs w:val="21"/>
          <w:highlight w:val="none"/>
          <w:u w:val="single"/>
        </w:rPr>
        <w:t xml:space="preserve">             </w:t>
      </w:r>
    </w:p>
    <w:p w14:paraId="29A560F2">
      <w:pPr>
        <w:snapToGrid w:val="0"/>
        <w:spacing w:line="360" w:lineRule="auto"/>
        <w:rPr>
          <w:rFonts w:cs="宋体"/>
          <w:color w:val="auto"/>
          <w:sz w:val="21"/>
          <w:szCs w:val="21"/>
          <w:highlight w:val="none"/>
        </w:rPr>
      </w:pPr>
      <w:r>
        <w:rPr>
          <w:rFonts w:hint="eastAsia" w:cs="宋体"/>
          <w:color w:val="auto"/>
          <w:sz w:val="21"/>
          <w:szCs w:val="21"/>
          <w:highlight w:val="none"/>
        </w:rPr>
        <w:t>电  话：</w:t>
      </w:r>
      <w:r>
        <w:rPr>
          <w:rFonts w:hint="eastAsia" w:cs="宋体"/>
          <w:color w:val="auto"/>
          <w:sz w:val="21"/>
          <w:szCs w:val="21"/>
          <w:highlight w:val="none"/>
          <w:u w:val="single"/>
        </w:rPr>
        <w:t xml:space="preserve">   </w:t>
      </w:r>
      <w:r>
        <w:rPr>
          <w:rFonts w:hint="eastAsia" w:cs="宋体"/>
          <w:color w:val="auto"/>
          <w:sz w:val="21"/>
          <w:szCs w:val="21"/>
          <w:highlight w:val="none"/>
        </w:rPr>
        <w:t xml:space="preserve">                电  话：</w:t>
      </w:r>
      <w:r>
        <w:rPr>
          <w:rFonts w:hint="eastAsia" w:cs="宋体"/>
          <w:color w:val="auto"/>
          <w:sz w:val="21"/>
          <w:szCs w:val="21"/>
          <w:highlight w:val="none"/>
          <w:u w:val="single"/>
        </w:rPr>
        <w:t xml:space="preserve">     </w:t>
      </w:r>
    </w:p>
    <w:p w14:paraId="30CEB65E">
      <w:pPr>
        <w:snapToGrid w:val="0"/>
        <w:spacing w:line="360" w:lineRule="auto"/>
        <w:rPr>
          <w:rFonts w:cs="宋体"/>
          <w:color w:val="auto"/>
          <w:sz w:val="21"/>
          <w:szCs w:val="21"/>
          <w:highlight w:val="none"/>
        </w:rPr>
      </w:pPr>
      <w:r>
        <w:rPr>
          <w:rFonts w:hint="eastAsia" w:cs="宋体"/>
          <w:color w:val="auto"/>
          <w:sz w:val="21"/>
          <w:szCs w:val="21"/>
          <w:highlight w:val="none"/>
        </w:rPr>
        <w:t>传  真：</w:t>
      </w:r>
      <w:r>
        <w:rPr>
          <w:rFonts w:hint="eastAsia" w:cs="宋体"/>
          <w:color w:val="auto"/>
          <w:sz w:val="21"/>
          <w:szCs w:val="21"/>
          <w:highlight w:val="none"/>
          <w:u w:val="single"/>
        </w:rPr>
        <w:t xml:space="preserve">   </w:t>
      </w:r>
      <w:r>
        <w:rPr>
          <w:rFonts w:hint="eastAsia" w:cs="宋体"/>
          <w:color w:val="auto"/>
          <w:sz w:val="21"/>
          <w:szCs w:val="21"/>
          <w:highlight w:val="none"/>
        </w:rPr>
        <w:t xml:space="preserve">                传  真：</w:t>
      </w:r>
      <w:r>
        <w:rPr>
          <w:rFonts w:hint="eastAsia" w:cs="宋体"/>
          <w:color w:val="auto"/>
          <w:sz w:val="21"/>
          <w:szCs w:val="21"/>
          <w:highlight w:val="none"/>
          <w:u w:val="single"/>
        </w:rPr>
        <w:t xml:space="preserve">     </w:t>
      </w:r>
    </w:p>
    <w:p w14:paraId="090BBEF9">
      <w:pPr>
        <w:snapToGrid w:val="0"/>
        <w:spacing w:line="360" w:lineRule="auto"/>
        <w:rPr>
          <w:rFonts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cs="宋体"/>
          <w:color w:val="auto"/>
          <w:sz w:val="21"/>
          <w:szCs w:val="21"/>
          <w:highlight w:val="none"/>
        </w:rPr>
        <w:t xml:space="preserve">                电子信箱：</w:t>
      </w:r>
      <w:r>
        <w:rPr>
          <w:rFonts w:hint="eastAsia" w:cs="宋体"/>
          <w:color w:val="auto"/>
          <w:sz w:val="21"/>
          <w:szCs w:val="21"/>
          <w:highlight w:val="none"/>
          <w:u w:val="single"/>
        </w:rPr>
        <w:t xml:space="preserve">   </w:t>
      </w:r>
    </w:p>
    <w:p w14:paraId="16218445">
      <w:pPr>
        <w:snapToGrid w:val="0"/>
        <w:spacing w:line="360" w:lineRule="auto"/>
        <w:rPr>
          <w:rFonts w:cs="宋体"/>
          <w:color w:val="auto"/>
          <w:sz w:val="21"/>
          <w:szCs w:val="21"/>
          <w:highlight w:val="none"/>
        </w:rPr>
      </w:pPr>
      <w:r>
        <w:rPr>
          <w:rFonts w:hint="eastAsia" w:cs="宋体"/>
          <w:color w:val="auto"/>
          <w:sz w:val="21"/>
          <w:szCs w:val="21"/>
          <w:highlight w:val="none"/>
        </w:rPr>
        <w:t>开户银行：</w:t>
      </w:r>
      <w:r>
        <w:rPr>
          <w:rFonts w:hint="eastAsia" w:cs="宋体"/>
          <w:color w:val="auto"/>
          <w:sz w:val="21"/>
          <w:szCs w:val="21"/>
          <w:highlight w:val="none"/>
          <w:u w:val="single"/>
        </w:rPr>
        <w:t xml:space="preserve">   </w:t>
      </w:r>
      <w:r>
        <w:rPr>
          <w:rFonts w:hint="eastAsia" w:cs="宋体"/>
          <w:color w:val="auto"/>
          <w:sz w:val="21"/>
          <w:szCs w:val="21"/>
          <w:highlight w:val="none"/>
        </w:rPr>
        <w:t xml:space="preserve">                开户银行：</w:t>
      </w:r>
      <w:r>
        <w:rPr>
          <w:rFonts w:hint="eastAsia" w:cs="宋体"/>
          <w:color w:val="auto"/>
          <w:sz w:val="21"/>
          <w:szCs w:val="21"/>
          <w:highlight w:val="none"/>
          <w:u w:val="single"/>
        </w:rPr>
        <w:t xml:space="preserve">   </w:t>
      </w:r>
    </w:p>
    <w:p w14:paraId="16414F7B">
      <w:pPr>
        <w:snapToGrid w:val="0"/>
        <w:spacing w:line="360" w:lineRule="auto"/>
        <w:rPr>
          <w:rFonts w:cs="宋体"/>
          <w:color w:val="auto"/>
          <w:sz w:val="21"/>
          <w:szCs w:val="21"/>
          <w:highlight w:val="none"/>
        </w:rPr>
      </w:pPr>
      <w:r>
        <w:rPr>
          <w:rFonts w:hint="eastAsia" w:cs="宋体"/>
          <w:color w:val="auto"/>
          <w:sz w:val="21"/>
          <w:szCs w:val="21"/>
          <w:highlight w:val="none"/>
        </w:rPr>
        <w:t>账  号：</w:t>
      </w:r>
      <w:r>
        <w:rPr>
          <w:rFonts w:hint="eastAsia" w:cs="宋体"/>
          <w:color w:val="auto"/>
          <w:sz w:val="21"/>
          <w:szCs w:val="21"/>
          <w:highlight w:val="none"/>
          <w:u w:val="single"/>
        </w:rPr>
        <w:t xml:space="preserve">       </w:t>
      </w:r>
      <w:r>
        <w:rPr>
          <w:rFonts w:hint="eastAsia" w:cs="宋体"/>
          <w:color w:val="auto"/>
          <w:sz w:val="21"/>
          <w:szCs w:val="21"/>
          <w:highlight w:val="none"/>
        </w:rPr>
        <w:t xml:space="preserve">                账  号：</w:t>
      </w:r>
      <w:r>
        <w:rPr>
          <w:rFonts w:hint="eastAsia" w:cs="宋体"/>
          <w:color w:val="auto"/>
          <w:sz w:val="21"/>
          <w:szCs w:val="21"/>
          <w:highlight w:val="none"/>
          <w:u w:val="single"/>
        </w:rPr>
        <w:t xml:space="preserve">     </w:t>
      </w:r>
    </w:p>
    <w:bookmarkEnd w:id="55"/>
    <w:p w14:paraId="1D860B45">
      <w:pPr>
        <w:snapToGrid w:val="0"/>
        <w:spacing w:line="360" w:lineRule="auto"/>
        <w:rPr>
          <w:rFonts w:cs="宋体"/>
          <w:b/>
          <w:color w:val="auto"/>
          <w:sz w:val="21"/>
          <w:szCs w:val="21"/>
          <w:highlight w:val="none"/>
        </w:rPr>
      </w:pPr>
      <w:r>
        <w:rPr>
          <w:rFonts w:hint="eastAsia" w:cs="宋体"/>
          <w:b/>
          <w:color w:val="auto"/>
          <w:sz w:val="21"/>
          <w:szCs w:val="21"/>
          <w:highlight w:val="none"/>
        </w:rPr>
        <w:t>附件</w:t>
      </w:r>
    </w:p>
    <w:p w14:paraId="02825514">
      <w:pPr>
        <w:snapToGrid w:val="0"/>
        <w:spacing w:line="360" w:lineRule="auto"/>
        <w:rPr>
          <w:rFonts w:cs="宋体"/>
          <w:color w:val="auto"/>
          <w:sz w:val="21"/>
          <w:szCs w:val="21"/>
          <w:highlight w:val="none"/>
        </w:rPr>
      </w:pPr>
      <w:r>
        <w:rPr>
          <w:rFonts w:hint="eastAsia" w:cs="宋体"/>
          <w:color w:val="auto"/>
          <w:sz w:val="21"/>
          <w:szCs w:val="21"/>
          <w:highlight w:val="none"/>
        </w:rPr>
        <w:t>协议书附件：</w:t>
      </w:r>
    </w:p>
    <w:p w14:paraId="57DDF528">
      <w:pPr>
        <w:snapToGrid w:val="0"/>
        <w:spacing w:line="360" w:lineRule="auto"/>
        <w:rPr>
          <w:rFonts w:cs="宋体"/>
          <w:color w:val="auto"/>
          <w:sz w:val="21"/>
          <w:szCs w:val="21"/>
          <w:highlight w:val="none"/>
        </w:rPr>
      </w:pPr>
      <w:bookmarkStart w:id="571" w:name="_Toc128950221"/>
      <w:r>
        <w:rPr>
          <w:rFonts w:hint="eastAsia" w:cs="宋体"/>
          <w:color w:val="auto"/>
          <w:sz w:val="21"/>
          <w:szCs w:val="21"/>
          <w:highlight w:val="none"/>
        </w:rPr>
        <w:t>附件1：承包人承揽工程项目一览表</w:t>
      </w:r>
      <w:bookmarkEnd w:id="571"/>
    </w:p>
    <w:p w14:paraId="71655008">
      <w:pPr>
        <w:snapToGrid w:val="0"/>
        <w:spacing w:line="360" w:lineRule="auto"/>
        <w:rPr>
          <w:rFonts w:cs="宋体"/>
          <w:color w:val="auto"/>
          <w:sz w:val="21"/>
          <w:szCs w:val="21"/>
          <w:highlight w:val="none"/>
        </w:rPr>
      </w:pPr>
      <w:r>
        <w:rPr>
          <w:rFonts w:hint="eastAsia" w:cs="宋体"/>
          <w:color w:val="auto"/>
          <w:sz w:val="21"/>
          <w:szCs w:val="21"/>
          <w:highlight w:val="none"/>
        </w:rPr>
        <w:t>专用合同条款附件：</w:t>
      </w:r>
    </w:p>
    <w:p w14:paraId="5425724D">
      <w:pPr>
        <w:snapToGrid w:val="0"/>
        <w:spacing w:line="360" w:lineRule="auto"/>
        <w:rPr>
          <w:rFonts w:cs="宋体"/>
          <w:color w:val="auto"/>
          <w:sz w:val="21"/>
          <w:szCs w:val="21"/>
          <w:highlight w:val="none"/>
        </w:rPr>
      </w:pPr>
      <w:bookmarkStart w:id="572" w:name="_Toc128950222"/>
      <w:r>
        <w:rPr>
          <w:rFonts w:hint="eastAsia" w:cs="宋体"/>
          <w:color w:val="auto"/>
          <w:sz w:val="21"/>
          <w:szCs w:val="21"/>
          <w:highlight w:val="none"/>
        </w:rPr>
        <w:t>附件2：发包人供应材料设备一览表</w:t>
      </w:r>
      <w:bookmarkEnd w:id="572"/>
    </w:p>
    <w:p w14:paraId="45AC2A4C">
      <w:pPr>
        <w:snapToGrid w:val="0"/>
        <w:spacing w:line="360" w:lineRule="auto"/>
        <w:rPr>
          <w:rFonts w:cs="宋体"/>
          <w:color w:val="auto"/>
          <w:sz w:val="21"/>
          <w:szCs w:val="21"/>
          <w:highlight w:val="none"/>
        </w:rPr>
      </w:pPr>
      <w:bookmarkStart w:id="573" w:name="_Toc128950223"/>
      <w:r>
        <w:rPr>
          <w:rFonts w:hint="eastAsia" w:cs="宋体"/>
          <w:color w:val="auto"/>
          <w:sz w:val="21"/>
          <w:szCs w:val="21"/>
          <w:highlight w:val="none"/>
        </w:rPr>
        <w:t>附件3：工程质量保修书</w:t>
      </w:r>
      <w:bookmarkEnd w:id="573"/>
    </w:p>
    <w:p w14:paraId="533EE064">
      <w:pPr>
        <w:snapToGrid w:val="0"/>
        <w:spacing w:line="360" w:lineRule="auto"/>
        <w:rPr>
          <w:rFonts w:cs="宋体"/>
          <w:color w:val="auto"/>
          <w:sz w:val="21"/>
          <w:szCs w:val="21"/>
          <w:highlight w:val="none"/>
        </w:rPr>
      </w:pPr>
      <w:bookmarkStart w:id="574" w:name="_Toc128950224"/>
      <w:r>
        <w:rPr>
          <w:rFonts w:hint="eastAsia" w:cs="宋体"/>
          <w:color w:val="auto"/>
          <w:sz w:val="21"/>
          <w:szCs w:val="21"/>
          <w:highlight w:val="none"/>
        </w:rPr>
        <w:t>附件4：主要建设工程文件目录</w:t>
      </w:r>
      <w:bookmarkEnd w:id="574"/>
    </w:p>
    <w:p w14:paraId="3E14C298">
      <w:pPr>
        <w:snapToGrid w:val="0"/>
        <w:spacing w:line="360" w:lineRule="auto"/>
        <w:rPr>
          <w:rFonts w:cs="宋体"/>
          <w:color w:val="auto"/>
          <w:sz w:val="21"/>
          <w:szCs w:val="21"/>
          <w:highlight w:val="none"/>
        </w:rPr>
      </w:pPr>
      <w:bookmarkStart w:id="575" w:name="_Toc128950225"/>
      <w:r>
        <w:rPr>
          <w:rFonts w:hint="eastAsia" w:cs="宋体"/>
          <w:color w:val="auto"/>
          <w:sz w:val="21"/>
          <w:szCs w:val="21"/>
          <w:highlight w:val="none"/>
        </w:rPr>
        <w:t>附件5：承包人用于本工程施工的机械设备表</w:t>
      </w:r>
      <w:bookmarkEnd w:id="575"/>
    </w:p>
    <w:p w14:paraId="4EF1AAEA">
      <w:pPr>
        <w:snapToGrid w:val="0"/>
        <w:spacing w:line="360" w:lineRule="auto"/>
        <w:rPr>
          <w:rFonts w:cs="宋体"/>
          <w:color w:val="auto"/>
          <w:sz w:val="21"/>
          <w:szCs w:val="21"/>
          <w:highlight w:val="none"/>
        </w:rPr>
      </w:pPr>
      <w:bookmarkStart w:id="576" w:name="_Toc128950226"/>
      <w:r>
        <w:rPr>
          <w:rFonts w:hint="eastAsia" w:cs="宋体"/>
          <w:color w:val="auto"/>
          <w:sz w:val="21"/>
          <w:szCs w:val="21"/>
          <w:highlight w:val="none"/>
        </w:rPr>
        <w:t>附件6：承包人主要施工管理人员表</w:t>
      </w:r>
      <w:bookmarkEnd w:id="576"/>
    </w:p>
    <w:p w14:paraId="31E7B20F">
      <w:pPr>
        <w:snapToGrid w:val="0"/>
        <w:spacing w:line="360" w:lineRule="auto"/>
        <w:rPr>
          <w:rFonts w:cs="宋体"/>
          <w:color w:val="auto"/>
          <w:sz w:val="21"/>
          <w:szCs w:val="21"/>
          <w:highlight w:val="none"/>
        </w:rPr>
      </w:pPr>
      <w:bookmarkStart w:id="577" w:name="_Toc128950227"/>
      <w:r>
        <w:rPr>
          <w:rFonts w:hint="eastAsia" w:cs="宋体"/>
          <w:color w:val="auto"/>
          <w:sz w:val="21"/>
          <w:szCs w:val="21"/>
          <w:highlight w:val="none"/>
        </w:rPr>
        <w:t>附件7：分包人主要施工管理人员表</w:t>
      </w:r>
      <w:bookmarkEnd w:id="577"/>
    </w:p>
    <w:p w14:paraId="60707DDB">
      <w:pPr>
        <w:snapToGrid w:val="0"/>
        <w:spacing w:line="360" w:lineRule="auto"/>
        <w:rPr>
          <w:rFonts w:cs="宋体"/>
          <w:color w:val="auto"/>
          <w:sz w:val="21"/>
          <w:szCs w:val="21"/>
          <w:highlight w:val="none"/>
        </w:rPr>
      </w:pPr>
      <w:bookmarkStart w:id="578" w:name="_Toc128950228"/>
      <w:r>
        <w:rPr>
          <w:rFonts w:hint="eastAsia" w:cs="宋体"/>
          <w:color w:val="auto"/>
          <w:sz w:val="21"/>
          <w:szCs w:val="21"/>
          <w:highlight w:val="none"/>
        </w:rPr>
        <w:t>附件8：廉政协议</w:t>
      </w:r>
      <w:bookmarkEnd w:id="578"/>
    </w:p>
    <w:p w14:paraId="74EB8D12">
      <w:pPr>
        <w:snapToGrid w:val="0"/>
        <w:spacing w:line="360" w:lineRule="auto"/>
        <w:rPr>
          <w:rFonts w:cs="宋体"/>
          <w:color w:val="auto"/>
          <w:sz w:val="21"/>
          <w:szCs w:val="21"/>
          <w:highlight w:val="none"/>
        </w:rPr>
      </w:pPr>
      <w:bookmarkStart w:id="579" w:name="_Toc128950229"/>
      <w:r>
        <w:rPr>
          <w:rFonts w:hint="eastAsia" w:cs="宋体"/>
          <w:color w:val="auto"/>
          <w:sz w:val="21"/>
          <w:szCs w:val="21"/>
          <w:highlight w:val="none"/>
        </w:rPr>
        <w:t>附件9：履约保证金格式</w:t>
      </w:r>
      <w:bookmarkEnd w:id="579"/>
    </w:p>
    <w:p w14:paraId="3415BA02">
      <w:pPr>
        <w:snapToGrid w:val="0"/>
        <w:spacing w:line="360" w:lineRule="auto"/>
        <w:rPr>
          <w:rFonts w:cs="宋体"/>
          <w:color w:val="auto"/>
          <w:sz w:val="21"/>
          <w:szCs w:val="21"/>
          <w:highlight w:val="none"/>
        </w:rPr>
      </w:pPr>
      <w:bookmarkStart w:id="580" w:name="_Toc128950230"/>
      <w:r>
        <w:rPr>
          <w:rFonts w:hint="eastAsia" w:cs="宋体"/>
          <w:color w:val="auto"/>
          <w:sz w:val="21"/>
          <w:szCs w:val="21"/>
          <w:highlight w:val="none"/>
        </w:rPr>
        <w:t>附件10：预付款担保格式</w:t>
      </w:r>
      <w:bookmarkEnd w:id="580"/>
    </w:p>
    <w:p w14:paraId="2126F53C">
      <w:pPr>
        <w:snapToGrid w:val="0"/>
        <w:spacing w:line="360" w:lineRule="auto"/>
        <w:rPr>
          <w:rFonts w:cs="宋体"/>
          <w:color w:val="auto"/>
          <w:sz w:val="21"/>
          <w:szCs w:val="21"/>
          <w:highlight w:val="none"/>
        </w:rPr>
      </w:pPr>
      <w:bookmarkStart w:id="581" w:name="_Toc128950231"/>
      <w:r>
        <w:rPr>
          <w:rFonts w:hint="eastAsia" w:cs="宋体"/>
          <w:color w:val="auto"/>
          <w:sz w:val="21"/>
          <w:szCs w:val="21"/>
          <w:highlight w:val="none"/>
        </w:rPr>
        <w:t>附件11：支付担保格式</w:t>
      </w:r>
      <w:bookmarkEnd w:id="581"/>
    </w:p>
    <w:p w14:paraId="1DD2AA4B">
      <w:pPr>
        <w:snapToGrid w:val="0"/>
        <w:spacing w:line="360" w:lineRule="auto"/>
        <w:rPr>
          <w:rFonts w:cs="宋体"/>
          <w:color w:val="auto"/>
          <w:sz w:val="21"/>
          <w:szCs w:val="21"/>
          <w:highlight w:val="none"/>
        </w:rPr>
      </w:pPr>
      <w:bookmarkStart w:id="582" w:name="_Toc128950232"/>
      <w:r>
        <w:rPr>
          <w:rFonts w:hint="eastAsia" w:cs="宋体"/>
          <w:color w:val="auto"/>
          <w:sz w:val="21"/>
          <w:szCs w:val="21"/>
          <w:highlight w:val="none"/>
        </w:rPr>
        <w:t>附件12：暂估价一览表</w:t>
      </w:r>
      <w:bookmarkEnd w:id="582"/>
    </w:p>
    <w:p w14:paraId="233FFD24">
      <w:pPr>
        <w:snapToGrid w:val="0"/>
        <w:spacing w:line="360" w:lineRule="auto"/>
        <w:rPr>
          <w:rFonts w:cs="宋体"/>
          <w:color w:val="auto"/>
          <w:sz w:val="21"/>
          <w:szCs w:val="21"/>
          <w:highlight w:val="none"/>
        </w:rPr>
      </w:pPr>
      <w:bookmarkStart w:id="583" w:name="_Toc128950233"/>
      <w:r>
        <w:rPr>
          <w:rFonts w:hint="eastAsia" w:cs="宋体"/>
          <w:color w:val="auto"/>
          <w:sz w:val="21"/>
          <w:szCs w:val="21"/>
          <w:highlight w:val="none"/>
        </w:rPr>
        <w:t>附件13：安全生产合同</w:t>
      </w:r>
      <w:bookmarkEnd w:id="583"/>
    </w:p>
    <w:p w14:paraId="3E3A633A">
      <w:pPr>
        <w:snapToGrid w:val="0"/>
        <w:spacing w:line="360" w:lineRule="auto"/>
        <w:rPr>
          <w:rFonts w:cs="宋体"/>
          <w:color w:val="auto"/>
          <w:sz w:val="21"/>
          <w:szCs w:val="21"/>
          <w:highlight w:val="none"/>
        </w:rPr>
      </w:pPr>
      <w:bookmarkStart w:id="584" w:name="_Toc128950234"/>
      <w:r>
        <w:rPr>
          <w:rFonts w:hint="eastAsia" w:cs="宋体"/>
          <w:color w:val="auto"/>
          <w:sz w:val="21"/>
          <w:szCs w:val="21"/>
          <w:highlight w:val="none"/>
        </w:rPr>
        <w:t>附件14：项目经理质量终身责任制承诺</w:t>
      </w:r>
      <w:bookmarkEnd w:id="584"/>
    </w:p>
    <w:p w14:paraId="47AE1FD2">
      <w:pPr>
        <w:snapToGrid w:val="0"/>
        <w:spacing w:before="312" w:beforeLines="100" w:after="312" w:afterLines="100" w:line="360" w:lineRule="auto"/>
        <w:outlineLvl w:val="2"/>
        <w:rPr>
          <w:rFonts w:ascii="Times New Roman" w:eastAsia="黑体"/>
          <w:color w:val="auto"/>
          <w:szCs w:val="24"/>
          <w:highlight w:val="none"/>
        </w:rPr>
      </w:pPr>
      <w:r>
        <w:rPr>
          <w:rFonts w:hint="eastAsia" w:cs="宋体"/>
          <w:bCs/>
          <w:color w:val="auto"/>
          <w:sz w:val="21"/>
          <w:szCs w:val="21"/>
          <w:highlight w:val="none"/>
        </w:rPr>
        <w:br w:type="page"/>
      </w:r>
      <w:bookmarkStart w:id="585" w:name="_Toc128950235"/>
      <w:r>
        <w:rPr>
          <w:rFonts w:hint="eastAsia" w:ascii="Times New Roman" w:eastAsia="黑体"/>
          <w:color w:val="auto"/>
          <w:szCs w:val="24"/>
          <w:highlight w:val="none"/>
        </w:rPr>
        <w:t>附件</w:t>
      </w:r>
      <w:r>
        <w:rPr>
          <w:rFonts w:ascii="Times New Roman" w:eastAsia="黑体"/>
          <w:color w:val="auto"/>
          <w:szCs w:val="24"/>
          <w:highlight w:val="none"/>
        </w:rPr>
        <w:t>1</w:t>
      </w:r>
      <w:r>
        <w:rPr>
          <w:rFonts w:hint="eastAsia" w:ascii="Times New Roman" w:eastAsia="黑体"/>
          <w:color w:val="auto"/>
          <w:szCs w:val="24"/>
          <w:highlight w:val="none"/>
        </w:rPr>
        <w:t>：承包人承揽工程项目一览表</w:t>
      </w:r>
      <w:bookmarkEnd w:id="585"/>
    </w:p>
    <w:p w14:paraId="7F36DEB7">
      <w:pPr>
        <w:spacing w:line="360" w:lineRule="auto"/>
        <w:jc w:val="center"/>
        <w:rPr>
          <w:rFonts w:cs="宋体"/>
          <w:color w:val="auto"/>
          <w:sz w:val="22"/>
          <w:szCs w:val="21"/>
          <w:highlight w:val="none"/>
        </w:rPr>
      </w:pPr>
      <w:r>
        <w:rPr>
          <w:rFonts w:hint="eastAsia" w:cs="宋体"/>
          <w:color w:val="auto"/>
          <w:sz w:val="22"/>
          <w:szCs w:val="21"/>
          <w:highlight w:val="none"/>
        </w:rPr>
        <w:t>承包人承揽工程项目一览表</w:t>
      </w:r>
    </w:p>
    <w:tbl>
      <w:tblPr>
        <w:tblStyle w:val="55"/>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79"/>
        <w:gridCol w:w="691"/>
        <w:gridCol w:w="1301"/>
        <w:gridCol w:w="691"/>
        <w:gridCol w:w="401"/>
        <w:gridCol w:w="691"/>
        <w:gridCol w:w="982"/>
        <w:gridCol w:w="1244"/>
        <w:gridCol w:w="691"/>
        <w:gridCol w:w="691"/>
      </w:tblGrid>
      <w:tr w14:paraId="3C72E5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86" w:type="pct"/>
            <w:tcBorders>
              <w:top w:val="single" w:color="auto" w:sz="12" w:space="0"/>
              <w:bottom w:val="double" w:color="auto" w:sz="6" w:space="0"/>
            </w:tcBorders>
            <w:vAlign w:val="center"/>
          </w:tcPr>
          <w:p w14:paraId="12664676">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单位工程名称</w:t>
            </w:r>
          </w:p>
        </w:tc>
        <w:tc>
          <w:tcPr>
            <w:tcW w:w="413" w:type="pct"/>
            <w:tcBorders>
              <w:top w:val="single" w:color="auto" w:sz="12" w:space="0"/>
              <w:bottom w:val="double" w:color="auto" w:sz="6" w:space="0"/>
            </w:tcBorders>
            <w:vAlign w:val="center"/>
          </w:tcPr>
          <w:p w14:paraId="26F03AFA">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建设规模</w:t>
            </w:r>
          </w:p>
        </w:tc>
        <w:tc>
          <w:tcPr>
            <w:tcW w:w="778" w:type="pct"/>
            <w:tcBorders>
              <w:top w:val="single" w:color="auto" w:sz="12" w:space="0"/>
              <w:bottom w:val="double" w:color="auto" w:sz="6" w:space="0"/>
            </w:tcBorders>
            <w:vAlign w:val="center"/>
          </w:tcPr>
          <w:p w14:paraId="1182F896">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建筑面积（平方米）</w:t>
            </w:r>
          </w:p>
        </w:tc>
        <w:tc>
          <w:tcPr>
            <w:tcW w:w="413" w:type="pct"/>
            <w:tcBorders>
              <w:top w:val="single" w:color="auto" w:sz="12" w:space="0"/>
              <w:bottom w:val="double" w:color="auto" w:sz="6" w:space="0"/>
            </w:tcBorders>
            <w:vAlign w:val="center"/>
          </w:tcPr>
          <w:p w14:paraId="04D15E61">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结构形式</w:t>
            </w:r>
          </w:p>
        </w:tc>
        <w:tc>
          <w:tcPr>
            <w:tcW w:w="240" w:type="pct"/>
            <w:tcBorders>
              <w:top w:val="single" w:color="auto" w:sz="12" w:space="0"/>
              <w:bottom w:val="double" w:color="auto" w:sz="6" w:space="0"/>
            </w:tcBorders>
            <w:vAlign w:val="center"/>
          </w:tcPr>
          <w:p w14:paraId="5E2D0E81">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层数</w:t>
            </w:r>
          </w:p>
        </w:tc>
        <w:tc>
          <w:tcPr>
            <w:tcW w:w="413" w:type="pct"/>
            <w:tcBorders>
              <w:top w:val="single" w:color="auto" w:sz="12" w:space="0"/>
              <w:bottom w:val="double" w:color="auto" w:sz="6" w:space="0"/>
            </w:tcBorders>
            <w:vAlign w:val="center"/>
          </w:tcPr>
          <w:p w14:paraId="20B69E02">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生产能力</w:t>
            </w:r>
          </w:p>
        </w:tc>
        <w:tc>
          <w:tcPr>
            <w:tcW w:w="587" w:type="pct"/>
            <w:tcBorders>
              <w:top w:val="single" w:color="auto" w:sz="12" w:space="0"/>
              <w:bottom w:val="double" w:color="auto" w:sz="6" w:space="0"/>
            </w:tcBorders>
            <w:vAlign w:val="center"/>
          </w:tcPr>
          <w:p w14:paraId="6ED9B08E">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设备安装内容</w:t>
            </w:r>
          </w:p>
        </w:tc>
        <w:tc>
          <w:tcPr>
            <w:tcW w:w="744" w:type="pct"/>
            <w:tcBorders>
              <w:top w:val="single" w:color="auto" w:sz="12" w:space="0"/>
              <w:bottom w:val="double" w:color="auto" w:sz="6" w:space="0"/>
            </w:tcBorders>
            <w:vAlign w:val="center"/>
          </w:tcPr>
          <w:p w14:paraId="45147EC0">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合同价格（元）</w:t>
            </w:r>
          </w:p>
        </w:tc>
        <w:tc>
          <w:tcPr>
            <w:tcW w:w="413" w:type="pct"/>
            <w:tcBorders>
              <w:top w:val="single" w:color="auto" w:sz="12" w:space="0"/>
              <w:bottom w:val="double" w:color="auto" w:sz="6" w:space="0"/>
            </w:tcBorders>
            <w:vAlign w:val="center"/>
          </w:tcPr>
          <w:p w14:paraId="34FF596C">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开工日期</w:t>
            </w:r>
          </w:p>
        </w:tc>
        <w:tc>
          <w:tcPr>
            <w:tcW w:w="413" w:type="pct"/>
            <w:tcBorders>
              <w:top w:val="single" w:color="auto" w:sz="12" w:space="0"/>
              <w:bottom w:val="double" w:color="auto" w:sz="6" w:space="0"/>
            </w:tcBorders>
            <w:vAlign w:val="center"/>
          </w:tcPr>
          <w:p w14:paraId="600D7B00">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竣工日期</w:t>
            </w:r>
          </w:p>
        </w:tc>
      </w:tr>
      <w:tr w14:paraId="66120F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top w:val="double" w:color="auto" w:sz="6" w:space="0"/>
            </w:tcBorders>
            <w:vAlign w:val="center"/>
          </w:tcPr>
          <w:p w14:paraId="54E12B97">
            <w:pPr>
              <w:keepNext/>
              <w:snapToGrid w:val="0"/>
              <w:spacing w:line="360" w:lineRule="auto"/>
              <w:jc w:val="center"/>
              <w:rPr>
                <w:rFonts w:cs="宋体"/>
                <w:color w:val="auto"/>
                <w:sz w:val="22"/>
                <w:szCs w:val="21"/>
                <w:highlight w:val="none"/>
              </w:rPr>
            </w:pPr>
          </w:p>
        </w:tc>
        <w:tc>
          <w:tcPr>
            <w:tcW w:w="413" w:type="pct"/>
            <w:tcBorders>
              <w:top w:val="double" w:color="auto" w:sz="6" w:space="0"/>
            </w:tcBorders>
            <w:vAlign w:val="center"/>
          </w:tcPr>
          <w:p w14:paraId="15C56A7B">
            <w:pPr>
              <w:keepNext/>
              <w:snapToGrid w:val="0"/>
              <w:spacing w:line="360" w:lineRule="auto"/>
              <w:jc w:val="center"/>
              <w:rPr>
                <w:rFonts w:cs="宋体"/>
                <w:color w:val="auto"/>
                <w:sz w:val="22"/>
                <w:szCs w:val="21"/>
                <w:highlight w:val="none"/>
              </w:rPr>
            </w:pPr>
          </w:p>
        </w:tc>
        <w:tc>
          <w:tcPr>
            <w:tcW w:w="778" w:type="pct"/>
            <w:tcBorders>
              <w:top w:val="double" w:color="auto" w:sz="6" w:space="0"/>
            </w:tcBorders>
            <w:vAlign w:val="center"/>
          </w:tcPr>
          <w:p w14:paraId="22DFA87B">
            <w:pPr>
              <w:keepNext/>
              <w:snapToGrid w:val="0"/>
              <w:spacing w:line="360" w:lineRule="auto"/>
              <w:jc w:val="center"/>
              <w:rPr>
                <w:rFonts w:cs="宋体"/>
                <w:color w:val="auto"/>
                <w:sz w:val="22"/>
                <w:szCs w:val="21"/>
                <w:highlight w:val="none"/>
              </w:rPr>
            </w:pPr>
          </w:p>
        </w:tc>
        <w:tc>
          <w:tcPr>
            <w:tcW w:w="413" w:type="pct"/>
            <w:tcBorders>
              <w:top w:val="double" w:color="auto" w:sz="6" w:space="0"/>
            </w:tcBorders>
            <w:vAlign w:val="center"/>
          </w:tcPr>
          <w:p w14:paraId="6B534016">
            <w:pPr>
              <w:keepNext/>
              <w:snapToGrid w:val="0"/>
              <w:spacing w:line="360" w:lineRule="auto"/>
              <w:jc w:val="center"/>
              <w:rPr>
                <w:rFonts w:cs="宋体"/>
                <w:color w:val="auto"/>
                <w:sz w:val="22"/>
                <w:szCs w:val="21"/>
                <w:highlight w:val="none"/>
              </w:rPr>
            </w:pPr>
          </w:p>
        </w:tc>
        <w:tc>
          <w:tcPr>
            <w:tcW w:w="240" w:type="pct"/>
            <w:tcBorders>
              <w:top w:val="double" w:color="auto" w:sz="6" w:space="0"/>
            </w:tcBorders>
            <w:vAlign w:val="center"/>
          </w:tcPr>
          <w:p w14:paraId="0FF2411A">
            <w:pPr>
              <w:keepNext/>
              <w:snapToGrid w:val="0"/>
              <w:spacing w:line="360" w:lineRule="auto"/>
              <w:jc w:val="center"/>
              <w:rPr>
                <w:rFonts w:cs="宋体"/>
                <w:color w:val="auto"/>
                <w:sz w:val="22"/>
                <w:szCs w:val="21"/>
                <w:highlight w:val="none"/>
              </w:rPr>
            </w:pPr>
          </w:p>
        </w:tc>
        <w:tc>
          <w:tcPr>
            <w:tcW w:w="413" w:type="pct"/>
            <w:tcBorders>
              <w:top w:val="double" w:color="auto" w:sz="6" w:space="0"/>
            </w:tcBorders>
            <w:vAlign w:val="center"/>
          </w:tcPr>
          <w:p w14:paraId="1DBCCAFA">
            <w:pPr>
              <w:keepNext/>
              <w:snapToGrid w:val="0"/>
              <w:spacing w:line="360" w:lineRule="auto"/>
              <w:jc w:val="center"/>
              <w:rPr>
                <w:rFonts w:cs="宋体"/>
                <w:color w:val="auto"/>
                <w:sz w:val="22"/>
                <w:szCs w:val="21"/>
                <w:highlight w:val="none"/>
              </w:rPr>
            </w:pPr>
          </w:p>
        </w:tc>
        <w:tc>
          <w:tcPr>
            <w:tcW w:w="587" w:type="pct"/>
            <w:tcBorders>
              <w:top w:val="double" w:color="auto" w:sz="6" w:space="0"/>
            </w:tcBorders>
            <w:vAlign w:val="center"/>
          </w:tcPr>
          <w:p w14:paraId="172AF527">
            <w:pPr>
              <w:keepNext/>
              <w:snapToGrid w:val="0"/>
              <w:spacing w:line="360" w:lineRule="auto"/>
              <w:jc w:val="center"/>
              <w:rPr>
                <w:rFonts w:cs="宋体"/>
                <w:color w:val="auto"/>
                <w:sz w:val="22"/>
                <w:szCs w:val="21"/>
                <w:highlight w:val="none"/>
              </w:rPr>
            </w:pPr>
          </w:p>
        </w:tc>
        <w:tc>
          <w:tcPr>
            <w:tcW w:w="744" w:type="pct"/>
            <w:tcBorders>
              <w:top w:val="double" w:color="auto" w:sz="6" w:space="0"/>
            </w:tcBorders>
            <w:vAlign w:val="center"/>
          </w:tcPr>
          <w:p w14:paraId="77E7F616">
            <w:pPr>
              <w:keepNext/>
              <w:snapToGrid w:val="0"/>
              <w:spacing w:line="360" w:lineRule="auto"/>
              <w:jc w:val="center"/>
              <w:rPr>
                <w:rFonts w:cs="宋体"/>
                <w:color w:val="auto"/>
                <w:sz w:val="22"/>
                <w:szCs w:val="21"/>
                <w:highlight w:val="none"/>
              </w:rPr>
            </w:pPr>
          </w:p>
        </w:tc>
        <w:tc>
          <w:tcPr>
            <w:tcW w:w="413" w:type="pct"/>
            <w:tcBorders>
              <w:top w:val="double" w:color="auto" w:sz="6" w:space="0"/>
            </w:tcBorders>
            <w:vAlign w:val="center"/>
          </w:tcPr>
          <w:p w14:paraId="62042DED">
            <w:pPr>
              <w:keepNext/>
              <w:snapToGrid w:val="0"/>
              <w:spacing w:line="360" w:lineRule="auto"/>
              <w:jc w:val="center"/>
              <w:rPr>
                <w:rFonts w:cs="宋体"/>
                <w:color w:val="auto"/>
                <w:sz w:val="22"/>
                <w:szCs w:val="21"/>
                <w:highlight w:val="none"/>
              </w:rPr>
            </w:pPr>
          </w:p>
        </w:tc>
        <w:tc>
          <w:tcPr>
            <w:tcW w:w="413" w:type="pct"/>
            <w:tcBorders>
              <w:top w:val="double" w:color="auto" w:sz="6" w:space="0"/>
            </w:tcBorders>
            <w:vAlign w:val="center"/>
          </w:tcPr>
          <w:p w14:paraId="106D32A6">
            <w:pPr>
              <w:keepNext/>
              <w:snapToGrid w:val="0"/>
              <w:spacing w:line="360" w:lineRule="auto"/>
              <w:jc w:val="center"/>
              <w:rPr>
                <w:rFonts w:cs="宋体"/>
                <w:color w:val="auto"/>
                <w:sz w:val="22"/>
                <w:szCs w:val="21"/>
                <w:highlight w:val="none"/>
              </w:rPr>
            </w:pPr>
          </w:p>
        </w:tc>
      </w:tr>
      <w:tr w14:paraId="720F06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top w:val="nil"/>
            </w:tcBorders>
            <w:vAlign w:val="center"/>
          </w:tcPr>
          <w:p w14:paraId="395979B0">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4BCEAFE7">
            <w:pPr>
              <w:keepNext/>
              <w:snapToGrid w:val="0"/>
              <w:spacing w:line="360" w:lineRule="auto"/>
              <w:jc w:val="center"/>
              <w:rPr>
                <w:rFonts w:cs="宋体"/>
                <w:color w:val="auto"/>
                <w:sz w:val="22"/>
                <w:szCs w:val="21"/>
                <w:highlight w:val="none"/>
              </w:rPr>
            </w:pPr>
          </w:p>
        </w:tc>
        <w:tc>
          <w:tcPr>
            <w:tcW w:w="778" w:type="pct"/>
            <w:tcBorders>
              <w:top w:val="nil"/>
            </w:tcBorders>
            <w:vAlign w:val="center"/>
          </w:tcPr>
          <w:p w14:paraId="67BE03D4">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7178F167">
            <w:pPr>
              <w:keepNext/>
              <w:snapToGrid w:val="0"/>
              <w:spacing w:line="360" w:lineRule="auto"/>
              <w:jc w:val="center"/>
              <w:rPr>
                <w:rFonts w:cs="宋体"/>
                <w:color w:val="auto"/>
                <w:sz w:val="22"/>
                <w:szCs w:val="21"/>
                <w:highlight w:val="none"/>
              </w:rPr>
            </w:pPr>
          </w:p>
        </w:tc>
        <w:tc>
          <w:tcPr>
            <w:tcW w:w="240" w:type="pct"/>
            <w:tcBorders>
              <w:top w:val="nil"/>
            </w:tcBorders>
            <w:vAlign w:val="center"/>
          </w:tcPr>
          <w:p w14:paraId="49043DB8">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48199885">
            <w:pPr>
              <w:keepNext/>
              <w:snapToGrid w:val="0"/>
              <w:spacing w:line="360" w:lineRule="auto"/>
              <w:jc w:val="center"/>
              <w:rPr>
                <w:rFonts w:cs="宋体"/>
                <w:color w:val="auto"/>
                <w:sz w:val="22"/>
                <w:szCs w:val="21"/>
                <w:highlight w:val="none"/>
              </w:rPr>
            </w:pPr>
          </w:p>
        </w:tc>
        <w:tc>
          <w:tcPr>
            <w:tcW w:w="587" w:type="pct"/>
            <w:tcBorders>
              <w:top w:val="nil"/>
            </w:tcBorders>
            <w:vAlign w:val="center"/>
          </w:tcPr>
          <w:p w14:paraId="6F5F14DF">
            <w:pPr>
              <w:keepNext/>
              <w:snapToGrid w:val="0"/>
              <w:spacing w:line="360" w:lineRule="auto"/>
              <w:jc w:val="center"/>
              <w:rPr>
                <w:rFonts w:cs="宋体"/>
                <w:color w:val="auto"/>
                <w:sz w:val="22"/>
                <w:szCs w:val="21"/>
                <w:highlight w:val="none"/>
              </w:rPr>
            </w:pPr>
          </w:p>
        </w:tc>
        <w:tc>
          <w:tcPr>
            <w:tcW w:w="744" w:type="pct"/>
            <w:tcBorders>
              <w:top w:val="nil"/>
            </w:tcBorders>
            <w:vAlign w:val="center"/>
          </w:tcPr>
          <w:p w14:paraId="2F770F4D">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679D49E1">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4241D642">
            <w:pPr>
              <w:keepNext/>
              <w:snapToGrid w:val="0"/>
              <w:spacing w:line="360" w:lineRule="auto"/>
              <w:jc w:val="center"/>
              <w:rPr>
                <w:rFonts w:cs="宋体"/>
                <w:color w:val="auto"/>
                <w:sz w:val="22"/>
                <w:szCs w:val="21"/>
                <w:highlight w:val="none"/>
              </w:rPr>
            </w:pPr>
          </w:p>
        </w:tc>
      </w:tr>
      <w:tr w14:paraId="60B9B3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top w:val="nil"/>
            </w:tcBorders>
            <w:vAlign w:val="center"/>
          </w:tcPr>
          <w:p w14:paraId="2779E794">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2E13234F">
            <w:pPr>
              <w:keepNext/>
              <w:snapToGrid w:val="0"/>
              <w:spacing w:line="360" w:lineRule="auto"/>
              <w:jc w:val="center"/>
              <w:rPr>
                <w:rFonts w:cs="宋体"/>
                <w:color w:val="auto"/>
                <w:sz w:val="22"/>
                <w:szCs w:val="21"/>
                <w:highlight w:val="none"/>
              </w:rPr>
            </w:pPr>
          </w:p>
        </w:tc>
        <w:tc>
          <w:tcPr>
            <w:tcW w:w="778" w:type="pct"/>
            <w:tcBorders>
              <w:top w:val="nil"/>
            </w:tcBorders>
            <w:vAlign w:val="center"/>
          </w:tcPr>
          <w:p w14:paraId="0084F675">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73A14A44">
            <w:pPr>
              <w:keepNext/>
              <w:snapToGrid w:val="0"/>
              <w:spacing w:line="360" w:lineRule="auto"/>
              <w:jc w:val="center"/>
              <w:rPr>
                <w:rFonts w:cs="宋体"/>
                <w:color w:val="auto"/>
                <w:sz w:val="22"/>
                <w:szCs w:val="21"/>
                <w:highlight w:val="none"/>
              </w:rPr>
            </w:pPr>
          </w:p>
        </w:tc>
        <w:tc>
          <w:tcPr>
            <w:tcW w:w="240" w:type="pct"/>
            <w:tcBorders>
              <w:top w:val="nil"/>
            </w:tcBorders>
            <w:vAlign w:val="center"/>
          </w:tcPr>
          <w:p w14:paraId="6AB19A97">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3CE40B7F">
            <w:pPr>
              <w:keepNext/>
              <w:snapToGrid w:val="0"/>
              <w:spacing w:line="360" w:lineRule="auto"/>
              <w:jc w:val="center"/>
              <w:rPr>
                <w:rFonts w:cs="宋体"/>
                <w:color w:val="auto"/>
                <w:sz w:val="22"/>
                <w:szCs w:val="21"/>
                <w:highlight w:val="none"/>
              </w:rPr>
            </w:pPr>
          </w:p>
        </w:tc>
        <w:tc>
          <w:tcPr>
            <w:tcW w:w="587" w:type="pct"/>
            <w:tcBorders>
              <w:top w:val="nil"/>
            </w:tcBorders>
            <w:vAlign w:val="center"/>
          </w:tcPr>
          <w:p w14:paraId="25DB89B4">
            <w:pPr>
              <w:keepNext/>
              <w:snapToGrid w:val="0"/>
              <w:spacing w:line="360" w:lineRule="auto"/>
              <w:jc w:val="center"/>
              <w:rPr>
                <w:rFonts w:cs="宋体"/>
                <w:color w:val="auto"/>
                <w:sz w:val="22"/>
                <w:szCs w:val="21"/>
                <w:highlight w:val="none"/>
              </w:rPr>
            </w:pPr>
          </w:p>
        </w:tc>
        <w:tc>
          <w:tcPr>
            <w:tcW w:w="744" w:type="pct"/>
            <w:tcBorders>
              <w:top w:val="nil"/>
            </w:tcBorders>
            <w:vAlign w:val="center"/>
          </w:tcPr>
          <w:p w14:paraId="23D6043B">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00E1AFFE">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6FB074E4">
            <w:pPr>
              <w:keepNext/>
              <w:snapToGrid w:val="0"/>
              <w:spacing w:line="360" w:lineRule="auto"/>
              <w:jc w:val="center"/>
              <w:rPr>
                <w:rFonts w:cs="宋体"/>
                <w:color w:val="auto"/>
                <w:sz w:val="22"/>
                <w:szCs w:val="21"/>
                <w:highlight w:val="none"/>
              </w:rPr>
            </w:pPr>
          </w:p>
        </w:tc>
      </w:tr>
      <w:tr w14:paraId="4785E8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bottom w:val="single" w:color="auto" w:sz="12" w:space="0"/>
            </w:tcBorders>
            <w:vAlign w:val="center"/>
          </w:tcPr>
          <w:p w14:paraId="25BA471E">
            <w:pPr>
              <w:keepNext/>
              <w:snapToGrid w:val="0"/>
              <w:spacing w:line="360" w:lineRule="auto"/>
              <w:jc w:val="center"/>
              <w:rPr>
                <w:rFonts w:cs="宋体"/>
                <w:color w:val="auto"/>
                <w:sz w:val="22"/>
                <w:szCs w:val="21"/>
                <w:highlight w:val="none"/>
              </w:rPr>
            </w:pPr>
          </w:p>
        </w:tc>
        <w:tc>
          <w:tcPr>
            <w:tcW w:w="413" w:type="pct"/>
            <w:tcBorders>
              <w:bottom w:val="single" w:color="auto" w:sz="12" w:space="0"/>
            </w:tcBorders>
            <w:vAlign w:val="center"/>
          </w:tcPr>
          <w:p w14:paraId="259CCC39">
            <w:pPr>
              <w:keepNext/>
              <w:snapToGrid w:val="0"/>
              <w:spacing w:line="360" w:lineRule="auto"/>
              <w:jc w:val="center"/>
              <w:rPr>
                <w:rFonts w:cs="宋体"/>
                <w:color w:val="auto"/>
                <w:sz w:val="22"/>
                <w:szCs w:val="21"/>
                <w:highlight w:val="none"/>
              </w:rPr>
            </w:pPr>
          </w:p>
        </w:tc>
        <w:tc>
          <w:tcPr>
            <w:tcW w:w="778" w:type="pct"/>
            <w:tcBorders>
              <w:bottom w:val="single" w:color="auto" w:sz="12" w:space="0"/>
            </w:tcBorders>
            <w:vAlign w:val="center"/>
          </w:tcPr>
          <w:p w14:paraId="08F2C0A3">
            <w:pPr>
              <w:keepNext/>
              <w:snapToGrid w:val="0"/>
              <w:spacing w:line="360" w:lineRule="auto"/>
              <w:jc w:val="center"/>
              <w:rPr>
                <w:rFonts w:cs="宋体"/>
                <w:color w:val="auto"/>
                <w:sz w:val="22"/>
                <w:szCs w:val="21"/>
                <w:highlight w:val="none"/>
              </w:rPr>
            </w:pPr>
          </w:p>
        </w:tc>
        <w:tc>
          <w:tcPr>
            <w:tcW w:w="413" w:type="pct"/>
            <w:tcBorders>
              <w:bottom w:val="single" w:color="auto" w:sz="12" w:space="0"/>
            </w:tcBorders>
            <w:vAlign w:val="center"/>
          </w:tcPr>
          <w:p w14:paraId="541A54AD">
            <w:pPr>
              <w:keepNext/>
              <w:snapToGrid w:val="0"/>
              <w:spacing w:line="360" w:lineRule="auto"/>
              <w:jc w:val="center"/>
              <w:rPr>
                <w:rFonts w:cs="宋体"/>
                <w:color w:val="auto"/>
                <w:sz w:val="22"/>
                <w:szCs w:val="21"/>
                <w:highlight w:val="none"/>
              </w:rPr>
            </w:pPr>
          </w:p>
        </w:tc>
        <w:tc>
          <w:tcPr>
            <w:tcW w:w="240" w:type="pct"/>
            <w:tcBorders>
              <w:bottom w:val="single" w:color="auto" w:sz="12" w:space="0"/>
            </w:tcBorders>
            <w:vAlign w:val="center"/>
          </w:tcPr>
          <w:p w14:paraId="78F37455">
            <w:pPr>
              <w:keepNext/>
              <w:snapToGrid w:val="0"/>
              <w:spacing w:line="360" w:lineRule="auto"/>
              <w:jc w:val="center"/>
              <w:rPr>
                <w:rFonts w:cs="宋体"/>
                <w:color w:val="auto"/>
                <w:sz w:val="22"/>
                <w:szCs w:val="21"/>
                <w:highlight w:val="none"/>
              </w:rPr>
            </w:pPr>
          </w:p>
        </w:tc>
        <w:tc>
          <w:tcPr>
            <w:tcW w:w="413" w:type="pct"/>
            <w:tcBorders>
              <w:bottom w:val="single" w:color="auto" w:sz="12" w:space="0"/>
            </w:tcBorders>
            <w:vAlign w:val="center"/>
          </w:tcPr>
          <w:p w14:paraId="4215CE45">
            <w:pPr>
              <w:keepNext/>
              <w:snapToGrid w:val="0"/>
              <w:spacing w:line="360" w:lineRule="auto"/>
              <w:jc w:val="center"/>
              <w:rPr>
                <w:rFonts w:cs="宋体"/>
                <w:color w:val="auto"/>
                <w:sz w:val="22"/>
                <w:szCs w:val="21"/>
                <w:highlight w:val="none"/>
              </w:rPr>
            </w:pPr>
          </w:p>
        </w:tc>
        <w:tc>
          <w:tcPr>
            <w:tcW w:w="587" w:type="pct"/>
            <w:tcBorders>
              <w:bottom w:val="single" w:color="auto" w:sz="12" w:space="0"/>
            </w:tcBorders>
            <w:vAlign w:val="center"/>
          </w:tcPr>
          <w:p w14:paraId="51369A98">
            <w:pPr>
              <w:keepNext/>
              <w:snapToGrid w:val="0"/>
              <w:spacing w:line="360" w:lineRule="auto"/>
              <w:jc w:val="center"/>
              <w:rPr>
                <w:rFonts w:cs="宋体"/>
                <w:color w:val="auto"/>
                <w:sz w:val="22"/>
                <w:szCs w:val="21"/>
                <w:highlight w:val="none"/>
              </w:rPr>
            </w:pPr>
          </w:p>
        </w:tc>
        <w:tc>
          <w:tcPr>
            <w:tcW w:w="744" w:type="pct"/>
            <w:tcBorders>
              <w:bottom w:val="single" w:color="auto" w:sz="12" w:space="0"/>
            </w:tcBorders>
            <w:vAlign w:val="center"/>
          </w:tcPr>
          <w:p w14:paraId="0E66A57B">
            <w:pPr>
              <w:keepNext/>
              <w:snapToGrid w:val="0"/>
              <w:spacing w:line="360" w:lineRule="auto"/>
              <w:jc w:val="center"/>
              <w:rPr>
                <w:rFonts w:cs="宋体"/>
                <w:color w:val="auto"/>
                <w:sz w:val="22"/>
                <w:szCs w:val="21"/>
                <w:highlight w:val="none"/>
              </w:rPr>
            </w:pPr>
          </w:p>
        </w:tc>
        <w:tc>
          <w:tcPr>
            <w:tcW w:w="413" w:type="pct"/>
            <w:tcBorders>
              <w:bottom w:val="single" w:color="auto" w:sz="12" w:space="0"/>
            </w:tcBorders>
            <w:vAlign w:val="center"/>
          </w:tcPr>
          <w:p w14:paraId="325AEB60">
            <w:pPr>
              <w:keepNext/>
              <w:snapToGrid w:val="0"/>
              <w:spacing w:line="360" w:lineRule="auto"/>
              <w:jc w:val="center"/>
              <w:rPr>
                <w:rFonts w:cs="宋体"/>
                <w:color w:val="auto"/>
                <w:sz w:val="22"/>
                <w:szCs w:val="21"/>
                <w:highlight w:val="none"/>
              </w:rPr>
            </w:pPr>
          </w:p>
        </w:tc>
        <w:tc>
          <w:tcPr>
            <w:tcW w:w="413" w:type="pct"/>
            <w:tcBorders>
              <w:bottom w:val="single" w:color="auto" w:sz="12" w:space="0"/>
            </w:tcBorders>
            <w:vAlign w:val="center"/>
          </w:tcPr>
          <w:p w14:paraId="4FF5A942">
            <w:pPr>
              <w:keepNext/>
              <w:snapToGrid w:val="0"/>
              <w:spacing w:line="360" w:lineRule="auto"/>
              <w:jc w:val="center"/>
              <w:rPr>
                <w:rFonts w:cs="宋体"/>
                <w:color w:val="auto"/>
                <w:sz w:val="22"/>
                <w:szCs w:val="21"/>
                <w:highlight w:val="none"/>
              </w:rPr>
            </w:pPr>
          </w:p>
        </w:tc>
      </w:tr>
    </w:tbl>
    <w:p w14:paraId="5AE8092B">
      <w:pPr>
        <w:spacing w:before="312" w:beforeLines="100" w:after="312" w:afterLines="100"/>
        <w:outlineLvl w:val="2"/>
        <w:rPr>
          <w:rFonts w:ascii="Times New Roman" w:eastAsia="黑体"/>
          <w:color w:val="auto"/>
          <w:szCs w:val="24"/>
          <w:highlight w:val="none"/>
        </w:rPr>
      </w:pPr>
      <w:bookmarkStart w:id="586" w:name="_Toc128950236"/>
      <w:r>
        <w:rPr>
          <w:rFonts w:hint="eastAsia" w:ascii="Times New Roman" w:eastAsia="黑体"/>
          <w:color w:val="auto"/>
          <w:szCs w:val="24"/>
          <w:highlight w:val="none"/>
        </w:rPr>
        <w:t>附</w:t>
      </w:r>
      <w:bookmarkStart w:id="587" w:name="_Toc296944564"/>
      <w:bookmarkStart w:id="588" w:name="_Toc296347224"/>
      <w:bookmarkStart w:id="589" w:name="_Toc267261692"/>
      <w:bookmarkStart w:id="590" w:name="_Toc296891265"/>
      <w:bookmarkStart w:id="591" w:name="_Toc296346726"/>
      <w:bookmarkStart w:id="592" w:name="_Toc296891053"/>
      <w:bookmarkStart w:id="593" w:name="_Toc296503225"/>
      <w:r>
        <w:rPr>
          <w:rFonts w:hint="eastAsia" w:ascii="Times New Roman" w:eastAsia="黑体"/>
          <w:color w:val="auto"/>
          <w:szCs w:val="24"/>
          <w:highlight w:val="none"/>
        </w:rPr>
        <w:t>件</w:t>
      </w:r>
      <w:r>
        <w:rPr>
          <w:rFonts w:ascii="Times New Roman" w:eastAsia="黑体"/>
          <w:color w:val="auto"/>
          <w:szCs w:val="24"/>
          <w:highlight w:val="none"/>
        </w:rPr>
        <w:t>2</w:t>
      </w:r>
      <w:r>
        <w:rPr>
          <w:rFonts w:hint="eastAsia" w:ascii="Times New Roman" w:eastAsia="黑体"/>
          <w:color w:val="auto"/>
          <w:szCs w:val="24"/>
          <w:highlight w:val="none"/>
        </w:rPr>
        <w:t>：发包人供应材料设备一览表</w:t>
      </w:r>
      <w:bookmarkEnd w:id="586"/>
    </w:p>
    <w:bookmarkEnd w:id="587"/>
    <w:bookmarkEnd w:id="588"/>
    <w:bookmarkEnd w:id="589"/>
    <w:bookmarkEnd w:id="590"/>
    <w:bookmarkEnd w:id="591"/>
    <w:bookmarkEnd w:id="592"/>
    <w:bookmarkEnd w:id="593"/>
    <w:p w14:paraId="0022B17A">
      <w:pPr>
        <w:spacing w:line="360" w:lineRule="auto"/>
        <w:jc w:val="center"/>
        <w:rPr>
          <w:rFonts w:cs="宋体"/>
          <w:color w:val="auto"/>
          <w:sz w:val="22"/>
          <w:szCs w:val="21"/>
          <w:highlight w:val="none"/>
        </w:rPr>
      </w:pPr>
      <w:r>
        <w:rPr>
          <w:rFonts w:hint="eastAsia" w:cs="宋体"/>
          <w:color w:val="auto"/>
          <w:sz w:val="22"/>
          <w:szCs w:val="21"/>
          <w:highlight w:val="none"/>
        </w:rPr>
        <w:t>发包人供应材料设备一览表</w:t>
      </w:r>
    </w:p>
    <w:tbl>
      <w:tblPr>
        <w:tblStyle w:val="55"/>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488"/>
        <w:gridCol w:w="1574"/>
        <w:gridCol w:w="923"/>
        <w:gridCol w:w="488"/>
        <w:gridCol w:w="488"/>
        <w:gridCol w:w="1141"/>
        <w:gridCol w:w="923"/>
        <w:gridCol w:w="924"/>
        <w:gridCol w:w="924"/>
        <w:gridCol w:w="489"/>
      </w:tblGrid>
      <w:tr w14:paraId="0C1C00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292" w:type="pct"/>
            <w:tcBorders>
              <w:top w:val="single" w:color="auto" w:sz="12" w:space="0"/>
              <w:bottom w:val="double" w:color="auto" w:sz="6" w:space="0"/>
            </w:tcBorders>
            <w:vAlign w:val="center"/>
          </w:tcPr>
          <w:p w14:paraId="7D201145">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序号</w:t>
            </w:r>
          </w:p>
        </w:tc>
        <w:tc>
          <w:tcPr>
            <w:tcW w:w="941" w:type="pct"/>
            <w:tcBorders>
              <w:top w:val="single" w:color="auto" w:sz="12" w:space="0"/>
              <w:bottom w:val="double" w:color="auto" w:sz="6" w:space="0"/>
            </w:tcBorders>
            <w:vAlign w:val="center"/>
          </w:tcPr>
          <w:p w14:paraId="3DDAE78E">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材料、设备品种</w:t>
            </w:r>
          </w:p>
        </w:tc>
        <w:tc>
          <w:tcPr>
            <w:tcW w:w="552" w:type="pct"/>
            <w:tcBorders>
              <w:top w:val="single" w:color="auto" w:sz="12" w:space="0"/>
              <w:bottom w:val="double" w:color="auto" w:sz="6" w:space="0"/>
            </w:tcBorders>
            <w:vAlign w:val="center"/>
          </w:tcPr>
          <w:p w14:paraId="5C1B0C41">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规格型号</w:t>
            </w:r>
          </w:p>
        </w:tc>
        <w:tc>
          <w:tcPr>
            <w:tcW w:w="292" w:type="pct"/>
            <w:tcBorders>
              <w:top w:val="single" w:color="auto" w:sz="12" w:space="0"/>
              <w:bottom w:val="double" w:color="auto" w:sz="6" w:space="0"/>
            </w:tcBorders>
            <w:vAlign w:val="center"/>
          </w:tcPr>
          <w:p w14:paraId="5094DB13">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单位</w:t>
            </w:r>
          </w:p>
        </w:tc>
        <w:tc>
          <w:tcPr>
            <w:tcW w:w="292" w:type="pct"/>
            <w:tcBorders>
              <w:top w:val="single" w:color="auto" w:sz="12" w:space="0"/>
              <w:bottom w:val="double" w:color="auto" w:sz="6" w:space="0"/>
            </w:tcBorders>
            <w:vAlign w:val="center"/>
          </w:tcPr>
          <w:p w14:paraId="3F426435">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数量</w:t>
            </w:r>
          </w:p>
        </w:tc>
        <w:tc>
          <w:tcPr>
            <w:tcW w:w="682" w:type="pct"/>
            <w:tcBorders>
              <w:top w:val="single" w:color="auto" w:sz="12" w:space="0"/>
              <w:bottom w:val="double" w:color="auto" w:sz="6" w:space="0"/>
            </w:tcBorders>
            <w:vAlign w:val="center"/>
          </w:tcPr>
          <w:p w14:paraId="58BB0E94">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单价（元）</w:t>
            </w:r>
          </w:p>
        </w:tc>
        <w:tc>
          <w:tcPr>
            <w:tcW w:w="552" w:type="pct"/>
            <w:tcBorders>
              <w:top w:val="single" w:color="auto" w:sz="12" w:space="0"/>
              <w:bottom w:val="double" w:color="auto" w:sz="6" w:space="0"/>
            </w:tcBorders>
            <w:vAlign w:val="center"/>
          </w:tcPr>
          <w:p w14:paraId="137FC9C2">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质量等级</w:t>
            </w:r>
          </w:p>
        </w:tc>
        <w:tc>
          <w:tcPr>
            <w:tcW w:w="552" w:type="pct"/>
            <w:tcBorders>
              <w:top w:val="single" w:color="auto" w:sz="12" w:space="0"/>
              <w:bottom w:val="double" w:color="auto" w:sz="6" w:space="0"/>
            </w:tcBorders>
            <w:vAlign w:val="center"/>
          </w:tcPr>
          <w:p w14:paraId="2A14BBA9">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供应时间</w:t>
            </w:r>
          </w:p>
        </w:tc>
        <w:tc>
          <w:tcPr>
            <w:tcW w:w="552" w:type="pct"/>
            <w:tcBorders>
              <w:top w:val="single" w:color="auto" w:sz="12" w:space="0"/>
              <w:bottom w:val="double" w:color="auto" w:sz="6" w:space="0"/>
            </w:tcBorders>
            <w:vAlign w:val="center"/>
          </w:tcPr>
          <w:p w14:paraId="35E2CA27">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送达地点</w:t>
            </w:r>
          </w:p>
        </w:tc>
        <w:tc>
          <w:tcPr>
            <w:tcW w:w="292" w:type="pct"/>
            <w:tcBorders>
              <w:top w:val="single" w:color="auto" w:sz="12" w:space="0"/>
              <w:bottom w:val="double" w:color="auto" w:sz="6" w:space="0"/>
            </w:tcBorders>
            <w:vAlign w:val="center"/>
          </w:tcPr>
          <w:p w14:paraId="787BDC91">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备注</w:t>
            </w:r>
          </w:p>
        </w:tc>
      </w:tr>
      <w:tr w14:paraId="29F0F8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92" w:type="pct"/>
            <w:tcBorders>
              <w:top w:val="double" w:color="auto" w:sz="6" w:space="0"/>
            </w:tcBorders>
            <w:vAlign w:val="center"/>
          </w:tcPr>
          <w:p w14:paraId="5C457E7A">
            <w:pPr>
              <w:keepNext/>
              <w:snapToGrid w:val="0"/>
              <w:spacing w:line="360" w:lineRule="auto"/>
              <w:jc w:val="center"/>
              <w:rPr>
                <w:rFonts w:cs="宋体"/>
                <w:color w:val="auto"/>
                <w:sz w:val="22"/>
                <w:szCs w:val="21"/>
                <w:highlight w:val="none"/>
              </w:rPr>
            </w:pPr>
          </w:p>
        </w:tc>
        <w:tc>
          <w:tcPr>
            <w:tcW w:w="941" w:type="pct"/>
            <w:tcBorders>
              <w:top w:val="double" w:color="auto" w:sz="6" w:space="0"/>
            </w:tcBorders>
            <w:vAlign w:val="center"/>
          </w:tcPr>
          <w:p w14:paraId="77E3FD66">
            <w:pPr>
              <w:keepNext/>
              <w:snapToGrid w:val="0"/>
              <w:spacing w:line="360" w:lineRule="auto"/>
              <w:jc w:val="center"/>
              <w:rPr>
                <w:rFonts w:cs="宋体"/>
                <w:color w:val="auto"/>
                <w:sz w:val="22"/>
                <w:szCs w:val="21"/>
                <w:highlight w:val="none"/>
              </w:rPr>
            </w:pPr>
          </w:p>
        </w:tc>
        <w:tc>
          <w:tcPr>
            <w:tcW w:w="552" w:type="pct"/>
            <w:tcBorders>
              <w:top w:val="double" w:color="auto" w:sz="6" w:space="0"/>
            </w:tcBorders>
            <w:vAlign w:val="center"/>
          </w:tcPr>
          <w:p w14:paraId="3B176BA7">
            <w:pPr>
              <w:keepNext/>
              <w:snapToGrid w:val="0"/>
              <w:spacing w:line="360" w:lineRule="auto"/>
              <w:jc w:val="center"/>
              <w:rPr>
                <w:rFonts w:cs="宋体"/>
                <w:color w:val="auto"/>
                <w:sz w:val="22"/>
                <w:szCs w:val="21"/>
                <w:highlight w:val="none"/>
              </w:rPr>
            </w:pPr>
          </w:p>
        </w:tc>
        <w:tc>
          <w:tcPr>
            <w:tcW w:w="292" w:type="pct"/>
            <w:tcBorders>
              <w:top w:val="double" w:color="auto" w:sz="6" w:space="0"/>
            </w:tcBorders>
            <w:vAlign w:val="center"/>
          </w:tcPr>
          <w:p w14:paraId="22B4A756">
            <w:pPr>
              <w:keepNext/>
              <w:snapToGrid w:val="0"/>
              <w:spacing w:line="360" w:lineRule="auto"/>
              <w:jc w:val="center"/>
              <w:rPr>
                <w:rFonts w:cs="宋体"/>
                <w:color w:val="auto"/>
                <w:sz w:val="22"/>
                <w:szCs w:val="21"/>
                <w:highlight w:val="none"/>
              </w:rPr>
            </w:pPr>
          </w:p>
        </w:tc>
        <w:tc>
          <w:tcPr>
            <w:tcW w:w="292" w:type="pct"/>
            <w:tcBorders>
              <w:top w:val="double" w:color="auto" w:sz="6" w:space="0"/>
            </w:tcBorders>
            <w:vAlign w:val="center"/>
          </w:tcPr>
          <w:p w14:paraId="1938CFF7">
            <w:pPr>
              <w:keepNext/>
              <w:snapToGrid w:val="0"/>
              <w:spacing w:line="360" w:lineRule="auto"/>
              <w:jc w:val="center"/>
              <w:rPr>
                <w:rFonts w:cs="宋体"/>
                <w:color w:val="auto"/>
                <w:sz w:val="22"/>
                <w:szCs w:val="21"/>
                <w:highlight w:val="none"/>
              </w:rPr>
            </w:pPr>
          </w:p>
        </w:tc>
        <w:tc>
          <w:tcPr>
            <w:tcW w:w="682" w:type="pct"/>
            <w:tcBorders>
              <w:top w:val="double" w:color="auto" w:sz="6" w:space="0"/>
            </w:tcBorders>
            <w:vAlign w:val="center"/>
          </w:tcPr>
          <w:p w14:paraId="7D12FB4D">
            <w:pPr>
              <w:keepNext/>
              <w:snapToGrid w:val="0"/>
              <w:spacing w:line="360" w:lineRule="auto"/>
              <w:jc w:val="center"/>
              <w:rPr>
                <w:rFonts w:cs="宋体"/>
                <w:color w:val="auto"/>
                <w:sz w:val="22"/>
                <w:szCs w:val="21"/>
                <w:highlight w:val="none"/>
              </w:rPr>
            </w:pPr>
          </w:p>
        </w:tc>
        <w:tc>
          <w:tcPr>
            <w:tcW w:w="552" w:type="pct"/>
            <w:tcBorders>
              <w:top w:val="double" w:color="auto" w:sz="6" w:space="0"/>
            </w:tcBorders>
            <w:vAlign w:val="center"/>
          </w:tcPr>
          <w:p w14:paraId="5EFE3454">
            <w:pPr>
              <w:keepNext/>
              <w:snapToGrid w:val="0"/>
              <w:spacing w:line="360" w:lineRule="auto"/>
              <w:jc w:val="center"/>
              <w:rPr>
                <w:rFonts w:cs="宋体"/>
                <w:color w:val="auto"/>
                <w:sz w:val="22"/>
                <w:szCs w:val="21"/>
                <w:highlight w:val="none"/>
              </w:rPr>
            </w:pPr>
          </w:p>
        </w:tc>
        <w:tc>
          <w:tcPr>
            <w:tcW w:w="552" w:type="pct"/>
            <w:tcBorders>
              <w:top w:val="double" w:color="auto" w:sz="6" w:space="0"/>
            </w:tcBorders>
            <w:vAlign w:val="center"/>
          </w:tcPr>
          <w:p w14:paraId="3924986E">
            <w:pPr>
              <w:keepNext/>
              <w:snapToGrid w:val="0"/>
              <w:spacing w:line="360" w:lineRule="auto"/>
              <w:jc w:val="center"/>
              <w:rPr>
                <w:rFonts w:cs="宋体"/>
                <w:color w:val="auto"/>
                <w:sz w:val="22"/>
                <w:szCs w:val="21"/>
                <w:highlight w:val="none"/>
              </w:rPr>
            </w:pPr>
          </w:p>
        </w:tc>
        <w:tc>
          <w:tcPr>
            <w:tcW w:w="552" w:type="pct"/>
            <w:tcBorders>
              <w:top w:val="double" w:color="auto" w:sz="6" w:space="0"/>
            </w:tcBorders>
            <w:vAlign w:val="center"/>
          </w:tcPr>
          <w:p w14:paraId="23B6D5B3">
            <w:pPr>
              <w:keepNext/>
              <w:snapToGrid w:val="0"/>
              <w:spacing w:line="360" w:lineRule="auto"/>
              <w:jc w:val="center"/>
              <w:rPr>
                <w:rFonts w:cs="宋体"/>
                <w:color w:val="auto"/>
                <w:sz w:val="22"/>
                <w:szCs w:val="21"/>
                <w:highlight w:val="none"/>
              </w:rPr>
            </w:pPr>
          </w:p>
        </w:tc>
        <w:tc>
          <w:tcPr>
            <w:tcW w:w="292" w:type="pct"/>
            <w:tcBorders>
              <w:top w:val="double" w:color="auto" w:sz="6" w:space="0"/>
            </w:tcBorders>
            <w:vAlign w:val="center"/>
          </w:tcPr>
          <w:p w14:paraId="343EB6B6">
            <w:pPr>
              <w:keepNext/>
              <w:snapToGrid w:val="0"/>
              <w:spacing w:line="360" w:lineRule="auto"/>
              <w:jc w:val="center"/>
              <w:rPr>
                <w:rFonts w:cs="宋体"/>
                <w:color w:val="auto"/>
                <w:sz w:val="22"/>
                <w:szCs w:val="21"/>
                <w:highlight w:val="none"/>
              </w:rPr>
            </w:pPr>
          </w:p>
        </w:tc>
      </w:tr>
      <w:tr w14:paraId="428833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92" w:type="pct"/>
            <w:vAlign w:val="center"/>
          </w:tcPr>
          <w:p w14:paraId="1F8E23DB">
            <w:pPr>
              <w:snapToGrid w:val="0"/>
              <w:spacing w:line="360" w:lineRule="auto"/>
              <w:jc w:val="center"/>
              <w:rPr>
                <w:rFonts w:cs="宋体"/>
                <w:color w:val="auto"/>
                <w:sz w:val="22"/>
                <w:szCs w:val="21"/>
                <w:highlight w:val="none"/>
              </w:rPr>
            </w:pPr>
          </w:p>
        </w:tc>
        <w:tc>
          <w:tcPr>
            <w:tcW w:w="941" w:type="pct"/>
            <w:vAlign w:val="center"/>
          </w:tcPr>
          <w:p w14:paraId="231ACD7E">
            <w:pPr>
              <w:snapToGrid w:val="0"/>
              <w:spacing w:line="360" w:lineRule="auto"/>
              <w:jc w:val="center"/>
              <w:rPr>
                <w:rFonts w:cs="宋体"/>
                <w:color w:val="auto"/>
                <w:sz w:val="22"/>
                <w:szCs w:val="21"/>
                <w:highlight w:val="none"/>
              </w:rPr>
            </w:pPr>
          </w:p>
        </w:tc>
        <w:tc>
          <w:tcPr>
            <w:tcW w:w="552" w:type="pct"/>
            <w:vAlign w:val="center"/>
          </w:tcPr>
          <w:p w14:paraId="781DD300">
            <w:pPr>
              <w:snapToGrid w:val="0"/>
              <w:spacing w:line="360" w:lineRule="auto"/>
              <w:jc w:val="center"/>
              <w:rPr>
                <w:rFonts w:cs="宋体"/>
                <w:color w:val="auto"/>
                <w:sz w:val="22"/>
                <w:szCs w:val="21"/>
                <w:highlight w:val="none"/>
              </w:rPr>
            </w:pPr>
          </w:p>
        </w:tc>
        <w:tc>
          <w:tcPr>
            <w:tcW w:w="292" w:type="pct"/>
            <w:vAlign w:val="center"/>
          </w:tcPr>
          <w:p w14:paraId="1F8424A5">
            <w:pPr>
              <w:snapToGrid w:val="0"/>
              <w:spacing w:line="360" w:lineRule="auto"/>
              <w:jc w:val="center"/>
              <w:rPr>
                <w:rFonts w:cs="宋体"/>
                <w:color w:val="auto"/>
                <w:sz w:val="22"/>
                <w:szCs w:val="21"/>
                <w:highlight w:val="none"/>
              </w:rPr>
            </w:pPr>
          </w:p>
        </w:tc>
        <w:tc>
          <w:tcPr>
            <w:tcW w:w="292" w:type="pct"/>
            <w:vAlign w:val="center"/>
          </w:tcPr>
          <w:p w14:paraId="717DB30D">
            <w:pPr>
              <w:snapToGrid w:val="0"/>
              <w:spacing w:line="360" w:lineRule="auto"/>
              <w:jc w:val="center"/>
              <w:rPr>
                <w:rFonts w:cs="宋体"/>
                <w:color w:val="auto"/>
                <w:sz w:val="22"/>
                <w:szCs w:val="21"/>
                <w:highlight w:val="none"/>
              </w:rPr>
            </w:pPr>
          </w:p>
        </w:tc>
        <w:tc>
          <w:tcPr>
            <w:tcW w:w="682" w:type="pct"/>
            <w:vAlign w:val="center"/>
          </w:tcPr>
          <w:p w14:paraId="247A49BF">
            <w:pPr>
              <w:snapToGrid w:val="0"/>
              <w:spacing w:line="360" w:lineRule="auto"/>
              <w:jc w:val="center"/>
              <w:rPr>
                <w:rFonts w:cs="宋体"/>
                <w:color w:val="auto"/>
                <w:sz w:val="22"/>
                <w:szCs w:val="21"/>
                <w:highlight w:val="none"/>
              </w:rPr>
            </w:pPr>
          </w:p>
        </w:tc>
        <w:tc>
          <w:tcPr>
            <w:tcW w:w="552" w:type="pct"/>
            <w:vAlign w:val="center"/>
          </w:tcPr>
          <w:p w14:paraId="5CBA5F39">
            <w:pPr>
              <w:snapToGrid w:val="0"/>
              <w:spacing w:line="360" w:lineRule="auto"/>
              <w:jc w:val="center"/>
              <w:rPr>
                <w:rFonts w:cs="宋体"/>
                <w:color w:val="auto"/>
                <w:sz w:val="22"/>
                <w:szCs w:val="21"/>
                <w:highlight w:val="none"/>
              </w:rPr>
            </w:pPr>
          </w:p>
        </w:tc>
        <w:tc>
          <w:tcPr>
            <w:tcW w:w="552" w:type="pct"/>
            <w:vAlign w:val="center"/>
          </w:tcPr>
          <w:p w14:paraId="34C8B68B">
            <w:pPr>
              <w:snapToGrid w:val="0"/>
              <w:spacing w:line="360" w:lineRule="auto"/>
              <w:jc w:val="center"/>
              <w:rPr>
                <w:rFonts w:cs="宋体"/>
                <w:color w:val="auto"/>
                <w:sz w:val="22"/>
                <w:szCs w:val="21"/>
                <w:highlight w:val="none"/>
              </w:rPr>
            </w:pPr>
          </w:p>
        </w:tc>
        <w:tc>
          <w:tcPr>
            <w:tcW w:w="552" w:type="pct"/>
            <w:vAlign w:val="center"/>
          </w:tcPr>
          <w:p w14:paraId="2CAE7F66">
            <w:pPr>
              <w:snapToGrid w:val="0"/>
              <w:spacing w:line="360" w:lineRule="auto"/>
              <w:jc w:val="center"/>
              <w:rPr>
                <w:rFonts w:cs="宋体"/>
                <w:color w:val="auto"/>
                <w:sz w:val="22"/>
                <w:szCs w:val="21"/>
                <w:highlight w:val="none"/>
              </w:rPr>
            </w:pPr>
          </w:p>
        </w:tc>
        <w:tc>
          <w:tcPr>
            <w:tcW w:w="292" w:type="pct"/>
            <w:vAlign w:val="center"/>
          </w:tcPr>
          <w:p w14:paraId="1A1A3DB1">
            <w:pPr>
              <w:snapToGrid w:val="0"/>
              <w:spacing w:line="360" w:lineRule="auto"/>
              <w:jc w:val="center"/>
              <w:rPr>
                <w:rFonts w:cs="宋体"/>
                <w:color w:val="auto"/>
                <w:sz w:val="22"/>
                <w:szCs w:val="21"/>
                <w:highlight w:val="none"/>
              </w:rPr>
            </w:pPr>
          </w:p>
        </w:tc>
      </w:tr>
      <w:tr w14:paraId="4437BC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92" w:type="pct"/>
            <w:tcBorders>
              <w:bottom w:val="single" w:color="auto" w:sz="12" w:space="0"/>
            </w:tcBorders>
            <w:vAlign w:val="center"/>
          </w:tcPr>
          <w:p w14:paraId="072DD76D">
            <w:pPr>
              <w:snapToGrid w:val="0"/>
              <w:spacing w:line="360" w:lineRule="auto"/>
              <w:jc w:val="center"/>
              <w:rPr>
                <w:rFonts w:cs="宋体"/>
                <w:color w:val="auto"/>
                <w:sz w:val="22"/>
                <w:szCs w:val="21"/>
                <w:highlight w:val="none"/>
              </w:rPr>
            </w:pPr>
          </w:p>
        </w:tc>
        <w:tc>
          <w:tcPr>
            <w:tcW w:w="941" w:type="pct"/>
            <w:tcBorders>
              <w:bottom w:val="single" w:color="auto" w:sz="12" w:space="0"/>
            </w:tcBorders>
            <w:vAlign w:val="center"/>
          </w:tcPr>
          <w:p w14:paraId="61102550">
            <w:pPr>
              <w:snapToGrid w:val="0"/>
              <w:spacing w:line="360" w:lineRule="auto"/>
              <w:jc w:val="center"/>
              <w:rPr>
                <w:rFonts w:cs="宋体"/>
                <w:color w:val="auto"/>
                <w:sz w:val="22"/>
                <w:szCs w:val="21"/>
                <w:highlight w:val="none"/>
              </w:rPr>
            </w:pPr>
          </w:p>
        </w:tc>
        <w:tc>
          <w:tcPr>
            <w:tcW w:w="552" w:type="pct"/>
            <w:tcBorders>
              <w:bottom w:val="single" w:color="auto" w:sz="12" w:space="0"/>
            </w:tcBorders>
            <w:vAlign w:val="center"/>
          </w:tcPr>
          <w:p w14:paraId="3C1ED585">
            <w:pPr>
              <w:snapToGrid w:val="0"/>
              <w:spacing w:line="360" w:lineRule="auto"/>
              <w:jc w:val="center"/>
              <w:rPr>
                <w:rFonts w:cs="宋体"/>
                <w:color w:val="auto"/>
                <w:sz w:val="22"/>
                <w:szCs w:val="21"/>
                <w:highlight w:val="none"/>
              </w:rPr>
            </w:pPr>
          </w:p>
        </w:tc>
        <w:tc>
          <w:tcPr>
            <w:tcW w:w="292" w:type="pct"/>
            <w:tcBorders>
              <w:bottom w:val="single" w:color="auto" w:sz="12" w:space="0"/>
            </w:tcBorders>
            <w:vAlign w:val="center"/>
          </w:tcPr>
          <w:p w14:paraId="727AF209">
            <w:pPr>
              <w:snapToGrid w:val="0"/>
              <w:spacing w:line="360" w:lineRule="auto"/>
              <w:jc w:val="center"/>
              <w:rPr>
                <w:rFonts w:cs="宋体"/>
                <w:color w:val="auto"/>
                <w:sz w:val="22"/>
                <w:szCs w:val="21"/>
                <w:highlight w:val="none"/>
              </w:rPr>
            </w:pPr>
          </w:p>
        </w:tc>
        <w:tc>
          <w:tcPr>
            <w:tcW w:w="292" w:type="pct"/>
            <w:tcBorders>
              <w:bottom w:val="single" w:color="auto" w:sz="12" w:space="0"/>
            </w:tcBorders>
            <w:vAlign w:val="center"/>
          </w:tcPr>
          <w:p w14:paraId="471A0A7F">
            <w:pPr>
              <w:snapToGrid w:val="0"/>
              <w:spacing w:line="360" w:lineRule="auto"/>
              <w:jc w:val="center"/>
              <w:rPr>
                <w:rFonts w:cs="宋体"/>
                <w:color w:val="auto"/>
                <w:sz w:val="22"/>
                <w:szCs w:val="21"/>
                <w:highlight w:val="none"/>
              </w:rPr>
            </w:pPr>
          </w:p>
        </w:tc>
        <w:tc>
          <w:tcPr>
            <w:tcW w:w="682" w:type="pct"/>
            <w:tcBorders>
              <w:bottom w:val="single" w:color="auto" w:sz="12" w:space="0"/>
            </w:tcBorders>
            <w:vAlign w:val="center"/>
          </w:tcPr>
          <w:p w14:paraId="459BD776">
            <w:pPr>
              <w:snapToGrid w:val="0"/>
              <w:spacing w:line="360" w:lineRule="auto"/>
              <w:jc w:val="center"/>
              <w:rPr>
                <w:rFonts w:cs="宋体"/>
                <w:color w:val="auto"/>
                <w:sz w:val="22"/>
                <w:szCs w:val="21"/>
                <w:highlight w:val="none"/>
              </w:rPr>
            </w:pPr>
          </w:p>
        </w:tc>
        <w:tc>
          <w:tcPr>
            <w:tcW w:w="552" w:type="pct"/>
            <w:tcBorders>
              <w:bottom w:val="single" w:color="auto" w:sz="12" w:space="0"/>
            </w:tcBorders>
            <w:vAlign w:val="center"/>
          </w:tcPr>
          <w:p w14:paraId="19E46F8E">
            <w:pPr>
              <w:snapToGrid w:val="0"/>
              <w:spacing w:line="360" w:lineRule="auto"/>
              <w:jc w:val="center"/>
              <w:rPr>
                <w:rFonts w:cs="宋体"/>
                <w:color w:val="auto"/>
                <w:sz w:val="22"/>
                <w:szCs w:val="21"/>
                <w:highlight w:val="none"/>
              </w:rPr>
            </w:pPr>
          </w:p>
        </w:tc>
        <w:tc>
          <w:tcPr>
            <w:tcW w:w="552" w:type="pct"/>
            <w:tcBorders>
              <w:bottom w:val="single" w:color="auto" w:sz="12" w:space="0"/>
            </w:tcBorders>
            <w:vAlign w:val="center"/>
          </w:tcPr>
          <w:p w14:paraId="51730C06">
            <w:pPr>
              <w:snapToGrid w:val="0"/>
              <w:spacing w:line="360" w:lineRule="auto"/>
              <w:jc w:val="center"/>
              <w:rPr>
                <w:rFonts w:cs="宋体"/>
                <w:color w:val="auto"/>
                <w:sz w:val="22"/>
                <w:szCs w:val="21"/>
                <w:highlight w:val="none"/>
              </w:rPr>
            </w:pPr>
          </w:p>
        </w:tc>
        <w:tc>
          <w:tcPr>
            <w:tcW w:w="552" w:type="pct"/>
            <w:tcBorders>
              <w:bottom w:val="single" w:color="auto" w:sz="12" w:space="0"/>
            </w:tcBorders>
            <w:vAlign w:val="center"/>
          </w:tcPr>
          <w:p w14:paraId="553608F7">
            <w:pPr>
              <w:snapToGrid w:val="0"/>
              <w:spacing w:line="360" w:lineRule="auto"/>
              <w:jc w:val="center"/>
              <w:rPr>
                <w:rFonts w:cs="宋体"/>
                <w:color w:val="auto"/>
                <w:sz w:val="22"/>
                <w:szCs w:val="21"/>
                <w:highlight w:val="none"/>
              </w:rPr>
            </w:pPr>
          </w:p>
        </w:tc>
        <w:tc>
          <w:tcPr>
            <w:tcW w:w="292" w:type="pct"/>
            <w:tcBorders>
              <w:bottom w:val="single" w:color="auto" w:sz="12" w:space="0"/>
            </w:tcBorders>
            <w:vAlign w:val="center"/>
          </w:tcPr>
          <w:p w14:paraId="5708C111">
            <w:pPr>
              <w:snapToGrid w:val="0"/>
              <w:spacing w:line="360" w:lineRule="auto"/>
              <w:jc w:val="center"/>
              <w:rPr>
                <w:rFonts w:cs="宋体"/>
                <w:color w:val="auto"/>
                <w:sz w:val="22"/>
                <w:szCs w:val="21"/>
                <w:highlight w:val="none"/>
              </w:rPr>
            </w:pPr>
          </w:p>
        </w:tc>
      </w:tr>
    </w:tbl>
    <w:p w14:paraId="08E7B987">
      <w:pPr>
        <w:spacing w:before="312" w:beforeLines="100" w:after="312" w:afterLines="100"/>
        <w:outlineLvl w:val="2"/>
        <w:rPr>
          <w:rFonts w:ascii="Times New Roman" w:eastAsia="黑体"/>
          <w:color w:val="auto"/>
          <w:szCs w:val="24"/>
          <w:highlight w:val="none"/>
        </w:rPr>
      </w:pPr>
      <w:r>
        <w:rPr>
          <w:rFonts w:hint="eastAsia" w:cs="宋体"/>
          <w:bCs/>
          <w:color w:val="auto"/>
          <w:highlight w:val="none"/>
        </w:rPr>
        <w:br w:type="page"/>
      </w:r>
      <w:bookmarkStart w:id="594" w:name="_Toc128950237"/>
      <w:r>
        <w:rPr>
          <w:rFonts w:hint="eastAsia" w:ascii="Times New Roman" w:eastAsia="黑体"/>
          <w:color w:val="auto"/>
          <w:szCs w:val="24"/>
          <w:highlight w:val="none"/>
        </w:rPr>
        <w:t>附件3：</w:t>
      </w:r>
      <w:bookmarkEnd w:id="594"/>
      <w:bookmarkStart w:id="595" w:name="_Toc128950238"/>
      <w:r>
        <w:rPr>
          <w:rFonts w:hint="eastAsia" w:ascii="Times New Roman" w:eastAsia="黑体"/>
          <w:color w:val="auto"/>
          <w:szCs w:val="24"/>
          <w:highlight w:val="none"/>
        </w:rPr>
        <w:t>工程质量保修书（市政公用工程）</w:t>
      </w:r>
      <w:bookmarkEnd w:id="595"/>
    </w:p>
    <w:p w14:paraId="0F899D44">
      <w:pPr>
        <w:adjustRightInd w:val="0"/>
        <w:snapToGrid w:val="0"/>
        <w:spacing w:line="360" w:lineRule="auto"/>
        <w:jc w:val="center"/>
        <w:rPr>
          <w:rFonts w:cs="宋体"/>
          <w:color w:val="auto"/>
          <w:sz w:val="28"/>
          <w:szCs w:val="28"/>
          <w:highlight w:val="none"/>
        </w:rPr>
      </w:pPr>
      <w:r>
        <w:rPr>
          <w:rFonts w:hint="eastAsia" w:cs="宋体"/>
          <w:color w:val="auto"/>
          <w:sz w:val="28"/>
          <w:szCs w:val="28"/>
          <w:highlight w:val="none"/>
        </w:rPr>
        <w:t>工程质量保修书</w:t>
      </w:r>
    </w:p>
    <w:p w14:paraId="52889C01">
      <w:pPr>
        <w:adjustRightInd w:val="0"/>
        <w:snapToGrid w:val="0"/>
        <w:spacing w:line="360" w:lineRule="auto"/>
        <w:ind w:firstLine="420" w:firstLineChars="200"/>
        <w:rPr>
          <w:rFonts w:hint="default" w:cs="宋体"/>
          <w:color w:val="auto"/>
          <w:position w:val="14"/>
          <w:sz w:val="21"/>
          <w:szCs w:val="21"/>
          <w:highlight w:val="none"/>
          <w:lang w:val="en-US" w:eastAsia="zh-CN"/>
        </w:rPr>
      </w:pPr>
      <w:r>
        <w:rPr>
          <w:rFonts w:hint="eastAsia" w:cs="宋体"/>
          <w:bCs/>
          <w:color w:val="auto"/>
          <w:position w:val="14"/>
          <w:sz w:val="21"/>
          <w:szCs w:val="21"/>
          <w:highlight w:val="none"/>
        </w:rPr>
        <w:t>发包人</w:t>
      </w:r>
      <w:r>
        <w:rPr>
          <w:rFonts w:hint="eastAsia" w:cs="宋体"/>
          <w:color w:val="auto"/>
          <w:position w:val="14"/>
          <w:sz w:val="21"/>
          <w:szCs w:val="21"/>
          <w:highlight w:val="none"/>
        </w:rPr>
        <w:t>：</w:t>
      </w:r>
      <w:r>
        <w:rPr>
          <w:rFonts w:hint="eastAsia" w:cs="宋体"/>
          <w:color w:val="auto"/>
          <w:position w:val="14"/>
          <w:sz w:val="21"/>
          <w:szCs w:val="21"/>
          <w:highlight w:val="none"/>
          <w:lang w:val="en-US" w:eastAsia="zh-CN"/>
        </w:rPr>
        <w:t>滁州市重点工程建设管理处</w:t>
      </w:r>
    </w:p>
    <w:p w14:paraId="44251118">
      <w:pPr>
        <w:widowControl/>
        <w:adjustRightInd w:val="0"/>
        <w:snapToGrid w:val="0"/>
        <w:spacing w:line="360" w:lineRule="auto"/>
        <w:ind w:firstLine="420" w:firstLineChars="200"/>
        <w:jc w:val="left"/>
        <w:rPr>
          <w:rFonts w:cs="宋体"/>
          <w:color w:val="auto"/>
          <w:position w:val="14"/>
          <w:sz w:val="21"/>
          <w:szCs w:val="21"/>
          <w:highlight w:val="none"/>
        </w:rPr>
      </w:pPr>
      <w:r>
        <w:rPr>
          <w:rFonts w:hint="eastAsia" w:cs="宋体"/>
          <w:bCs/>
          <w:color w:val="auto"/>
          <w:position w:val="14"/>
          <w:sz w:val="21"/>
          <w:szCs w:val="21"/>
          <w:highlight w:val="none"/>
        </w:rPr>
        <w:t>承包人</w:t>
      </w:r>
      <w:r>
        <w:rPr>
          <w:rFonts w:hint="eastAsia" w:cs="宋体"/>
          <w:color w:val="auto"/>
          <w:position w:val="14"/>
          <w:sz w:val="21"/>
          <w:szCs w:val="21"/>
          <w:highlight w:val="none"/>
        </w:rPr>
        <w:t>：</w:t>
      </w:r>
    </w:p>
    <w:p w14:paraId="0165B44D">
      <w:pPr>
        <w:widowControl/>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发包人、承包人根据《中华人民共和国建筑法》《建设工程质量管理条例》，参照《房屋建筑工程质量保修办法》，经协商一致，对</w:t>
      </w:r>
      <w:r>
        <w:rPr>
          <w:rFonts w:hint="eastAsia" w:cs="宋体"/>
          <w:color w:val="auto"/>
          <w:position w:val="6"/>
          <w:sz w:val="21"/>
          <w:szCs w:val="21"/>
          <w:highlight w:val="none"/>
          <w:u w:val="single"/>
          <w:lang w:val="en-US" w:eastAsia="zh-CN"/>
        </w:rPr>
        <w:t>花园路上跨京沪铁路枢纽项目附属配套绿化工程</w:t>
      </w:r>
      <w:r>
        <w:rPr>
          <w:rFonts w:hint="eastAsia" w:cs="宋体"/>
          <w:color w:val="auto"/>
          <w:position w:val="6"/>
          <w:sz w:val="21"/>
          <w:szCs w:val="21"/>
          <w:highlight w:val="none"/>
        </w:rPr>
        <w:t>签订工程质量保修书。</w:t>
      </w:r>
    </w:p>
    <w:p w14:paraId="324833E3">
      <w:pPr>
        <w:widowControl/>
        <w:adjustRightInd w:val="0"/>
        <w:snapToGrid w:val="0"/>
        <w:spacing w:line="360" w:lineRule="auto"/>
        <w:ind w:firstLine="422" w:firstLineChars="200"/>
        <w:jc w:val="left"/>
        <w:rPr>
          <w:rFonts w:cs="宋体"/>
          <w:b/>
          <w:bCs/>
          <w:color w:val="auto"/>
          <w:position w:val="6"/>
          <w:sz w:val="21"/>
          <w:szCs w:val="21"/>
          <w:highlight w:val="none"/>
        </w:rPr>
      </w:pPr>
      <w:r>
        <w:rPr>
          <w:rFonts w:hint="eastAsia" w:cs="宋体"/>
          <w:b/>
          <w:bCs/>
          <w:color w:val="auto"/>
          <w:position w:val="6"/>
          <w:sz w:val="21"/>
          <w:szCs w:val="21"/>
          <w:highlight w:val="none"/>
        </w:rPr>
        <w:t>一、工程质量保修范围和内容</w:t>
      </w:r>
    </w:p>
    <w:p w14:paraId="72C0D7A0">
      <w:pPr>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按照《建设工程质量管理条例》及有关法律、法规、规章的管理规定，双方约定由施工单位在质量保修期内，承担本工程的质量保修责任。</w:t>
      </w:r>
    </w:p>
    <w:p w14:paraId="3C26BF39">
      <w:pPr>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质量保修范围和内容：______________________。</w:t>
      </w:r>
      <w:r>
        <w:rPr>
          <w:rFonts w:hint="eastAsia" w:cs="宋体"/>
          <w:bCs/>
          <w:color w:val="auto"/>
          <w:position w:val="6"/>
          <w:sz w:val="21"/>
          <w:szCs w:val="21"/>
          <w:highlight w:val="none"/>
        </w:rPr>
        <w:t>因不可抗力或使用不当造成的质量缺陷，不属保修范围。</w:t>
      </w:r>
    </w:p>
    <w:p w14:paraId="62320BB9">
      <w:pPr>
        <w:widowControl/>
        <w:adjustRightInd w:val="0"/>
        <w:snapToGrid w:val="0"/>
        <w:spacing w:line="360" w:lineRule="auto"/>
        <w:ind w:firstLine="422" w:firstLineChars="200"/>
        <w:jc w:val="left"/>
        <w:rPr>
          <w:rFonts w:cs="宋体"/>
          <w:b/>
          <w:bCs/>
          <w:color w:val="auto"/>
          <w:position w:val="6"/>
          <w:sz w:val="21"/>
          <w:szCs w:val="21"/>
          <w:highlight w:val="none"/>
        </w:rPr>
      </w:pPr>
      <w:r>
        <w:rPr>
          <w:rFonts w:hint="eastAsia" w:cs="宋体"/>
          <w:b/>
          <w:bCs/>
          <w:color w:val="auto"/>
          <w:position w:val="6"/>
          <w:sz w:val="21"/>
          <w:szCs w:val="21"/>
          <w:highlight w:val="none"/>
        </w:rPr>
        <w:t>二、质量保修期</w:t>
      </w:r>
    </w:p>
    <w:p w14:paraId="17B4270B">
      <w:pPr>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双方根据《建设工程质量管理条例》及有关规定，约定本工程的质量保修期如下：</w:t>
      </w:r>
    </w:p>
    <w:p w14:paraId="23341D48">
      <w:pPr>
        <w:widowControl/>
        <w:adjustRightInd w:val="0"/>
        <w:snapToGrid w:val="0"/>
        <w:spacing w:line="360" w:lineRule="auto"/>
        <w:ind w:left="400" w:leftChars="200" w:firstLine="58" w:firstLineChars="28"/>
        <w:jc w:val="left"/>
        <w:rPr>
          <w:rFonts w:cs="宋体"/>
          <w:color w:val="auto"/>
          <w:position w:val="6"/>
          <w:sz w:val="21"/>
          <w:szCs w:val="21"/>
          <w:highlight w:val="none"/>
        </w:rPr>
      </w:pPr>
      <w:r>
        <w:rPr>
          <w:rFonts w:hint="eastAsia" w:cs="宋体"/>
          <w:color w:val="auto"/>
          <w:position w:val="6"/>
          <w:sz w:val="21"/>
          <w:szCs w:val="21"/>
          <w:highlight w:val="none"/>
        </w:rPr>
        <w:t>1. 主体结构和基础工程，为</w:t>
      </w:r>
      <w:r>
        <w:rPr>
          <w:rFonts w:hint="eastAsia" w:cs="宋体"/>
          <w:color w:val="auto"/>
          <w:position w:val="6"/>
          <w:sz w:val="21"/>
          <w:szCs w:val="21"/>
          <w:highlight w:val="none"/>
          <w:u w:val="single"/>
        </w:rPr>
        <w:t xml:space="preserve">     </w:t>
      </w:r>
      <w:r>
        <w:rPr>
          <w:rFonts w:hint="eastAsia" w:cs="宋体"/>
          <w:color w:val="auto"/>
          <w:position w:val="6"/>
          <w:sz w:val="21"/>
          <w:szCs w:val="21"/>
          <w:highlight w:val="none"/>
        </w:rPr>
        <w:t>年；</w:t>
      </w:r>
    </w:p>
    <w:p w14:paraId="146AA358">
      <w:pPr>
        <w:widowControl/>
        <w:adjustRightInd w:val="0"/>
        <w:snapToGrid w:val="0"/>
        <w:spacing w:line="360" w:lineRule="auto"/>
        <w:ind w:left="400" w:leftChars="200" w:firstLine="58" w:firstLineChars="28"/>
        <w:jc w:val="left"/>
        <w:rPr>
          <w:rFonts w:cs="宋体"/>
          <w:color w:val="auto"/>
          <w:position w:val="6"/>
          <w:sz w:val="21"/>
          <w:szCs w:val="21"/>
          <w:highlight w:val="none"/>
        </w:rPr>
      </w:pPr>
      <w:r>
        <w:rPr>
          <w:rFonts w:hint="eastAsia" w:cs="宋体"/>
          <w:color w:val="auto"/>
          <w:position w:val="6"/>
          <w:sz w:val="21"/>
          <w:szCs w:val="21"/>
          <w:highlight w:val="none"/>
        </w:rPr>
        <w:t>2. _____________工程，为</w:t>
      </w:r>
      <w:r>
        <w:rPr>
          <w:rFonts w:hint="eastAsia" w:cs="宋体"/>
          <w:color w:val="auto"/>
          <w:position w:val="6"/>
          <w:sz w:val="21"/>
          <w:szCs w:val="21"/>
          <w:highlight w:val="none"/>
          <w:u w:val="single"/>
        </w:rPr>
        <w:t xml:space="preserve">     </w:t>
      </w:r>
      <w:r>
        <w:rPr>
          <w:rFonts w:hint="eastAsia" w:cs="宋体"/>
          <w:color w:val="auto"/>
          <w:position w:val="6"/>
          <w:sz w:val="21"/>
          <w:szCs w:val="21"/>
          <w:highlight w:val="none"/>
        </w:rPr>
        <w:t>年；</w:t>
      </w:r>
    </w:p>
    <w:p w14:paraId="615F3676">
      <w:pPr>
        <w:widowControl/>
        <w:adjustRightInd w:val="0"/>
        <w:snapToGrid w:val="0"/>
        <w:spacing w:line="360" w:lineRule="auto"/>
        <w:ind w:left="400" w:leftChars="200" w:firstLine="58" w:firstLineChars="28"/>
        <w:jc w:val="left"/>
        <w:rPr>
          <w:rFonts w:cs="宋体"/>
          <w:color w:val="auto"/>
          <w:position w:val="6"/>
          <w:sz w:val="21"/>
          <w:szCs w:val="21"/>
          <w:highlight w:val="none"/>
        </w:rPr>
      </w:pPr>
      <w:r>
        <w:rPr>
          <w:rFonts w:hint="eastAsia" w:cs="宋体"/>
          <w:color w:val="auto"/>
          <w:position w:val="6"/>
          <w:sz w:val="21"/>
          <w:szCs w:val="21"/>
          <w:highlight w:val="none"/>
        </w:rPr>
        <w:t>3. _____________工程，为</w:t>
      </w:r>
      <w:r>
        <w:rPr>
          <w:rFonts w:hint="eastAsia" w:cs="宋体"/>
          <w:color w:val="auto"/>
          <w:position w:val="6"/>
          <w:sz w:val="21"/>
          <w:szCs w:val="21"/>
          <w:highlight w:val="none"/>
          <w:u w:val="single"/>
        </w:rPr>
        <w:t xml:space="preserve">     </w:t>
      </w:r>
      <w:r>
        <w:rPr>
          <w:rFonts w:hint="eastAsia" w:cs="宋体"/>
          <w:color w:val="auto"/>
          <w:position w:val="6"/>
          <w:sz w:val="21"/>
          <w:szCs w:val="21"/>
          <w:highlight w:val="none"/>
        </w:rPr>
        <w:t>年；</w:t>
      </w:r>
    </w:p>
    <w:p w14:paraId="22849353">
      <w:pPr>
        <w:adjustRightInd w:val="0"/>
        <w:snapToGrid w:val="0"/>
        <w:spacing w:line="360" w:lineRule="auto"/>
        <w:ind w:left="342" w:leftChars="171" w:firstLine="105" w:firstLineChars="50"/>
        <w:rPr>
          <w:rFonts w:cs="宋体"/>
          <w:color w:val="auto"/>
          <w:position w:val="6"/>
          <w:sz w:val="21"/>
          <w:szCs w:val="21"/>
          <w:highlight w:val="none"/>
        </w:rPr>
      </w:pPr>
      <w:r>
        <w:rPr>
          <w:rFonts w:hint="eastAsia" w:cs="宋体"/>
          <w:color w:val="auto"/>
          <w:position w:val="6"/>
          <w:sz w:val="21"/>
          <w:szCs w:val="21"/>
          <w:highlight w:val="none"/>
        </w:rPr>
        <w:t xml:space="preserve">4. _____________工程，为 </w:t>
      </w:r>
      <w:r>
        <w:rPr>
          <w:rFonts w:hint="eastAsia" w:cs="宋体"/>
          <w:color w:val="auto"/>
          <w:position w:val="6"/>
          <w:sz w:val="21"/>
          <w:szCs w:val="21"/>
          <w:highlight w:val="none"/>
          <w:u w:val="single"/>
        </w:rPr>
        <w:t xml:space="preserve">     </w:t>
      </w:r>
      <w:r>
        <w:rPr>
          <w:rFonts w:hint="eastAsia" w:cs="宋体"/>
          <w:color w:val="auto"/>
          <w:position w:val="6"/>
          <w:sz w:val="21"/>
          <w:szCs w:val="21"/>
          <w:highlight w:val="none"/>
        </w:rPr>
        <w:t>年；</w:t>
      </w:r>
    </w:p>
    <w:p w14:paraId="4DA18AAF">
      <w:pPr>
        <w:adjustRightInd w:val="0"/>
        <w:snapToGrid w:val="0"/>
        <w:spacing w:line="360" w:lineRule="auto"/>
        <w:ind w:left="342" w:leftChars="171" w:firstLine="105" w:firstLineChars="50"/>
        <w:rPr>
          <w:rFonts w:cs="宋体"/>
          <w:color w:val="auto"/>
          <w:position w:val="6"/>
          <w:sz w:val="21"/>
          <w:szCs w:val="21"/>
          <w:highlight w:val="none"/>
        </w:rPr>
      </w:pPr>
      <w:r>
        <w:rPr>
          <w:rFonts w:hint="eastAsia" w:cs="宋体"/>
          <w:color w:val="auto"/>
          <w:position w:val="6"/>
          <w:sz w:val="21"/>
          <w:szCs w:val="21"/>
          <w:highlight w:val="none"/>
        </w:rPr>
        <w:t>质量保修期自工程竣工验收合格之日起计算。</w:t>
      </w:r>
    </w:p>
    <w:p w14:paraId="54C96707">
      <w:pPr>
        <w:adjustRightInd w:val="0"/>
        <w:snapToGrid w:val="0"/>
        <w:spacing w:line="360" w:lineRule="auto"/>
        <w:ind w:firstLine="422" w:firstLineChars="200"/>
        <w:rPr>
          <w:rFonts w:cs="宋体"/>
          <w:b/>
          <w:color w:val="auto"/>
          <w:sz w:val="21"/>
          <w:szCs w:val="21"/>
          <w:highlight w:val="none"/>
        </w:rPr>
      </w:pPr>
      <w:r>
        <w:rPr>
          <w:rFonts w:hint="eastAsia" w:cs="宋体"/>
          <w:b/>
          <w:color w:val="auto"/>
          <w:sz w:val="21"/>
          <w:szCs w:val="21"/>
          <w:highlight w:val="none"/>
        </w:rPr>
        <w:t>三、缺陷责任期</w:t>
      </w:r>
    </w:p>
    <w:p w14:paraId="2B3489E5">
      <w:pPr>
        <w:adjustRightInd w:val="0"/>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工程缺陷责任期为</w:t>
      </w:r>
      <w:r>
        <w:rPr>
          <w:rFonts w:hint="eastAsia" w:cs="宋体"/>
          <w:color w:val="auto"/>
          <w:sz w:val="21"/>
          <w:szCs w:val="21"/>
          <w:highlight w:val="none"/>
          <w:u w:val="single"/>
        </w:rPr>
        <w:t xml:space="preserve">     </w:t>
      </w:r>
      <w:r>
        <w:rPr>
          <w:rFonts w:hint="eastAsia" w:cs="宋体"/>
          <w:color w:val="auto"/>
          <w:sz w:val="21"/>
          <w:szCs w:val="21"/>
          <w:highlight w:val="none"/>
        </w:rPr>
        <w:t>，缺陷责任期自工程竣工验收合格之日起计算。单位工程先于全部工程进行验收，单位工程缺陷责任期自单位工程验收合格之日起算。</w:t>
      </w:r>
    </w:p>
    <w:p w14:paraId="634E2BC7">
      <w:pPr>
        <w:adjustRightInd w:val="0"/>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缺陷责任期终止后，发包人应退还剩余的质量保证金。</w:t>
      </w:r>
    </w:p>
    <w:p w14:paraId="1594760C">
      <w:pPr>
        <w:widowControl/>
        <w:adjustRightInd w:val="0"/>
        <w:snapToGrid w:val="0"/>
        <w:spacing w:line="360" w:lineRule="auto"/>
        <w:ind w:firstLine="422" w:firstLineChars="200"/>
        <w:jc w:val="left"/>
        <w:rPr>
          <w:rFonts w:cs="宋体"/>
          <w:b/>
          <w:bCs/>
          <w:color w:val="auto"/>
          <w:position w:val="6"/>
          <w:sz w:val="21"/>
          <w:szCs w:val="21"/>
          <w:highlight w:val="none"/>
        </w:rPr>
      </w:pPr>
      <w:r>
        <w:rPr>
          <w:rFonts w:hint="eastAsia" w:cs="宋体"/>
          <w:b/>
          <w:color w:val="auto"/>
          <w:sz w:val="21"/>
          <w:szCs w:val="21"/>
          <w:highlight w:val="none"/>
        </w:rPr>
        <w:t>四、质量保修责任</w:t>
      </w:r>
    </w:p>
    <w:p w14:paraId="14BE304F">
      <w:pPr>
        <w:widowControl/>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1. 属于保修范围、内容的项目，承包人应当在接到保修通知之日起7天内派人保修。承包人不在约定期限内派人保修的，发包人可以委托他人修理。</w:t>
      </w:r>
    </w:p>
    <w:p w14:paraId="45970965">
      <w:pPr>
        <w:widowControl/>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2. 发生紧急抢修事故的，承包人在接到事故通知后，应当立即到达事故现场抢修。</w:t>
      </w:r>
    </w:p>
    <w:p w14:paraId="480BDE33">
      <w:pPr>
        <w:widowControl/>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3. 对于涉及结构安全的质量问题，应当立即向当地建设行政主管部门报告，采取安全防范措施；由原设计单位或者具有相应资质等级的设计单位提出保修方案，承包人实施保修。</w:t>
      </w:r>
    </w:p>
    <w:p w14:paraId="3D38DFB9">
      <w:pPr>
        <w:widowControl/>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4. 质量保修完成后，由发包人组织验收。</w:t>
      </w:r>
    </w:p>
    <w:p w14:paraId="07419FEB">
      <w:pPr>
        <w:widowControl/>
        <w:adjustRightInd w:val="0"/>
        <w:snapToGrid w:val="0"/>
        <w:spacing w:line="360" w:lineRule="auto"/>
        <w:ind w:firstLine="422" w:firstLineChars="200"/>
        <w:jc w:val="left"/>
        <w:rPr>
          <w:rFonts w:cs="宋体"/>
          <w:b/>
          <w:bCs/>
          <w:color w:val="auto"/>
          <w:position w:val="6"/>
          <w:sz w:val="21"/>
          <w:szCs w:val="21"/>
          <w:highlight w:val="none"/>
        </w:rPr>
      </w:pPr>
      <w:r>
        <w:rPr>
          <w:rFonts w:hint="eastAsia" w:cs="宋体"/>
          <w:b/>
          <w:bCs/>
          <w:color w:val="auto"/>
          <w:position w:val="6"/>
          <w:sz w:val="21"/>
          <w:szCs w:val="21"/>
          <w:highlight w:val="none"/>
        </w:rPr>
        <w:t>五、保修费用</w:t>
      </w:r>
    </w:p>
    <w:p w14:paraId="13943EC7">
      <w:pPr>
        <w:widowControl/>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保修费用由造成质量缺陷的责任方承担。</w:t>
      </w:r>
    </w:p>
    <w:p w14:paraId="678A4518">
      <w:pPr>
        <w:widowControl/>
        <w:adjustRightInd w:val="0"/>
        <w:snapToGrid w:val="0"/>
        <w:spacing w:line="360" w:lineRule="auto"/>
        <w:ind w:firstLine="420" w:firstLineChars="200"/>
        <w:jc w:val="left"/>
        <w:rPr>
          <w:rFonts w:cs="宋体"/>
          <w:b/>
          <w:color w:val="auto"/>
          <w:sz w:val="21"/>
          <w:szCs w:val="21"/>
          <w:highlight w:val="none"/>
        </w:rPr>
      </w:pPr>
      <w:r>
        <w:rPr>
          <w:rFonts w:hint="eastAsia" w:cs="宋体"/>
          <w:bCs/>
          <w:color w:val="auto"/>
          <w:position w:val="6"/>
          <w:sz w:val="21"/>
          <w:szCs w:val="21"/>
          <w:highlight w:val="none"/>
        </w:rPr>
        <w:t>六、</w:t>
      </w:r>
      <w:r>
        <w:rPr>
          <w:rFonts w:hint="eastAsia" w:cs="宋体"/>
          <w:b/>
          <w:color w:val="auto"/>
          <w:sz w:val="21"/>
          <w:szCs w:val="21"/>
          <w:highlight w:val="none"/>
        </w:rPr>
        <w:t>双方约定的其他工程质量保修事项：</w:t>
      </w:r>
      <w:r>
        <w:rPr>
          <w:rFonts w:hint="eastAsia" w:cs="宋体"/>
          <w:b/>
          <w:color w:val="auto"/>
          <w:sz w:val="21"/>
          <w:szCs w:val="21"/>
          <w:highlight w:val="none"/>
          <w:u w:val="single"/>
        </w:rPr>
        <w:t xml:space="preserve">             </w:t>
      </w:r>
      <w:r>
        <w:rPr>
          <w:rFonts w:hint="eastAsia" w:cs="宋体"/>
          <w:b/>
          <w:color w:val="auto"/>
          <w:sz w:val="21"/>
          <w:szCs w:val="21"/>
          <w:highlight w:val="none"/>
        </w:rPr>
        <w:t>。</w:t>
      </w:r>
    </w:p>
    <w:p w14:paraId="2CF23B51">
      <w:pPr>
        <w:widowControl/>
        <w:adjustRightInd w:val="0"/>
        <w:snapToGrid w:val="0"/>
        <w:spacing w:line="360" w:lineRule="auto"/>
        <w:ind w:firstLine="420" w:firstLineChars="200"/>
        <w:jc w:val="left"/>
        <w:rPr>
          <w:rFonts w:cs="宋体"/>
          <w:bCs/>
          <w:color w:val="auto"/>
          <w:sz w:val="21"/>
          <w:szCs w:val="21"/>
          <w:highlight w:val="none"/>
        </w:rPr>
      </w:pPr>
      <w:r>
        <w:rPr>
          <w:rFonts w:hint="eastAsia" w:cs="宋体"/>
          <w:bCs/>
          <w:color w:val="auto"/>
          <w:position w:val="6"/>
          <w:sz w:val="21"/>
          <w:szCs w:val="21"/>
          <w:highlight w:val="none"/>
        </w:rPr>
        <w:t>本工程质量保修书，由施工合同发包人、承包人双方在竣工验收前共同签署，作为施工合同附件，其有效期限至保修期满。</w:t>
      </w:r>
    </w:p>
    <w:p w14:paraId="17ED0D01">
      <w:pPr>
        <w:adjustRightInd w:val="0"/>
        <w:snapToGrid w:val="0"/>
        <w:spacing w:line="360" w:lineRule="auto"/>
        <w:ind w:firstLine="420"/>
        <w:rPr>
          <w:rFonts w:cs="宋体"/>
          <w:color w:val="auto"/>
          <w:sz w:val="21"/>
          <w:szCs w:val="21"/>
          <w:highlight w:val="none"/>
        </w:rPr>
      </w:pPr>
    </w:p>
    <w:p w14:paraId="471147AD">
      <w:pPr>
        <w:adjustRightInd w:val="0"/>
        <w:snapToGrid w:val="0"/>
        <w:spacing w:line="360" w:lineRule="auto"/>
        <w:rPr>
          <w:rFonts w:cs="宋体"/>
          <w:color w:val="auto"/>
          <w:sz w:val="21"/>
          <w:szCs w:val="21"/>
          <w:highlight w:val="none"/>
          <w:u w:val="single"/>
        </w:rPr>
      </w:pPr>
      <w:r>
        <w:rPr>
          <w:rFonts w:hint="eastAsia" w:cs="宋体"/>
          <w:color w:val="auto"/>
          <w:sz w:val="21"/>
          <w:szCs w:val="21"/>
          <w:highlight w:val="none"/>
        </w:rPr>
        <w:t>发包人（公章）：</w:t>
      </w:r>
      <w:r>
        <w:rPr>
          <w:rFonts w:hint="eastAsia" w:cs="宋体"/>
          <w:color w:val="auto"/>
          <w:sz w:val="21"/>
          <w:szCs w:val="21"/>
          <w:highlight w:val="none"/>
          <w:u w:val="single"/>
        </w:rPr>
        <w:t xml:space="preserve">        </w:t>
      </w:r>
      <w:r>
        <w:rPr>
          <w:rFonts w:hint="eastAsia" w:cs="宋体"/>
          <w:color w:val="auto"/>
          <w:sz w:val="21"/>
          <w:szCs w:val="21"/>
          <w:highlight w:val="none"/>
        </w:rPr>
        <w:t xml:space="preserve">           承包人（公章）：</w:t>
      </w:r>
      <w:r>
        <w:rPr>
          <w:rFonts w:hint="eastAsia" w:cs="宋体"/>
          <w:color w:val="auto"/>
          <w:sz w:val="21"/>
          <w:szCs w:val="21"/>
          <w:highlight w:val="none"/>
          <w:u w:val="single"/>
        </w:rPr>
        <w:t xml:space="preserve">        </w:t>
      </w:r>
    </w:p>
    <w:p w14:paraId="684C5F67">
      <w:pPr>
        <w:adjustRightInd w:val="0"/>
        <w:snapToGrid w:val="0"/>
        <w:spacing w:line="360" w:lineRule="auto"/>
        <w:rPr>
          <w:rFonts w:cs="宋体"/>
          <w:color w:val="auto"/>
          <w:sz w:val="21"/>
          <w:szCs w:val="21"/>
          <w:highlight w:val="none"/>
          <w:u w:val="single"/>
        </w:rPr>
      </w:pPr>
      <w:r>
        <w:rPr>
          <w:rFonts w:hint="eastAsia" w:cs="宋体"/>
          <w:color w:val="auto"/>
          <w:sz w:val="21"/>
          <w:szCs w:val="21"/>
          <w:highlight w:val="none"/>
        </w:rPr>
        <w:t>地  址：</w:t>
      </w:r>
      <w:r>
        <w:rPr>
          <w:rFonts w:hint="eastAsia" w:cs="宋体"/>
          <w:color w:val="auto"/>
          <w:sz w:val="21"/>
          <w:szCs w:val="21"/>
          <w:highlight w:val="none"/>
          <w:u w:val="single"/>
        </w:rPr>
        <w:t xml:space="preserve">     </w:t>
      </w:r>
      <w:r>
        <w:rPr>
          <w:rFonts w:hint="eastAsia" w:cs="宋体"/>
          <w:color w:val="auto"/>
          <w:sz w:val="21"/>
          <w:szCs w:val="21"/>
          <w:highlight w:val="none"/>
        </w:rPr>
        <w:t xml:space="preserve">              地  址：</w:t>
      </w:r>
      <w:r>
        <w:rPr>
          <w:rFonts w:hint="eastAsia" w:cs="宋体"/>
          <w:color w:val="auto"/>
          <w:sz w:val="21"/>
          <w:szCs w:val="21"/>
          <w:highlight w:val="none"/>
          <w:u w:val="single"/>
        </w:rPr>
        <w:t xml:space="preserve">       </w:t>
      </w:r>
    </w:p>
    <w:p w14:paraId="5B7BE998">
      <w:pPr>
        <w:adjustRightInd w:val="0"/>
        <w:snapToGrid w:val="0"/>
        <w:spacing w:line="360" w:lineRule="auto"/>
        <w:rPr>
          <w:rFonts w:cs="宋体"/>
          <w:color w:val="auto"/>
          <w:sz w:val="21"/>
          <w:szCs w:val="21"/>
          <w:highlight w:val="none"/>
          <w:u w:val="single"/>
        </w:rPr>
      </w:pPr>
      <w:r>
        <w:rPr>
          <w:rFonts w:hint="eastAsia" w:cs="宋体"/>
          <w:color w:val="auto"/>
          <w:sz w:val="21"/>
          <w:szCs w:val="21"/>
          <w:highlight w:val="none"/>
        </w:rPr>
        <w:t>法定代表人（签字）：</w:t>
      </w:r>
      <w:r>
        <w:rPr>
          <w:rFonts w:hint="eastAsia" w:cs="宋体"/>
          <w:color w:val="auto"/>
          <w:sz w:val="21"/>
          <w:szCs w:val="21"/>
          <w:highlight w:val="none"/>
          <w:u w:val="single"/>
        </w:rPr>
        <w:t xml:space="preserve">      </w:t>
      </w:r>
      <w:r>
        <w:rPr>
          <w:rFonts w:hint="eastAsia" w:cs="宋体"/>
          <w:color w:val="auto"/>
          <w:sz w:val="21"/>
          <w:szCs w:val="21"/>
          <w:highlight w:val="none"/>
        </w:rPr>
        <w:t xml:space="preserve">           法定代表人（签字）：</w:t>
      </w:r>
      <w:r>
        <w:rPr>
          <w:rFonts w:hint="eastAsia" w:cs="宋体"/>
          <w:color w:val="auto"/>
          <w:sz w:val="21"/>
          <w:szCs w:val="21"/>
          <w:highlight w:val="none"/>
          <w:u w:val="single"/>
        </w:rPr>
        <w:t xml:space="preserve">       </w:t>
      </w:r>
    </w:p>
    <w:p w14:paraId="63236AA5">
      <w:pPr>
        <w:adjustRightInd w:val="0"/>
        <w:snapToGrid w:val="0"/>
        <w:spacing w:line="360" w:lineRule="auto"/>
        <w:rPr>
          <w:rFonts w:cs="宋体"/>
          <w:color w:val="auto"/>
          <w:sz w:val="21"/>
          <w:szCs w:val="21"/>
          <w:highlight w:val="none"/>
          <w:u w:val="single"/>
        </w:rPr>
      </w:pPr>
      <w:r>
        <w:rPr>
          <w:rFonts w:hint="eastAsia" w:cs="宋体"/>
          <w:color w:val="auto"/>
          <w:sz w:val="21"/>
          <w:szCs w:val="21"/>
          <w:highlight w:val="none"/>
        </w:rPr>
        <w:t>委托代理人（签字）：</w:t>
      </w:r>
      <w:r>
        <w:rPr>
          <w:rFonts w:hint="eastAsia" w:cs="宋体"/>
          <w:color w:val="auto"/>
          <w:sz w:val="21"/>
          <w:szCs w:val="21"/>
          <w:highlight w:val="none"/>
          <w:u w:val="single"/>
        </w:rPr>
        <w:t xml:space="preserve">      </w:t>
      </w:r>
      <w:r>
        <w:rPr>
          <w:rFonts w:hint="eastAsia" w:cs="宋体"/>
          <w:color w:val="auto"/>
          <w:sz w:val="21"/>
          <w:szCs w:val="21"/>
          <w:highlight w:val="none"/>
        </w:rPr>
        <w:t xml:space="preserve">           委托代理人（签字）：</w:t>
      </w:r>
      <w:r>
        <w:rPr>
          <w:rFonts w:hint="eastAsia" w:cs="宋体"/>
          <w:color w:val="auto"/>
          <w:sz w:val="21"/>
          <w:szCs w:val="21"/>
          <w:highlight w:val="none"/>
          <w:u w:val="single"/>
        </w:rPr>
        <w:t xml:space="preserve">       </w:t>
      </w:r>
    </w:p>
    <w:p w14:paraId="32436784">
      <w:pPr>
        <w:adjustRightInd w:val="0"/>
        <w:snapToGrid w:val="0"/>
        <w:spacing w:line="360" w:lineRule="auto"/>
        <w:rPr>
          <w:rFonts w:cs="宋体"/>
          <w:color w:val="auto"/>
          <w:sz w:val="21"/>
          <w:szCs w:val="21"/>
          <w:highlight w:val="none"/>
        </w:rPr>
      </w:pPr>
      <w:r>
        <w:rPr>
          <w:rFonts w:hint="eastAsia" w:cs="宋体"/>
          <w:color w:val="auto"/>
          <w:sz w:val="21"/>
          <w:szCs w:val="21"/>
          <w:highlight w:val="none"/>
        </w:rPr>
        <w:t>电  话：</w:t>
      </w:r>
      <w:r>
        <w:rPr>
          <w:rFonts w:hint="eastAsia" w:cs="宋体"/>
          <w:color w:val="auto"/>
          <w:sz w:val="21"/>
          <w:szCs w:val="21"/>
          <w:highlight w:val="none"/>
          <w:u w:val="single"/>
        </w:rPr>
        <w:t xml:space="preserve">   </w:t>
      </w:r>
      <w:r>
        <w:rPr>
          <w:rFonts w:hint="eastAsia" w:cs="宋体"/>
          <w:color w:val="auto"/>
          <w:sz w:val="21"/>
          <w:szCs w:val="21"/>
          <w:highlight w:val="none"/>
        </w:rPr>
        <w:t xml:space="preserve">              电  话：</w:t>
      </w:r>
      <w:r>
        <w:rPr>
          <w:rFonts w:hint="eastAsia" w:cs="宋体"/>
          <w:color w:val="auto"/>
          <w:sz w:val="21"/>
          <w:szCs w:val="21"/>
          <w:highlight w:val="none"/>
          <w:u w:val="single"/>
        </w:rPr>
        <w:t xml:space="preserve">     </w:t>
      </w:r>
    </w:p>
    <w:p w14:paraId="413BCD3D">
      <w:pPr>
        <w:adjustRightInd w:val="0"/>
        <w:snapToGrid w:val="0"/>
        <w:spacing w:line="360" w:lineRule="auto"/>
        <w:rPr>
          <w:rFonts w:cs="宋体"/>
          <w:color w:val="auto"/>
          <w:sz w:val="21"/>
          <w:szCs w:val="21"/>
          <w:highlight w:val="none"/>
        </w:rPr>
      </w:pPr>
      <w:r>
        <w:rPr>
          <w:rFonts w:hint="eastAsia" w:cs="宋体"/>
          <w:color w:val="auto"/>
          <w:sz w:val="21"/>
          <w:szCs w:val="21"/>
          <w:highlight w:val="none"/>
        </w:rPr>
        <w:t>传  真：</w:t>
      </w:r>
      <w:r>
        <w:rPr>
          <w:rFonts w:hint="eastAsia" w:cs="宋体"/>
          <w:color w:val="auto"/>
          <w:sz w:val="21"/>
          <w:szCs w:val="21"/>
          <w:highlight w:val="none"/>
          <w:u w:val="single"/>
        </w:rPr>
        <w:t xml:space="preserve">   </w:t>
      </w:r>
      <w:r>
        <w:rPr>
          <w:rFonts w:hint="eastAsia" w:cs="宋体"/>
          <w:color w:val="auto"/>
          <w:sz w:val="21"/>
          <w:szCs w:val="21"/>
          <w:highlight w:val="none"/>
        </w:rPr>
        <w:t xml:space="preserve">              传  真：</w:t>
      </w:r>
      <w:r>
        <w:rPr>
          <w:rFonts w:hint="eastAsia" w:cs="宋体"/>
          <w:color w:val="auto"/>
          <w:sz w:val="21"/>
          <w:szCs w:val="21"/>
          <w:highlight w:val="none"/>
          <w:u w:val="single"/>
        </w:rPr>
        <w:t xml:space="preserve">     </w:t>
      </w:r>
    </w:p>
    <w:p w14:paraId="2C842954">
      <w:pPr>
        <w:adjustRightInd w:val="0"/>
        <w:snapToGrid w:val="0"/>
        <w:spacing w:line="360" w:lineRule="auto"/>
        <w:rPr>
          <w:rFonts w:cs="宋体"/>
          <w:color w:val="auto"/>
          <w:sz w:val="21"/>
          <w:szCs w:val="21"/>
          <w:highlight w:val="none"/>
        </w:rPr>
      </w:pPr>
      <w:r>
        <w:rPr>
          <w:rFonts w:hint="eastAsia" w:cs="宋体"/>
          <w:color w:val="auto"/>
          <w:sz w:val="21"/>
          <w:szCs w:val="21"/>
          <w:highlight w:val="none"/>
        </w:rPr>
        <w:t>开户银行：</w:t>
      </w:r>
      <w:r>
        <w:rPr>
          <w:rFonts w:hint="eastAsia" w:cs="宋体"/>
          <w:color w:val="auto"/>
          <w:sz w:val="21"/>
          <w:szCs w:val="21"/>
          <w:highlight w:val="none"/>
          <w:u w:val="single"/>
        </w:rPr>
        <w:t xml:space="preserve">   </w:t>
      </w:r>
      <w:r>
        <w:rPr>
          <w:rFonts w:hint="eastAsia" w:cs="宋体"/>
          <w:color w:val="auto"/>
          <w:sz w:val="21"/>
          <w:szCs w:val="21"/>
          <w:highlight w:val="none"/>
        </w:rPr>
        <w:t xml:space="preserve">              开户银行：</w:t>
      </w:r>
      <w:r>
        <w:rPr>
          <w:rFonts w:hint="eastAsia" w:cs="宋体"/>
          <w:color w:val="auto"/>
          <w:sz w:val="21"/>
          <w:szCs w:val="21"/>
          <w:highlight w:val="none"/>
          <w:u w:val="single"/>
        </w:rPr>
        <w:t xml:space="preserve">   </w:t>
      </w:r>
    </w:p>
    <w:p w14:paraId="78A4D13A">
      <w:pPr>
        <w:adjustRightInd w:val="0"/>
        <w:snapToGrid w:val="0"/>
        <w:spacing w:line="360" w:lineRule="auto"/>
        <w:rPr>
          <w:rFonts w:cs="宋体"/>
          <w:color w:val="auto"/>
          <w:sz w:val="21"/>
          <w:szCs w:val="21"/>
          <w:highlight w:val="none"/>
        </w:rPr>
      </w:pPr>
      <w:r>
        <w:rPr>
          <w:rFonts w:hint="eastAsia" w:cs="宋体"/>
          <w:color w:val="auto"/>
          <w:sz w:val="21"/>
          <w:szCs w:val="21"/>
          <w:highlight w:val="none"/>
        </w:rPr>
        <w:t>账  号：</w:t>
      </w:r>
      <w:r>
        <w:rPr>
          <w:rFonts w:hint="eastAsia" w:cs="宋体"/>
          <w:color w:val="auto"/>
          <w:sz w:val="21"/>
          <w:szCs w:val="21"/>
          <w:highlight w:val="none"/>
          <w:u w:val="single"/>
        </w:rPr>
        <w:t xml:space="preserve">       </w:t>
      </w:r>
      <w:r>
        <w:rPr>
          <w:rFonts w:hint="eastAsia" w:cs="宋体"/>
          <w:color w:val="auto"/>
          <w:sz w:val="21"/>
          <w:szCs w:val="21"/>
          <w:highlight w:val="none"/>
        </w:rPr>
        <w:t xml:space="preserve">              账  号：</w:t>
      </w:r>
      <w:r>
        <w:rPr>
          <w:rFonts w:hint="eastAsia" w:cs="宋体"/>
          <w:color w:val="auto"/>
          <w:sz w:val="21"/>
          <w:szCs w:val="21"/>
          <w:highlight w:val="none"/>
          <w:u w:val="single"/>
        </w:rPr>
        <w:t xml:space="preserve">     </w:t>
      </w:r>
    </w:p>
    <w:p w14:paraId="7FA954BF">
      <w:pPr>
        <w:adjustRightInd w:val="0"/>
        <w:snapToGrid w:val="0"/>
        <w:spacing w:line="360" w:lineRule="auto"/>
        <w:rPr>
          <w:rFonts w:cs="宋体"/>
          <w:color w:val="auto"/>
          <w:sz w:val="21"/>
          <w:szCs w:val="21"/>
          <w:highlight w:val="none"/>
        </w:rPr>
      </w:pPr>
      <w:r>
        <w:rPr>
          <w:rFonts w:hint="eastAsia" w:cs="宋体"/>
          <w:color w:val="auto"/>
          <w:sz w:val="21"/>
          <w:szCs w:val="21"/>
          <w:highlight w:val="none"/>
        </w:rPr>
        <w:t>邮政编码：</w:t>
      </w:r>
      <w:r>
        <w:rPr>
          <w:rFonts w:hint="eastAsia" w:cs="宋体"/>
          <w:color w:val="auto"/>
          <w:sz w:val="21"/>
          <w:szCs w:val="21"/>
          <w:highlight w:val="none"/>
          <w:u w:val="single"/>
        </w:rPr>
        <w:t xml:space="preserve">     </w:t>
      </w:r>
      <w:r>
        <w:rPr>
          <w:rFonts w:hint="eastAsia" w:cs="宋体"/>
          <w:color w:val="auto"/>
          <w:sz w:val="21"/>
          <w:szCs w:val="21"/>
          <w:highlight w:val="none"/>
        </w:rPr>
        <w:t xml:space="preserve">              邮政编码：</w:t>
      </w:r>
      <w:r>
        <w:rPr>
          <w:rFonts w:hint="eastAsia" w:cs="宋体"/>
          <w:color w:val="auto"/>
          <w:sz w:val="21"/>
          <w:szCs w:val="21"/>
          <w:highlight w:val="none"/>
          <w:u w:val="single"/>
        </w:rPr>
        <w:t xml:space="preserve">   </w:t>
      </w:r>
    </w:p>
    <w:p w14:paraId="009A9760">
      <w:pPr>
        <w:spacing w:before="312" w:beforeLines="100" w:after="312" w:afterLines="100"/>
        <w:outlineLvl w:val="2"/>
        <w:rPr>
          <w:rFonts w:ascii="Times New Roman" w:eastAsia="黑体"/>
          <w:color w:val="auto"/>
          <w:szCs w:val="24"/>
          <w:highlight w:val="none"/>
        </w:rPr>
      </w:pPr>
      <w:r>
        <w:rPr>
          <w:rFonts w:ascii="Times New Roman" w:eastAsia="黑体"/>
          <w:b/>
          <w:bCs/>
          <w:color w:val="auto"/>
          <w:highlight w:val="none"/>
        </w:rPr>
        <w:br w:type="page"/>
      </w:r>
      <w:bookmarkStart w:id="596" w:name="_Toc128950239"/>
      <w:r>
        <w:rPr>
          <w:rFonts w:hint="eastAsia" w:ascii="Times New Roman" w:eastAsia="黑体"/>
          <w:color w:val="auto"/>
          <w:szCs w:val="24"/>
          <w:highlight w:val="none"/>
        </w:rPr>
        <w:t>附件</w:t>
      </w:r>
      <w:r>
        <w:rPr>
          <w:rFonts w:ascii="Times New Roman" w:eastAsia="黑体"/>
          <w:color w:val="auto"/>
          <w:szCs w:val="24"/>
          <w:highlight w:val="none"/>
        </w:rPr>
        <w:t>4</w:t>
      </w:r>
      <w:r>
        <w:rPr>
          <w:rFonts w:hint="eastAsia" w:ascii="Times New Roman" w:eastAsia="黑体"/>
          <w:color w:val="auto"/>
          <w:szCs w:val="24"/>
          <w:highlight w:val="none"/>
        </w:rPr>
        <w:t>：主要建设工程文件目录</w:t>
      </w:r>
      <w:bookmarkEnd w:id="596"/>
    </w:p>
    <w:p w14:paraId="5E9D6445">
      <w:pPr>
        <w:spacing w:before="156" w:beforeLines="50" w:after="156" w:afterLines="50"/>
        <w:jc w:val="center"/>
        <w:rPr>
          <w:rFonts w:cs="宋体"/>
          <w:color w:val="auto"/>
          <w:szCs w:val="21"/>
          <w:highlight w:val="none"/>
        </w:rPr>
      </w:pPr>
      <w:r>
        <w:rPr>
          <w:rFonts w:hint="eastAsia" w:cs="宋体"/>
          <w:color w:val="auto"/>
          <w:szCs w:val="21"/>
          <w:highlight w:val="none"/>
        </w:rPr>
        <w:t>主要建设工程文件目录</w:t>
      </w:r>
    </w:p>
    <w:tbl>
      <w:tblPr>
        <w:tblStyle w:val="55"/>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806"/>
        <w:gridCol w:w="1181"/>
        <w:gridCol w:w="1342"/>
        <w:gridCol w:w="1149"/>
        <w:gridCol w:w="1342"/>
        <w:gridCol w:w="1542"/>
      </w:tblGrid>
      <w:tr w14:paraId="52EB34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080" w:type="pct"/>
            <w:tcBorders>
              <w:top w:val="single" w:color="auto" w:sz="12" w:space="0"/>
              <w:bottom w:val="double" w:color="auto" w:sz="6" w:space="0"/>
            </w:tcBorders>
            <w:vAlign w:val="center"/>
          </w:tcPr>
          <w:p w14:paraId="6B5F6158">
            <w:pPr>
              <w:keepNext/>
              <w:jc w:val="center"/>
              <w:rPr>
                <w:rFonts w:cs="宋体"/>
                <w:color w:val="auto"/>
                <w:szCs w:val="21"/>
                <w:highlight w:val="none"/>
              </w:rPr>
            </w:pPr>
            <w:r>
              <w:rPr>
                <w:rFonts w:hint="eastAsia" w:cs="宋体"/>
                <w:color w:val="auto"/>
                <w:szCs w:val="21"/>
                <w:highlight w:val="none"/>
              </w:rPr>
              <w:t>文件名称</w:t>
            </w:r>
          </w:p>
        </w:tc>
        <w:tc>
          <w:tcPr>
            <w:tcW w:w="706" w:type="pct"/>
            <w:tcBorders>
              <w:top w:val="single" w:color="auto" w:sz="12" w:space="0"/>
              <w:bottom w:val="double" w:color="auto" w:sz="6" w:space="0"/>
            </w:tcBorders>
            <w:vAlign w:val="center"/>
          </w:tcPr>
          <w:p w14:paraId="2CC2FB76">
            <w:pPr>
              <w:keepNext/>
              <w:jc w:val="center"/>
              <w:rPr>
                <w:rFonts w:cs="宋体"/>
                <w:color w:val="auto"/>
                <w:szCs w:val="21"/>
                <w:highlight w:val="none"/>
              </w:rPr>
            </w:pPr>
            <w:r>
              <w:rPr>
                <w:rFonts w:hint="eastAsia" w:cs="宋体"/>
                <w:color w:val="auto"/>
                <w:szCs w:val="21"/>
                <w:highlight w:val="none"/>
              </w:rPr>
              <w:t>套数</w:t>
            </w:r>
          </w:p>
        </w:tc>
        <w:tc>
          <w:tcPr>
            <w:tcW w:w="802" w:type="pct"/>
            <w:tcBorders>
              <w:top w:val="single" w:color="auto" w:sz="12" w:space="0"/>
              <w:bottom w:val="double" w:color="auto" w:sz="6" w:space="0"/>
            </w:tcBorders>
            <w:vAlign w:val="center"/>
          </w:tcPr>
          <w:p w14:paraId="39C8166A">
            <w:pPr>
              <w:keepNext/>
              <w:jc w:val="center"/>
              <w:rPr>
                <w:rFonts w:cs="宋体"/>
                <w:color w:val="auto"/>
                <w:szCs w:val="21"/>
                <w:highlight w:val="none"/>
              </w:rPr>
            </w:pPr>
            <w:r>
              <w:rPr>
                <w:rFonts w:hint="eastAsia" w:cs="宋体"/>
                <w:color w:val="auto"/>
                <w:szCs w:val="21"/>
                <w:highlight w:val="none"/>
              </w:rPr>
              <w:t>费用（元）</w:t>
            </w:r>
          </w:p>
        </w:tc>
        <w:tc>
          <w:tcPr>
            <w:tcW w:w="687" w:type="pct"/>
            <w:tcBorders>
              <w:top w:val="single" w:color="auto" w:sz="12" w:space="0"/>
              <w:bottom w:val="double" w:color="auto" w:sz="6" w:space="0"/>
            </w:tcBorders>
            <w:vAlign w:val="center"/>
          </w:tcPr>
          <w:p w14:paraId="505C8AD6">
            <w:pPr>
              <w:keepNext/>
              <w:jc w:val="center"/>
              <w:rPr>
                <w:rFonts w:cs="宋体"/>
                <w:color w:val="auto"/>
                <w:szCs w:val="21"/>
                <w:highlight w:val="none"/>
              </w:rPr>
            </w:pPr>
            <w:r>
              <w:rPr>
                <w:rFonts w:hint="eastAsia" w:cs="宋体"/>
                <w:color w:val="auto"/>
                <w:szCs w:val="21"/>
                <w:highlight w:val="none"/>
              </w:rPr>
              <w:t>质量</w:t>
            </w:r>
          </w:p>
        </w:tc>
        <w:tc>
          <w:tcPr>
            <w:tcW w:w="802" w:type="pct"/>
            <w:tcBorders>
              <w:top w:val="single" w:color="auto" w:sz="12" w:space="0"/>
              <w:bottom w:val="double" w:color="auto" w:sz="6" w:space="0"/>
            </w:tcBorders>
            <w:vAlign w:val="center"/>
          </w:tcPr>
          <w:p w14:paraId="790E1F3A">
            <w:pPr>
              <w:jc w:val="center"/>
              <w:rPr>
                <w:rFonts w:cs="宋体"/>
                <w:color w:val="auto"/>
                <w:szCs w:val="21"/>
                <w:highlight w:val="none"/>
              </w:rPr>
            </w:pPr>
            <w:r>
              <w:rPr>
                <w:rFonts w:hint="eastAsia" w:cs="宋体"/>
                <w:color w:val="auto"/>
                <w:szCs w:val="21"/>
                <w:highlight w:val="none"/>
              </w:rPr>
              <w:t>移交时间</w:t>
            </w:r>
          </w:p>
        </w:tc>
        <w:tc>
          <w:tcPr>
            <w:tcW w:w="922" w:type="pct"/>
            <w:tcBorders>
              <w:top w:val="single" w:color="auto" w:sz="12" w:space="0"/>
              <w:bottom w:val="double" w:color="auto" w:sz="6" w:space="0"/>
            </w:tcBorders>
            <w:vAlign w:val="center"/>
          </w:tcPr>
          <w:p w14:paraId="76EDECAB">
            <w:pPr>
              <w:jc w:val="center"/>
              <w:rPr>
                <w:rFonts w:cs="宋体"/>
                <w:color w:val="auto"/>
                <w:szCs w:val="21"/>
                <w:highlight w:val="none"/>
              </w:rPr>
            </w:pPr>
            <w:r>
              <w:rPr>
                <w:rFonts w:hint="eastAsia" w:cs="宋体"/>
                <w:color w:val="auto"/>
                <w:szCs w:val="21"/>
                <w:highlight w:val="none"/>
              </w:rPr>
              <w:t>责任人</w:t>
            </w:r>
          </w:p>
        </w:tc>
      </w:tr>
      <w:tr w14:paraId="7FE0C2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top w:val="double" w:color="auto" w:sz="6" w:space="0"/>
            </w:tcBorders>
            <w:vAlign w:val="center"/>
          </w:tcPr>
          <w:p w14:paraId="3C94D5F3">
            <w:pPr>
              <w:keepNext/>
              <w:jc w:val="center"/>
              <w:rPr>
                <w:rFonts w:cs="宋体"/>
                <w:color w:val="auto"/>
                <w:szCs w:val="21"/>
                <w:highlight w:val="none"/>
              </w:rPr>
            </w:pPr>
          </w:p>
        </w:tc>
        <w:tc>
          <w:tcPr>
            <w:tcW w:w="706" w:type="pct"/>
            <w:tcBorders>
              <w:top w:val="double" w:color="auto" w:sz="6" w:space="0"/>
            </w:tcBorders>
            <w:vAlign w:val="center"/>
          </w:tcPr>
          <w:p w14:paraId="70DAECCE">
            <w:pPr>
              <w:keepNext/>
              <w:jc w:val="center"/>
              <w:rPr>
                <w:rFonts w:cs="宋体"/>
                <w:color w:val="auto"/>
                <w:szCs w:val="21"/>
                <w:highlight w:val="none"/>
              </w:rPr>
            </w:pPr>
          </w:p>
        </w:tc>
        <w:tc>
          <w:tcPr>
            <w:tcW w:w="802" w:type="pct"/>
            <w:tcBorders>
              <w:top w:val="double" w:color="auto" w:sz="6" w:space="0"/>
            </w:tcBorders>
            <w:vAlign w:val="center"/>
          </w:tcPr>
          <w:p w14:paraId="1110A42D">
            <w:pPr>
              <w:keepNext/>
              <w:jc w:val="center"/>
              <w:rPr>
                <w:rFonts w:cs="宋体"/>
                <w:color w:val="auto"/>
                <w:szCs w:val="21"/>
                <w:highlight w:val="none"/>
              </w:rPr>
            </w:pPr>
          </w:p>
        </w:tc>
        <w:tc>
          <w:tcPr>
            <w:tcW w:w="687" w:type="pct"/>
            <w:tcBorders>
              <w:top w:val="double" w:color="auto" w:sz="6" w:space="0"/>
            </w:tcBorders>
            <w:vAlign w:val="center"/>
          </w:tcPr>
          <w:p w14:paraId="39797874">
            <w:pPr>
              <w:keepNext/>
              <w:jc w:val="center"/>
              <w:rPr>
                <w:rFonts w:cs="宋体"/>
                <w:color w:val="auto"/>
                <w:szCs w:val="21"/>
                <w:highlight w:val="none"/>
              </w:rPr>
            </w:pPr>
          </w:p>
        </w:tc>
        <w:tc>
          <w:tcPr>
            <w:tcW w:w="802" w:type="pct"/>
            <w:tcBorders>
              <w:top w:val="double" w:color="auto" w:sz="6" w:space="0"/>
            </w:tcBorders>
            <w:vAlign w:val="center"/>
          </w:tcPr>
          <w:p w14:paraId="6633BE27">
            <w:pPr>
              <w:keepNext/>
              <w:jc w:val="center"/>
              <w:rPr>
                <w:rFonts w:cs="宋体"/>
                <w:color w:val="auto"/>
                <w:szCs w:val="21"/>
                <w:highlight w:val="none"/>
              </w:rPr>
            </w:pPr>
          </w:p>
        </w:tc>
        <w:tc>
          <w:tcPr>
            <w:tcW w:w="922" w:type="pct"/>
            <w:tcBorders>
              <w:top w:val="double" w:color="auto" w:sz="6" w:space="0"/>
            </w:tcBorders>
            <w:vAlign w:val="center"/>
          </w:tcPr>
          <w:p w14:paraId="5FAA7B66">
            <w:pPr>
              <w:keepNext/>
              <w:jc w:val="center"/>
              <w:rPr>
                <w:rFonts w:cs="宋体"/>
                <w:color w:val="auto"/>
                <w:szCs w:val="21"/>
                <w:highlight w:val="none"/>
              </w:rPr>
            </w:pPr>
          </w:p>
        </w:tc>
      </w:tr>
      <w:tr w14:paraId="611026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top w:val="nil"/>
            </w:tcBorders>
            <w:vAlign w:val="center"/>
          </w:tcPr>
          <w:p w14:paraId="379CA249">
            <w:pPr>
              <w:keepNext/>
              <w:jc w:val="center"/>
              <w:rPr>
                <w:rFonts w:cs="宋体"/>
                <w:color w:val="auto"/>
                <w:szCs w:val="21"/>
                <w:highlight w:val="none"/>
              </w:rPr>
            </w:pPr>
          </w:p>
        </w:tc>
        <w:tc>
          <w:tcPr>
            <w:tcW w:w="706" w:type="pct"/>
            <w:tcBorders>
              <w:top w:val="nil"/>
            </w:tcBorders>
            <w:vAlign w:val="center"/>
          </w:tcPr>
          <w:p w14:paraId="60EB2E7D">
            <w:pPr>
              <w:keepNext/>
              <w:jc w:val="center"/>
              <w:rPr>
                <w:rFonts w:cs="宋体"/>
                <w:color w:val="auto"/>
                <w:szCs w:val="21"/>
                <w:highlight w:val="none"/>
              </w:rPr>
            </w:pPr>
          </w:p>
        </w:tc>
        <w:tc>
          <w:tcPr>
            <w:tcW w:w="802" w:type="pct"/>
            <w:tcBorders>
              <w:top w:val="nil"/>
            </w:tcBorders>
            <w:vAlign w:val="center"/>
          </w:tcPr>
          <w:p w14:paraId="1B38062F">
            <w:pPr>
              <w:keepNext/>
              <w:jc w:val="center"/>
              <w:rPr>
                <w:rFonts w:cs="宋体"/>
                <w:color w:val="auto"/>
                <w:szCs w:val="21"/>
                <w:highlight w:val="none"/>
              </w:rPr>
            </w:pPr>
          </w:p>
        </w:tc>
        <w:tc>
          <w:tcPr>
            <w:tcW w:w="687" w:type="pct"/>
            <w:tcBorders>
              <w:top w:val="nil"/>
            </w:tcBorders>
            <w:vAlign w:val="center"/>
          </w:tcPr>
          <w:p w14:paraId="0940D773">
            <w:pPr>
              <w:keepNext/>
              <w:jc w:val="center"/>
              <w:rPr>
                <w:rFonts w:cs="宋体"/>
                <w:color w:val="auto"/>
                <w:szCs w:val="21"/>
                <w:highlight w:val="none"/>
              </w:rPr>
            </w:pPr>
          </w:p>
        </w:tc>
        <w:tc>
          <w:tcPr>
            <w:tcW w:w="802" w:type="pct"/>
            <w:tcBorders>
              <w:top w:val="nil"/>
            </w:tcBorders>
            <w:vAlign w:val="center"/>
          </w:tcPr>
          <w:p w14:paraId="77FE344D">
            <w:pPr>
              <w:keepNext/>
              <w:jc w:val="center"/>
              <w:rPr>
                <w:rFonts w:cs="宋体"/>
                <w:color w:val="auto"/>
                <w:szCs w:val="21"/>
                <w:highlight w:val="none"/>
              </w:rPr>
            </w:pPr>
          </w:p>
        </w:tc>
        <w:tc>
          <w:tcPr>
            <w:tcW w:w="922" w:type="pct"/>
            <w:tcBorders>
              <w:top w:val="nil"/>
            </w:tcBorders>
            <w:vAlign w:val="center"/>
          </w:tcPr>
          <w:p w14:paraId="41879AFA">
            <w:pPr>
              <w:keepNext/>
              <w:jc w:val="center"/>
              <w:rPr>
                <w:rFonts w:cs="宋体"/>
                <w:color w:val="auto"/>
                <w:szCs w:val="21"/>
                <w:highlight w:val="none"/>
              </w:rPr>
            </w:pPr>
          </w:p>
        </w:tc>
      </w:tr>
      <w:tr w14:paraId="042D14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14:paraId="33DCBAA1">
            <w:pPr>
              <w:jc w:val="center"/>
              <w:rPr>
                <w:rFonts w:cs="宋体"/>
                <w:color w:val="auto"/>
                <w:szCs w:val="21"/>
                <w:highlight w:val="none"/>
              </w:rPr>
            </w:pPr>
          </w:p>
        </w:tc>
        <w:tc>
          <w:tcPr>
            <w:tcW w:w="706" w:type="pct"/>
            <w:vAlign w:val="center"/>
          </w:tcPr>
          <w:p w14:paraId="2D66CBFC">
            <w:pPr>
              <w:jc w:val="center"/>
              <w:rPr>
                <w:rFonts w:cs="宋体"/>
                <w:color w:val="auto"/>
                <w:szCs w:val="21"/>
                <w:highlight w:val="none"/>
              </w:rPr>
            </w:pPr>
          </w:p>
        </w:tc>
        <w:tc>
          <w:tcPr>
            <w:tcW w:w="802" w:type="pct"/>
            <w:vAlign w:val="center"/>
          </w:tcPr>
          <w:p w14:paraId="55751855">
            <w:pPr>
              <w:jc w:val="center"/>
              <w:rPr>
                <w:rFonts w:cs="宋体"/>
                <w:color w:val="auto"/>
                <w:szCs w:val="21"/>
                <w:highlight w:val="none"/>
              </w:rPr>
            </w:pPr>
          </w:p>
        </w:tc>
        <w:tc>
          <w:tcPr>
            <w:tcW w:w="687" w:type="pct"/>
            <w:vAlign w:val="center"/>
          </w:tcPr>
          <w:p w14:paraId="076DC997">
            <w:pPr>
              <w:jc w:val="center"/>
              <w:rPr>
                <w:rFonts w:cs="宋体"/>
                <w:color w:val="auto"/>
                <w:szCs w:val="21"/>
                <w:highlight w:val="none"/>
              </w:rPr>
            </w:pPr>
          </w:p>
        </w:tc>
        <w:tc>
          <w:tcPr>
            <w:tcW w:w="802" w:type="pct"/>
            <w:vAlign w:val="center"/>
          </w:tcPr>
          <w:p w14:paraId="4FD28897">
            <w:pPr>
              <w:jc w:val="center"/>
              <w:rPr>
                <w:rFonts w:cs="宋体"/>
                <w:color w:val="auto"/>
                <w:szCs w:val="21"/>
                <w:highlight w:val="none"/>
              </w:rPr>
            </w:pPr>
          </w:p>
        </w:tc>
        <w:tc>
          <w:tcPr>
            <w:tcW w:w="922" w:type="pct"/>
            <w:vAlign w:val="center"/>
          </w:tcPr>
          <w:p w14:paraId="64E89AD6">
            <w:pPr>
              <w:jc w:val="center"/>
              <w:rPr>
                <w:rFonts w:cs="宋体"/>
                <w:color w:val="auto"/>
                <w:szCs w:val="21"/>
                <w:highlight w:val="none"/>
              </w:rPr>
            </w:pPr>
          </w:p>
        </w:tc>
      </w:tr>
      <w:tr w14:paraId="2E1EBD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14:paraId="5B611FE9">
            <w:pPr>
              <w:jc w:val="center"/>
              <w:rPr>
                <w:rFonts w:cs="宋体"/>
                <w:color w:val="auto"/>
                <w:szCs w:val="21"/>
                <w:highlight w:val="none"/>
              </w:rPr>
            </w:pPr>
          </w:p>
        </w:tc>
        <w:tc>
          <w:tcPr>
            <w:tcW w:w="706" w:type="pct"/>
            <w:vAlign w:val="center"/>
          </w:tcPr>
          <w:p w14:paraId="2443CB80">
            <w:pPr>
              <w:jc w:val="center"/>
              <w:rPr>
                <w:rFonts w:cs="宋体"/>
                <w:color w:val="auto"/>
                <w:szCs w:val="21"/>
                <w:highlight w:val="none"/>
              </w:rPr>
            </w:pPr>
          </w:p>
        </w:tc>
        <w:tc>
          <w:tcPr>
            <w:tcW w:w="802" w:type="pct"/>
            <w:vAlign w:val="center"/>
          </w:tcPr>
          <w:p w14:paraId="0F10973F">
            <w:pPr>
              <w:jc w:val="center"/>
              <w:rPr>
                <w:rFonts w:cs="宋体"/>
                <w:color w:val="auto"/>
                <w:szCs w:val="21"/>
                <w:highlight w:val="none"/>
              </w:rPr>
            </w:pPr>
          </w:p>
        </w:tc>
        <w:tc>
          <w:tcPr>
            <w:tcW w:w="687" w:type="pct"/>
            <w:vAlign w:val="center"/>
          </w:tcPr>
          <w:p w14:paraId="00DD9983">
            <w:pPr>
              <w:jc w:val="center"/>
              <w:rPr>
                <w:rFonts w:cs="宋体"/>
                <w:color w:val="auto"/>
                <w:szCs w:val="21"/>
                <w:highlight w:val="none"/>
              </w:rPr>
            </w:pPr>
          </w:p>
        </w:tc>
        <w:tc>
          <w:tcPr>
            <w:tcW w:w="802" w:type="pct"/>
            <w:vAlign w:val="center"/>
          </w:tcPr>
          <w:p w14:paraId="1AEC2475">
            <w:pPr>
              <w:jc w:val="center"/>
              <w:rPr>
                <w:rFonts w:cs="宋体"/>
                <w:color w:val="auto"/>
                <w:szCs w:val="21"/>
                <w:highlight w:val="none"/>
              </w:rPr>
            </w:pPr>
          </w:p>
        </w:tc>
        <w:tc>
          <w:tcPr>
            <w:tcW w:w="922" w:type="pct"/>
            <w:vAlign w:val="center"/>
          </w:tcPr>
          <w:p w14:paraId="2D03D46C">
            <w:pPr>
              <w:jc w:val="center"/>
              <w:rPr>
                <w:rFonts w:cs="宋体"/>
                <w:color w:val="auto"/>
                <w:szCs w:val="21"/>
                <w:highlight w:val="none"/>
              </w:rPr>
            </w:pPr>
          </w:p>
        </w:tc>
      </w:tr>
      <w:tr w14:paraId="66BB81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trPr>
        <w:tc>
          <w:tcPr>
            <w:tcW w:w="1080" w:type="pct"/>
            <w:tcBorders>
              <w:bottom w:val="single" w:color="auto" w:sz="12" w:space="0"/>
            </w:tcBorders>
            <w:vAlign w:val="center"/>
          </w:tcPr>
          <w:p w14:paraId="37BBE12E">
            <w:pPr>
              <w:jc w:val="center"/>
              <w:rPr>
                <w:rFonts w:cs="宋体"/>
                <w:color w:val="auto"/>
                <w:szCs w:val="21"/>
                <w:highlight w:val="none"/>
              </w:rPr>
            </w:pPr>
          </w:p>
        </w:tc>
        <w:tc>
          <w:tcPr>
            <w:tcW w:w="706" w:type="pct"/>
            <w:tcBorders>
              <w:bottom w:val="single" w:color="auto" w:sz="12" w:space="0"/>
            </w:tcBorders>
            <w:vAlign w:val="center"/>
          </w:tcPr>
          <w:p w14:paraId="3C364044">
            <w:pPr>
              <w:jc w:val="center"/>
              <w:rPr>
                <w:rFonts w:cs="宋体"/>
                <w:color w:val="auto"/>
                <w:szCs w:val="21"/>
                <w:highlight w:val="none"/>
              </w:rPr>
            </w:pPr>
          </w:p>
        </w:tc>
        <w:tc>
          <w:tcPr>
            <w:tcW w:w="802" w:type="pct"/>
            <w:tcBorders>
              <w:bottom w:val="single" w:color="auto" w:sz="12" w:space="0"/>
            </w:tcBorders>
            <w:vAlign w:val="center"/>
          </w:tcPr>
          <w:p w14:paraId="1905B4FA">
            <w:pPr>
              <w:jc w:val="center"/>
              <w:rPr>
                <w:rFonts w:cs="宋体"/>
                <w:color w:val="auto"/>
                <w:szCs w:val="21"/>
                <w:highlight w:val="none"/>
              </w:rPr>
            </w:pPr>
          </w:p>
        </w:tc>
        <w:tc>
          <w:tcPr>
            <w:tcW w:w="687" w:type="pct"/>
            <w:tcBorders>
              <w:bottom w:val="single" w:color="auto" w:sz="12" w:space="0"/>
            </w:tcBorders>
            <w:vAlign w:val="center"/>
          </w:tcPr>
          <w:p w14:paraId="1D7B8D1E">
            <w:pPr>
              <w:jc w:val="center"/>
              <w:rPr>
                <w:rFonts w:cs="宋体"/>
                <w:color w:val="auto"/>
                <w:szCs w:val="21"/>
                <w:highlight w:val="none"/>
              </w:rPr>
            </w:pPr>
          </w:p>
        </w:tc>
        <w:tc>
          <w:tcPr>
            <w:tcW w:w="802" w:type="pct"/>
            <w:tcBorders>
              <w:bottom w:val="single" w:color="auto" w:sz="12" w:space="0"/>
            </w:tcBorders>
            <w:vAlign w:val="center"/>
          </w:tcPr>
          <w:p w14:paraId="66319A94">
            <w:pPr>
              <w:jc w:val="center"/>
              <w:rPr>
                <w:rFonts w:cs="宋体"/>
                <w:color w:val="auto"/>
                <w:szCs w:val="21"/>
                <w:highlight w:val="none"/>
              </w:rPr>
            </w:pPr>
          </w:p>
        </w:tc>
        <w:tc>
          <w:tcPr>
            <w:tcW w:w="922" w:type="pct"/>
            <w:tcBorders>
              <w:bottom w:val="single" w:color="auto" w:sz="12" w:space="0"/>
            </w:tcBorders>
            <w:vAlign w:val="center"/>
          </w:tcPr>
          <w:p w14:paraId="5821108C">
            <w:pPr>
              <w:jc w:val="center"/>
              <w:rPr>
                <w:rFonts w:cs="宋体"/>
                <w:color w:val="auto"/>
                <w:szCs w:val="21"/>
                <w:highlight w:val="none"/>
              </w:rPr>
            </w:pPr>
          </w:p>
        </w:tc>
      </w:tr>
    </w:tbl>
    <w:p w14:paraId="46902590">
      <w:pPr>
        <w:spacing w:before="312" w:beforeLines="100" w:after="312" w:afterLines="100"/>
        <w:outlineLvl w:val="2"/>
        <w:rPr>
          <w:rFonts w:ascii="Times New Roman" w:eastAsia="黑体"/>
          <w:color w:val="auto"/>
          <w:szCs w:val="24"/>
          <w:highlight w:val="none"/>
        </w:rPr>
      </w:pPr>
      <w:bookmarkStart w:id="597" w:name="_Toc128950240"/>
      <w:r>
        <w:rPr>
          <w:rFonts w:hint="eastAsia" w:ascii="Times New Roman" w:eastAsia="黑体"/>
          <w:color w:val="auto"/>
          <w:szCs w:val="24"/>
          <w:highlight w:val="none"/>
        </w:rPr>
        <w:t>附</w:t>
      </w:r>
      <w:bookmarkStart w:id="598" w:name="_Toc296891267"/>
      <w:bookmarkStart w:id="599" w:name="_Toc267261698"/>
      <w:bookmarkStart w:id="600" w:name="_Toc296944566"/>
      <w:bookmarkStart w:id="601" w:name="_Toc296346728"/>
      <w:bookmarkStart w:id="602" w:name="_Toc296503227"/>
      <w:bookmarkStart w:id="603" w:name="_Toc296891055"/>
      <w:bookmarkStart w:id="604" w:name="_Toc296347226"/>
      <w:r>
        <w:rPr>
          <w:rFonts w:hint="eastAsia" w:ascii="Times New Roman" w:eastAsia="黑体"/>
          <w:color w:val="auto"/>
          <w:szCs w:val="24"/>
          <w:highlight w:val="none"/>
        </w:rPr>
        <w:t>件</w:t>
      </w:r>
      <w:r>
        <w:rPr>
          <w:rFonts w:ascii="Times New Roman" w:eastAsia="黑体"/>
          <w:color w:val="auto"/>
          <w:szCs w:val="24"/>
          <w:highlight w:val="none"/>
        </w:rPr>
        <w:t>5</w:t>
      </w:r>
      <w:r>
        <w:rPr>
          <w:rFonts w:hint="eastAsia" w:ascii="Times New Roman" w:eastAsia="黑体"/>
          <w:color w:val="auto"/>
          <w:szCs w:val="24"/>
          <w:highlight w:val="none"/>
        </w:rPr>
        <w:t>：承包人用于本工程施工的机械设备表</w:t>
      </w:r>
      <w:bookmarkEnd w:id="597"/>
    </w:p>
    <w:bookmarkEnd w:id="598"/>
    <w:bookmarkEnd w:id="599"/>
    <w:bookmarkEnd w:id="600"/>
    <w:bookmarkEnd w:id="601"/>
    <w:bookmarkEnd w:id="602"/>
    <w:bookmarkEnd w:id="603"/>
    <w:bookmarkEnd w:id="604"/>
    <w:p w14:paraId="281EF0FB">
      <w:pPr>
        <w:spacing w:before="156" w:beforeLines="50" w:after="156" w:afterLines="50"/>
        <w:jc w:val="center"/>
        <w:rPr>
          <w:rFonts w:cs="宋体"/>
          <w:color w:val="auto"/>
          <w:szCs w:val="21"/>
          <w:highlight w:val="none"/>
        </w:rPr>
      </w:pPr>
      <w:r>
        <w:rPr>
          <w:rFonts w:hint="eastAsia" w:cs="宋体"/>
          <w:color w:val="auto"/>
          <w:szCs w:val="21"/>
          <w:highlight w:val="none"/>
        </w:rPr>
        <w:t>承包人用于本工程施工的机械设备表</w:t>
      </w:r>
    </w:p>
    <w:tbl>
      <w:tblPr>
        <w:tblStyle w:val="55"/>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88"/>
        <w:gridCol w:w="1325"/>
        <w:gridCol w:w="793"/>
        <w:gridCol w:w="662"/>
        <w:gridCol w:w="793"/>
        <w:gridCol w:w="898"/>
        <w:gridCol w:w="1383"/>
        <w:gridCol w:w="952"/>
        <w:gridCol w:w="868"/>
      </w:tblGrid>
      <w:tr w14:paraId="0C77A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12" w:type="pct"/>
            <w:tcBorders>
              <w:top w:val="single" w:color="auto" w:sz="12" w:space="0"/>
              <w:bottom w:val="double" w:color="auto" w:sz="6" w:space="0"/>
            </w:tcBorders>
            <w:vAlign w:val="center"/>
          </w:tcPr>
          <w:p w14:paraId="35217834">
            <w:pPr>
              <w:keepNext/>
              <w:jc w:val="center"/>
              <w:rPr>
                <w:rFonts w:cs="宋体"/>
                <w:color w:val="auto"/>
                <w:szCs w:val="21"/>
                <w:highlight w:val="none"/>
              </w:rPr>
            </w:pPr>
            <w:r>
              <w:rPr>
                <w:rFonts w:hint="eastAsia" w:cs="宋体"/>
                <w:color w:val="auto"/>
                <w:szCs w:val="21"/>
                <w:highlight w:val="none"/>
              </w:rPr>
              <w:t>序号</w:t>
            </w:r>
          </w:p>
        </w:tc>
        <w:tc>
          <w:tcPr>
            <w:tcW w:w="792" w:type="pct"/>
            <w:tcBorders>
              <w:top w:val="single" w:color="auto" w:sz="12" w:space="0"/>
              <w:bottom w:val="double" w:color="auto" w:sz="6" w:space="0"/>
            </w:tcBorders>
            <w:vAlign w:val="center"/>
          </w:tcPr>
          <w:p w14:paraId="0C7B1978">
            <w:pPr>
              <w:keepNext/>
              <w:jc w:val="center"/>
              <w:rPr>
                <w:rFonts w:cs="宋体"/>
                <w:color w:val="auto"/>
                <w:szCs w:val="21"/>
                <w:highlight w:val="none"/>
              </w:rPr>
            </w:pPr>
            <w:r>
              <w:rPr>
                <w:rFonts w:hint="eastAsia" w:cs="宋体"/>
                <w:color w:val="auto"/>
                <w:szCs w:val="21"/>
                <w:highlight w:val="none"/>
              </w:rPr>
              <w:t>机械或设备名称</w:t>
            </w:r>
          </w:p>
        </w:tc>
        <w:tc>
          <w:tcPr>
            <w:tcW w:w="474" w:type="pct"/>
            <w:tcBorders>
              <w:top w:val="single" w:color="auto" w:sz="12" w:space="0"/>
              <w:bottom w:val="double" w:color="auto" w:sz="6" w:space="0"/>
            </w:tcBorders>
            <w:vAlign w:val="center"/>
          </w:tcPr>
          <w:p w14:paraId="56756377">
            <w:pPr>
              <w:keepNext/>
              <w:jc w:val="center"/>
              <w:rPr>
                <w:rFonts w:cs="宋体"/>
                <w:color w:val="auto"/>
                <w:szCs w:val="21"/>
                <w:highlight w:val="none"/>
              </w:rPr>
            </w:pPr>
            <w:r>
              <w:rPr>
                <w:rFonts w:hint="eastAsia" w:cs="宋体"/>
                <w:color w:val="auto"/>
                <w:szCs w:val="21"/>
                <w:highlight w:val="none"/>
              </w:rPr>
              <w:t>规格型号</w:t>
            </w:r>
          </w:p>
        </w:tc>
        <w:tc>
          <w:tcPr>
            <w:tcW w:w="396" w:type="pct"/>
            <w:tcBorders>
              <w:top w:val="single" w:color="auto" w:sz="12" w:space="0"/>
              <w:bottom w:val="double" w:color="auto" w:sz="6" w:space="0"/>
            </w:tcBorders>
            <w:vAlign w:val="center"/>
          </w:tcPr>
          <w:p w14:paraId="5D28195C">
            <w:pPr>
              <w:keepNext/>
              <w:jc w:val="center"/>
              <w:rPr>
                <w:rFonts w:cs="宋体"/>
                <w:color w:val="auto"/>
                <w:szCs w:val="21"/>
                <w:highlight w:val="none"/>
              </w:rPr>
            </w:pPr>
            <w:r>
              <w:rPr>
                <w:rFonts w:hint="eastAsia" w:cs="宋体"/>
                <w:color w:val="auto"/>
                <w:szCs w:val="21"/>
                <w:highlight w:val="none"/>
              </w:rPr>
              <w:t>数量</w:t>
            </w:r>
          </w:p>
        </w:tc>
        <w:tc>
          <w:tcPr>
            <w:tcW w:w="474" w:type="pct"/>
            <w:tcBorders>
              <w:top w:val="single" w:color="auto" w:sz="12" w:space="0"/>
              <w:bottom w:val="double" w:color="auto" w:sz="6" w:space="0"/>
            </w:tcBorders>
            <w:vAlign w:val="center"/>
          </w:tcPr>
          <w:p w14:paraId="734DF86A">
            <w:pPr>
              <w:keepNext/>
              <w:jc w:val="center"/>
              <w:rPr>
                <w:rFonts w:cs="宋体"/>
                <w:color w:val="auto"/>
                <w:szCs w:val="21"/>
                <w:highlight w:val="none"/>
              </w:rPr>
            </w:pPr>
            <w:r>
              <w:rPr>
                <w:rFonts w:hint="eastAsia" w:cs="宋体"/>
                <w:color w:val="auto"/>
                <w:szCs w:val="21"/>
                <w:highlight w:val="none"/>
              </w:rPr>
              <w:t>产地</w:t>
            </w:r>
          </w:p>
        </w:tc>
        <w:tc>
          <w:tcPr>
            <w:tcW w:w="537" w:type="pct"/>
            <w:tcBorders>
              <w:top w:val="single" w:color="auto" w:sz="12" w:space="0"/>
              <w:bottom w:val="double" w:color="auto" w:sz="6" w:space="0"/>
            </w:tcBorders>
            <w:vAlign w:val="center"/>
          </w:tcPr>
          <w:p w14:paraId="6B1241BB">
            <w:pPr>
              <w:keepNext/>
              <w:jc w:val="center"/>
              <w:rPr>
                <w:rFonts w:cs="宋体"/>
                <w:color w:val="auto"/>
                <w:szCs w:val="21"/>
                <w:highlight w:val="none"/>
              </w:rPr>
            </w:pPr>
            <w:r>
              <w:rPr>
                <w:rFonts w:hint="eastAsia" w:cs="宋体"/>
                <w:color w:val="auto"/>
                <w:szCs w:val="21"/>
                <w:highlight w:val="none"/>
              </w:rPr>
              <w:t>制造年份</w:t>
            </w:r>
          </w:p>
        </w:tc>
        <w:tc>
          <w:tcPr>
            <w:tcW w:w="827" w:type="pct"/>
            <w:tcBorders>
              <w:top w:val="single" w:color="auto" w:sz="12" w:space="0"/>
              <w:bottom w:val="double" w:color="auto" w:sz="6" w:space="0"/>
            </w:tcBorders>
            <w:vAlign w:val="center"/>
          </w:tcPr>
          <w:p w14:paraId="0AA4EB9F">
            <w:pPr>
              <w:keepNext/>
              <w:jc w:val="center"/>
              <w:rPr>
                <w:rFonts w:cs="宋体"/>
                <w:color w:val="auto"/>
                <w:szCs w:val="21"/>
                <w:highlight w:val="none"/>
              </w:rPr>
            </w:pPr>
            <w:r>
              <w:rPr>
                <w:rFonts w:hint="eastAsia" w:cs="宋体"/>
                <w:color w:val="auto"/>
                <w:szCs w:val="21"/>
                <w:highlight w:val="none"/>
              </w:rPr>
              <w:t>额定功率（kW)</w:t>
            </w:r>
          </w:p>
        </w:tc>
        <w:tc>
          <w:tcPr>
            <w:tcW w:w="569" w:type="pct"/>
            <w:tcBorders>
              <w:top w:val="single" w:color="auto" w:sz="12" w:space="0"/>
              <w:bottom w:val="double" w:color="auto" w:sz="6" w:space="0"/>
            </w:tcBorders>
            <w:vAlign w:val="center"/>
          </w:tcPr>
          <w:p w14:paraId="422679EA">
            <w:pPr>
              <w:keepNext/>
              <w:jc w:val="center"/>
              <w:rPr>
                <w:rFonts w:cs="宋体"/>
                <w:color w:val="auto"/>
                <w:szCs w:val="21"/>
                <w:highlight w:val="none"/>
              </w:rPr>
            </w:pPr>
            <w:r>
              <w:rPr>
                <w:rFonts w:hint="eastAsia" w:cs="宋体"/>
                <w:color w:val="auto"/>
                <w:szCs w:val="21"/>
                <w:highlight w:val="none"/>
              </w:rPr>
              <w:t>生产能力</w:t>
            </w:r>
          </w:p>
        </w:tc>
        <w:tc>
          <w:tcPr>
            <w:tcW w:w="519" w:type="pct"/>
            <w:tcBorders>
              <w:top w:val="single" w:color="auto" w:sz="12" w:space="0"/>
              <w:bottom w:val="double" w:color="auto" w:sz="6" w:space="0"/>
            </w:tcBorders>
            <w:vAlign w:val="center"/>
          </w:tcPr>
          <w:p w14:paraId="3BD55819">
            <w:pPr>
              <w:keepNext/>
              <w:jc w:val="center"/>
              <w:rPr>
                <w:rFonts w:cs="宋体"/>
                <w:color w:val="auto"/>
                <w:szCs w:val="21"/>
                <w:highlight w:val="none"/>
              </w:rPr>
            </w:pPr>
            <w:r>
              <w:rPr>
                <w:rFonts w:hint="eastAsia" w:cs="宋体"/>
                <w:color w:val="auto"/>
                <w:szCs w:val="21"/>
                <w:highlight w:val="none"/>
              </w:rPr>
              <w:t>备注</w:t>
            </w:r>
          </w:p>
        </w:tc>
      </w:tr>
      <w:tr w14:paraId="075AC5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tcBorders>
              <w:top w:val="double" w:color="auto" w:sz="6" w:space="0"/>
            </w:tcBorders>
            <w:vAlign w:val="center"/>
          </w:tcPr>
          <w:p w14:paraId="5D7A8F20">
            <w:pPr>
              <w:keepNext/>
              <w:jc w:val="center"/>
              <w:rPr>
                <w:rFonts w:cs="宋体"/>
                <w:color w:val="auto"/>
                <w:szCs w:val="21"/>
                <w:highlight w:val="none"/>
              </w:rPr>
            </w:pPr>
          </w:p>
        </w:tc>
        <w:tc>
          <w:tcPr>
            <w:tcW w:w="792" w:type="pct"/>
            <w:tcBorders>
              <w:top w:val="double" w:color="auto" w:sz="6" w:space="0"/>
            </w:tcBorders>
            <w:vAlign w:val="center"/>
          </w:tcPr>
          <w:p w14:paraId="20481A73">
            <w:pPr>
              <w:keepNext/>
              <w:jc w:val="center"/>
              <w:rPr>
                <w:rFonts w:cs="宋体"/>
                <w:color w:val="auto"/>
                <w:szCs w:val="21"/>
                <w:highlight w:val="none"/>
              </w:rPr>
            </w:pPr>
          </w:p>
        </w:tc>
        <w:tc>
          <w:tcPr>
            <w:tcW w:w="474" w:type="pct"/>
            <w:tcBorders>
              <w:top w:val="double" w:color="auto" w:sz="6" w:space="0"/>
            </w:tcBorders>
            <w:vAlign w:val="center"/>
          </w:tcPr>
          <w:p w14:paraId="3AF930B0">
            <w:pPr>
              <w:keepNext/>
              <w:jc w:val="center"/>
              <w:rPr>
                <w:rFonts w:cs="宋体"/>
                <w:color w:val="auto"/>
                <w:szCs w:val="21"/>
                <w:highlight w:val="none"/>
              </w:rPr>
            </w:pPr>
          </w:p>
        </w:tc>
        <w:tc>
          <w:tcPr>
            <w:tcW w:w="396" w:type="pct"/>
            <w:tcBorders>
              <w:top w:val="double" w:color="auto" w:sz="6" w:space="0"/>
            </w:tcBorders>
            <w:vAlign w:val="center"/>
          </w:tcPr>
          <w:p w14:paraId="3A058FBA">
            <w:pPr>
              <w:keepNext/>
              <w:jc w:val="center"/>
              <w:rPr>
                <w:rFonts w:cs="宋体"/>
                <w:color w:val="auto"/>
                <w:szCs w:val="21"/>
                <w:highlight w:val="none"/>
              </w:rPr>
            </w:pPr>
          </w:p>
        </w:tc>
        <w:tc>
          <w:tcPr>
            <w:tcW w:w="474" w:type="pct"/>
            <w:tcBorders>
              <w:top w:val="double" w:color="auto" w:sz="6" w:space="0"/>
            </w:tcBorders>
            <w:vAlign w:val="center"/>
          </w:tcPr>
          <w:p w14:paraId="5E14D776">
            <w:pPr>
              <w:keepNext/>
              <w:jc w:val="center"/>
              <w:rPr>
                <w:rFonts w:cs="宋体"/>
                <w:color w:val="auto"/>
                <w:szCs w:val="21"/>
                <w:highlight w:val="none"/>
              </w:rPr>
            </w:pPr>
          </w:p>
        </w:tc>
        <w:tc>
          <w:tcPr>
            <w:tcW w:w="537" w:type="pct"/>
            <w:tcBorders>
              <w:top w:val="double" w:color="auto" w:sz="6" w:space="0"/>
            </w:tcBorders>
            <w:vAlign w:val="center"/>
          </w:tcPr>
          <w:p w14:paraId="207DA7A4">
            <w:pPr>
              <w:keepNext/>
              <w:jc w:val="center"/>
              <w:rPr>
                <w:rFonts w:cs="宋体"/>
                <w:color w:val="auto"/>
                <w:szCs w:val="21"/>
                <w:highlight w:val="none"/>
              </w:rPr>
            </w:pPr>
          </w:p>
        </w:tc>
        <w:tc>
          <w:tcPr>
            <w:tcW w:w="827" w:type="pct"/>
            <w:tcBorders>
              <w:top w:val="double" w:color="auto" w:sz="6" w:space="0"/>
            </w:tcBorders>
            <w:vAlign w:val="center"/>
          </w:tcPr>
          <w:p w14:paraId="688741F5">
            <w:pPr>
              <w:keepNext/>
              <w:jc w:val="center"/>
              <w:rPr>
                <w:rFonts w:cs="宋体"/>
                <w:color w:val="auto"/>
                <w:szCs w:val="21"/>
                <w:highlight w:val="none"/>
              </w:rPr>
            </w:pPr>
          </w:p>
        </w:tc>
        <w:tc>
          <w:tcPr>
            <w:tcW w:w="569" w:type="pct"/>
            <w:tcBorders>
              <w:top w:val="double" w:color="auto" w:sz="6" w:space="0"/>
            </w:tcBorders>
            <w:vAlign w:val="center"/>
          </w:tcPr>
          <w:p w14:paraId="11B840E4">
            <w:pPr>
              <w:keepNext/>
              <w:jc w:val="center"/>
              <w:rPr>
                <w:rFonts w:cs="宋体"/>
                <w:color w:val="auto"/>
                <w:szCs w:val="21"/>
                <w:highlight w:val="none"/>
              </w:rPr>
            </w:pPr>
          </w:p>
        </w:tc>
        <w:tc>
          <w:tcPr>
            <w:tcW w:w="519" w:type="pct"/>
            <w:tcBorders>
              <w:top w:val="double" w:color="auto" w:sz="6" w:space="0"/>
            </w:tcBorders>
            <w:vAlign w:val="center"/>
          </w:tcPr>
          <w:p w14:paraId="1F6D7D24">
            <w:pPr>
              <w:keepNext/>
              <w:jc w:val="center"/>
              <w:rPr>
                <w:rFonts w:cs="宋体"/>
                <w:color w:val="auto"/>
                <w:szCs w:val="21"/>
                <w:highlight w:val="none"/>
              </w:rPr>
            </w:pPr>
          </w:p>
        </w:tc>
      </w:tr>
      <w:tr w14:paraId="1440CD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tcBorders>
              <w:top w:val="nil"/>
            </w:tcBorders>
            <w:vAlign w:val="center"/>
          </w:tcPr>
          <w:p w14:paraId="1DCEBBBB">
            <w:pPr>
              <w:keepNext/>
              <w:jc w:val="center"/>
              <w:rPr>
                <w:rFonts w:cs="宋体"/>
                <w:color w:val="auto"/>
                <w:szCs w:val="21"/>
                <w:highlight w:val="none"/>
              </w:rPr>
            </w:pPr>
          </w:p>
        </w:tc>
        <w:tc>
          <w:tcPr>
            <w:tcW w:w="792" w:type="pct"/>
            <w:tcBorders>
              <w:top w:val="nil"/>
            </w:tcBorders>
            <w:vAlign w:val="center"/>
          </w:tcPr>
          <w:p w14:paraId="042C2E82">
            <w:pPr>
              <w:keepNext/>
              <w:jc w:val="center"/>
              <w:rPr>
                <w:rFonts w:cs="宋体"/>
                <w:color w:val="auto"/>
                <w:szCs w:val="21"/>
                <w:highlight w:val="none"/>
              </w:rPr>
            </w:pPr>
          </w:p>
        </w:tc>
        <w:tc>
          <w:tcPr>
            <w:tcW w:w="474" w:type="pct"/>
            <w:tcBorders>
              <w:top w:val="nil"/>
            </w:tcBorders>
            <w:vAlign w:val="center"/>
          </w:tcPr>
          <w:p w14:paraId="0EF1B0D4">
            <w:pPr>
              <w:keepNext/>
              <w:jc w:val="center"/>
              <w:rPr>
                <w:rFonts w:cs="宋体"/>
                <w:color w:val="auto"/>
                <w:szCs w:val="21"/>
                <w:highlight w:val="none"/>
              </w:rPr>
            </w:pPr>
          </w:p>
        </w:tc>
        <w:tc>
          <w:tcPr>
            <w:tcW w:w="396" w:type="pct"/>
            <w:tcBorders>
              <w:top w:val="nil"/>
            </w:tcBorders>
            <w:vAlign w:val="center"/>
          </w:tcPr>
          <w:p w14:paraId="10826426">
            <w:pPr>
              <w:keepNext/>
              <w:jc w:val="center"/>
              <w:rPr>
                <w:rFonts w:cs="宋体"/>
                <w:color w:val="auto"/>
                <w:szCs w:val="21"/>
                <w:highlight w:val="none"/>
              </w:rPr>
            </w:pPr>
          </w:p>
        </w:tc>
        <w:tc>
          <w:tcPr>
            <w:tcW w:w="474" w:type="pct"/>
            <w:tcBorders>
              <w:top w:val="nil"/>
            </w:tcBorders>
            <w:vAlign w:val="center"/>
          </w:tcPr>
          <w:p w14:paraId="190FDDE3">
            <w:pPr>
              <w:keepNext/>
              <w:jc w:val="center"/>
              <w:rPr>
                <w:rFonts w:cs="宋体"/>
                <w:color w:val="auto"/>
                <w:szCs w:val="21"/>
                <w:highlight w:val="none"/>
              </w:rPr>
            </w:pPr>
          </w:p>
        </w:tc>
        <w:tc>
          <w:tcPr>
            <w:tcW w:w="537" w:type="pct"/>
            <w:tcBorders>
              <w:top w:val="nil"/>
            </w:tcBorders>
            <w:vAlign w:val="center"/>
          </w:tcPr>
          <w:p w14:paraId="1C35110C">
            <w:pPr>
              <w:keepNext/>
              <w:jc w:val="center"/>
              <w:rPr>
                <w:rFonts w:cs="宋体"/>
                <w:color w:val="auto"/>
                <w:szCs w:val="21"/>
                <w:highlight w:val="none"/>
              </w:rPr>
            </w:pPr>
          </w:p>
        </w:tc>
        <w:tc>
          <w:tcPr>
            <w:tcW w:w="827" w:type="pct"/>
            <w:tcBorders>
              <w:top w:val="nil"/>
            </w:tcBorders>
            <w:vAlign w:val="center"/>
          </w:tcPr>
          <w:p w14:paraId="7CC923D5">
            <w:pPr>
              <w:keepNext/>
              <w:jc w:val="center"/>
              <w:rPr>
                <w:rFonts w:cs="宋体"/>
                <w:color w:val="auto"/>
                <w:szCs w:val="21"/>
                <w:highlight w:val="none"/>
              </w:rPr>
            </w:pPr>
          </w:p>
        </w:tc>
        <w:tc>
          <w:tcPr>
            <w:tcW w:w="569" w:type="pct"/>
            <w:tcBorders>
              <w:top w:val="nil"/>
            </w:tcBorders>
            <w:vAlign w:val="center"/>
          </w:tcPr>
          <w:p w14:paraId="613B9BE5">
            <w:pPr>
              <w:keepNext/>
              <w:jc w:val="center"/>
              <w:rPr>
                <w:rFonts w:cs="宋体"/>
                <w:color w:val="auto"/>
                <w:szCs w:val="21"/>
                <w:highlight w:val="none"/>
              </w:rPr>
            </w:pPr>
          </w:p>
        </w:tc>
        <w:tc>
          <w:tcPr>
            <w:tcW w:w="519" w:type="pct"/>
            <w:tcBorders>
              <w:top w:val="nil"/>
            </w:tcBorders>
            <w:vAlign w:val="center"/>
          </w:tcPr>
          <w:p w14:paraId="767EC3BF">
            <w:pPr>
              <w:keepNext/>
              <w:jc w:val="center"/>
              <w:rPr>
                <w:rFonts w:cs="宋体"/>
                <w:color w:val="auto"/>
                <w:szCs w:val="21"/>
                <w:highlight w:val="none"/>
              </w:rPr>
            </w:pPr>
          </w:p>
        </w:tc>
      </w:tr>
      <w:tr w14:paraId="5AC0D0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vAlign w:val="center"/>
          </w:tcPr>
          <w:p w14:paraId="7F19D5ED">
            <w:pPr>
              <w:jc w:val="center"/>
              <w:rPr>
                <w:rFonts w:cs="宋体"/>
                <w:color w:val="auto"/>
                <w:szCs w:val="21"/>
                <w:highlight w:val="none"/>
              </w:rPr>
            </w:pPr>
          </w:p>
        </w:tc>
        <w:tc>
          <w:tcPr>
            <w:tcW w:w="792" w:type="pct"/>
            <w:vAlign w:val="center"/>
          </w:tcPr>
          <w:p w14:paraId="54BBB7B4">
            <w:pPr>
              <w:jc w:val="center"/>
              <w:rPr>
                <w:rFonts w:cs="宋体"/>
                <w:color w:val="auto"/>
                <w:szCs w:val="21"/>
                <w:highlight w:val="none"/>
              </w:rPr>
            </w:pPr>
          </w:p>
        </w:tc>
        <w:tc>
          <w:tcPr>
            <w:tcW w:w="474" w:type="pct"/>
            <w:vAlign w:val="center"/>
          </w:tcPr>
          <w:p w14:paraId="5C134097">
            <w:pPr>
              <w:jc w:val="center"/>
              <w:rPr>
                <w:rFonts w:cs="宋体"/>
                <w:color w:val="auto"/>
                <w:szCs w:val="21"/>
                <w:highlight w:val="none"/>
              </w:rPr>
            </w:pPr>
          </w:p>
        </w:tc>
        <w:tc>
          <w:tcPr>
            <w:tcW w:w="396" w:type="pct"/>
            <w:vAlign w:val="center"/>
          </w:tcPr>
          <w:p w14:paraId="66929AB2">
            <w:pPr>
              <w:jc w:val="center"/>
              <w:rPr>
                <w:rFonts w:cs="宋体"/>
                <w:color w:val="auto"/>
                <w:szCs w:val="21"/>
                <w:highlight w:val="none"/>
              </w:rPr>
            </w:pPr>
          </w:p>
        </w:tc>
        <w:tc>
          <w:tcPr>
            <w:tcW w:w="474" w:type="pct"/>
            <w:vAlign w:val="center"/>
          </w:tcPr>
          <w:p w14:paraId="1BF8E46C">
            <w:pPr>
              <w:jc w:val="center"/>
              <w:rPr>
                <w:rFonts w:cs="宋体"/>
                <w:color w:val="auto"/>
                <w:szCs w:val="21"/>
                <w:highlight w:val="none"/>
              </w:rPr>
            </w:pPr>
          </w:p>
        </w:tc>
        <w:tc>
          <w:tcPr>
            <w:tcW w:w="537" w:type="pct"/>
            <w:vAlign w:val="center"/>
          </w:tcPr>
          <w:p w14:paraId="4988D191">
            <w:pPr>
              <w:jc w:val="center"/>
              <w:rPr>
                <w:rFonts w:cs="宋体"/>
                <w:color w:val="auto"/>
                <w:szCs w:val="21"/>
                <w:highlight w:val="none"/>
              </w:rPr>
            </w:pPr>
          </w:p>
        </w:tc>
        <w:tc>
          <w:tcPr>
            <w:tcW w:w="827" w:type="pct"/>
            <w:vAlign w:val="center"/>
          </w:tcPr>
          <w:p w14:paraId="6FC15C35">
            <w:pPr>
              <w:jc w:val="center"/>
              <w:rPr>
                <w:rFonts w:cs="宋体"/>
                <w:color w:val="auto"/>
                <w:szCs w:val="21"/>
                <w:highlight w:val="none"/>
              </w:rPr>
            </w:pPr>
          </w:p>
        </w:tc>
        <w:tc>
          <w:tcPr>
            <w:tcW w:w="569" w:type="pct"/>
            <w:vAlign w:val="center"/>
          </w:tcPr>
          <w:p w14:paraId="661E7AFC">
            <w:pPr>
              <w:jc w:val="center"/>
              <w:rPr>
                <w:rFonts w:cs="宋体"/>
                <w:color w:val="auto"/>
                <w:szCs w:val="21"/>
                <w:highlight w:val="none"/>
              </w:rPr>
            </w:pPr>
          </w:p>
        </w:tc>
        <w:tc>
          <w:tcPr>
            <w:tcW w:w="519" w:type="pct"/>
            <w:vAlign w:val="center"/>
          </w:tcPr>
          <w:p w14:paraId="2EF96365">
            <w:pPr>
              <w:jc w:val="center"/>
              <w:rPr>
                <w:rFonts w:cs="宋体"/>
                <w:color w:val="auto"/>
                <w:szCs w:val="21"/>
                <w:highlight w:val="none"/>
              </w:rPr>
            </w:pPr>
          </w:p>
        </w:tc>
      </w:tr>
      <w:tr w14:paraId="389B1D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vAlign w:val="center"/>
          </w:tcPr>
          <w:p w14:paraId="13A3A02D">
            <w:pPr>
              <w:jc w:val="center"/>
              <w:rPr>
                <w:rFonts w:cs="宋体"/>
                <w:color w:val="auto"/>
                <w:szCs w:val="21"/>
                <w:highlight w:val="none"/>
              </w:rPr>
            </w:pPr>
          </w:p>
        </w:tc>
        <w:tc>
          <w:tcPr>
            <w:tcW w:w="792" w:type="pct"/>
            <w:vAlign w:val="center"/>
          </w:tcPr>
          <w:p w14:paraId="4B95D18D">
            <w:pPr>
              <w:jc w:val="center"/>
              <w:rPr>
                <w:rFonts w:cs="宋体"/>
                <w:color w:val="auto"/>
                <w:szCs w:val="21"/>
                <w:highlight w:val="none"/>
              </w:rPr>
            </w:pPr>
          </w:p>
        </w:tc>
        <w:tc>
          <w:tcPr>
            <w:tcW w:w="474" w:type="pct"/>
            <w:vAlign w:val="center"/>
          </w:tcPr>
          <w:p w14:paraId="20965875">
            <w:pPr>
              <w:jc w:val="center"/>
              <w:rPr>
                <w:rFonts w:cs="宋体"/>
                <w:color w:val="auto"/>
                <w:szCs w:val="21"/>
                <w:highlight w:val="none"/>
              </w:rPr>
            </w:pPr>
          </w:p>
        </w:tc>
        <w:tc>
          <w:tcPr>
            <w:tcW w:w="396" w:type="pct"/>
            <w:vAlign w:val="center"/>
          </w:tcPr>
          <w:p w14:paraId="0C1EAA2A">
            <w:pPr>
              <w:jc w:val="center"/>
              <w:rPr>
                <w:rFonts w:cs="宋体"/>
                <w:color w:val="auto"/>
                <w:szCs w:val="21"/>
                <w:highlight w:val="none"/>
              </w:rPr>
            </w:pPr>
          </w:p>
        </w:tc>
        <w:tc>
          <w:tcPr>
            <w:tcW w:w="474" w:type="pct"/>
            <w:vAlign w:val="center"/>
          </w:tcPr>
          <w:p w14:paraId="1FD1BBF0">
            <w:pPr>
              <w:jc w:val="center"/>
              <w:rPr>
                <w:rFonts w:cs="宋体"/>
                <w:color w:val="auto"/>
                <w:szCs w:val="21"/>
                <w:highlight w:val="none"/>
              </w:rPr>
            </w:pPr>
          </w:p>
        </w:tc>
        <w:tc>
          <w:tcPr>
            <w:tcW w:w="537" w:type="pct"/>
            <w:vAlign w:val="center"/>
          </w:tcPr>
          <w:p w14:paraId="1DF5CB66">
            <w:pPr>
              <w:jc w:val="center"/>
              <w:rPr>
                <w:rFonts w:cs="宋体"/>
                <w:color w:val="auto"/>
                <w:szCs w:val="21"/>
                <w:highlight w:val="none"/>
              </w:rPr>
            </w:pPr>
          </w:p>
        </w:tc>
        <w:tc>
          <w:tcPr>
            <w:tcW w:w="827" w:type="pct"/>
            <w:vAlign w:val="center"/>
          </w:tcPr>
          <w:p w14:paraId="6492CE62">
            <w:pPr>
              <w:jc w:val="center"/>
              <w:rPr>
                <w:rFonts w:cs="宋体"/>
                <w:color w:val="auto"/>
                <w:szCs w:val="21"/>
                <w:highlight w:val="none"/>
              </w:rPr>
            </w:pPr>
          </w:p>
        </w:tc>
        <w:tc>
          <w:tcPr>
            <w:tcW w:w="569" w:type="pct"/>
            <w:vAlign w:val="center"/>
          </w:tcPr>
          <w:p w14:paraId="09805F93">
            <w:pPr>
              <w:jc w:val="center"/>
              <w:rPr>
                <w:rFonts w:cs="宋体"/>
                <w:color w:val="auto"/>
                <w:szCs w:val="21"/>
                <w:highlight w:val="none"/>
              </w:rPr>
            </w:pPr>
          </w:p>
        </w:tc>
        <w:tc>
          <w:tcPr>
            <w:tcW w:w="519" w:type="pct"/>
            <w:vAlign w:val="center"/>
          </w:tcPr>
          <w:p w14:paraId="42378160">
            <w:pPr>
              <w:jc w:val="center"/>
              <w:rPr>
                <w:rFonts w:cs="宋体"/>
                <w:color w:val="auto"/>
                <w:szCs w:val="21"/>
                <w:highlight w:val="none"/>
              </w:rPr>
            </w:pPr>
          </w:p>
        </w:tc>
      </w:tr>
      <w:tr w14:paraId="29A0EC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tcBorders>
              <w:bottom w:val="single" w:color="auto" w:sz="12" w:space="0"/>
            </w:tcBorders>
            <w:vAlign w:val="center"/>
          </w:tcPr>
          <w:p w14:paraId="754DD642">
            <w:pPr>
              <w:jc w:val="center"/>
              <w:rPr>
                <w:rFonts w:cs="宋体"/>
                <w:color w:val="auto"/>
                <w:szCs w:val="21"/>
                <w:highlight w:val="none"/>
              </w:rPr>
            </w:pPr>
          </w:p>
        </w:tc>
        <w:tc>
          <w:tcPr>
            <w:tcW w:w="792" w:type="pct"/>
            <w:tcBorders>
              <w:bottom w:val="single" w:color="auto" w:sz="12" w:space="0"/>
            </w:tcBorders>
            <w:vAlign w:val="center"/>
          </w:tcPr>
          <w:p w14:paraId="464EC5AB">
            <w:pPr>
              <w:jc w:val="center"/>
              <w:rPr>
                <w:rFonts w:cs="宋体"/>
                <w:color w:val="auto"/>
                <w:szCs w:val="21"/>
                <w:highlight w:val="none"/>
              </w:rPr>
            </w:pPr>
          </w:p>
        </w:tc>
        <w:tc>
          <w:tcPr>
            <w:tcW w:w="474" w:type="pct"/>
            <w:tcBorders>
              <w:bottom w:val="single" w:color="auto" w:sz="12" w:space="0"/>
            </w:tcBorders>
            <w:vAlign w:val="center"/>
          </w:tcPr>
          <w:p w14:paraId="4D2B0DC0">
            <w:pPr>
              <w:jc w:val="center"/>
              <w:rPr>
                <w:rFonts w:cs="宋体"/>
                <w:color w:val="auto"/>
                <w:szCs w:val="21"/>
                <w:highlight w:val="none"/>
              </w:rPr>
            </w:pPr>
          </w:p>
        </w:tc>
        <w:tc>
          <w:tcPr>
            <w:tcW w:w="396" w:type="pct"/>
            <w:tcBorders>
              <w:bottom w:val="single" w:color="auto" w:sz="12" w:space="0"/>
            </w:tcBorders>
            <w:vAlign w:val="center"/>
          </w:tcPr>
          <w:p w14:paraId="7A37BE94">
            <w:pPr>
              <w:jc w:val="center"/>
              <w:rPr>
                <w:rFonts w:cs="宋体"/>
                <w:color w:val="auto"/>
                <w:szCs w:val="21"/>
                <w:highlight w:val="none"/>
              </w:rPr>
            </w:pPr>
          </w:p>
        </w:tc>
        <w:tc>
          <w:tcPr>
            <w:tcW w:w="474" w:type="pct"/>
            <w:tcBorders>
              <w:bottom w:val="single" w:color="auto" w:sz="12" w:space="0"/>
            </w:tcBorders>
            <w:vAlign w:val="center"/>
          </w:tcPr>
          <w:p w14:paraId="4F732BF1">
            <w:pPr>
              <w:jc w:val="center"/>
              <w:rPr>
                <w:rFonts w:cs="宋体"/>
                <w:color w:val="auto"/>
                <w:szCs w:val="21"/>
                <w:highlight w:val="none"/>
              </w:rPr>
            </w:pPr>
          </w:p>
        </w:tc>
        <w:tc>
          <w:tcPr>
            <w:tcW w:w="537" w:type="pct"/>
            <w:tcBorders>
              <w:bottom w:val="single" w:color="auto" w:sz="12" w:space="0"/>
            </w:tcBorders>
            <w:vAlign w:val="center"/>
          </w:tcPr>
          <w:p w14:paraId="32B2184A">
            <w:pPr>
              <w:jc w:val="center"/>
              <w:rPr>
                <w:rFonts w:cs="宋体"/>
                <w:color w:val="auto"/>
                <w:szCs w:val="21"/>
                <w:highlight w:val="none"/>
              </w:rPr>
            </w:pPr>
          </w:p>
        </w:tc>
        <w:tc>
          <w:tcPr>
            <w:tcW w:w="827" w:type="pct"/>
            <w:tcBorders>
              <w:bottom w:val="single" w:color="auto" w:sz="12" w:space="0"/>
            </w:tcBorders>
            <w:vAlign w:val="center"/>
          </w:tcPr>
          <w:p w14:paraId="3954AD06">
            <w:pPr>
              <w:jc w:val="center"/>
              <w:rPr>
                <w:rFonts w:cs="宋体"/>
                <w:color w:val="auto"/>
                <w:szCs w:val="21"/>
                <w:highlight w:val="none"/>
              </w:rPr>
            </w:pPr>
          </w:p>
        </w:tc>
        <w:tc>
          <w:tcPr>
            <w:tcW w:w="569" w:type="pct"/>
            <w:tcBorders>
              <w:bottom w:val="single" w:color="auto" w:sz="12" w:space="0"/>
            </w:tcBorders>
            <w:vAlign w:val="center"/>
          </w:tcPr>
          <w:p w14:paraId="161D320A">
            <w:pPr>
              <w:jc w:val="center"/>
              <w:rPr>
                <w:rFonts w:cs="宋体"/>
                <w:color w:val="auto"/>
                <w:szCs w:val="21"/>
                <w:highlight w:val="none"/>
              </w:rPr>
            </w:pPr>
          </w:p>
        </w:tc>
        <w:tc>
          <w:tcPr>
            <w:tcW w:w="519" w:type="pct"/>
            <w:tcBorders>
              <w:bottom w:val="single" w:color="auto" w:sz="12" w:space="0"/>
            </w:tcBorders>
            <w:vAlign w:val="center"/>
          </w:tcPr>
          <w:p w14:paraId="4FE28A99">
            <w:pPr>
              <w:jc w:val="center"/>
              <w:rPr>
                <w:rFonts w:cs="宋体"/>
                <w:color w:val="auto"/>
                <w:szCs w:val="21"/>
                <w:highlight w:val="none"/>
              </w:rPr>
            </w:pPr>
          </w:p>
        </w:tc>
      </w:tr>
    </w:tbl>
    <w:p w14:paraId="2C376A9C">
      <w:pPr>
        <w:spacing w:before="312" w:beforeLines="100" w:after="312" w:afterLines="100"/>
        <w:outlineLvl w:val="2"/>
        <w:rPr>
          <w:rFonts w:ascii="Times New Roman" w:eastAsia="黑体"/>
          <w:color w:val="auto"/>
          <w:szCs w:val="24"/>
          <w:highlight w:val="none"/>
        </w:rPr>
      </w:pPr>
      <w:r>
        <w:rPr>
          <w:rFonts w:hint="eastAsia" w:cs="宋体"/>
          <w:bCs/>
          <w:color w:val="auto"/>
          <w:highlight w:val="none"/>
        </w:rPr>
        <w:br w:type="page"/>
      </w:r>
      <w:bookmarkStart w:id="605" w:name="_Toc128950241"/>
      <w:r>
        <w:rPr>
          <w:rFonts w:hint="eastAsia" w:ascii="Times New Roman" w:eastAsia="黑体"/>
          <w:color w:val="auto"/>
          <w:szCs w:val="24"/>
          <w:highlight w:val="none"/>
        </w:rPr>
        <w:t>附</w:t>
      </w:r>
      <w:bookmarkStart w:id="606" w:name="_Toc296891056"/>
      <w:bookmarkStart w:id="607" w:name="_Toc296346729"/>
      <w:bookmarkStart w:id="608" w:name="_Toc296503228"/>
      <w:bookmarkStart w:id="609" w:name="_Toc296891268"/>
      <w:bookmarkStart w:id="610" w:name="_Toc296944567"/>
      <w:bookmarkStart w:id="611" w:name="_Toc267261699"/>
      <w:bookmarkStart w:id="612" w:name="_Toc296347227"/>
      <w:r>
        <w:rPr>
          <w:rFonts w:hint="eastAsia" w:ascii="Times New Roman" w:eastAsia="黑体"/>
          <w:color w:val="auto"/>
          <w:szCs w:val="24"/>
          <w:highlight w:val="none"/>
        </w:rPr>
        <w:t>件</w:t>
      </w:r>
      <w:bookmarkEnd w:id="606"/>
      <w:bookmarkEnd w:id="607"/>
      <w:bookmarkEnd w:id="608"/>
      <w:bookmarkEnd w:id="609"/>
      <w:bookmarkEnd w:id="610"/>
      <w:bookmarkEnd w:id="611"/>
      <w:bookmarkEnd w:id="612"/>
      <w:r>
        <w:rPr>
          <w:rFonts w:ascii="Times New Roman" w:eastAsia="黑体"/>
          <w:color w:val="auto"/>
          <w:szCs w:val="24"/>
          <w:highlight w:val="none"/>
        </w:rPr>
        <w:t>6</w:t>
      </w:r>
      <w:r>
        <w:rPr>
          <w:rFonts w:hint="eastAsia" w:ascii="Times New Roman" w:eastAsia="黑体"/>
          <w:color w:val="auto"/>
          <w:szCs w:val="24"/>
          <w:highlight w:val="none"/>
        </w:rPr>
        <w:t>：承包人主要施工管理人员表</w:t>
      </w:r>
      <w:bookmarkEnd w:id="605"/>
    </w:p>
    <w:p w14:paraId="79AB893E">
      <w:pPr>
        <w:spacing w:line="360" w:lineRule="auto"/>
        <w:jc w:val="center"/>
        <w:rPr>
          <w:rFonts w:cs="宋体"/>
          <w:color w:val="auto"/>
          <w:highlight w:val="none"/>
        </w:rPr>
      </w:pPr>
      <w:r>
        <w:rPr>
          <w:rFonts w:hint="eastAsia" w:cs="宋体"/>
          <w:color w:val="auto"/>
          <w:highlight w:val="none"/>
        </w:rPr>
        <w:t>承包人主要施工管理人员表</w:t>
      </w:r>
    </w:p>
    <w:tbl>
      <w:tblPr>
        <w:tblStyle w:val="55"/>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66"/>
        <w:gridCol w:w="1049"/>
        <w:gridCol w:w="840"/>
        <w:gridCol w:w="840"/>
        <w:gridCol w:w="2142"/>
        <w:gridCol w:w="1925"/>
      </w:tblGrid>
      <w:tr w14:paraId="483F25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tcBorders>
              <w:top w:val="single" w:color="auto" w:sz="12" w:space="0"/>
              <w:bottom w:val="double" w:color="auto" w:sz="6" w:space="0"/>
            </w:tcBorders>
            <w:vAlign w:val="center"/>
          </w:tcPr>
          <w:p w14:paraId="600DFF61">
            <w:pPr>
              <w:keepNext/>
              <w:spacing w:line="360" w:lineRule="auto"/>
              <w:jc w:val="center"/>
              <w:rPr>
                <w:rFonts w:cs="宋体"/>
                <w:color w:val="auto"/>
                <w:szCs w:val="21"/>
                <w:highlight w:val="none"/>
              </w:rPr>
            </w:pPr>
            <w:r>
              <w:rPr>
                <w:rFonts w:hint="eastAsia" w:cs="宋体"/>
                <w:color w:val="auto"/>
                <w:szCs w:val="21"/>
                <w:highlight w:val="none"/>
              </w:rPr>
              <w:t>名称</w:t>
            </w:r>
          </w:p>
        </w:tc>
        <w:tc>
          <w:tcPr>
            <w:tcW w:w="627" w:type="pct"/>
            <w:tcBorders>
              <w:top w:val="single" w:color="auto" w:sz="12" w:space="0"/>
              <w:bottom w:val="double" w:color="auto" w:sz="6" w:space="0"/>
            </w:tcBorders>
            <w:vAlign w:val="center"/>
          </w:tcPr>
          <w:p w14:paraId="5D3F6993">
            <w:pPr>
              <w:keepNext/>
              <w:spacing w:line="360" w:lineRule="auto"/>
              <w:jc w:val="center"/>
              <w:rPr>
                <w:rFonts w:cs="宋体"/>
                <w:color w:val="auto"/>
                <w:szCs w:val="21"/>
                <w:highlight w:val="none"/>
              </w:rPr>
            </w:pPr>
            <w:r>
              <w:rPr>
                <w:rFonts w:hint="eastAsia" w:cs="宋体"/>
                <w:color w:val="auto"/>
                <w:szCs w:val="21"/>
                <w:highlight w:val="none"/>
              </w:rPr>
              <w:t>姓名</w:t>
            </w:r>
          </w:p>
        </w:tc>
        <w:tc>
          <w:tcPr>
            <w:tcW w:w="502" w:type="pct"/>
            <w:tcBorders>
              <w:top w:val="single" w:color="auto" w:sz="12" w:space="0"/>
              <w:bottom w:val="double" w:color="auto" w:sz="6" w:space="0"/>
            </w:tcBorders>
            <w:vAlign w:val="center"/>
          </w:tcPr>
          <w:p w14:paraId="0D5636DB">
            <w:pPr>
              <w:keepNext/>
              <w:spacing w:line="360" w:lineRule="auto"/>
              <w:jc w:val="center"/>
              <w:rPr>
                <w:rFonts w:cs="宋体"/>
                <w:color w:val="auto"/>
                <w:szCs w:val="21"/>
                <w:highlight w:val="none"/>
              </w:rPr>
            </w:pPr>
            <w:r>
              <w:rPr>
                <w:rFonts w:hint="eastAsia" w:cs="宋体"/>
                <w:color w:val="auto"/>
                <w:szCs w:val="21"/>
                <w:highlight w:val="none"/>
              </w:rPr>
              <w:t>职务</w:t>
            </w:r>
          </w:p>
        </w:tc>
        <w:tc>
          <w:tcPr>
            <w:tcW w:w="502" w:type="pct"/>
            <w:tcBorders>
              <w:top w:val="single" w:color="auto" w:sz="12" w:space="0"/>
              <w:bottom w:val="double" w:color="auto" w:sz="6" w:space="0"/>
            </w:tcBorders>
            <w:vAlign w:val="center"/>
          </w:tcPr>
          <w:p w14:paraId="1B562247">
            <w:pPr>
              <w:keepNext/>
              <w:spacing w:line="360" w:lineRule="auto"/>
              <w:jc w:val="center"/>
              <w:rPr>
                <w:rFonts w:cs="宋体"/>
                <w:color w:val="auto"/>
                <w:szCs w:val="21"/>
                <w:highlight w:val="none"/>
              </w:rPr>
            </w:pPr>
            <w:r>
              <w:rPr>
                <w:rFonts w:hint="eastAsia" w:cs="宋体"/>
                <w:color w:val="auto"/>
                <w:szCs w:val="21"/>
                <w:highlight w:val="none"/>
              </w:rPr>
              <w:t>职称</w:t>
            </w:r>
          </w:p>
        </w:tc>
        <w:tc>
          <w:tcPr>
            <w:tcW w:w="1281" w:type="pct"/>
            <w:tcBorders>
              <w:top w:val="single" w:color="auto" w:sz="12" w:space="0"/>
              <w:bottom w:val="double" w:color="auto" w:sz="6" w:space="0"/>
            </w:tcBorders>
            <w:vAlign w:val="center"/>
          </w:tcPr>
          <w:p w14:paraId="25224D21">
            <w:pPr>
              <w:keepNext/>
              <w:spacing w:line="360" w:lineRule="auto"/>
              <w:jc w:val="center"/>
              <w:rPr>
                <w:rFonts w:cs="宋体"/>
                <w:color w:val="auto"/>
                <w:szCs w:val="21"/>
                <w:highlight w:val="none"/>
              </w:rPr>
            </w:pPr>
            <w:r>
              <w:rPr>
                <w:rFonts w:hint="eastAsia" w:cs="宋体"/>
                <w:color w:val="auto"/>
                <w:szCs w:val="21"/>
                <w:highlight w:val="none"/>
              </w:rPr>
              <w:t>主要资历、经验及承担过的项目</w:t>
            </w:r>
          </w:p>
        </w:tc>
        <w:tc>
          <w:tcPr>
            <w:tcW w:w="1151" w:type="pct"/>
            <w:tcBorders>
              <w:top w:val="single" w:color="auto" w:sz="12" w:space="0"/>
              <w:bottom w:val="double" w:color="auto" w:sz="6" w:space="0"/>
            </w:tcBorders>
            <w:vAlign w:val="center"/>
          </w:tcPr>
          <w:p w14:paraId="0FEF9089">
            <w:pPr>
              <w:keepNext/>
              <w:spacing w:line="360" w:lineRule="auto"/>
              <w:jc w:val="center"/>
              <w:rPr>
                <w:rFonts w:cs="宋体"/>
                <w:color w:val="auto"/>
                <w:szCs w:val="21"/>
                <w:highlight w:val="none"/>
              </w:rPr>
            </w:pPr>
            <w:r>
              <w:rPr>
                <w:rFonts w:hint="eastAsia" w:cs="宋体"/>
                <w:color w:val="auto"/>
                <w:szCs w:val="21"/>
                <w:highlight w:val="none"/>
              </w:rPr>
              <w:t>身份证号码</w:t>
            </w:r>
          </w:p>
        </w:tc>
      </w:tr>
      <w:tr w14:paraId="1DA059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849" w:type="pct"/>
            <w:gridSpan w:val="5"/>
            <w:tcBorders>
              <w:top w:val="double" w:color="auto" w:sz="6" w:space="0"/>
            </w:tcBorders>
            <w:vAlign w:val="center"/>
          </w:tcPr>
          <w:p w14:paraId="5C1A6E18">
            <w:pPr>
              <w:keepNext/>
              <w:spacing w:line="360" w:lineRule="auto"/>
              <w:jc w:val="center"/>
              <w:rPr>
                <w:rFonts w:cs="宋体"/>
                <w:color w:val="auto"/>
                <w:szCs w:val="21"/>
                <w:highlight w:val="none"/>
              </w:rPr>
            </w:pPr>
            <w:r>
              <w:rPr>
                <w:rFonts w:hint="eastAsia" w:cs="宋体"/>
                <w:color w:val="auto"/>
                <w:szCs w:val="21"/>
                <w:highlight w:val="none"/>
              </w:rPr>
              <w:t>一、总部人员</w:t>
            </w:r>
          </w:p>
        </w:tc>
        <w:tc>
          <w:tcPr>
            <w:tcW w:w="1151" w:type="pct"/>
            <w:tcBorders>
              <w:top w:val="double" w:color="auto" w:sz="6" w:space="0"/>
            </w:tcBorders>
            <w:vAlign w:val="center"/>
          </w:tcPr>
          <w:p w14:paraId="2E34C854">
            <w:pPr>
              <w:keepNext/>
              <w:spacing w:line="360" w:lineRule="auto"/>
              <w:jc w:val="center"/>
              <w:rPr>
                <w:rFonts w:cs="宋体"/>
                <w:color w:val="auto"/>
                <w:szCs w:val="21"/>
                <w:highlight w:val="none"/>
              </w:rPr>
            </w:pPr>
          </w:p>
        </w:tc>
      </w:tr>
      <w:tr w14:paraId="59C46D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tcBorders>
              <w:top w:val="nil"/>
              <w:bottom w:val="nil"/>
            </w:tcBorders>
            <w:vAlign w:val="center"/>
          </w:tcPr>
          <w:p w14:paraId="404AE1A2">
            <w:pPr>
              <w:spacing w:line="360" w:lineRule="auto"/>
              <w:jc w:val="center"/>
              <w:rPr>
                <w:rFonts w:cs="宋体"/>
                <w:color w:val="auto"/>
                <w:szCs w:val="21"/>
                <w:highlight w:val="none"/>
              </w:rPr>
            </w:pPr>
            <w:r>
              <w:rPr>
                <w:rFonts w:hint="eastAsia" w:cs="宋体"/>
                <w:color w:val="auto"/>
                <w:szCs w:val="21"/>
                <w:highlight w:val="none"/>
              </w:rPr>
              <w:t>项目主管</w:t>
            </w:r>
          </w:p>
        </w:tc>
        <w:tc>
          <w:tcPr>
            <w:tcW w:w="627" w:type="pct"/>
            <w:tcBorders>
              <w:top w:val="nil"/>
            </w:tcBorders>
            <w:vAlign w:val="center"/>
          </w:tcPr>
          <w:p w14:paraId="415FDBEC">
            <w:pPr>
              <w:keepNext/>
              <w:spacing w:line="360" w:lineRule="auto"/>
              <w:jc w:val="center"/>
              <w:rPr>
                <w:rFonts w:cs="宋体"/>
                <w:color w:val="auto"/>
                <w:szCs w:val="21"/>
                <w:highlight w:val="none"/>
              </w:rPr>
            </w:pPr>
          </w:p>
        </w:tc>
        <w:tc>
          <w:tcPr>
            <w:tcW w:w="502" w:type="pct"/>
            <w:tcBorders>
              <w:top w:val="nil"/>
            </w:tcBorders>
            <w:vAlign w:val="center"/>
          </w:tcPr>
          <w:p w14:paraId="24FD7573">
            <w:pPr>
              <w:keepNext/>
              <w:spacing w:line="360" w:lineRule="auto"/>
              <w:jc w:val="center"/>
              <w:rPr>
                <w:rFonts w:cs="宋体"/>
                <w:color w:val="auto"/>
                <w:szCs w:val="21"/>
                <w:highlight w:val="none"/>
              </w:rPr>
            </w:pPr>
          </w:p>
        </w:tc>
        <w:tc>
          <w:tcPr>
            <w:tcW w:w="502" w:type="pct"/>
            <w:tcBorders>
              <w:top w:val="nil"/>
            </w:tcBorders>
            <w:vAlign w:val="center"/>
          </w:tcPr>
          <w:p w14:paraId="3DC25A3E">
            <w:pPr>
              <w:keepNext/>
              <w:spacing w:line="360" w:lineRule="auto"/>
              <w:jc w:val="center"/>
              <w:rPr>
                <w:rFonts w:cs="宋体"/>
                <w:color w:val="auto"/>
                <w:szCs w:val="21"/>
                <w:highlight w:val="none"/>
              </w:rPr>
            </w:pPr>
          </w:p>
        </w:tc>
        <w:tc>
          <w:tcPr>
            <w:tcW w:w="1281" w:type="pct"/>
            <w:tcBorders>
              <w:top w:val="nil"/>
            </w:tcBorders>
            <w:vAlign w:val="center"/>
          </w:tcPr>
          <w:p w14:paraId="632C365A">
            <w:pPr>
              <w:keepNext/>
              <w:spacing w:line="360" w:lineRule="auto"/>
              <w:jc w:val="center"/>
              <w:rPr>
                <w:rFonts w:cs="宋体"/>
                <w:color w:val="auto"/>
                <w:szCs w:val="21"/>
                <w:highlight w:val="none"/>
              </w:rPr>
            </w:pPr>
          </w:p>
        </w:tc>
        <w:tc>
          <w:tcPr>
            <w:tcW w:w="1151" w:type="pct"/>
            <w:tcBorders>
              <w:top w:val="nil"/>
            </w:tcBorders>
            <w:vAlign w:val="center"/>
          </w:tcPr>
          <w:p w14:paraId="286545CD">
            <w:pPr>
              <w:keepNext/>
              <w:spacing w:line="360" w:lineRule="auto"/>
              <w:jc w:val="center"/>
              <w:rPr>
                <w:rFonts w:cs="宋体"/>
                <w:color w:val="auto"/>
                <w:szCs w:val="21"/>
                <w:highlight w:val="none"/>
              </w:rPr>
            </w:pPr>
          </w:p>
        </w:tc>
      </w:tr>
      <w:tr w14:paraId="04AC06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restart"/>
            <w:vAlign w:val="center"/>
          </w:tcPr>
          <w:p w14:paraId="36D89E3E">
            <w:pPr>
              <w:spacing w:line="360" w:lineRule="auto"/>
              <w:jc w:val="center"/>
              <w:rPr>
                <w:rFonts w:cs="宋体"/>
                <w:color w:val="auto"/>
                <w:szCs w:val="21"/>
                <w:highlight w:val="none"/>
              </w:rPr>
            </w:pPr>
            <w:r>
              <w:rPr>
                <w:rFonts w:hint="eastAsia" w:cs="宋体"/>
                <w:color w:val="auto"/>
                <w:szCs w:val="21"/>
                <w:highlight w:val="none"/>
              </w:rPr>
              <w:t>其他人员</w:t>
            </w:r>
          </w:p>
        </w:tc>
        <w:tc>
          <w:tcPr>
            <w:tcW w:w="627" w:type="pct"/>
            <w:vAlign w:val="center"/>
          </w:tcPr>
          <w:p w14:paraId="07C5BAA5">
            <w:pPr>
              <w:keepNext/>
              <w:spacing w:line="360" w:lineRule="auto"/>
              <w:jc w:val="center"/>
              <w:rPr>
                <w:rFonts w:cs="宋体"/>
                <w:color w:val="auto"/>
                <w:szCs w:val="21"/>
                <w:highlight w:val="none"/>
              </w:rPr>
            </w:pPr>
          </w:p>
        </w:tc>
        <w:tc>
          <w:tcPr>
            <w:tcW w:w="502" w:type="pct"/>
            <w:vAlign w:val="center"/>
          </w:tcPr>
          <w:p w14:paraId="262D8C9C">
            <w:pPr>
              <w:keepNext/>
              <w:spacing w:line="360" w:lineRule="auto"/>
              <w:jc w:val="center"/>
              <w:rPr>
                <w:rFonts w:cs="宋体"/>
                <w:color w:val="auto"/>
                <w:szCs w:val="21"/>
                <w:highlight w:val="none"/>
              </w:rPr>
            </w:pPr>
          </w:p>
        </w:tc>
        <w:tc>
          <w:tcPr>
            <w:tcW w:w="502" w:type="pct"/>
            <w:vAlign w:val="center"/>
          </w:tcPr>
          <w:p w14:paraId="4DAA18D0">
            <w:pPr>
              <w:keepNext/>
              <w:spacing w:line="360" w:lineRule="auto"/>
              <w:jc w:val="center"/>
              <w:rPr>
                <w:rFonts w:cs="宋体"/>
                <w:color w:val="auto"/>
                <w:szCs w:val="21"/>
                <w:highlight w:val="none"/>
              </w:rPr>
            </w:pPr>
          </w:p>
        </w:tc>
        <w:tc>
          <w:tcPr>
            <w:tcW w:w="1281" w:type="pct"/>
            <w:vAlign w:val="center"/>
          </w:tcPr>
          <w:p w14:paraId="2EC2FE8C">
            <w:pPr>
              <w:keepNext/>
              <w:spacing w:line="360" w:lineRule="auto"/>
              <w:jc w:val="center"/>
              <w:rPr>
                <w:rFonts w:cs="宋体"/>
                <w:color w:val="auto"/>
                <w:szCs w:val="21"/>
                <w:highlight w:val="none"/>
              </w:rPr>
            </w:pPr>
          </w:p>
        </w:tc>
        <w:tc>
          <w:tcPr>
            <w:tcW w:w="1151" w:type="pct"/>
            <w:vAlign w:val="center"/>
          </w:tcPr>
          <w:p w14:paraId="5CD64D0C">
            <w:pPr>
              <w:keepNext/>
              <w:spacing w:line="360" w:lineRule="auto"/>
              <w:jc w:val="center"/>
              <w:rPr>
                <w:rFonts w:cs="宋体"/>
                <w:color w:val="auto"/>
                <w:szCs w:val="21"/>
                <w:highlight w:val="none"/>
              </w:rPr>
            </w:pPr>
          </w:p>
        </w:tc>
      </w:tr>
      <w:tr w14:paraId="19BFE6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14:paraId="0911432A">
            <w:pPr>
              <w:spacing w:line="360" w:lineRule="auto"/>
              <w:jc w:val="center"/>
              <w:rPr>
                <w:rFonts w:cs="宋体"/>
                <w:color w:val="auto"/>
                <w:szCs w:val="21"/>
                <w:highlight w:val="none"/>
              </w:rPr>
            </w:pPr>
          </w:p>
        </w:tc>
        <w:tc>
          <w:tcPr>
            <w:tcW w:w="627" w:type="pct"/>
            <w:vAlign w:val="center"/>
          </w:tcPr>
          <w:p w14:paraId="06A27F2F">
            <w:pPr>
              <w:keepNext/>
              <w:spacing w:line="360" w:lineRule="auto"/>
              <w:jc w:val="center"/>
              <w:rPr>
                <w:rFonts w:cs="宋体"/>
                <w:color w:val="auto"/>
                <w:szCs w:val="21"/>
                <w:highlight w:val="none"/>
              </w:rPr>
            </w:pPr>
          </w:p>
        </w:tc>
        <w:tc>
          <w:tcPr>
            <w:tcW w:w="502" w:type="pct"/>
            <w:vAlign w:val="center"/>
          </w:tcPr>
          <w:p w14:paraId="41605F13">
            <w:pPr>
              <w:keepNext/>
              <w:spacing w:line="360" w:lineRule="auto"/>
              <w:jc w:val="center"/>
              <w:rPr>
                <w:rFonts w:cs="宋体"/>
                <w:color w:val="auto"/>
                <w:szCs w:val="21"/>
                <w:highlight w:val="none"/>
              </w:rPr>
            </w:pPr>
          </w:p>
        </w:tc>
        <w:tc>
          <w:tcPr>
            <w:tcW w:w="502" w:type="pct"/>
            <w:vAlign w:val="center"/>
          </w:tcPr>
          <w:p w14:paraId="7D389C02">
            <w:pPr>
              <w:keepNext/>
              <w:spacing w:line="360" w:lineRule="auto"/>
              <w:jc w:val="center"/>
              <w:rPr>
                <w:rFonts w:cs="宋体"/>
                <w:color w:val="auto"/>
                <w:szCs w:val="21"/>
                <w:highlight w:val="none"/>
              </w:rPr>
            </w:pPr>
          </w:p>
        </w:tc>
        <w:tc>
          <w:tcPr>
            <w:tcW w:w="1281" w:type="pct"/>
            <w:vAlign w:val="center"/>
          </w:tcPr>
          <w:p w14:paraId="4C85C54E">
            <w:pPr>
              <w:keepNext/>
              <w:spacing w:line="360" w:lineRule="auto"/>
              <w:jc w:val="center"/>
              <w:rPr>
                <w:rFonts w:cs="宋体"/>
                <w:color w:val="auto"/>
                <w:szCs w:val="21"/>
                <w:highlight w:val="none"/>
              </w:rPr>
            </w:pPr>
          </w:p>
        </w:tc>
        <w:tc>
          <w:tcPr>
            <w:tcW w:w="1151" w:type="pct"/>
            <w:vAlign w:val="center"/>
          </w:tcPr>
          <w:p w14:paraId="53824455">
            <w:pPr>
              <w:keepNext/>
              <w:spacing w:line="360" w:lineRule="auto"/>
              <w:jc w:val="center"/>
              <w:rPr>
                <w:rFonts w:cs="宋体"/>
                <w:color w:val="auto"/>
                <w:szCs w:val="21"/>
                <w:highlight w:val="none"/>
              </w:rPr>
            </w:pPr>
          </w:p>
        </w:tc>
      </w:tr>
      <w:tr w14:paraId="3F055A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tcBorders>
              <w:bottom w:val="nil"/>
            </w:tcBorders>
            <w:vAlign w:val="center"/>
          </w:tcPr>
          <w:p w14:paraId="29A11480">
            <w:pPr>
              <w:spacing w:line="360" w:lineRule="auto"/>
              <w:jc w:val="center"/>
              <w:rPr>
                <w:rFonts w:cs="宋体"/>
                <w:color w:val="auto"/>
                <w:szCs w:val="21"/>
                <w:highlight w:val="none"/>
              </w:rPr>
            </w:pPr>
          </w:p>
        </w:tc>
        <w:tc>
          <w:tcPr>
            <w:tcW w:w="627" w:type="pct"/>
            <w:vAlign w:val="center"/>
          </w:tcPr>
          <w:p w14:paraId="0E212A0B">
            <w:pPr>
              <w:keepNext/>
              <w:spacing w:line="360" w:lineRule="auto"/>
              <w:jc w:val="center"/>
              <w:rPr>
                <w:rFonts w:cs="宋体"/>
                <w:color w:val="auto"/>
                <w:szCs w:val="21"/>
                <w:highlight w:val="none"/>
              </w:rPr>
            </w:pPr>
          </w:p>
        </w:tc>
        <w:tc>
          <w:tcPr>
            <w:tcW w:w="502" w:type="pct"/>
            <w:vAlign w:val="center"/>
          </w:tcPr>
          <w:p w14:paraId="0F7451B6">
            <w:pPr>
              <w:keepNext/>
              <w:spacing w:line="360" w:lineRule="auto"/>
              <w:jc w:val="center"/>
              <w:rPr>
                <w:rFonts w:cs="宋体"/>
                <w:color w:val="auto"/>
                <w:szCs w:val="21"/>
                <w:highlight w:val="none"/>
              </w:rPr>
            </w:pPr>
          </w:p>
        </w:tc>
        <w:tc>
          <w:tcPr>
            <w:tcW w:w="502" w:type="pct"/>
            <w:vAlign w:val="center"/>
          </w:tcPr>
          <w:p w14:paraId="1392C4E7">
            <w:pPr>
              <w:keepNext/>
              <w:spacing w:line="360" w:lineRule="auto"/>
              <w:jc w:val="center"/>
              <w:rPr>
                <w:rFonts w:cs="宋体"/>
                <w:color w:val="auto"/>
                <w:szCs w:val="21"/>
                <w:highlight w:val="none"/>
              </w:rPr>
            </w:pPr>
          </w:p>
        </w:tc>
        <w:tc>
          <w:tcPr>
            <w:tcW w:w="1281" w:type="pct"/>
            <w:vAlign w:val="center"/>
          </w:tcPr>
          <w:p w14:paraId="5B4A9073">
            <w:pPr>
              <w:keepNext/>
              <w:spacing w:line="360" w:lineRule="auto"/>
              <w:jc w:val="center"/>
              <w:rPr>
                <w:rFonts w:cs="宋体"/>
                <w:color w:val="auto"/>
                <w:szCs w:val="21"/>
                <w:highlight w:val="none"/>
              </w:rPr>
            </w:pPr>
          </w:p>
        </w:tc>
        <w:tc>
          <w:tcPr>
            <w:tcW w:w="1151" w:type="pct"/>
            <w:vAlign w:val="center"/>
          </w:tcPr>
          <w:p w14:paraId="2E85CDB1">
            <w:pPr>
              <w:keepNext/>
              <w:spacing w:line="360" w:lineRule="auto"/>
              <w:jc w:val="center"/>
              <w:rPr>
                <w:rFonts w:cs="宋体"/>
                <w:color w:val="auto"/>
                <w:szCs w:val="21"/>
                <w:highlight w:val="none"/>
              </w:rPr>
            </w:pPr>
          </w:p>
        </w:tc>
      </w:tr>
      <w:tr w14:paraId="444651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849" w:type="pct"/>
            <w:gridSpan w:val="5"/>
            <w:vAlign w:val="center"/>
          </w:tcPr>
          <w:p w14:paraId="5CC70AC5">
            <w:pPr>
              <w:keepNext/>
              <w:spacing w:line="360" w:lineRule="auto"/>
              <w:jc w:val="center"/>
              <w:rPr>
                <w:rFonts w:cs="宋体"/>
                <w:color w:val="auto"/>
                <w:szCs w:val="21"/>
                <w:highlight w:val="none"/>
              </w:rPr>
            </w:pPr>
            <w:r>
              <w:rPr>
                <w:rFonts w:hint="eastAsia" w:cs="宋体"/>
                <w:color w:val="auto"/>
                <w:szCs w:val="21"/>
                <w:highlight w:val="none"/>
              </w:rPr>
              <w:t>二、现场人员</w:t>
            </w:r>
          </w:p>
        </w:tc>
        <w:tc>
          <w:tcPr>
            <w:tcW w:w="1151" w:type="pct"/>
            <w:vAlign w:val="center"/>
          </w:tcPr>
          <w:p w14:paraId="75AE934D">
            <w:pPr>
              <w:keepNext/>
              <w:spacing w:line="360" w:lineRule="auto"/>
              <w:jc w:val="center"/>
              <w:rPr>
                <w:rFonts w:cs="宋体"/>
                <w:color w:val="auto"/>
                <w:szCs w:val="21"/>
                <w:highlight w:val="none"/>
              </w:rPr>
            </w:pPr>
          </w:p>
        </w:tc>
      </w:tr>
      <w:tr w14:paraId="273AB4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14:paraId="6227C449">
            <w:pPr>
              <w:spacing w:line="360" w:lineRule="auto"/>
              <w:jc w:val="center"/>
              <w:rPr>
                <w:rFonts w:cs="宋体"/>
                <w:color w:val="auto"/>
                <w:szCs w:val="21"/>
                <w:highlight w:val="none"/>
              </w:rPr>
            </w:pPr>
            <w:r>
              <w:rPr>
                <w:rFonts w:hint="eastAsia" w:cs="宋体"/>
                <w:color w:val="auto"/>
                <w:szCs w:val="21"/>
                <w:highlight w:val="none"/>
              </w:rPr>
              <w:t>项目经理</w:t>
            </w:r>
          </w:p>
        </w:tc>
        <w:tc>
          <w:tcPr>
            <w:tcW w:w="627" w:type="pct"/>
            <w:vAlign w:val="center"/>
          </w:tcPr>
          <w:p w14:paraId="5D77DC6D">
            <w:pPr>
              <w:keepNext/>
              <w:spacing w:line="360" w:lineRule="auto"/>
              <w:jc w:val="center"/>
              <w:rPr>
                <w:rFonts w:cs="宋体"/>
                <w:color w:val="auto"/>
                <w:szCs w:val="21"/>
                <w:highlight w:val="none"/>
              </w:rPr>
            </w:pPr>
          </w:p>
        </w:tc>
        <w:tc>
          <w:tcPr>
            <w:tcW w:w="502" w:type="pct"/>
            <w:vAlign w:val="center"/>
          </w:tcPr>
          <w:p w14:paraId="4881413C">
            <w:pPr>
              <w:keepNext/>
              <w:spacing w:line="360" w:lineRule="auto"/>
              <w:jc w:val="center"/>
              <w:rPr>
                <w:rFonts w:cs="宋体"/>
                <w:color w:val="auto"/>
                <w:szCs w:val="21"/>
                <w:highlight w:val="none"/>
              </w:rPr>
            </w:pPr>
          </w:p>
        </w:tc>
        <w:tc>
          <w:tcPr>
            <w:tcW w:w="502" w:type="pct"/>
            <w:vAlign w:val="center"/>
          </w:tcPr>
          <w:p w14:paraId="25CA5AAB">
            <w:pPr>
              <w:keepNext/>
              <w:spacing w:line="360" w:lineRule="auto"/>
              <w:jc w:val="center"/>
              <w:rPr>
                <w:rFonts w:cs="宋体"/>
                <w:color w:val="auto"/>
                <w:szCs w:val="21"/>
                <w:highlight w:val="none"/>
              </w:rPr>
            </w:pPr>
          </w:p>
        </w:tc>
        <w:tc>
          <w:tcPr>
            <w:tcW w:w="1281" w:type="pct"/>
            <w:vAlign w:val="center"/>
          </w:tcPr>
          <w:p w14:paraId="07FA62B0">
            <w:pPr>
              <w:keepNext/>
              <w:spacing w:line="360" w:lineRule="auto"/>
              <w:jc w:val="center"/>
              <w:rPr>
                <w:rFonts w:cs="宋体"/>
                <w:color w:val="auto"/>
                <w:szCs w:val="21"/>
                <w:highlight w:val="none"/>
              </w:rPr>
            </w:pPr>
          </w:p>
        </w:tc>
        <w:tc>
          <w:tcPr>
            <w:tcW w:w="1151" w:type="pct"/>
            <w:vAlign w:val="center"/>
          </w:tcPr>
          <w:p w14:paraId="1A7C41CC">
            <w:pPr>
              <w:keepNext/>
              <w:spacing w:line="360" w:lineRule="auto"/>
              <w:jc w:val="center"/>
              <w:rPr>
                <w:rFonts w:cs="宋体"/>
                <w:color w:val="auto"/>
                <w:szCs w:val="21"/>
                <w:highlight w:val="none"/>
              </w:rPr>
            </w:pPr>
          </w:p>
        </w:tc>
      </w:tr>
      <w:tr w14:paraId="19E82D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14:paraId="74592846">
            <w:pPr>
              <w:spacing w:line="360" w:lineRule="auto"/>
              <w:jc w:val="center"/>
              <w:rPr>
                <w:rFonts w:cs="宋体"/>
                <w:color w:val="auto"/>
                <w:szCs w:val="21"/>
                <w:highlight w:val="none"/>
              </w:rPr>
            </w:pPr>
            <w:r>
              <w:rPr>
                <w:rFonts w:hint="eastAsia" w:cs="宋体"/>
                <w:color w:val="auto"/>
                <w:szCs w:val="21"/>
                <w:highlight w:val="none"/>
              </w:rPr>
              <w:t>项目副经理</w:t>
            </w:r>
          </w:p>
        </w:tc>
        <w:tc>
          <w:tcPr>
            <w:tcW w:w="627" w:type="pct"/>
            <w:vAlign w:val="center"/>
          </w:tcPr>
          <w:p w14:paraId="423C73EB">
            <w:pPr>
              <w:keepNext/>
              <w:spacing w:line="360" w:lineRule="auto"/>
              <w:jc w:val="center"/>
              <w:rPr>
                <w:rFonts w:cs="宋体"/>
                <w:color w:val="auto"/>
                <w:szCs w:val="21"/>
                <w:highlight w:val="none"/>
              </w:rPr>
            </w:pPr>
          </w:p>
        </w:tc>
        <w:tc>
          <w:tcPr>
            <w:tcW w:w="502" w:type="pct"/>
            <w:vAlign w:val="center"/>
          </w:tcPr>
          <w:p w14:paraId="04A6CB2B">
            <w:pPr>
              <w:keepNext/>
              <w:spacing w:line="360" w:lineRule="auto"/>
              <w:jc w:val="center"/>
              <w:rPr>
                <w:rFonts w:cs="宋体"/>
                <w:color w:val="auto"/>
                <w:szCs w:val="21"/>
                <w:highlight w:val="none"/>
              </w:rPr>
            </w:pPr>
          </w:p>
        </w:tc>
        <w:tc>
          <w:tcPr>
            <w:tcW w:w="502" w:type="pct"/>
            <w:vAlign w:val="center"/>
          </w:tcPr>
          <w:p w14:paraId="6F90FD94">
            <w:pPr>
              <w:keepNext/>
              <w:spacing w:line="360" w:lineRule="auto"/>
              <w:jc w:val="center"/>
              <w:rPr>
                <w:rFonts w:cs="宋体"/>
                <w:color w:val="auto"/>
                <w:szCs w:val="21"/>
                <w:highlight w:val="none"/>
              </w:rPr>
            </w:pPr>
          </w:p>
        </w:tc>
        <w:tc>
          <w:tcPr>
            <w:tcW w:w="1281" w:type="pct"/>
            <w:vAlign w:val="center"/>
          </w:tcPr>
          <w:p w14:paraId="6FB8AFA5">
            <w:pPr>
              <w:keepNext/>
              <w:spacing w:line="360" w:lineRule="auto"/>
              <w:jc w:val="center"/>
              <w:rPr>
                <w:rFonts w:cs="宋体"/>
                <w:color w:val="auto"/>
                <w:szCs w:val="21"/>
                <w:highlight w:val="none"/>
              </w:rPr>
            </w:pPr>
          </w:p>
        </w:tc>
        <w:tc>
          <w:tcPr>
            <w:tcW w:w="1151" w:type="pct"/>
            <w:vAlign w:val="center"/>
          </w:tcPr>
          <w:p w14:paraId="65604C77">
            <w:pPr>
              <w:keepNext/>
              <w:spacing w:line="360" w:lineRule="auto"/>
              <w:jc w:val="center"/>
              <w:rPr>
                <w:rFonts w:cs="宋体"/>
                <w:color w:val="auto"/>
                <w:szCs w:val="21"/>
                <w:highlight w:val="none"/>
              </w:rPr>
            </w:pPr>
          </w:p>
        </w:tc>
      </w:tr>
      <w:tr w14:paraId="45267B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14:paraId="7A92EF06">
            <w:pPr>
              <w:spacing w:line="360" w:lineRule="auto"/>
              <w:jc w:val="center"/>
              <w:rPr>
                <w:rFonts w:cs="宋体"/>
                <w:color w:val="auto"/>
                <w:szCs w:val="21"/>
                <w:highlight w:val="none"/>
              </w:rPr>
            </w:pPr>
            <w:r>
              <w:rPr>
                <w:rFonts w:hint="eastAsia" w:cs="宋体"/>
                <w:color w:val="auto"/>
                <w:szCs w:val="21"/>
                <w:highlight w:val="none"/>
              </w:rPr>
              <w:t>项目技术负责人</w:t>
            </w:r>
          </w:p>
        </w:tc>
        <w:tc>
          <w:tcPr>
            <w:tcW w:w="627" w:type="pct"/>
            <w:vAlign w:val="center"/>
          </w:tcPr>
          <w:p w14:paraId="322EE4BD">
            <w:pPr>
              <w:keepNext/>
              <w:spacing w:line="360" w:lineRule="auto"/>
              <w:jc w:val="center"/>
              <w:rPr>
                <w:rFonts w:cs="宋体"/>
                <w:color w:val="auto"/>
                <w:szCs w:val="21"/>
                <w:highlight w:val="none"/>
              </w:rPr>
            </w:pPr>
          </w:p>
        </w:tc>
        <w:tc>
          <w:tcPr>
            <w:tcW w:w="502" w:type="pct"/>
            <w:vAlign w:val="center"/>
          </w:tcPr>
          <w:p w14:paraId="3CA4E195">
            <w:pPr>
              <w:keepNext/>
              <w:spacing w:line="360" w:lineRule="auto"/>
              <w:jc w:val="center"/>
              <w:rPr>
                <w:rFonts w:cs="宋体"/>
                <w:color w:val="auto"/>
                <w:szCs w:val="21"/>
                <w:highlight w:val="none"/>
              </w:rPr>
            </w:pPr>
          </w:p>
        </w:tc>
        <w:tc>
          <w:tcPr>
            <w:tcW w:w="502" w:type="pct"/>
            <w:vAlign w:val="center"/>
          </w:tcPr>
          <w:p w14:paraId="5428547F">
            <w:pPr>
              <w:keepNext/>
              <w:spacing w:line="360" w:lineRule="auto"/>
              <w:jc w:val="center"/>
              <w:rPr>
                <w:rFonts w:cs="宋体"/>
                <w:color w:val="auto"/>
                <w:szCs w:val="21"/>
                <w:highlight w:val="none"/>
              </w:rPr>
            </w:pPr>
          </w:p>
        </w:tc>
        <w:tc>
          <w:tcPr>
            <w:tcW w:w="1281" w:type="pct"/>
            <w:vAlign w:val="center"/>
          </w:tcPr>
          <w:p w14:paraId="7524DB89">
            <w:pPr>
              <w:keepNext/>
              <w:spacing w:line="360" w:lineRule="auto"/>
              <w:jc w:val="center"/>
              <w:rPr>
                <w:rFonts w:cs="宋体"/>
                <w:color w:val="auto"/>
                <w:szCs w:val="21"/>
                <w:highlight w:val="none"/>
              </w:rPr>
            </w:pPr>
          </w:p>
        </w:tc>
        <w:tc>
          <w:tcPr>
            <w:tcW w:w="1151" w:type="pct"/>
            <w:vAlign w:val="center"/>
          </w:tcPr>
          <w:p w14:paraId="27C32C92">
            <w:pPr>
              <w:keepNext/>
              <w:spacing w:line="360" w:lineRule="auto"/>
              <w:jc w:val="center"/>
              <w:rPr>
                <w:rFonts w:cs="宋体"/>
                <w:color w:val="auto"/>
                <w:szCs w:val="21"/>
                <w:highlight w:val="none"/>
              </w:rPr>
            </w:pPr>
          </w:p>
        </w:tc>
      </w:tr>
      <w:tr w14:paraId="620988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14:paraId="2B5CA5DE">
            <w:pPr>
              <w:spacing w:line="360" w:lineRule="auto"/>
              <w:jc w:val="center"/>
              <w:rPr>
                <w:rFonts w:cs="宋体"/>
                <w:color w:val="auto"/>
                <w:szCs w:val="21"/>
                <w:highlight w:val="none"/>
              </w:rPr>
            </w:pPr>
            <w:r>
              <w:rPr>
                <w:rFonts w:hint="eastAsia" w:cs="宋体"/>
                <w:color w:val="auto"/>
                <w:szCs w:val="21"/>
                <w:highlight w:val="none"/>
              </w:rPr>
              <w:t>施工员</w:t>
            </w:r>
          </w:p>
        </w:tc>
        <w:tc>
          <w:tcPr>
            <w:tcW w:w="627" w:type="pct"/>
            <w:vAlign w:val="center"/>
          </w:tcPr>
          <w:p w14:paraId="16BE6B18">
            <w:pPr>
              <w:keepNext/>
              <w:spacing w:line="360" w:lineRule="auto"/>
              <w:jc w:val="center"/>
              <w:rPr>
                <w:rFonts w:cs="宋体"/>
                <w:color w:val="auto"/>
                <w:szCs w:val="21"/>
                <w:highlight w:val="none"/>
              </w:rPr>
            </w:pPr>
          </w:p>
        </w:tc>
        <w:tc>
          <w:tcPr>
            <w:tcW w:w="502" w:type="pct"/>
            <w:vAlign w:val="center"/>
          </w:tcPr>
          <w:p w14:paraId="0A766F2A">
            <w:pPr>
              <w:keepNext/>
              <w:spacing w:line="360" w:lineRule="auto"/>
              <w:jc w:val="center"/>
              <w:rPr>
                <w:rFonts w:cs="宋体"/>
                <w:color w:val="auto"/>
                <w:szCs w:val="21"/>
                <w:highlight w:val="none"/>
              </w:rPr>
            </w:pPr>
          </w:p>
        </w:tc>
        <w:tc>
          <w:tcPr>
            <w:tcW w:w="502" w:type="pct"/>
            <w:vAlign w:val="center"/>
          </w:tcPr>
          <w:p w14:paraId="0A180FAA">
            <w:pPr>
              <w:keepNext/>
              <w:spacing w:line="360" w:lineRule="auto"/>
              <w:jc w:val="center"/>
              <w:rPr>
                <w:rFonts w:cs="宋体"/>
                <w:color w:val="auto"/>
                <w:szCs w:val="21"/>
                <w:highlight w:val="none"/>
              </w:rPr>
            </w:pPr>
          </w:p>
        </w:tc>
        <w:tc>
          <w:tcPr>
            <w:tcW w:w="1281" w:type="pct"/>
            <w:vAlign w:val="center"/>
          </w:tcPr>
          <w:p w14:paraId="36E1B89F">
            <w:pPr>
              <w:keepNext/>
              <w:spacing w:line="360" w:lineRule="auto"/>
              <w:jc w:val="center"/>
              <w:rPr>
                <w:rFonts w:cs="宋体"/>
                <w:color w:val="auto"/>
                <w:szCs w:val="21"/>
                <w:highlight w:val="none"/>
              </w:rPr>
            </w:pPr>
          </w:p>
        </w:tc>
        <w:tc>
          <w:tcPr>
            <w:tcW w:w="1151" w:type="pct"/>
            <w:vAlign w:val="center"/>
          </w:tcPr>
          <w:p w14:paraId="3B05EF8B">
            <w:pPr>
              <w:keepNext/>
              <w:spacing w:line="360" w:lineRule="auto"/>
              <w:jc w:val="center"/>
              <w:rPr>
                <w:rFonts w:cs="宋体"/>
                <w:color w:val="auto"/>
                <w:szCs w:val="21"/>
                <w:highlight w:val="none"/>
              </w:rPr>
            </w:pPr>
          </w:p>
        </w:tc>
      </w:tr>
      <w:tr w14:paraId="288F6B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14:paraId="7142BED2">
            <w:pPr>
              <w:spacing w:line="360" w:lineRule="auto"/>
              <w:jc w:val="center"/>
              <w:rPr>
                <w:rFonts w:cs="宋体"/>
                <w:color w:val="auto"/>
                <w:szCs w:val="21"/>
                <w:highlight w:val="none"/>
              </w:rPr>
            </w:pPr>
            <w:r>
              <w:rPr>
                <w:rFonts w:hint="eastAsia" w:cs="宋体"/>
                <w:color w:val="auto"/>
                <w:szCs w:val="21"/>
                <w:highlight w:val="none"/>
              </w:rPr>
              <w:t>质检员（质量员）</w:t>
            </w:r>
          </w:p>
        </w:tc>
        <w:tc>
          <w:tcPr>
            <w:tcW w:w="627" w:type="pct"/>
            <w:vAlign w:val="center"/>
          </w:tcPr>
          <w:p w14:paraId="7B74755E">
            <w:pPr>
              <w:keepNext/>
              <w:spacing w:line="360" w:lineRule="auto"/>
              <w:jc w:val="center"/>
              <w:rPr>
                <w:rFonts w:cs="宋体"/>
                <w:color w:val="auto"/>
                <w:szCs w:val="21"/>
                <w:highlight w:val="none"/>
              </w:rPr>
            </w:pPr>
          </w:p>
        </w:tc>
        <w:tc>
          <w:tcPr>
            <w:tcW w:w="502" w:type="pct"/>
            <w:vAlign w:val="center"/>
          </w:tcPr>
          <w:p w14:paraId="7D795308">
            <w:pPr>
              <w:keepNext/>
              <w:spacing w:line="360" w:lineRule="auto"/>
              <w:jc w:val="center"/>
              <w:rPr>
                <w:rFonts w:cs="宋体"/>
                <w:color w:val="auto"/>
                <w:szCs w:val="21"/>
                <w:highlight w:val="none"/>
              </w:rPr>
            </w:pPr>
          </w:p>
        </w:tc>
        <w:tc>
          <w:tcPr>
            <w:tcW w:w="502" w:type="pct"/>
            <w:vAlign w:val="center"/>
          </w:tcPr>
          <w:p w14:paraId="7D1303BB">
            <w:pPr>
              <w:keepNext/>
              <w:spacing w:line="360" w:lineRule="auto"/>
              <w:jc w:val="center"/>
              <w:rPr>
                <w:rFonts w:cs="宋体"/>
                <w:color w:val="auto"/>
                <w:szCs w:val="21"/>
                <w:highlight w:val="none"/>
              </w:rPr>
            </w:pPr>
          </w:p>
        </w:tc>
        <w:tc>
          <w:tcPr>
            <w:tcW w:w="1281" w:type="pct"/>
            <w:vAlign w:val="center"/>
          </w:tcPr>
          <w:p w14:paraId="6CCC700D">
            <w:pPr>
              <w:keepNext/>
              <w:spacing w:line="360" w:lineRule="auto"/>
              <w:jc w:val="center"/>
              <w:rPr>
                <w:rFonts w:cs="宋体"/>
                <w:color w:val="auto"/>
                <w:szCs w:val="21"/>
                <w:highlight w:val="none"/>
              </w:rPr>
            </w:pPr>
          </w:p>
        </w:tc>
        <w:tc>
          <w:tcPr>
            <w:tcW w:w="1151" w:type="pct"/>
            <w:vAlign w:val="center"/>
          </w:tcPr>
          <w:p w14:paraId="613EBCFB">
            <w:pPr>
              <w:keepNext/>
              <w:spacing w:line="360" w:lineRule="auto"/>
              <w:jc w:val="center"/>
              <w:rPr>
                <w:rFonts w:cs="宋体"/>
                <w:color w:val="auto"/>
                <w:szCs w:val="21"/>
                <w:highlight w:val="none"/>
              </w:rPr>
            </w:pPr>
          </w:p>
        </w:tc>
      </w:tr>
      <w:tr w14:paraId="707692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14:paraId="3DB222B8">
            <w:pPr>
              <w:spacing w:line="360" w:lineRule="auto"/>
              <w:jc w:val="center"/>
              <w:rPr>
                <w:rFonts w:cs="宋体"/>
                <w:color w:val="auto"/>
                <w:szCs w:val="21"/>
                <w:highlight w:val="none"/>
              </w:rPr>
            </w:pPr>
            <w:r>
              <w:rPr>
                <w:rFonts w:hint="eastAsia" w:cs="宋体"/>
                <w:color w:val="auto"/>
                <w:szCs w:val="21"/>
                <w:highlight w:val="none"/>
              </w:rPr>
              <w:t>安全员</w:t>
            </w:r>
          </w:p>
        </w:tc>
        <w:tc>
          <w:tcPr>
            <w:tcW w:w="627" w:type="pct"/>
            <w:vAlign w:val="center"/>
          </w:tcPr>
          <w:p w14:paraId="79AF9251">
            <w:pPr>
              <w:keepNext/>
              <w:spacing w:line="360" w:lineRule="auto"/>
              <w:jc w:val="center"/>
              <w:rPr>
                <w:rFonts w:cs="宋体"/>
                <w:color w:val="auto"/>
                <w:szCs w:val="21"/>
                <w:highlight w:val="none"/>
              </w:rPr>
            </w:pPr>
          </w:p>
        </w:tc>
        <w:tc>
          <w:tcPr>
            <w:tcW w:w="502" w:type="pct"/>
            <w:vAlign w:val="center"/>
          </w:tcPr>
          <w:p w14:paraId="1E2DFFC1">
            <w:pPr>
              <w:keepNext/>
              <w:spacing w:line="360" w:lineRule="auto"/>
              <w:jc w:val="center"/>
              <w:rPr>
                <w:rFonts w:cs="宋体"/>
                <w:color w:val="auto"/>
                <w:szCs w:val="21"/>
                <w:highlight w:val="none"/>
              </w:rPr>
            </w:pPr>
          </w:p>
        </w:tc>
        <w:tc>
          <w:tcPr>
            <w:tcW w:w="502" w:type="pct"/>
            <w:vAlign w:val="center"/>
          </w:tcPr>
          <w:p w14:paraId="6076DD47">
            <w:pPr>
              <w:keepNext/>
              <w:spacing w:line="360" w:lineRule="auto"/>
              <w:jc w:val="center"/>
              <w:rPr>
                <w:rFonts w:cs="宋体"/>
                <w:color w:val="auto"/>
                <w:szCs w:val="21"/>
                <w:highlight w:val="none"/>
              </w:rPr>
            </w:pPr>
          </w:p>
        </w:tc>
        <w:tc>
          <w:tcPr>
            <w:tcW w:w="1281" w:type="pct"/>
            <w:vAlign w:val="center"/>
          </w:tcPr>
          <w:p w14:paraId="1EA5DF51">
            <w:pPr>
              <w:keepNext/>
              <w:spacing w:line="360" w:lineRule="auto"/>
              <w:jc w:val="center"/>
              <w:rPr>
                <w:rFonts w:cs="宋体"/>
                <w:color w:val="auto"/>
                <w:szCs w:val="21"/>
                <w:highlight w:val="none"/>
              </w:rPr>
            </w:pPr>
          </w:p>
        </w:tc>
        <w:tc>
          <w:tcPr>
            <w:tcW w:w="1151" w:type="pct"/>
            <w:vAlign w:val="center"/>
          </w:tcPr>
          <w:p w14:paraId="41ED79A6">
            <w:pPr>
              <w:keepNext/>
              <w:spacing w:line="360" w:lineRule="auto"/>
              <w:jc w:val="center"/>
              <w:rPr>
                <w:rFonts w:cs="宋体"/>
                <w:color w:val="auto"/>
                <w:szCs w:val="21"/>
                <w:highlight w:val="none"/>
              </w:rPr>
            </w:pPr>
          </w:p>
        </w:tc>
      </w:tr>
      <w:tr w14:paraId="607057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14:paraId="6E59231B">
            <w:pPr>
              <w:spacing w:line="360" w:lineRule="auto"/>
              <w:jc w:val="center"/>
              <w:rPr>
                <w:rFonts w:cs="宋体"/>
                <w:color w:val="auto"/>
                <w:szCs w:val="21"/>
                <w:highlight w:val="none"/>
              </w:rPr>
            </w:pPr>
            <w:r>
              <w:rPr>
                <w:rFonts w:hint="eastAsia" w:cs="宋体"/>
                <w:color w:val="auto"/>
                <w:szCs w:val="21"/>
                <w:highlight w:val="none"/>
              </w:rPr>
              <w:t>资料员</w:t>
            </w:r>
          </w:p>
        </w:tc>
        <w:tc>
          <w:tcPr>
            <w:tcW w:w="627" w:type="pct"/>
            <w:vAlign w:val="center"/>
          </w:tcPr>
          <w:p w14:paraId="35574179">
            <w:pPr>
              <w:keepNext/>
              <w:spacing w:line="360" w:lineRule="auto"/>
              <w:jc w:val="center"/>
              <w:rPr>
                <w:rFonts w:cs="宋体"/>
                <w:color w:val="auto"/>
                <w:szCs w:val="21"/>
                <w:highlight w:val="none"/>
              </w:rPr>
            </w:pPr>
          </w:p>
        </w:tc>
        <w:tc>
          <w:tcPr>
            <w:tcW w:w="502" w:type="pct"/>
            <w:vAlign w:val="center"/>
          </w:tcPr>
          <w:p w14:paraId="45AFAE91">
            <w:pPr>
              <w:keepNext/>
              <w:spacing w:line="360" w:lineRule="auto"/>
              <w:jc w:val="center"/>
              <w:rPr>
                <w:rFonts w:cs="宋体"/>
                <w:color w:val="auto"/>
                <w:szCs w:val="21"/>
                <w:highlight w:val="none"/>
              </w:rPr>
            </w:pPr>
          </w:p>
        </w:tc>
        <w:tc>
          <w:tcPr>
            <w:tcW w:w="502" w:type="pct"/>
            <w:vAlign w:val="center"/>
          </w:tcPr>
          <w:p w14:paraId="3604F53E">
            <w:pPr>
              <w:keepNext/>
              <w:spacing w:line="360" w:lineRule="auto"/>
              <w:jc w:val="center"/>
              <w:rPr>
                <w:rFonts w:cs="宋体"/>
                <w:color w:val="auto"/>
                <w:szCs w:val="21"/>
                <w:highlight w:val="none"/>
              </w:rPr>
            </w:pPr>
          </w:p>
        </w:tc>
        <w:tc>
          <w:tcPr>
            <w:tcW w:w="1281" w:type="pct"/>
            <w:vAlign w:val="center"/>
          </w:tcPr>
          <w:p w14:paraId="35955662">
            <w:pPr>
              <w:keepNext/>
              <w:spacing w:line="360" w:lineRule="auto"/>
              <w:jc w:val="center"/>
              <w:rPr>
                <w:rFonts w:cs="宋体"/>
                <w:color w:val="auto"/>
                <w:szCs w:val="21"/>
                <w:highlight w:val="none"/>
              </w:rPr>
            </w:pPr>
          </w:p>
        </w:tc>
        <w:tc>
          <w:tcPr>
            <w:tcW w:w="1151" w:type="pct"/>
            <w:vAlign w:val="center"/>
          </w:tcPr>
          <w:p w14:paraId="6CCD08A8">
            <w:pPr>
              <w:keepNext/>
              <w:spacing w:line="360" w:lineRule="auto"/>
              <w:jc w:val="center"/>
              <w:rPr>
                <w:rFonts w:cs="宋体"/>
                <w:color w:val="auto"/>
                <w:szCs w:val="21"/>
                <w:highlight w:val="none"/>
              </w:rPr>
            </w:pPr>
          </w:p>
        </w:tc>
      </w:tr>
      <w:tr w14:paraId="509D59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restart"/>
            <w:vAlign w:val="center"/>
          </w:tcPr>
          <w:p w14:paraId="60AA24CF">
            <w:pPr>
              <w:spacing w:line="360" w:lineRule="auto"/>
              <w:jc w:val="center"/>
              <w:rPr>
                <w:rFonts w:cs="宋体"/>
                <w:color w:val="auto"/>
                <w:szCs w:val="21"/>
                <w:highlight w:val="none"/>
              </w:rPr>
            </w:pPr>
            <w:r>
              <w:rPr>
                <w:rFonts w:hint="eastAsia" w:cs="宋体"/>
                <w:color w:val="auto"/>
                <w:szCs w:val="21"/>
                <w:highlight w:val="none"/>
              </w:rPr>
              <w:t>其他人员</w:t>
            </w:r>
          </w:p>
        </w:tc>
        <w:tc>
          <w:tcPr>
            <w:tcW w:w="627" w:type="pct"/>
            <w:vAlign w:val="center"/>
          </w:tcPr>
          <w:p w14:paraId="3B98EEB2">
            <w:pPr>
              <w:keepNext/>
              <w:spacing w:line="360" w:lineRule="auto"/>
              <w:jc w:val="center"/>
              <w:rPr>
                <w:rFonts w:cs="宋体"/>
                <w:color w:val="auto"/>
                <w:szCs w:val="21"/>
                <w:highlight w:val="none"/>
              </w:rPr>
            </w:pPr>
          </w:p>
        </w:tc>
        <w:tc>
          <w:tcPr>
            <w:tcW w:w="502" w:type="pct"/>
            <w:vAlign w:val="center"/>
          </w:tcPr>
          <w:p w14:paraId="35E9D66C">
            <w:pPr>
              <w:keepNext/>
              <w:spacing w:line="360" w:lineRule="auto"/>
              <w:jc w:val="center"/>
              <w:rPr>
                <w:rFonts w:cs="宋体"/>
                <w:color w:val="auto"/>
                <w:szCs w:val="21"/>
                <w:highlight w:val="none"/>
              </w:rPr>
            </w:pPr>
          </w:p>
        </w:tc>
        <w:tc>
          <w:tcPr>
            <w:tcW w:w="502" w:type="pct"/>
            <w:vAlign w:val="center"/>
          </w:tcPr>
          <w:p w14:paraId="7312B941">
            <w:pPr>
              <w:keepNext/>
              <w:spacing w:line="360" w:lineRule="auto"/>
              <w:jc w:val="center"/>
              <w:rPr>
                <w:rFonts w:cs="宋体"/>
                <w:color w:val="auto"/>
                <w:szCs w:val="21"/>
                <w:highlight w:val="none"/>
              </w:rPr>
            </w:pPr>
          </w:p>
        </w:tc>
        <w:tc>
          <w:tcPr>
            <w:tcW w:w="1281" w:type="pct"/>
            <w:vAlign w:val="center"/>
          </w:tcPr>
          <w:p w14:paraId="03A8B7F0">
            <w:pPr>
              <w:keepNext/>
              <w:spacing w:line="360" w:lineRule="auto"/>
              <w:jc w:val="center"/>
              <w:rPr>
                <w:rFonts w:cs="宋体"/>
                <w:color w:val="auto"/>
                <w:szCs w:val="21"/>
                <w:highlight w:val="none"/>
              </w:rPr>
            </w:pPr>
          </w:p>
        </w:tc>
        <w:tc>
          <w:tcPr>
            <w:tcW w:w="1151" w:type="pct"/>
            <w:vAlign w:val="center"/>
          </w:tcPr>
          <w:p w14:paraId="6CE5BF49">
            <w:pPr>
              <w:keepNext/>
              <w:spacing w:line="360" w:lineRule="auto"/>
              <w:jc w:val="center"/>
              <w:rPr>
                <w:rFonts w:cs="宋体"/>
                <w:color w:val="auto"/>
                <w:szCs w:val="21"/>
                <w:highlight w:val="none"/>
              </w:rPr>
            </w:pPr>
          </w:p>
        </w:tc>
      </w:tr>
      <w:tr w14:paraId="7196AF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14:paraId="3B61CBA8">
            <w:pPr>
              <w:keepNext/>
              <w:spacing w:line="360" w:lineRule="auto"/>
              <w:jc w:val="center"/>
              <w:rPr>
                <w:rFonts w:cs="宋体"/>
                <w:color w:val="auto"/>
                <w:szCs w:val="21"/>
                <w:highlight w:val="none"/>
              </w:rPr>
            </w:pPr>
          </w:p>
        </w:tc>
        <w:tc>
          <w:tcPr>
            <w:tcW w:w="627" w:type="pct"/>
            <w:tcBorders>
              <w:bottom w:val="nil"/>
            </w:tcBorders>
            <w:vAlign w:val="center"/>
          </w:tcPr>
          <w:p w14:paraId="629B064A">
            <w:pPr>
              <w:keepNext/>
              <w:spacing w:line="360" w:lineRule="auto"/>
              <w:jc w:val="center"/>
              <w:rPr>
                <w:rFonts w:cs="宋体"/>
                <w:color w:val="auto"/>
                <w:szCs w:val="21"/>
                <w:highlight w:val="none"/>
              </w:rPr>
            </w:pPr>
          </w:p>
        </w:tc>
        <w:tc>
          <w:tcPr>
            <w:tcW w:w="502" w:type="pct"/>
            <w:tcBorders>
              <w:bottom w:val="nil"/>
            </w:tcBorders>
            <w:vAlign w:val="center"/>
          </w:tcPr>
          <w:p w14:paraId="55D3C76B">
            <w:pPr>
              <w:keepNext/>
              <w:spacing w:line="360" w:lineRule="auto"/>
              <w:jc w:val="center"/>
              <w:rPr>
                <w:rFonts w:cs="宋体"/>
                <w:color w:val="auto"/>
                <w:szCs w:val="21"/>
                <w:highlight w:val="none"/>
              </w:rPr>
            </w:pPr>
          </w:p>
        </w:tc>
        <w:tc>
          <w:tcPr>
            <w:tcW w:w="502" w:type="pct"/>
            <w:tcBorders>
              <w:bottom w:val="nil"/>
            </w:tcBorders>
            <w:vAlign w:val="center"/>
          </w:tcPr>
          <w:p w14:paraId="4306AEBD">
            <w:pPr>
              <w:keepNext/>
              <w:spacing w:line="360" w:lineRule="auto"/>
              <w:jc w:val="center"/>
              <w:rPr>
                <w:rFonts w:cs="宋体"/>
                <w:color w:val="auto"/>
                <w:szCs w:val="21"/>
                <w:highlight w:val="none"/>
              </w:rPr>
            </w:pPr>
          </w:p>
        </w:tc>
        <w:tc>
          <w:tcPr>
            <w:tcW w:w="1281" w:type="pct"/>
            <w:tcBorders>
              <w:bottom w:val="nil"/>
            </w:tcBorders>
            <w:vAlign w:val="center"/>
          </w:tcPr>
          <w:p w14:paraId="4A5C92BE">
            <w:pPr>
              <w:keepNext/>
              <w:spacing w:line="360" w:lineRule="auto"/>
              <w:jc w:val="center"/>
              <w:rPr>
                <w:rFonts w:cs="宋体"/>
                <w:color w:val="auto"/>
                <w:szCs w:val="21"/>
                <w:highlight w:val="none"/>
              </w:rPr>
            </w:pPr>
          </w:p>
        </w:tc>
        <w:tc>
          <w:tcPr>
            <w:tcW w:w="1151" w:type="pct"/>
            <w:tcBorders>
              <w:bottom w:val="nil"/>
            </w:tcBorders>
            <w:vAlign w:val="center"/>
          </w:tcPr>
          <w:p w14:paraId="6CFFC2A2">
            <w:pPr>
              <w:keepNext/>
              <w:spacing w:line="360" w:lineRule="auto"/>
              <w:jc w:val="center"/>
              <w:rPr>
                <w:rFonts w:cs="宋体"/>
                <w:color w:val="auto"/>
                <w:szCs w:val="21"/>
                <w:highlight w:val="none"/>
              </w:rPr>
            </w:pPr>
          </w:p>
        </w:tc>
      </w:tr>
      <w:tr w14:paraId="68160F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14:paraId="3F2727B8">
            <w:pPr>
              <w:keepNext/>
              <w:spacing w:line="360" w:lineRule="auto"/>
              <w:jc w:val="center"/>
              <w:rPr>
                <w:rFonts w:cs="宋体"/>
                <w:color w:val="auto"/>
                <w:szCs w:val="21"/>
                <w:highlight w:val="none"/>
              </w:rPr>
            </w:pPr>
          </w:p>
        </w:tc>
        <w:tc>
          <w:tcPr>
            <w:tcW w:w="627" w:type="pct"/>
            <w:vAlign w:val="center"/>
          </w:tcPr>
          <w:p w14:paraId="1A4E3496">
            <w:pPr>
              <w:keepNext/>
              <w:spacing w:line="360" w:lineRule="auto"/>
              <w:jc w:val="center"/>
              <w:rPr>
                <w:rFonts w:cs="宋体"/>
                <w:color w:val="auto"/>
                <w:szCs w:val="21"/>
                <w:highlight w:val="none"/>
              </w:rPr>
            </w:pPr>
          </w:p>
        </w:tc>
        <w:tc>
          <w:tcPr>
            <w:tcW w:w="502" w:type="pct"/>
            <w:vAlign w:val="center"/>
          </w:tcPr>
          <w:p w14:paraId="7C353AD2">
            <w:pPr>
              <w:keepNext/>
              <w:spacing w:line="360" w:lineRule="auto"/>
              <w:jc w:val="center"/>
              <w:rPr>
                <w:rFonts w:cs="宋体"/>
                <w:color w:val="auto"/>
                <w:szCs w:val="21"/>
                <w:highlight w:val="none"/>
              </w:rPr>
            </w:pPr>
          </w:p>
        </w:tc>
        <w:tc>
          <w:tcPr>
            <w:tcW w:w="502" w:type="pct"/>
            <w:vAlign w:val="center"/>
          </w:tcPr>
          <w:p w14:paraId="5E5CFAE9">
            <w:pPr>
              <w:keepNext/>
              <w:spacing w:line="360" w:lineRule="auto"/>
              <w:jc w:val="center"/>
              <w:rPr>
                <w:rFonts w:cs="宋体"/>
                <w:color w:val="auto"/>
                <w:szCs w:val="21"/>
                <w:highlight w:val="none"/>
              </w:rPr>
            </w:pPr>
          </w:p>
        </w:tc>
        <w:tc>
          <w:tcPr>
            <w:tcW w:w="1281" w:type="pct"/>
            <w:vAlign w:val="center"/>
          </w:tcPr>
          <w:p w14:paraId="34416B4B">
            <w:pPr>
              <w:keepNext/>
              <w:spacing w:line="360" w:lineRule="auto"/>
              <w:jc w:val="center"/>
              <w:rPr>
                <w:rFonts w:cs="宋体"/>
                <w:color w:val="auto"/>
                <w:szCs w:val="21"/>
                <w:highlight w:val="none"/>
              </w:rPr>
            </w:pPr>
          </w:p>
        </w:tc>
        <w:tc>
          <w:tcPr>
            <w:tcW w:w="1151" w:type="pct"/>
            <w:vAlign w:val="center"/>
          </w:tcPr>
          <w:p w14:paraId="4733C28E">
            <w:pPr>
              <w:keepNext/>
              <w:spacing w:line="360" w:lineRule="auto"/>
              <w:jc w:val="center"/>
              <w:rPr>
                <w:rFonts w:cs="宋体"/>
                <w:color w:val="auto"/>
                <w:szCs w:val="21"/>
                <w:highlight w:val="none"/>
              </w:rPr>
            </w:pPr>
          </w:p>
        </w:tc>
      </w:tr>
      <w:tr w14:paraId="27CC0C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14:paraId="3006DDDA">
            <w:pPr>
              <w:keepNext/>
              <w:spacing w:line="360" w:lineRule="auto"/>
              <w:jc w:val="center"/>
              <w:rPr>
                <w:rFonts w:cs="宋体"/>
                <w:color w:val="auto"/>
                <w:szCs w:val="21"/>
                <w:highlight w:val="none"/>
              </w:rPr>
            </w:pPr>
          </w:p>
        </w:tc>
        <w:tc>
          <w:tcPr>
            <w:tcW w:w="627" w:type="pct"/>
            <w:vAlign w:val="center"/>
          </w:tcPr>
          <w:p w14:paraId="3DE0ED1B">
            <w:pPr>
              <w:keepNext/>
              <w:spacing w:line="360" w:lineRule="auto"/>
              <w:jc w:val="center"/>
              <w:rPr>
                <w:rFonts w:cs="宋体"/>
                <w:color w:val="auto"/>
                <w:szCs w:val="21"/>
                <w:highlight w:val="none"/>
              </w:rPr>
            </w:pPr>
          </w:p>
        </w:tc>
        <w:tc>
          <w:tcPr>
            <w:tcW w:w="502" w:type="pct"/>
            <w:vAlign w:val="center"/>
          </w:tcPr>
          <w:p w14:paraId="4A97C194">
            <w:pPr>
              <w:keepNext/>
              <w:spacing w:line="360" w:lineRule="auto"/>
              <w:jc w:val="center"/>
              <w:rPr>
                <w:rFonts w:cs="宋体"/>
                <w:color w:val="auto"/>
                <w:szCs w:val="21"/>
                <w:highlight w:val="none"/>
              </w:rPr>
            </w:pPr>
          </w:p>
        </w:tc>
        <w:tc>
          <w:tcPr>
            <w:tcW w:w="502" w:type="pct"/>
            <w:vAlign w:val="center"/>
          </w:tcPr>
          <w:p w14:paraId="30011F64">
            <w:pPr>
              <w:keepNext/>
              <w:spacing w:line="360" w:lineRule="auto"/>
              <w:jc w:val="center"/>
              <w:rPr>
                <w:rFonts w:cs="宋体"/>
                <w:color w:val="auto"/>
                <w:szCs w:val="21"/>
                <w:highlight w:val="none"/>
              </w:rPr>
            </w:pPr>
          </w:p>
        </w:tc>
        <w:tc>
          <w:tcPr>
            <w:tcW w:w="1281" w:type="pct"/>
            <w:vAlign w:val="center"/>
          </w:tcPr>
          <w:p w14:paraId="7F1D8340">
            <w:pPr>
              <w:keepNext/>
              <w:spacing w:line="360" w:lineRule="auto"/>
              <w:jc w:val="center"/>
              <w:rPr>
                <w:rFonts w:cs="宋体"/>
                <w:color w:val="auto"/>
                <w:szCs w:val="21"/>
                <w:highlight w:val="none"/>
              </w:rPr>
            </w:pPr>
          </w:p>
        </w:tc>
        <w:tc>
          <w:tcPr>
            <w:tcW w:w="1151" w:type="pct"/>
            <w:vAlign w:val="center"/>
          </w:tcPr>
          <w:p w14:paraId="42A9EC97">
            <w:pPr>
              <w:keepNext/>
              <w:spacing w:line="360" w:lineRule="auto"/>
              <w:jc w:val="center"/>
              <w:rPr>
                <w:rFonts w:cs="宋体"/>
                <w:color w:val="auto"/>
                <w:szCs w:val="21"/>
                <w:highlight w:val="none"/>
              </w:rPr>
            </w:pPr>
          </w:p>
        </w:tc>
      </w:tr>
      <w:tr w14:paraId="3D1759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14:paraId="5C842EE0">
            <w:pPr>
              <w:keepNext/>
              <w:spacing w:line="360" w:lineRule="auto"/>
              <w:jc w:val="center"/>
              <w:rPr>
                <w:rFonts w:cs="宋体"/>
                <w:color w:val="auto"/>
                <w:szCs w:val="21"/>
                <w:highlight w:val="none"/>
              </w:rPr>
            </w:pPr>
          </w:p>
        </w:tc>
        <w:tc>
          <w:tcPr>
            <w:tcW w:w="627" w:type="pct"/>
            <w:vAlign w:val="center"/>
          </w:tcPr>
          <w:p w14:paraId="02AC5ED5">
            <w:pPr>
              <w:keepNext/>
              <w:spacing w:line="360" w:lineRule="auto"/>
              <w:jc w:val="center"/>
              <w:rPr>
                <w:rFonts w:cs="宋体"/>
                <w:color w:val="auto"/>
                <w:szCs w:val="21"/>
                <w:highlight w:val="none"/>
              </w:rPr>
            </w:pPr>
          </w:p>
        </w:tc>
        <w:tc>
          <w:tcPr>
            <w:tcW w:w="502" w:type="pct"/>
            <w:vAlign w:val="center"/>
          </w:tcPr>
          <w:p w14:paraId="6E430F3A">
            <w:pPr>
              <w:keepNext/>
              <w:spacing w:line="360" w:lineRule="auto"/>
              <w:jc w:val="center"/>
              <w:rPr>
                <w:rFonts w:cs="宋体"/>
                <w:color w:val="auto"/>
                <w:szCs w:val="21"/>
                <w:highlight w:val="none"/>
              </w:rPr>
            </w:pPr>
          </w:p>
        </w:tc>
        <w:tc>
          <w:tcPr>
            <w:tcW w:w="502" w:type="pct"/>
            <w:vAlign w:val="center"/>
          </w:tcPr>
          <w:p w14:paraId="538250C9">
            <w:pPr>
              <w:keepNext/>
              <w:spacing w:line="360" w:lineRule="auto"/>
              <w:jc w:val="center"/>
              <w:rPr>
                <w:rFonts w:cs="宋体"/>
                <w:color w:val="auto"/>
                <w:szCs w:val="21"/>
                <w:highlight w:val="none"/>
              </w:rPr>
            </w:pPr>
          </w:p>
        </w:tc>
        <w:tc>
          <w:tcPr>
            <w:tcW w:w="1281" w:type="pct"/>
            <w:vAlign w:val="center"/>
          </w:tcPr>
          <w:p w14:paraId="6D2AF35A">
            <w:pPr>
              <w:keepNext/>
              <w:spacing w:line="360" w:lineRule="auto"/>
              <w:jc w:val="center"/>
              <w:rPr>
                <w:rFonts w:cs="宋体"/>
                <w:color w:val="auto"/>
                <w:szCs w:val="21"/>
                <w:highlight w:val="none"/>
              </w:rPr>
            </w:pPr>
          </w:p>
        </w:tc>
        <w:tc>
          <w:tcPr>
            <w:tcW w:w="1151" w:type="pct"/>
            <w:vAlign w:val="center"/>
          </w:tcPr>
          <w:p w14:paraId="64D5FD5E">
            <w:pPr>
              <w:keepNext/>
              <w:spacing w:line="360" w:lineRule="auto"/>
              <w:jc w:val="center"/>
              <w:rPr>
                <w:rFonts w:cs="宋体"/>
                <w:color w:val="auto"/>
                <w:szCs w:val="21"/>
                <w:highlight w:val="none"/>
              </w:rPr>
            </w:pPr>
          </w:p>
        </w:tc>
      </w:tr>
      <w:tr w14:paraId="20CD20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tcBorders>
              <w:bottom w:val="single" w:color="auto" w:sz="12" w:space="0"/>
            </w:tcBorders>
            <w:vAlign w:val="center"/>
          </w:tcPr>
          <w:p w14:paraId="71463465">
            <w:pPr>
              <w:keepNext/>
              <w:spacing w:line="360" w:lineRule="auto"/>
              <w:jc w:val="center"/>
              <w:rPr>
                <w:rFonts w:cs="宋体"/>
                <w:color w:val="auto"/>
                <w:szCs w:val="21"/>
                <w:highlight w:val="none"/>
              </w:rPr>
            </w:pPr>
          </w:p>
        </w:tc>
        <w:tc>
          <w:tcPr>
            <w:tcW w:w="627" w:type="pct"/>
            <w:tcBorders>
              <w:bottom w:val="single" w:color="auto" w:sz="12" w:space="0"/>
            </w:tcBorders>
            <w:vAlign w:val="center"/>
          </w:tcPr>
          <w:p w14:paraId="064A306A">
            <w:pPr>
              <w:keepNext/>
              <w:spacing w:line="360" w:lineRule="auto"/>
              <w:jc w:val="center"/>
              <w:rPr>
                <w:rFonts w:cs="宋体"/>
                <w:color w:val="auto"/>
                <w:szCs w:val="21"/>
                <w:highlight w:val="none"/>
              </w:rPr>
            </w:pPr>
          </w:p>
        </w:tc>
        <w:tc>
          <w:tcPr>
            <w:tcW w:w="502" w:type="pct"/>
            <w:tcBorders>
              <w:bottom w:val="single" w:color="auto" w:sz="12" w:space="0"/>
            </w:tcBorders>
            <w:vAlign w:val="center"/>
          </w:tcPr>
          <w:p w14:paraId="00AA63B4">
            <w:pPr>
              <w:keepNext/>
              <w:spacing w:line="360" w:lineRule="auto"/>
              <w:jc w:val="center"/>
              <w:rPr>
                <w:rFonts w:cs="宋体"/>
                <w:color w:val="auto"/>
                <w:szCs w:val="21"/>
                <w:highlight w:val="none"/>
              </w:rPr>
            </w:pPr>
          </w:p>
        </w:tc>
        <w:tc>
          <w:tcPr>
            <w:tcW w:w="502" w:type="pct"/>
            <w:tcBorders>
              <w:bottom w:val="single" w:color="auto" w:sz="12" w:space="0"/>
            </w:tcBorders>
            <w:vAlign w:val="center"/>
          </w:tcPr>
          <w:p w14:paraId="6562F53C">
            <w:pPr>
              <w:keepNext/>
              <w:spacing w:line="360" w:lineRule="auto"/>
              <w:jc w:val="center"/>
              <w:rPr>
                <w:rFonts w:cs="宋体"/>
                <w:color w:val="auto"/>
                <w:szCs w:val="21"/>
                <w:highlight w:val="none"/>
              </w:rPr>
            </w:pPr>
          </w:p>
        </w:tc>
        <w:tc>
          <w:tcPr>
            <w:tcW w:w="1281" w:type="pct"/>
            <w:tcBorders>
              <w:bottom w:val="single" w:color="auto" w:sz="12" w:space="0"/>
            </w:tcBorders>
            <w:vAlign w:val="center"/>
          </w:tcPr>
          <w:p w14:paraId="7295FFD9">
            <w:pPr>
              <w:keepNext/>
              <w:spacing w:line="360" w:lineRule="auto"/>
              <w:jc w:val="center"/>
              <w:rPr>
                <w:rFonts w:cs="宋体"/>
                <w:color w:val="auto"/>
                <w:szCs w:val="21"/>
                <w:highlight w:val="none"/>
              </w:rPr>
            </w:pPr>
          </w:p>
        </w:tc>
        <w:tc>
          <w:tcPr>
            <w:tcW w:w="1151" w:type="pct"/>
            <w:tcBorders>
              <w:bottom w:val="single" w:color="auto" w:sz="12" w:space="0"/>
            </w:tcBorders>
            <w:vAlign w:val="center"/>
          </w:tcPr>
          <w:p w14:paraId="6830C343">
            <w:pPr>
              <w:keepNext/>
              <w:spacing w:line="360" w:lineRule="auto"/>
              <w:jc w:val="center"/>
              <w:rPr>
                <w:rFonts w:cs="宋体"/>
                <w:color w:val="auto"/>
                <w:szCs w:val="21"/>
                <w:highlight w:val="none"/>
              </w:rPr>
            </w:pPr>
          </w:p>
        </w:tc>
      </w:tr>
    </w:tbl>
    <w:p w14:paraId="12FC7F3B">
      <w:pPr>
        <w:spacing w:before="312" w:beforeLines="100" w:after="312" w:afterLines="100"/>
        <w:outlineLvl w:val="2"/>
        <w:rPr>
          <w:rFonts w:ascii="Times New Roman" w:eastAsia="黑体"/>
          <w:color w:val="auto"/>
          <w:szCs w:val="24"/>
          <w:highlight w:val="none"/>
        </w:rPr>
      </w:pPr>
      <w:r>
        <w:rPr>
          <w:rFonts w:hint="eastAsia" w:cs="宋体"/>
          <w:bCs/>
          <w:color w:val="auto"/>
          <w:highlight w:val="none"/>
        </w:rPr>
        <w:br w:type="page"/>
      </w:r>
      <w:bookmarkStart w:id="613" w:name="_Toc128950242"/>
      <w:r>
        <w:rPr>
          <w:rFonts w:hint="eastAsia" w:ascii="Times New Roman" w:eastAsia="黑体"/>
          <w:color w:val="auto"/>
          <w:szCs w:val="24"/>
          <w:highlight w:val="none"/>
        </w:rPr>
        <w:t>附</w:t>
      </w:r>
      <w:bookmarkStart w:id="614" w:name="_Toc296347228"/>
      <w:bookmarkStart w:id="615" w:name="_Toc296346730"/>
      <w:bookmarkStart w:id="616" w:name="_Toc296503229"/>
      <w:bookmarkStart w:id="617" w:name="_Toc296891057"/>
      <w:bookmarkStart w:id="618" w:name="_Toc296944568"/>
      <w:bookmarkStart w:id="619" w:name="_Toc296891269"/>
      <w:r>
        <w:rPr>
          <w:rFonts w:hint="eastAsia" w:ascii="Times New Roman" w:eastAsia="黑体"/>
          <w:color w:val="auto"/>
          <w:szCs w:val="24"/>
          <w:highlight w:val="none"/>
        </w:rPr>
        <w:t>件</w:t>
      </w:r>
      <w:r>
        <w:rPr>
          <w:rFonts w:ascii="Times New Roman" w:eastAsia="黑体"/>
          <w:color w:val="auto"/>
          <w:szCs w:val="24"/>
          <w:highlight w:val="none"/>
        </w:rPr>
        <w:t>7</w:t>
      </w:r>
      <w:r>
        <w:rPr>
          <w:rFonts w:hint="eastAsia" w:ascii="Times New Roman" w:eastAsia="黑体"/>
          <w:color w:val="auto"/>
          <w:szCs w:val="24"/>
          <w:highlight w:val="none"/>
        </w:rPr>
        <w:t>：分包人主要施工管理人员表</w:t>
      </w:r>
      <w:bookmarkEnd w:id="613"/>
    </w:p>
    <w:bookmarkEnd w:id="614"/>
    <w:bookmarkEnd w:id="615"/>
    <w:bookmarkEnd w:id="616"/>
    <w:bookmarkEnd w:id="617"/>
    <w:bookmarkEnd w:id="618"/>
    <w:bookmarkEnd w:id="619"/>
    <w:p w14:paraId="71201B7E">
      <w:pPr>
        <w:spacing w:before="156" w:beforeLines="50" w:after="156" w:afterLines="50" w:line="360" w:lineRule="auto"/>
        <w:jc w:val="center"/>
        <w:rPr>
          <w:rFonts w:cs="宋体"/>
          <w:b/>
          <w:color w:val="auto"/>
          <w:szCs w:val="21"/>
          <w:highlight w:val="none"/>
        </w:rPr>
      </w:pPr>
      <w:r>
        <w:rPr>
          <w:rFonts w:hint="eastAsia" w:cs="宋体"/>
          <w:b/>
          <w:color w:val="auto"/>
          <w:szCs w:val="21"/>
          <w:highlight w:val="none"/>
        </w:rPr>
        <w:t>分包人主要施工管理人员表</w:t>
      </w:r>
    </w:p>
    <w:tbl>
      <w:tblPr>
        <w:tblStyle w:val="55"/>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413"/>
        <w:gridCol w:w="1072"/>
        <w:gridCol w:w="858"/>
        <w:gridCol w:w="624"/>
        <w:gridCol w:w="3159"/>
        <w:gridCol w:w="1236"/>
      </w:tblGrid>
      <w:tr w14:paraId="7F8DD9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845" w:type="pct"/>
            <w:tcBorders>
              <w:top w:val="single" w:color="auto" w:sz="12" w:space="0"/>
              <w:bottom w:val="double" w:color="auto" w:sz="6" w:space="0"/>
            </w:tcBorders>
            <w:vAlign w:val="center"/>
          </w:tcPr>
          <w:p w14:paraId="41568E47">
            <w:pPr>
              <w:keepNext/>
              <w:spacing w:line="360" w:lineRule="auto"/>
              <w:jc w:val="center"/>
              <w:rPr>
                <w:rFonts w:cs="宋体"/>
                <w:color w:val="auto"/>
                <w:szCs w:val="21"/>
                <w:highlight w:val="none"/>
              </w:rPr>
            </w:pPr>
            <w:r>
              <w:rPr>
                <w:rFonts w:hint="eastAsia" w:cs="宋体"/>
                <w:color w:val="auto"/>
                <w:szCs w:val="21"/>
                <w:highlight w:val="none"/>
              </w:rPr>
              <w:t>名称</w:t>
            </w:r>
          </w:p>
        </w:tc>
        <w:tc>
          <w:tcPr>
            <w:tcW w:w="641" w:type="pct"/>
            <w:tcBorders>
              <w:top w:val="single" w:color="auto" w:sz="12" w:space="0"/>
              <w:bottom w:val="double" w:color="auto" w:sz="6" w:space="0"/>
            </w:tcBorders>
            <w:vAlign w:val="center"/>
          </w:tcPr>
          <w:p w14:paraId="626E4894">
            <w:pPr>
              <w:keepNext/>
              <w:spacing w:line="360" w:lineRule="auto"/>
              <w:jc w:val="center"/>
              <w:rPr>
                <w:rFonts w:cs="宋体"/>
                <w:color w:val="auto"/>
                <w:szCs w:val="21"/>
                <w:highlight w:val="none"/>
              </w:rPr>
            </w:pPr>
            <w:r>
              <w:rPr>
                <w:rFonts w:hint="eastAsia" w:cs="宋体"/>
                <w:color w:val="auto"/>
                <w:szCs w:val="21"/>
                <w:highlight w:val="none"/>
              </w:rPr>
              <w:t>姓名</w:t>
            </w:r>
          </w:p>
        </w:tc>
        <w:tc>
          <w:tcPr>
            <w:tcW w:w="513" w:type="pct"/>
            <w:tcBorders>
              <w:top w:val="single" w:color="auto" w:sz="12" w:space="0"/>
              <w:bottom w:val="double" w:color="auto" w:sz="6" w:space="0"/>
            </w:tcBorders>
            <w:vAlign w:val="center"/>
          </w:tcPr>
          <w:p w14:paraId="656A2419">
            <w:pPr>
              <w:keepNext/>
              <w:spacing w:line="360" w:lineRule="auto"/>
              <w:jc w:val="center"/>
              <w:rPr>
                <w:rFonts w:cs="宋体"/>
                <w:color w:val="auto"/>
                <w:szCs w:val="21"/>
                <w:highlight w:val="none"/>
              </w:rPr>
            </w:pPr>
            <w:r>
              <w:rPr>
                <w:rFonts w:hint="eastAsia" w:cs="宋体"/>
                <w:color w:val="auto"/>
                <w:szCs w:val="21"/>
                <w:highlight w:val="none"/>
              </w:rPr>
              <w:t>职务</w:t>
            </w:r>
          </w:p>
        </w:tc>
        <w:tc>
          <w:tcPr>
            <w:tcW w:w="373" w:type="pct"/>
            <w:tcBorders>
              <w:top w:val="single" w:color="auto" w:sz="12" w:space="0"/>
              <w:bottom w:val="double" w:color="auto" w:sz="6" w:space="0"/>
            </w:tcBorders>
            <w:vAlign w:val="center"/>
          </w:tcPr>
          <w:p w14:paraId="6377F946">
            <w:pPr>
              <w:keepNext/>
              <w:spacing w:line="360" w:lineRule="auto"/>
              <w:jc w:val="center"/>
              <w:rPr>
                <w:rFonts w:cs="宋体"/>
                <w:color w:val="auto"/>
                <w:szCs w:val="21"/>
                <w:highlight w:val="none"/>
              </w:rPr>
            </w:pPr>
            <w:r>
              <w:rPr>
                <w:rFonts w:hint="eastAsia" w:cs="宋体"/>
                <w:color w:val="auto"/>
                <w:szCs w:val="21"/>
                <w:highlight w:val="none"/>
              </w:rPr>
              <w:t>职称</w:t>
            </w:r>
          </w:p>
        </w:tc>
        <w:tc>
          <w:tcPr>
            <w:tcW w:w="1889" w:type="pct"/>
            <w:tcBorders>
              <w:top w:val="single" w:color="auto" w:sz="12" w:space="0"/>
              <w:bottom w:val="double" w:color="auto" w:sz="6" w:space="0"/>
            </w:tcBorders>
            <w:vAlign w:val="center"/>
          </w:tcPr>
          <w:p w14:paraId="1F139FF3">
            <w:pPr>
              <w:keepNext/>
              <w:spacing w:line="360" w:lineRule="auto"/>
              <w:jc w:val="center"/>
              <w:rPr>
                <w:rFonts w:cs="宋体"/>
                <w:color w:val="auto"/>
                <w:szCs w:val="21"/>
                <w:highlight w:val="none"/>
              </w:rPr>
            </w:pPr>
            <w:r>
              <w:rPr>
                <w:rFonts w:hint="eastAsia" w:cs="宋体"/>
                <w:color w:val="auto"/>
                <w:szCs w:val="21"/>
                <w:highlight w:val="none"/>
              </w:rPr>
              <w:t>主要资历、经验及承担过的项目</w:t>
            </w:r>
          </w:p>
        </w:tc>
        <w:tc>
          <w:tcPr>
            <w:tcW w:w="739" w:type="pct"/>
            <w:tcBorders>
              <w:top w:val="single" w:color="auto" w:sz="12" w:space="0"/>
              <w:bottom w:val="double" w:color="auto" w:sz="6" w:space="0"/>
            </w:tcBorders>
            <w:vAlign w:val="center"/>
          </w:tcPr>
          <w:p w14:paraId="6894A071">
            <w:pPr>
              <w:keepNext/>
              <w:spacing w:line="360" w:lineRule="auto"/>
              <w:jc w:val="center"/>
              <w:rPr>
                <w:rFonts w:cs="宋体"/>
                <w:color w:val="auto"/>
                <w:szCs w:val="21"/>
                <w:highlight w:val="none"/>
              </w:rPr>
            </w:pPr>
            <w:r>
              <w:rPr>
                <w:rFonts w:hint="eastAsia" w:cs="宋体"/>
                <w:color w:val="auto"/>
                <w:szCs w:val="21"/>
                <w:highlight w:val="none"/>
              </w:rPr>
              <w:t>身份证号码</w:t>
            </w:r>
          </w:p>
        </w:tc>
      </w:tr>
      <w:tr w14:paraId="18C3CD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4261" w:type="pct"/>
            <w:gridSpan w:val="5"/>
            <w:tcBorders>
              <w:top w:val="double" w:color="auto" w:sz="6" w:space="0"/>
            </w:tcBorders>
            <w:vAlign w:val="center"/>
          </w:tcPr>
          <w:p w14:paraId="68463CA0">
            <w:pPr>
              <w:keepNext/>
              <w:spacing w:line="360" w:lineRule="auto"/>
              <w:jc w:val="center"/>
              <w:rPr>
                <w:rFonts w:cs="宋体"/>
                <w:color w:val="auto"/>
                <w:szCs w:val="21"/>
                <w:highlight w:val="none"/>
              </w:rPr>
            </w:pPr>
            <w:r>
              <w:rPr>
                <w:rFonts w:hint="eastAsia" w:cs="宋体"/>
                <w:color w:val="auto"/>
                <w:szCs w:val="21"/>
                <w:highlight w:val="none"/>
              </w:rPr>
              <w:t>一、总部人员</w:t>
            </w:r>
          </w:p>
        </w:tc>
        <w:tc>
          <w:tcPr>
            <w:tcW w:w="739" w:type="pct"/>
            <w:tcBorders>
              <w:top w:val="double" w:color="auto" w:sz="6" w:space="0"/>
            </w:tcBorders>
            <w:vAlign w:val="center"/>
          </w:tcPr>
          <w:p w14:paraId="750AE7D6">
            <w:pPr>
              <w:keepNext/>
              <w:spacing w:line="360" w:lineRule="auto"/>
              <w:jc w:val="center"/>
              <w:rPr>
                <w:rFonts w:cs="宋体"/>
                <w:color w:val="auto"/>
                <w:szCs w:val="21"/>
                <w:highlight w:val="none"/>
              </w:rPr>
            </w:pPr>
          </w:p>
        </w:tc>
      </w:tr>
      <w:tr w14:paraId="20215C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tcBorders>
              <w:top w:val="nil"/>
              <w:bottom w:val="nil"/>
            </w:tcBorders>
            <w:vAlign w:val="center"/>
          </w:tcPr>
          <w:p w14:paraId="7D50ADBC">
            <w:pPr>
              <w:keepNext/>
              <w:spacing w:line="360" w:lineRule="auto"/>
              <w:jc w:val="center"/>
              <w:rPr>
                <w:rFonts w:cs="宋体"/>
                <w:color w:val="auto"/>
                <w:szCs w:val="21"/>
                <w:highlight w:val="none"/>
              </w:rPr>
            </w:pPr>
            <w:r>
              <w:rPr>
                <w:rFonts w:hint="eastAsia" w:cs="宋体"/>
                <w:color w:val="auto"/>
                <w:szCs w:val="21"/>
                <w:highlight w:val="none"/>
              </w:rPr>
              <w:t>项目主管</w:t>
            </w:r>
          </w:p>
        </w:tc>
        <w:tc>
          <w:tcPr>
            <w:tcW w:w="641" w:type="pct"/>
            <w:tcBorders>
              <w:top w:val="nil"/>
            </w:tcBorders>
            <w:vAlign w:val="center"/>
          </w:tcPr>
          <w:p w14:paraId="1B8F6B3D">
            <w:pPr>
              <w:keepNext/>
              <w:spacing w:line="360" w:lineRule="auto"/>
              <w:jc w:val="center"/>
              <w:rPr>
                <w:rFonts w:cs="宋体"/>
                <w:color w:val="auto"/>
                <w:szCs w:val="21"/>
                <w:highlight w:val="none"/>
              </w:rPr>
            </w:pPr>
          </w:p>
        </w:tc>
        <w:tc>
          <w:tcPr>
            <w:tcW w:w="513" w:type="pct"/>
            <w:tcBorders>
              <w:top w:val="nil"/>
            </w:tcBorders>
            <w:vAlign w:val="center"/>
          </w:tcPr>
          <w:p w14:paraId="4E080934">
            <w:pPr>
              <w:keepNext/>
              <w:spacing w:line="360" w:lineRule="auto"/>
              <w:jc w:val="center"/>
              <w:rPr>
                <w:rFonts w:cs="宋体"/>
                <w:color w:val="auto"/>
                <w:szCs w:val="21"/>
                <w:highlight w:val="none"/>
              </w:rPr>
            </w:pPr>
          </w:p>
        </w:tc>
        <w:tc>
          <w:tcPr>
            <w:tcW w:w="373" w:type="pct"/>
            <w:tcBorders>
              <w:top w:val="nil"/>
            </w:tcBorders>
            <w:vAlign w:val="center"/>
          </w:tcPr>
          <w:p w14:paraId="27DE80EC">
            <w:pPr>
              <w:keepNext/>
              <w:spacing w:line="360" w:lineRule="auto"/>
              <w:jc w:val="center"/>
              <w:rPr>
                <w:rFonts w:cs="宋体"/>
                <w:color w:val="auto"/>
                <w:szCs w:val="21"/>
                <w:highlight w:val="none"/>
              </w:rPr>
            </w:pPr>
          </w:p>
        </w:tc>
        <w:tc>
          <w:tcPr>
            <w:tcW w:w="1889" w:type="pct"/>
            <w:tcBorders>
              <w:top w:val="nil"/>
            </w:tcBorders>
            <w:vAlign w:val="center"/>
          </w:tcPr>
          <w:p w14:paraId="0FD88E14">
            <w:pPr>
              <w:keepNext/>
              <w:spacing w:line="360" w:lineRule="auto"/>
              <w:jc w:val="center"/>
              <w:rPr>
                <w:rFonts w:cs="宋体"/>
                <w:color w:val="auto"/>
                <w:szCs w:val="21"/>
                <w:highlight w:val="none"/>
              </w:rPr>
            </w:pPr>
          </w:p>
        </w:tc>
        <w:tc>
          <w:tcPr>
            <w:tcW w:w="739" w:type="pct"/>
            <w:tcBorders>
              <w:top w:val="nil"/>
            </w:tcBorders>
            <w:vAlign w:val="center"/>
          </w:tcPr>
          <w:p w14:paraId="4BD8D787">
            <w:pPr>
              <w:keepNext/>
              <w:spacing w:line="360" w:lineRule="auto"/>
              <w:jc w:val="center"/>
              <w:rPr>
                <w:rFonts w:cs="宋体"/>
                <w:color w:val="auto"/>
                <w:szCs w:val="21"/>
                <w:highlight w:val="none"/>
              </w:rPr>
            </w:pPr>
          </w:p>
        </w:tc>
      </w:tr>
      <w:tr w14:paraId="3CF187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restart"/>
            <w:vAlign w:val="center"/>
          </w:tcPr>
          <w:p w14:paraId="0F6117DF">
            <w:pPr>
              <w:keepNext/>
              <w:spacing w:line="360" w:lineRule="auto"/>
              <w:jc w:val="center"/>
              <w:rPr>
                <w:rFonts w:cs="宋体"/>
                <w:color w:val="auto"/>
                <w:szCs w:val="21"/>
                <w:highlight w:val="none"/>
              </w:rPr>
            </w:pPr>
            <w:r>
              <w:rPr>
                <w:rFonts w:hint="eastAsia" w:cs="宋体"/>
                <w:color w:val="auto"/>
                <w:szCs w:val="21"/>
                <w:highlight w:val="none"/>
              </w:rPr>
              <w:t>其他人员</w:t>
            </w:r>
          </w:p>
        </w:tc>
        <w:tc>
          <w:tcPr>
            <w:tcW w:w="641" w:type="pct"/>
            <w:vAlign w:val="center"/>
          </w:tcPr>
          <w:p w14:paraId="3EC174E4">
            <w:pPr>
              <w:keepNext/>
              <w:spacing w:line="360" w:lineRule="auto"/>
              <w:jc w:val="center"/>
              <w:rPr>
                <w:rFonts w:cs="宋体"/>
                <w:color w:val="auto"/>
                <w:szCs w:val="21"/>
                <w:highlight w:val="none"/>
              </w:rPr>
            </w:pPr>
          </w:p>
        </w:tc>
        <w:tc>
          <w:tcPr>
            <w:tcW w:w="513" w:type="pct"/>
            <w:vAlign w:val="center"/>
          </w:tcPr>
          <w:p w14:paraId="04F23C32">
            <w:pPr>
              <w:keepNext/>
              <w:spacing w:line="360" w:lineRule="auto"/>
              <w:jc w:val="center"/>
              <w:rPr>
                <w:rFonts w:cs="宋体"/>
                <w:color w:val="auto"/>
                <w:szCs w:val="21"/>
                <w:highlight w:val="none"/>
              </w:rPr>
            </w:pPr>
          </w:p>
        </w:tc>
        <w:tc>
          <w:tcPr>
            <w:tcW w:w="373" w:type="pct"/>
            <w:vAlign w:val="center"/>
          </w:tcPr>
          <w:p w14:paraId="57065CD0">
            <w:pPr>
              <w:keepNext/>
              <w:spacing w:line="360" w:lineRule="auto"/>
              <w:jc w:val="center"/>
              <w:rPr>
                <w:rFonts w:cs="宋体"/>
                <w:color w:val="auto"/>
                <w:szCs w:val="21"/>
                <w:highlight w:val="none"/>
              </w:rPr>
            </w:pPr>
          </w:p>
        </w:tc>
        <w:tc>
          <w:tcPr>
            <w:tcW w:w="1889" w:type="pct"/>
            <w:vAlign w:val="center"/>
          </w:tcPr>
          <w:p w14:paraId="50009C7A">
            <w:pPr>
              <w:keepNext/>
              <w:spacing w:line="360" w:lineRule="auto"/>
              <w:jc w:val="center"/>
              <w:rPr>
                <w:rFonts w:cs="宋体"/>
                <w:color w:val="auto"/>
                <w:szCs w:val="21"/>
                <w:highlight w:val="none"/>
              </w:rPr>
            </w:pPr>
          </w:p>
        </w:tc>
        <w:tc>
          <w:tcPr>
            <w:tcW w:w="739" w:type="pct"/>
            <w:vAlign w:val="center"/>
          </w:tcPr>
          <w:p w14:paraId="592F5264">
            <w:pPr>
              <w:keepNext/>
              <w:spacing w:line="360" w:lineRule="auto"/>
              <w:jc w:val="center"/>
              <w:rPr>
                <w:rFonts w:cs="宋体"/>
                <w:color w:val="auto"/>
                <w:szCs w:val="21"/>
                <w:highlight w:val="none"/>
              </w:rPr>
            </w:pPr>
          </w:p>
        </w:tc>
      </w:tr>
      <w:tr w14:paraId="32450D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14:paraId="00C78D04">
            <w:pPr>
              <w:keepNext/>
              <w:spacing w:line="360" w:lineRule="auto"/>
              <w:jc w:val="center"/>
              <w:rPr>
                <w:rFonts w:cs="宋体"/>
                <w:color w:val="auto"/>
                <w:szCs w:val="21"/>
                <w:highlight w:val="none"/>
              </w:rPr>
            </w:pPr>
          </w:p>
        </w:tc>
        <w:tc>
          <w:tcPr>
            <w:tcW w:w="641" w:type="pct"/>
            <w:vAlign w:val="center"/>
          </w:tcPr>
          <w:p w14:paraId="7E9827E0">
            <w:pPr>
              <w:keepNext/>
              <w:spacing w:line="360" w:lineRule="auto"/>
              <w:jc w:val="center"/>
              <w:rPr>
                <w:rFonts w:cs="宋体"/>
                <w:color w:val="auto"/>
                <w:szCs w:val="21"/>
                <w:highlight w:val="none"/>
              </w:rPr>
            </w:pPr>
          </w:p>
        </w:tc>
        <w:tc>
          <w:tcPr>
            <w:tcW w:w="513" w:type="pct"/>
            <w:vAlign w:val="center"/>
          </w:tcPr>
          <w:p w14:paraId="49E9B0A7">
            <w:pPr>
              <w:keepNext/>
              <w:spacing w:line="360" w:lineRule="auto"/>
              <w:jc w:val="center"/>
              <w:rPr>
                <w:rFonts w:cs="宋体"/>
                <w:color w:val="auto"/>
                <w:szCs w:val="21"/>
                <w:highlight w:val="none"/>
              </w:rPr>
            </w:pPr>
          </w:p>
        </w:tc>
        <w:tc>
          <w:tcPr>
            <w:tcW w:w="373" w:type="pct"/>
            <w:vAlign w:val="center"/>
          </w:tcPr>
          <w:p w14:paraId="31536D89">
            <w:pPr>
              <w:keepNext/>
              <w:spacing w:line="360" w:lineRule="auto"/>
              <w:jc w:val="center"/>
              <w:rPr>
                <w:rFonts w:cs="宋体"/>
                <w:color w:val="auto"/>
                <w:szCs w:val="21"/>
                <w:highlight w:val="none"/>
              </w:rPr>
            </w:pPr>
          </w:p>
        </w:tc>
        <w:tc>
          <w:tcPr>
            <w:tcW w:w="1889" w:type="pct"/>
            <w:vAlign w:val="center"/>
          </w:tcPr>
          <w:p w14:paraId="35ECBAC3">
            <w:pPr>
              <w:keepNext/>
              <w:spacing w:line="360" w:lineRule="auto"/>
              <w:jc w:val="center"/>
              <w:rPr>
                <w:rFonts w:cs="宋体"/>
                <w:color w:val="auto"/>
                <w:szCs w:val="21"/>
                <w:highlight w:val="none"/>
              </w:rPr>
            </w:pPr>
          </w:p>
        </w:tc>
        <w:tc>
          <w:tcPr>
            <w:tcW w:w="739" w:type="pct"/>
            <w:vAlign w:val="center"/>
          </w:tcPr>
          <w:p w14:paraId="22B1257D">
            <w:pPr>
              <w:keepNext/>
              <w:spacing w:line="360" w:lineRule="auto"/>
              <w:jc w:val="center"/>
              <w:rPr>
                <w:rFonts w:cs="宋体"/>
                <w:color w:val="auto"/>
                <w:szCs w:val="21"/>
                <w:highlight w:val="none"/>
              </w:rPr>
            </w:pPr>
          </w:p>
        </w:tc>
      </w:tr>
      <w:tr w14:paraId="49683C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tcBorders>
              <w:bottom w:val="nil"/>
            </w:tcBorders>
            <w:vAlign w:val="center"/>
          </w:tcPr>
          <w:p w14:paraId="2DA95C75">
            <w:pPr>
              <w:keepNext/>
              <w:spacing w:line="360" w:lineRule="auto"/>
              <w:jc w:val="center"/>
              <w:rPr>
                <w:rFonts w:cs="宋体"/>
                <w:color w:val="auto"/>
                <w:szCs w:val="21"/>
                <w:highlight w:val="none"/>
              </w:rPr>
            </w:pPr>
          </w:p>
        </w:tc>
        <w:tc>
          <w:tcPr>
            <w:tcW w:w="641" w:type="pct"/>
            <w:vAlign w:val="center"/>
          </w:tcPr>
          <w:p w14:paraId="3703C0DF">
            <w:pPr>
              <w:keepNext/>
              <w:spacing w:line="360" w:lineRule="auto"/>
              <w:jc w:val="center"/>
              <w:rPr>
                <w:rFonts w:cs="宋体"/>
                <w:color w:val="auto"/>
                <w:szCs w:val="21"/>
                <w:highlight w:val="none"/>
              </w:rPr>
            </w:pPr>
          </w:p>
        </w:tc>
        <w:tc>
          <w:tcPr>
            <w:tcW w:w="513" w:type="pct"/>
            <w:vAlign w:val="center"/>
          </w:tcPr>
          <w:p w14:paraId="2801A0E4">
            <w:pPr>
              <w:keepNext/>
              <w:spacing w:line="360" w:lineRule="auto"/>
              <w:jc w:val="center"/>
              <w:rPr>
                <w:rFonts w:cs="宋体"/>
                <w:color w:val="auto"/>
                <w:szCs w:val="21"/>
                <w:highlight w:val="none"/>
              </w:rPr>
            </w:pPr>
          </w:p>
        </w:tc>
        <w:tc>
          <w:tcPr>
            <w:tcW w:w="373" w:type="pct"/>
            <w:vAlign w:val="center"/>
          </w:tcPr>
          <w:p w14:paraId="5E8106BD">
            <w:pPr>
              <w:keepNext/>
              <w:spacing w:line="360" w:lineRule="auto"/>
              <w:jc w:val="center"/>
              <w:rPr>
                <w:rFonts w:cs="宋体"/>
                <w:color w:val="auto"/>
                <w:szCs w:val="21"/>
                <w:highlight w:val="none"/>
              </w:rPr>
            </w:pPr>
          </w:p>
        </w:tc>
        <w:tc>
          <w:tcPr>
            <w:tcW w:w="1889" w:type="pct"/>
            <w:vAlign w:val="center"/>
          </w:tcPr>
          <w:p w14:paraId="0B0E4AFE">
            <w:pPr>
              <w:keepNext/>
              <w:spacing w:line="360" w:lineRule="auto"/>
              <w:jc w:val="center"/>
              <w:rPr>
                <w:rFonts w:cs="宋体"/>
                <w:color w:val="auto"/>
                <w:szCs w:val="21"/>
                <w:highlight w:val="none"/>
              </w:rPr>
            </w:pPr>
          </w:p>
        </w:tc>
        <w:tc>
          <w:tcPr>
            <w:tcW w:w="739" w:type="pct"/>
            <w:vAlign w:val="center"/>
          </w:tcPr>
          <w:p w14:paraId="5FCE80B0">
            <w:pPr>
              <w:keepNext/>
              <w:spacing w:line="360" w:lineRule="auto"/>
              <w:jc w:val="center"/>
              <w:rPr>
                <w:rFonts w:cs="宋体"/>
                <w:color w:val="auto"/>
                <w:szCs w:val="21"/>
                <w:highlight w:val="none"/>
              </w:rPr>
            </w:pPr>
          </w:p>
        </w:tc>
      </w:tr>
      <w:tr w14:paraId="6659F2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4261" w:type="pct"/>
            <w:gridSpan w:val="5"/>
            <w:vAlign w:val="center"/>
          </w:tcPr>
          <w:p w14:paraId="5F787451">
            <w:pPr>
              <w:keepNext/>
              <w:spacing w:line="360" w:lineRule="auto"/>
              <w:jc w:val="center"/>
              <w:rPr>
                <w:rFonts w:cs="宋体"/>
                <w:color w:val="auto"/>
                <w:szCs w:val="21"/>
                <w:highlight w:val="none"/>
              </w:rPr>
            </w:pPr>
            <w:r>
              <w:rPr>
                <w:rFonts w:hint="eastAsia" w:cs="宋体"/>
                <w:color w:val="auto"/>
                <w:szCs w:val="21"/>
                <w:highlight w:val="none"/>
              </w:rPr>
              <w:t>二、现场人员</w:t>
            </w:r>
          </w:p>
        </w:tc>
        <w:tc>
          <w:tcPr>
            <w:tcW w:w="739" w:type="pct"/>
            <w:vAlign w:val="center"/>
          </w:tcPr>
          <w:p w14:paraId="6AF3CE64">
            <w:pPr>
              <w:keepNext/>
              <w:spacing w:line="360" w:lineRule="auto"/>
              <w:jc w:val="center"/>
              <w:rPr>
                <w:rFonts w:cs="宋体"/>
                <w:color w:val="auto"/>
                <w:szCs w:val="21"/>
                <w:highlight w:val="none"/>
              </w:rPr>
            </w:pPr>
          </w:p>
        </w:tc>
      </w:tr>
      <w:tr w14:paraId="34B4F0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14:paraId="1FB1F66F">
            <w:pPr>
              <w:spacing w:line="360" w:lineRule="auto"/>
              <w:jc w:val="center"/>
              <w:rPr>
                <w:rFonts w:cs="宋体"/>
                <w:color w:val="auto"/>
                <w:szCs w:val="22"/>
                <w:highlight w:val="none"/>
              </w:rPr>
            </w:pPr>
            <w:r>
              <w:rPr>
                <w:rFonts w:hint="eastAsia" w:cs="宋体"/>
                <w:color w:val="auto"/>
                <w:szCs w:val="22"/>
                <w:highlight w:val="none"/>
              </w:rPr>
              <w:t>项目经理</w:t>
            </w:r>
          </w:p>
        </w:tc>
        <w:tc>
          <w:tcPr>
            <w:tcW w:w="641" w:type="pct"/>
            <w:vAlign w:val="center"/>
          </w:tcPr>
          <w:p w14:paraId="4F328485">
            <w:pPr>
              <w:keepNext/>
              <w:spacing w:line="360" w:lineRule="auto"/>
              <w:jc w:val="center"/>
              <w:rPr>
                <w:rFonts w:cs="宋体"/>
                <w:color w:val="auto"/>
                <w:szCs w:val="21"/>
                <w:highlight w:val="none"/>
              </w:rPr>
            </w:pPr>
          </w:p>
        </w:tc>
        <w:tc>
          <w:tcPr>
            <w:tcW w:w="513" w:type="pct"/>
            <w:vAlign w:val="center"/>
          </w:tcPr>
          <w:p w14:paraId="731C474F">
            <w:pPr>
              <w:keepNext/>
              <w:spacing w:line="360" w:lineRule="auto"/>
              <w:jc w:val="center"/>
              <w:rPr>
                <w:rFonts w:cs="宋体"/>
                <w:color w:val="auto"/>
                <w:szCs w:val="21"/>
                <w:highlight w:val="none"/>
              </w:rPr>
            </w:pPr>
          </w:p>
        </w:tc>
        <w:tc>
          <w:tcPr>
            <w:tcW w:w="373" w:type="pct"/>
            <w:vAlign w:val="center"/>
          </w:tcPr>
          <w:p w14:paraId="38739130">
            <w:pPr>
              <w:keepNext/>
              <w:spacing w:line="360" w:lineRule="auto"/>
              <w:jc w:val="center"/>
              <w:rPr>
                <w:rFonts w:cs="宋体"/>
                <w:color w:val="auto"/>
                <w:szCs w:val="21"/>
                <w:highlight w:val="none"/>
              </w:rPr>
            </w:pPr>
          </w:p>
        </w:tc>
        <w:tc>
          <w:tcPr>
            <w:tcW w:w="1889" w:type="pct"/>
            <w:vAlign w:val="center"/>
          </w:tcPr>
          <w:p w14:paraId="55154B0A">
            <w:pPr>
              <w:keepNext/>
              <w:spacing w:line="360" w:lineRule="auto"/>
              <w:jc w:val="center"/>
              <w:rPr>
                <w:rFonts w:cs="宋体"/>
                <w:color w:val="auto"/>
                <w:szCs w:val="21"/>
                <w:highlight w:val="none"/>
              </w:rPr>
            </w:pPr>
          </w:p>
        </w:tc>
        <w:tc>
          <w:tcPr>
            <w:tcW w:w="739" w:type="pct"/>
            <w:vAlign w:val="center"/>
          </w:tcPr>
          <w:p w14:paraId="2E9B37F5">
            <w:pPr>
              <w:keepNext/>
              <w:spacing w:line="360" w:lineRule="auto"/>
              <w:jc w:val="center"/>
              <w:rPr>
                <w:rFonts w:cs="宋体"/>
                <w:color w:val="auto"/>
                <w:szCs w:val="21"/>
                <w:highlight w:val="none"/>
              </w:rPr>
            </w:pPr>
          </w:p>
        </w:tc>
      </w:tr>
      <w:tr w14:paraId="4F3FBB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14:paraId="03246643">
            <w:pPr>
              <w:spacing w:line="360" w:lineRule="auto"/>
              <w:jc w:val="center"/>
              <w:rPr>
                <w:rFonts w:cs="宋体"/>
                <w:color w:val="auto"/>
                <w:szCs w:val="22"/>
                <w:highlight w:val="none"/>
              </w:rPr>
            </w:pPr>
            <w:r>
              <w:rPr>
                <w:rFonts w:hint="eastAsia" w:cs="宋体"/>
                <w:color w:val="auto"/>
                <w:szCs w:val="22"/>
                <w:highlight w:val="none"/>
              </w:rPr>
              <w:t>项目副经理</w:t>
            </w:r>
          </w:p>
        </w:tc>
        <w:tc>
          <w:tcPr>
            <w:tcW w:w="641" w:type="pct"/>
            <w:vAlign w:val="center"/>
          </w:tcPr>
          <w:p w14:paraId="44401445">
            <w:pPr>
              <w:keepNext/>
              <w:spacing w:line="360" w:lineRule="auto"/>
              <w:jc w:val="center"/>
              <w:rPr>
                <w:rFonts w:cs="宋体"/>
                <w:color w:val="auto"/>
                <w:szCs w:val="21"/>
                <w:highlight w:val="none"/>
              </w:rPr>
            </w:pPr>
          </w:p>
        </w:tc>
        <w:tc>
          <w:tcPr>
            <w:tcW w:w="513" w:type="pct"/>
            <w:vAlign w:val="center"/>
          </w:tcPr>
          <w:p w14:paraId="38631FDB">
            <w:pPr>
              <w:keepNext/>
              <w:spacing w:line="360" w:lineRule="auto"/>
              <w:jc w:val="center"/>
              <w:rPr>
                <w:rFonts w:cs="宋体"/>
                <w:color w:val="auto"/>
                <w:szCs w:val="21"/>
                <w:highlight w:val="none"/>
              </w:rPr>
            </w:pPr>
          </w:p>
        </w:tc>
        <w:tc>
          <w:tcPr>
            <w:tcW w:w="373" w:type="pct"/>
            <w:vAlign w:val="center"/>
          </w:tcPr>
          <w:p w14:paraId="2EFDBFBF">
            <w:pPr>
              <w:keepNext/>
              <w:spacing w:line="360" w:lineRule="auto"/>
              <w:jc w:val="center"/>
              <w:rPr>
                <w:rFonts w:cs="宋体"/>
                <w:color w:val="auto"/>
                <w:szCs w:val="21"/>
                <w:highlight w:val="none"/>
              </w:rPr>
            </w:pPr>
          </w:p>
        </w:tc>
        <w:tc>
          <w:tcPr>
            <w:tcW w:w="1889" w:type="pct"/>
            <w:vAlign w:val="center"/>
          </w:tcPr>
          <w:p w14:paraId="609BEFB2">
            <w:pPr>
              <w:keepNext/>
              <w:spacing w:line="360" w:lineRule="auto"/>
              <w:jc w:val="center"/>
              <w:rPr>
                <w:rFonts w:cs="宋体"/>
                <w:color w:val="auto"/>
                <w:szCs w:val="21"/>
                <w:highlight w:val="none"/>
              </w:rPr>
            </w:pPr>
          </w:p>
        </w:tc>
        <w:tc>
          <w:tcPr>
            <w:tcW w:w="739" w:type="pct"/>
            <w:vAlign w:val="center"/>
          </w:tcPr>
          <w:p w14:paraId="1D4CBAD7">
            <w:pPr>
              <w:keepNext/>
              <w:spacing w:line="360" w:lineRule="auto"/>
              <w:jc w:val="center"/>
              <w:rPr>
                <w:rFonts w:cs="宋体"/>
                <w:color w:val="auto"/>
                <w:szCs w:val="21"/>
                <w:highlight w:val="none"/>
              </w:rPr>
            </w:pPr>
          </w:p>
        </w:tc>
      </w:tr>
      <w:tr w14:paraId="65A55C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845" w:type="pct"/>
            <w:vAlign w:val="center"/>
          </w:tcPr>
          <w:p w14:paraId="155B9576">
            <w:pPr>
              <w:spacing w:line="360" w:lineRule="auto"/>
              <w:jc w:val="center"/>
              <w:rPr>
                <w:rFonts w:cs="宋体"/>
                <w:color w:val="auto"/>
                <w:szCs w:val="22"/>
                <w:highlight w:val="none"/>
              </w:rPr>
            </w:pPr>
            <w:r>
              <w:rPr>
                <w:rFonts w:hint="eastAsia" w:cs="宋体"/>
                <w:color w:val="auto"/>
                <w:szCs w:val="22"/>
                <w:highlight w:val="none"/>
              </w:rPr>
              <w:t>项目技术负责人</w:t>
            </w:r>
          </w:p>
        </w:tc>
        <w:tc>
          <w:tcPr>
            <w:tcW w:w="641" w:type="pct"/>
            <w:vAlign w:val="center"/>
          </w:tcPr>
          <w:p w14:paraId="59D9CE81">
            <w:pPr>
              <w:keepNext/>
              <w:spacing w:line="360" w:lineRule="auto"/>
              <w:jc w:val="center"/>
              <w:rPr>
                <w:rFonts w:cs="宋体"/>
                <w:color w:val="auto"/>
                <w:szCs w:val="21"/>
                <w:highlight w:val="none"/>
              </w:rPr>
            </w:pPr>
          </w:p>
        </w:tc>
        <w:tc>
          <w:tcPr>
            <w:tcW w:w="513" w:type="pct"/>
            <w:vAlign w:val="center"/>
          </w:tcPr>
          <w:p w14:paraId="2024D12E">
            <w:pPr>
              <w:keepNext/>
              <w:spacing w:line="360" w:lineRule="auto"/>
              <w:jc w:val="center"/>
              <w:rPr>
                <w:rFonts w:cs="宋体"/>
                <w:color w:val="auto"/>
                <w:szCs w:val="21"/>
                <w:highlight w:val="none"/>
              </w:rPr>
            </w:pPr>
          </w:p>
        </w:tc>
        <w:tc>
          <w:tcPr>
            <w:tcW w:w="373" w:type="pct"/>
            <w:vAlign w:val="center"/>
          </w:tcPr>
          <w:p w14:paraId="5E55A1AF">
            <w:pPr>
              <w:keepNext/>
              <w:spacing w:line="360" w:lineRule="auto"/>
              <w:jc w:val="center"/>
              <w:rPr>
                <w:rFonts w:cs="宋体"/>
                <w:color w:val="auto"/>
                <w:szCs w:val="21"/>
                <w:highlight w:val="none"/>
              </w:rPr>
            </w:pPr>
          </w:p>
        </w:tc>
        <w:tc>
          <w:tcPr>
            <w:tcW w:w="1889" w:type="pct"/>
            <w:vAlign w:val="center"/>
          </w:tcPr>
          <w:p w14:paraId="316083D3">
            <w:pPr>
              <w:keepNext/>
              <w:spacing w:line="360" w:lineRule="auto"/>
              <w:jc w:val="center"/>
              <w:rPr>
                <w:rFonts w:cs="宋体"/>
                <w:color w:val="auto"/>
                <w:szCs w:val="21"/>
                <w:highlight w:val="none"/>
              </w:rPr>
            </w:pPr>
          </w:p>
        </w:tc>
        <w:tc>
          <w:tcPr>
            <w:tcW w:w="739" w:type="pct"/>
            <w:vAlign w:val="center"/>
          </w:tcPr>
          <w:p w14:paraId="15101DC5">
            <w:pPr>
              <w:keepNext/>
              <w:spacing w:line="360" w:lineRule="auto"/>
              <w:jc w:val="center"/>
              <w:rPr>
                <w:rFonts w:cs="宋体"/>
                <w:color w:val="auto"/>
                <w:szCs w:val="21"/>
                <w:highlight w:val="none"/>
              </w:rPr>
            </w:pPr>
          </w:p>
        </w:tc>
      </w:tr>
      <w:tr w14:paraId="2EF882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14:paraId="1214FE00">
            <w:pPr>
              <w:spacing w:line="360" w:lineRule="auto"/>
              <w:jc w:val="center"/>
              <w:rPr>
                <w:rFonts w:cs="宋体"/>
                <w:color w:val="auto"/>
                <w:szCs w:val="22"/>
                <w:highlight w:val="none"/>
              </w:rPr>
            </w:pPr>
            <w:r>
              <w:rPr>
                <w:rFonts w:hint="eastAsia" w:cs="宋体"/>
                <w:color w:val="auto"/>
                <w:szCs w:val="22"/>
                <w:highlight w:val="none"/>
              </w:rPr>
              <w:t>施工员</w:t>
            </w:r>
          </w:p>
        </w:tc>
        <w:tc>
          <w:tcPr>
            <w:tcW w:w="641" w:type="pct"/>
            <w:vAlign w:val="center"/>
          </w:tcPr>
          <w:p w14:paraId="41DC4E1D">
            <w:pPr>
              <w:keepNext/>
              <w:spacing w:line="360" w:lineRule="auto"/>
              <w:jc w:val="center"/>
              <w:rPr>
                <w:rFonts w:cs="宋体"/>
                <w:color w:val="auto"/>
                <w:szCs w:val="21"/>
                <w:highlight w:val="none"/>
              </w:rPr>
            </w:pPr>
          </w:p>
        </w:tc>
        <w:tc>
          <w:tcPr>
            <w:tcW w:w="513" w:type="pct"/>
            <w:vAlign w:val="center"/>
          </w:tcPr>
          <w:p w14:paraId="1275983A">
            <w:pPr>
              <w:keepNext/>
              <w:spacing w:line="360" w:lineRule="auto"/>
              <w:jc w:val="center"/>
              <w:rPr>
                <w:rFonts w:cs="宋体"/>
                <w:color w:val="auto"/>
                <w:szCs w:val="21"/>
                <w:highlight w:val="none"/>
              </w:rPr>
            </w:pPr>
          </w:p>
        </w:tc>
        <w:tc>
          <w:tcPr>
            <w:tcW w:w="373" w:type="pct"/>
            <w:vAlign w:val="center"/>
          </w:tcPr>
          <w:p w14:paraId="3456FEBC">
            <w:pPr>
              <w:keepNext/>
              <w:spacing w:line="360" w:lineRule="auto"/>
              <w:jc w:val="center"/>
              <w:rPr>
                <w:rFonts w:cs="宋体"/>
                <w:color w:val="auto"/>
                <w:szCs w:val="21"/>
                <w:highlight w:val="none"/>
              </w:rPr>
            </w:pPr>
          </w:p>
        </w:tc>
        <w:tc>
          <w:tcPr>
            <w:tcW w:w="1889" w:type="pct"/>
            <w:vAlign w:val="center"/>
          </w:tcPr>
          <w:p w14:paraId="0E0236B2">
            <w:pPr>
              <w:keepNext/>
              <w:spacing w:line="360" w:lineRule="auto"/>
              <w:jc w:val="center"/>
              <w:rPr>
                <w:rFonts w:cs="宋体"/>
                <w:color w:val="auto"/>
                <w:szCs w:val="21"/>
                <w:highlight w:val="none"/>
              </w:rPr>
            </w:pPr>
          </w:p>
        </w:tc>
        <w:tc>
          <w:tcPr>
            <w:tcW w:w="739" w:type="pct"/>
            <w:vAlign w:val="center"/>
          </w:tcPr>
          <w:p w14:paraId="5A5BD009">
            <w:pPr>
              <w:keepNext/>
              <w:spacing w:line="360" w:lineRule="auto"/>
              <w:jc w:val="center"/>
              <w:rPr>
                <w:rFonts w:cs="宋体"/>
                <w:color w:val="auto"/>
                <w:szCs w:val="21"/>
                <w:highlight w:val="none"/>
              </w:rPr>
            </w:pPr>
          </w:p>
        </w:tc>
      </w:tr>
      <w:tr w14:paraId="3643BA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14:paraId="77E193B1">
            <w:pPr>
              <w:spacing w:line="360" w:lineRule="auto"/>
              <w:jc w:val="center"/>
              <w:rPr>
                <w:rFonts w:cs="宋体"/>
                <w:color w:val="auto"/>
                <w:szCs w:val="22"/>
                <w:highlight w:val="none"/>
              </w:rPr>
            </w:pPr>
            <w:r>
              <w:rPr>
                <w:rFonts w:hint="eastAsia" w:cs="宋体"/>
                <w:color w:val="auto"/>
                <w:szCs w:val="22"/>
                <w:highlight w:val="none"/>
              </w:rPr>
              <w:t>质检员（质量员）</w:t>
            </w:r>
          </w:p>
        </w:tc>
        <w:tc>
          <w:tcPr>
            <w:tcW w:w="641" w:type="pct"/>
            <w:vAlign w:val="center"/>
          </w:tcPr>
          <w:p w14:paraId="74988033">
            <w:pPr>
              <w:keepNext/>
              <w:spacing w:line="360" w:lineRule="auto"/>
              <w:jc w:val="center"/>
              <w:rPr>
                <w:rFonts w:cs="宋体"/>
                <w:color w:val="auto"/>
                <w:szCs w:val="21"/>
                <w:highlight w:val="none"/>
              </w:rPr>
            </w:pPr>
          </w:p>
        </w:tc>
        <w:tc>
          <w:tcPr>
            <w:tcW w:w="513" w:type="pct"/>
            <w:vAlign w:val="center"/>
          </w:tcPr>
          <w:p w14:paraId="49A94CD4">
            <w:pPr>
              <w:keepNext/>
              <w:spacing w:line="360" w:lineRule="auto"/>
              <w:jc w:val="center"/>
              <w:rPr>
                <w:rFonts w:cs="宋体"/>
                <w:color w:val="auto"/>
                <w:szCs w:val="21"/>
                <w:highlight w:val="none"/>
              </w:rPr>
            </w:pPr>
          </w:p>
        </w:tc>
        <w:tc>
          <w:tcPr>
            <w:tcW w:w="373" w:type="pct"/>
            <w:vAlign w:val="center"/>
          </w:tcPr>
          <w:p w14:paraId="3DE6C624">
            <w:pPr>
              <w:keepNext/>
              <w:spacing w:line="360" w:lineRule="auto"/>
              <w:jc w:val="center"/>
              <w:rPr>
                <w:rFonts w:cs="宋体"/>
                <w:color w:val="auto"/>
                <w:szCs w:val="21"/>
                <w:highlight w:val="none"/>
              </w:rPr>
            </w:pPr>
          </w:p>
        </w:tc>
        <w:tc>
          <w:tcPr>
            <w:tcW w:w="1889" w:type="pct"/>
            <w:vAlign w:val="center"/>
          </w:tcPr>
          <w:p w14:paraId="39607259">
            <w:pPr>
              <w:keepNext/>
              <w:spacing w:line="360" w:lineRule="auto"/>
              <w:jc w:val="center"/>
              <w:rPr>
                <w:rFonts w:cs="宋体"/>
                <w:color w:val="auto"/>
                <w:szCs w:val="21"/>
                <w:highlight w:val="none"/>
              </w:rPr>
            </w:pPr>
          </w:p>
        </w:tc>
        <w:tc>
          <w:tcPr>
            <w:tcW w:w="739" w:type="pct"/>
            <w:vAlign w:val="center"/>
          </w:tcPr>
          <w:p w14:paraId="34944FBF">
            <w:pPr>
              <w:keepNext/>
              <w:spacing w:line="360" w:lineRule="auto"/>
              <w:jc w:val="center"/>
              <w:rPr>
                <w:rFonts w:cs="宋体"/>
                <w:color w:val="auto"/>
                <w:szCs w:val="21"/>
                <w:highlight w:val="none"/>
              </w:rPr>
            </w:pPr>
          </w:p>
        </w:tc>
      </w:tr>
      <w:tr w14:paraId="5ABFB7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845" w:type="pct"/>
            <w:vAlign w:val="center"/>
          </w:tcPr>
          <w:p w14:paraId="757226AD">
            <w:pPr>
              <w:spacing w:line="360" w:lineRule="auto"/>
              <w:jc w:val="center"/>
              <w:rPr>
                <w:rFonts w:cs="宋体"/>
                <w:color w:val="auto"/>
                <w:szCs w:val="22"/>
                <w:highlight w:val="none"/>
              </w:rPr>
            </w:pPr>
            <w:r>
              <w:rPr>
                <w:rFonts w:hint="eastAsia" w:cs="宋体"/>
                <w:color w:val="auto"/>
                <w:szCs w:val="22"/>
                <w:highlight w:val="none"/>
              </w:rPr>
              <w:t>安全员</w:t>
            </w:r>
          </w:p>
        </w:tc>
        <w:tc>
          <w:tcPr>
            <w:tcW w:w="641" w:type="pct"/>
            <w:vAlign w:val="center"/>
          </w:tcPr>
          <w:p w14:paraId="183B5CFB">
            <w:pPr>
              <w:keepNext/>
              <w:spacing w:line="360" w:lineRule="auto"/>
              <w:jc w:val="center"/>
              <w:rPr>
                <w:rFonts w:cs="宋体"/>
                <w:color w:val="auto"/>
                <w:szCs w:val="21"/>
                <w:highlight w:val="none"/>
              </w:rPr>
            </w:pPr>
          </w:p>
        </w:tc>
        <w:tc>
          <w:tcPr>
            <w:tcW w:w="513" w:type="pct"/>
            <w:vAlign w:val="center"/>
          </w:tcPr>
          <w:p w14:paraId="330B4C07">
            <w:pPr>
              <w:keepNext/>
              <w:spacing w:line="360" w:lineRule="auto"/>
              <w:jc w:val="center"/>
              <w:rPr>
                <w:rFonts w:cs="宋体"/>
                <w:color w:val="auto"/>
                <w:szCs w:val="21"/>
                <w:highlight w:val="none"/>
              </w:rPr>
            </w:pPr>
          </w:p>
        </w:tc>
        <w:tc>
          <w:tcPr>
            <w:tcW w:w="373" w:type="pct"/>
            <w:vAlign w:val="center"/>
          </w:tcPr>
          <w:p w14:paraId="7D35A5AA">
            <w:pPr>
              <w:keepNext/>
              <w:spacing w:line="360" w:lineRule="auto"/>
              <w:jc w:val="center"/>
              <w:rPr>
                <w:rFonts w:cs="宋体"/>
                <w:color w:val="auto"/>
                <w:szCs w:val="21"/>
                <w:highlight w:val="none"/>
              </w:rPr>
            </w:pPr>
          </w:p>
        </w:tc>
        <w:tc>
          <w:tcPr>
            <w:tcW w:w="1889" w:type="pct"/>
            <w:vAlign w:val="center"/>
          </w:tcPr>
          <w:p w14:paraId="3DFD2F6B">
            <w:pPr>
              <w:keepNext/>
              <w:spacing w:line="360" w:lineRule="auto"/>
              <w:jc w:val="center"/>
              <w:rPr>
                <w:rFonts w:cs="宋体"/>
                <w:color w:val="auto"/>
                <w:szCs w:val="21"/>
                <w:highlight w:val="none"/>
              </w:rPr>
            </w:pPr>
          </w:p>
        </w:tc>
        <w:tc>
          <w:tcPr>
            <w:tcW w:w="739" w:type="pct"/>
            <w:vAlign w:val="center"/>
          </w:tcPr>
          <w:p w14:paraId="3100F6D2">
            <w:pPr>
              <w:keepNext/>
              <w:spacing w:line="360" w:lineRule="auto"/>
              <w:jc w:val="center"/>
              <w:rPr>
                <w:rFonts w:cs="宋体"/>
                <w:color w:val="auto"/>
                <w:szCs w:val="21"/>
                <w:highlight w:val="none"/>
              </w:rPr>
            </w:pPr>
          </w:p>
        </w:tc>
      </w:tr>
      <w:tr w14:paraId="4916AC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14:paraId="4852CB3C">
            <w:pPr>
              <w:spacing w:line="360" w:lineRule="auto"/>
              <w:jc w:val="center"/>
              <w:rPr>
                <w:rFonts w:cs="宋体"/>
                <w:color w:val="auto"/>
                <w:szCs w:val="22"/>
                <w:highlight w:val="none"/>
              </w:rPr>
            </w:pPr>
            <w:r>
              <w:rPr>
                <w:rFonts w:hint="eastAsia" w:cs="宋体"/>
                <w:color w:val="auto"/>
                <w:szCs w:val="22"/>
                <w:highlight w:val="none"/>
              </w:rPr>
              <w:t>资料员</w:t>
            </w:r>
          </w:p>
        </w:tc>
        <w:tc>
          <w:tcPr>
            <w:tcW w:w="641" w:type="pct"/>
            <w:vAlign w:val="center"/>
          </w:tcPr>
          <w:p w14:paraId="0D127A58">
            <w:pPr>
              <w:keepNext/>
              <w:spacing w:line="360" w:lineRule="auto"/>
              <w:jc w:val="center"/>
              <w:rPr>
                <w:rFonts w:cs="宋体"/>
                <w:color w:val="auto"/>
                <w:szCs w:val="21"/>
                <w:highlight w:val="none"/>
              </w:rPr>
            </w:pPr>
          </w:p>
        </w:tc>
        <w:tc>
          <w:tcPr>
            <w:tcW w:w="513" w:type="pct"/>
            <w:vAlign w:val="center"/>
          </w:tcPr>
          <w:p w14:paraId="7B6D62D5">
            <w:pPr>
              <w:keepNext/>
              <w:spacing w:line="360" w:lineRule="auto"/>
              <w:jc w:val="center"/>
              <w:rPr>
                <w:rFonts w:cs="宋体"/>
                <w:color w:val="auto"/>
                <w:szCs w:val="21"/>
                <w:highlight w:val="none"/>
              </w:rPr>
            </w:pPr>
          </w:p>
        </w:tc>
        <w:tc>
          <w:tcPr>
            <w:tcW w:w="373" w:type="pct"/>
            <w:vAlign w:val="center"/>
          </w:tcPr>
          <w:p w14:paraId="03CFEAFF">
            <w:pPr>
              <w:keepNext/>
              <w:spacing w:line="360" w:lineRule="auto"/>
              <w:jc w:val="center"/>
              <w:rPr>
                <w:rFonts w:cs="宋体"/>
                <w:color w:val="auto"/>
                <w:szCs w:val="21"/>
                <w:highlight w:val="none"/>
              </w:rPr>
            </w:pPr>
          </w:p>
        </w:tc>
        <w:tc>
          <w:tcPr>
            <w:tcW w:w="1889" w:type="pct"/>
            <w:vAlign w:val="center"/>
          </w:tcPr>
          <w:p w14:paraId="581DC5EF">
            <w:pPr>
              <w:keepNext/>
              <w:spacing w:line="360" w:lineRule="auto"/>
              <w:jc w:val="center"/>
              <w:rPr>
                <w:rFonts w:cs="宋体"/>
                <w:color w:val="auto"/>
                <w:szCs w:val="21"/>
                <w:highlight w:val="none"/>
              </w:rPr>
            </w:pPr>
          </w:p>
        </w:tc>
        <w:tc>
          <w:tcPr>
            <w:tcW w:w="739" w:type="pct"/>
            <w:vAlign w:val="center"/>
          </w:tcPr>
          <w:p w14:paraId="085F7C8C">
            <w:pPr>
              <w:keepNext/>
              <w:spacing w:line="360" w:lineRule="auto"/>
              <w:jc w:val="center"/>
              <w:rPr>
                <w:rFonts w:cs="宋体"/>
                <w:color w:val="auto"/>
                <w:szCs w:val="21"/>
                <w:highlight w:val="none"/>
              </w:rPr>
            </w:pPr>
          </w:p>
        </w:tc>
      </w:tr>
      <w:tr w14:paraId="34634B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restart"/>
            <w:vAlign w:val="center"/>
          </w:tcPr>
          <w:p w14:paraId="043631E6">
            <w:pPr>
              <w:keepNext/>
              <w:spacing w:line="360" w:lineRule="auto"/>
              <w:jc w:val="center"/>
              <w:rPr>
                <w:rFonts w:cs="宋体"/>
                <w:color w:val="auto"/>
                <w:szCs w:val="21"/>
                <w:highlight w:val="none"/>
              </w:rPr>
            </w:pPr>
            <w:r>
              <w:rPr>
                <w:rFonts w:hint="eastAsia" w:cs="宋体"/>
                <w:color w:val="auto"/>
                <w:szCs w:val="21"/>
                <w:highlight w:val="none"/>
              </w:rPr>
              <w:t>其他人员</w:t>
            </w:r>
          </w:p>
        </w:tc>
        <w:tc>
          <w:tcPr>
            <w:tcW w:w="641" w:type="pct"/>
            <w:vAlign w:val="center"/>
          </w:tcPr>
          <w:p w14:paraId="202D6E9F">
            <w:pPr>
              <w:keepNext/>
              <w:spacing w:line="360" w:lineRule="auto"/>
              <w:jc w:val="center"/>
              <w:rPr>
                <w:rFonts w:cs="宋体"/>
                <w:color w:val="auto"/>
                <w:szCs w:val="21"/>
                <w:highlight w:val="none"/>
              </w:rPr>
            </w:pPr>
          </w:p>
        </w:tc>
        <w:tc>
          <w:tcPr>
            <w:tcW w:w="513" w:type="pct"/>
            <w:vAlign w:val="center"/>
          </w:tcPr>
          <w:p w14:paraId="45FE1674">
            <w:pPr>
              <w:keepNext/>
              <w:spacing w:line="360" w:lineRule="auto"/>
              <w:jc w:val="center"/>
              <w:rPr>
                <w:rFonts w:cs="宋体"/>
                <w:color w:val="auto"/>
                <w:szCs w:val="21"/>
                <w:highlight w:val="none"/>
              </w:rPr>
            </w:pPr>
          </w:p>
        </w:tc>
        <w:tc>
          <w:tcPr>
            <w:tcW w:w="373" w:type="pct"/>
            <w:vAlign w:val="center"/>
          </w:tcPr>
          <w:p w14:paraId="251E5E0E">
            <w:pPr>
              <w:keepNext/>
              <w:spacing w:line="360" w:lineRule="auto"/>
              <w:jc w:val="center"/>
              <w:rPr>
                <w:rFonts w:cs="宋体"/>
                <w:color w:val="auto"/>
                <w:szCs w:val="21"/>
                <w:highlight w:val="none"/>
              </w:rPr>
            </w:pPr>
          </w:p>
        </w:tc>
        <w:tc>
          <w:tcPr>
            <w:tcW w:w="1889" w:type="pct"/>
            <w:vAlign w:val="center"/>
          </w:tcPr>
          <w:p w14:paraId="35AFD87B">
            <w:pPr>
              <w:keepNext/>
              <w:spacing w:line="360" w:lineRule="auto"/>
              <w:jc w:val="center"/>
              <w:rPr>
                <w:rFonts w:cs="宋体"/>
                <w:color w:val="auto"/>
                <w:szCs w:val="21"/>
                <w:highlight w:val="none"/>
              </w:rPr>
            </w:pPr>
          </w:p>
        </w:tc>
        <w:tc>
          <w:tcPr>
            <w:tcW w:w="739" w:type="pct"/>
            <w:vAlign w:val="center"/>
          </w:tcPr>
          <w:p w14:paraId="458B64F5">
            <w:pPr>
              <w:keepNext/>
              <w:spacing w:line="360" w:lineRule="auto"/>
              <w:jc w:val="center"/>
              <w:rPr>
                <w:rFonts w:cs="宋体"/>
                <w:color w:val="auto"/>
                <w:szCs w:val="21"/>
                <w:highlight w:val="none"/>
              </w:rPr>
            </w:pPr>
          </w:p>
        </w:tc>
      </w:tr>
      <w:tr w14:paraId="33F536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14:paraId="731EFD1E">
            <w:pPr>
              <w:keepNext/>
              <w:spacing w:line="360" w:lineRule="auto"/>
              <w:jc w:val="center"/>
              <w:rPr>
                <w:rFonts w:cs="宋体"/>
                <w:color w:val="auto"/>
                <w:szCs w:val="21"/>
                <w:highlight w:val="none"/>
              </w:rPr>
            </w:pPr>
          </w:p>
        </w:tc>
        <w:tc>
          <w:tcPr>
            <w:tcW w:w="641" w:type="pct"/>
            <w:tcBorders>
              <w:bottom w:val="nil"/>
            </w:tcBorders>
            <w:vAlign w:val="center"/>
          </w:tcPr>
          <w:p w14:paraId="5E0EEA30">
            <w:pPr>
              <w:keepNext/>
              <w:spacing w:line="360" w:lineRule="auto"/>
              <w:jc w:val="center"/>
              <w:rPr>
                <w:rFonts w:cs="宋体"/>
                <w:color w:val="auto"/>
                <w:szCs w:val="21"/>
                <w:highlight w:val="none"/>
              </w:rPr>
            </w:pPr>
          </w:p>
        </w:tc>
        <w:tc>
          <w:tcPr>
            <w:tcW w:w="513" w:type="pct"/>
            <w:tcBorders>
              <w:bottom w:val="nil"/>
            </w:tcBorders>
            <w:vAlign w:val="center"/>
          </w:tcPr>
          <w:p w14:paraId="662E68E1">
            <w:pPr>
              <w:keepNext/>
              <w:spacing w:line="360" w:lineRule="auto"/>
              <w:jc w:val="center"/>
              <w:rPr>
                <w:rFonts w:cs="宋体"/>
                <w:color w:val="auto"/>
                <w:szCs w:val="21"/>
                <w:highlight w:val="none"/>
              </w:rPr>
            </w:pPr>
          </w:p>
        </w:tc>
        <w:tc>
          <w:tcPr>
            <w:tcW w:w="373" w:type="pct"/>
            <w:tcBorders>
              <w:bottom w:val="nil"/>
            </w:tcBorders>
            <w:vAlign w:val="center"/>
          </w:tcPr>
          <w:p w14:paraId="42762C53">
            <w:pPr>
              <w:keepNext/>
              <w:spacing w:line="360" w:lineRule="auto"/>
              <w:jc w:val="center"/>
              <w:rPr>
                <w:rFonts w:cs="宋体"/>
                <w:color w:val="auto"/>
                <w:szCs w:val="21"/>
                <w:highlight w:val="none"/>
              </w:rPr>
            </w:pPr>
          </w:p>
        </w:tc>
        <w:tc>
          <w:tcPr>
            <w:tcW w:w="1889" w:type="pct"/>
            <w:tcBorders>
              <w:bottom w:val="nil"/>
            </w:tcBorders>
            <w:vAlign w:val="center"/>
          </w:tcPr>
          <w:p w14:paraId="08947B53">
            <w:pPr>
              <w:keepNext/>
              <w:spacing w:line="360" w:lineRule="auto"/>
              <w:jc w:val="center"/>
              <w:rPr>
                <w:rFonts w:cs="宋体"/>
                <w:color w:val="auto"/>
                <w:szCs w:val="21"/>
                <w:highlight w:val="none"/>
              </w:rPr>
            </w:pPr>
          </w:p>
        </w:tc>
        <w:tc>
          <w:tcPr>
            <w:tcW w:w="739" w:type="pct"/>
            <w:tcBorders>
              <w:bottom w:val="nil"/>
            </w:tcBorders>
            <w:vAlign w:val="center"/>
          </w:tcPr>
          <w:p w14:paraId="69E7A108">
            <w:pPr>
              <w:keepNext/>
              <w:spacing w:line="360" w:lineRule="auto"/>
              <w:jc w:val="center"/>
              <w:rPr>
                <w:rFonts w:cs="宋体"/>
                <w:color w:val="auto"/>
                <w:szCs w:val="21"/>
                <w:highlight w:val="none"/>
              </w:rPr>
            </w:pPr>
          </w:p>
        </w:tc>
      </w:tr>
      <w:tr w14:paraId="1040D1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14:paraId="364C0161">
            <w:pPr>
              <w:keepNext/>
              <w:spacing w:line="360" w:lineRule="auto"/>
              <w:jc w:val="center"/>
              <w:rPr>
                <w:rFonts w:cs="宋体"/>
                <w:color w:val="auto"/>
                <w:szCs w:val="21"/>
                <w:highlight w:val="none"/>
              </w:rPr>
            </w:pPr>
          </w:p>
        </w:tc>
        <w:tc>
          <w:tcPr>
            <w:tcW w:w="641" w:type="pct"/>
            <w:vAlign w:val="center"/>
          </w:tcPr>
          <w:p w14:paraId="31515A8D">
            <w:pPr>
              <w:keepNext/>
              <w:spacing w:line="360" w:lineRule="auto"/>
              <w:jc w:val="center"/>
              <w:rPr>
                <w:rFonts w:cs="宋体"/>
                <w:color w:val="auto"/>
                <w:szCs w:val="21"/>
                <w:highlight w:val="none"/>
              </w:rPr>
            </w:pPr>
          </w:p>
        </w:tc>
        <w:tc>
          <w:tcPr>
            <w:tcW w:w="513" w:type="pct"/>
            <w:vAlign w:val="center"/>
          </w:tcPr>
          <w:p w14:paraId="3046A645">
            <w:pPr>
              <w:keepNext/>
              <w:spacing w:line="360" w:lineRule="auto"/>
              <w:jc w:val="center"/>
              <w:rPr>
                <w:rFonts w:cs="宋体"/>
                <w:color w:val="auto"/>
                <w:szCs w:val="21"/>
                <w:highlight w:val="none"/>
              </w:rPr>
            </w:pPr>
          </w:p>
        </w:tc>
        <w:tc>
          <w:tcPr>
            <w:tcW w:w="373" w:type="pct"/>
            <w:vAlign w:val="center"/>
          </w:tcPr>
          <w:p w14:paraId="741725B2">
            <w:pPr>
              <w:keepNext/>
              <w:spacing w:line="360" w:lineRule="auto"/>
              <w:jc w:val="center"/>
              <w:rPr>
                <w:rFonts w:cs="宋体"/>
                <w:color w:val="auto"/>
                <w:szCs w:val="21"/>
                <w:highlight w:val="none"/>
              </w:rPr>
            </w:pPr>
          </w:p>
        </w:tc>
        <w:tc>
          <w:tcPr>
            <w:tcW w:w="1889" w:type="pct"/>
            <w:vAlign w:val="center"/>
          </w:tcPr>
          <w:p w14:paraId="578CD5E7">
            <w:pPr>
              <w:keepNext/>
              <w:spacing w:line="360" w:lineRule="auto"/>
              <w:jc w:val="center"/>
              <w:rPr>
                <w:rFonts w:cs="宋体"/>
                <w:color w:val="auto"/>
                <w:szCs w:val="21"/>
                <w:highlight w:val="none"/>
              </w:rPr>
            </w:pPr>
          </w:p>
        </w:tc>
        <w:tc>
          <w:tcPr>
            <w:tcW w:w="739" w:type="pct"/>
            <w:vAlign w:val="center"/>
          </w:tcPr>
          <w:p w14:paraId="0B6383E8">
            <w:pPr>
              <w:keepNext/>
              <w:spacing w:line="360" w:lineRule="auto"/>
              <w:jc w:val="center"/>
              <w:rPr>
                <w:rFonts w:cs="宋体"/>
                <w:color w:val="auto"/>
                <w:szCs w:val="21"/>
                <w:highlight w:val="none"/>
              </w:rPr>
            </w:pPr>
          </w:p>
        </w:tc>
      </w:tr>
      <w:tr w14:paraId="0B211F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14:paraId="0BB38795">
            <w:pPr>
              <w:keepNext/>
              <w:spacing w:line="360" w:lineRule="auto"/>
              <w:jc w:val="center"/>
              <w:rPr>
                <w:rFonts w:cs="宋体"/>
                <w:color w:val="auto"/>
                <w:szCs w:val="21"/>
                <w:highlight w:val="none"/>
              </w:rPr>
            </w:pPr>
          </w:p>
        </w:tc>
        <w:tc>
          <w:tcPr>
            <w:tcW w:w="641" w:type="pct"/>
            <w:vAlign w:val="center"/>
          </w:tcPr>
          <w:p w14:paraId="598DF039">
            <w:pPr>
              <w:keepNext/>
              <w:spacing w:line="360" w:lineRule="auto"/>
              <w:jc w:val="center"/>
              <w:rPr>
                <w:rFonts w:cs="宋体"/>
                <w:color w:val="auto"/>
                <w:szCs w:val="21"/>
                <w:highlight w:val="none"/>
              </w:rPr>
            </w:pPr>
          </w:p>
        </w:tc>
        <w:tc>
          <w:tcPr>
            <w:tcW w:w="513" w:type="pct"/>
            <w:vAlign w:val="center"/>
          </w:tcPr>
          <w:p w14:paraId="0ECAA262">
            <w:pPr>
              <w:keepNext/>
              <w:spacing w:line="360" w:lineRule="auto"/>
              <w:jc w:val="center"/>
              <w:rPr>
                <w:rFonts w:cs="宋体"/>
                <w:color w:val="auto"/>
                <w:szCs w:val="21"/>
                <w:highlight w:val="none"/>
              </w:rPr>
            </w:pPr>
          </w:p>
        </w:tc>
        <w:tc>
          <w:tcPr>
            <w:tcW w:w="373" w:type="pct"/>
            <w:vAlign w:val="center"/>
          </w:tcPr>
          <w:p w14:paraId="200D1998">
            <w:pPr>
              <w:keepNext/>
              <w:spacing w:line="360" w:lineRule="auto"/>
              <w:jc w:val="center"/>
              <w:rPr>
                <w:rFonts w:cs="宋体"/>
                <w:color w:val="auto"/>
                <w:szCs w:val="21"/>
                <w:highlight w:val="none"/>
              </w:rPr>
            </w:pPr>
          </w:p>
        </w:tc>
        <w:tc>
          <w:tcPr>
            <w:tcW w:w="1889" w:type="pct"/>
            <w:vAlign w:val="center"/>
          </w:tcPr>
          <w:p w14:paraId="490AC313">
            <w:pPr>
              <w:keepNext/>
              <w:spacing w:line="360" w:lineRule="auto"/>
              <w:jc w:val="center"/>
              <w:rPr>
                <w:rFonts w:cs="宋体"/>
                <w:color w:val="auto"/>
                <w:szCs w:val="21"/>
                <w:highlight w:val="none"/>
              </w:rPr>
            </w:pPr>
          </w:p>
        </w:tc>
        <w:tc>
          <w:tcPr>
            <w:tcW w:w="739" w:type="pct"/>
            <w:vAlign w:val="center"/>
          </w:tcPr>
          <w:p w14:paraId="533ED897">
            <w:pPr>
              <w:keepNext/>
              <w:spacing w:line="360" w:lineRule="auto"/>
              <w:jc w:val="center"/>
              <w:rPr>
                <w:rFonts w:cs="宋体"/>
                <w:color w:val="auto"/>
                <w:szCs w:val="21"/>
                <w:highlight w:val="none"/>
              </w:rPr>
            </w:pPr>
          </w:p>
        </w:tc>
      </w:tr>
      <w:tr w14:paraId="7711D2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14:paraId="2D25024E">
            <w:pPr>
              <w:keepNext/>
              <w:spacing w:line="360" w:lineRule="auto"/>
              <w:jc w:val="center"/>
              <w:rPr>
                <w:rFonts w:cs="宋体"/>
                <w:color w:val="auto"/>
                <w:szCs w:val="21"/>
                <w:highlight w:val="none"/>
              </w:rPr>
            </w:pPr>
          </w:p>
        </w:tc>
        <w:tc>
          <w:tcPr>
            <w:tcW w:w="641" w:type="pct"/>
            <w:vAlign w:val="center"/>
          </w:tcPr>
          <w:p w14:paraId="7049610C">
            <w:pPr>
              <w:keepNext/>
              <w:spacing w:line="360" w:lineRule="auto"/>
              <w:jc w:val="center"/>
              <w:rPr>
                <w:rFonts w:cs="宋体"/>
                <w:color w:val="auto"/>
                <w:szCs w:val="21"/>
                <w:highlight w:val="none"/>
              </w:rPr>
            </w:pPr>
          </w:p>
        </w:tc>
        <w:tc>
          <w:tcPr>
            <w:tcW w:w="513" w:type="pct"/>
            <w:vAlign w:val="center"/>
          </w:tcPr>
          <w:p w14:paraId="679D8971">
            <w:pPr>
              <w:keepNext/>
              <w:spacing w:line="360" w:lineRule="auto"/>
              <w:jc w:val="center"/>
              <w:rPr>
                <w:rFonts w:cs="宋体"/>
                <w:color w:val="auto"/>
                <w:szCs w:val="21"/>
                <w:highlight w:val="none"/>
              </w:rPr>
            </w:pPr>
          </w:p>
        </w:tc>
        <w:tc>
          <w:tcPr>
            <w:tcW w:w="373" w:type="pct"/>
            <w:vAlign w:val="center"/>
          </w:tcPr>
          <w:p w14:paraId="0582EE5E">
            <w:pPr>
              <w:keepNext/>
              <w:spacing w:line="360" w:lineRule="auto"/>
              <w:jc w:val="center"/>
              <w:rPr>
                <w:rFonts w:cs="宋体"/>
                <w:color w:val="auto"/>
                <w:szCs w:val="21"/>
                <w:highlight w:val="none"/>
              </w:rPr>
            </w:pPr>
          </w:p>
        </w:tc>
        <w:tc>
          <w:tcPr>
            <w:tcW w:w="1889" w:type="pct"/>
            <w:vAlign w:val="center"/>
          </w:tcPr>
          <w:p w14:paraId="40F4E839">
            <w:pPr>
              <w:keepNext/>
              <w:spacing w:line="360" w:lineRule="auto"/>
              <w:jc w:val="center"/>
              <w:rPr>
                <w:rFonts w:cs="宋体"/>
                <w:color w:val="auto"/>
                <w:szCs w:val="21"/>
                <w:highlight w:val="none"/>
              </w:rPr>
            </w:pPr>
          </w:p>
        </w:tc>
        <w:tc>
          <w:tcPr>
            <w:tcW w:w="739" w:type="pct"/>
            <w:vAlign w:val="center"/>
          </w:tcPr>
          <w:p w14:paraId="5B36EEA5">
            <w:pPr>
              <w:keepNext/>
              <w:spacing w:line="360" w:lineRule="auto"/>
              <w:jc w:val="center"/>
              <w:rPr>
                <w:rFonts w:cs="宋体"/>
                <w:color w:val="auto"/>
                <w:szCs w:val="21"/>
                <w:highlight w:val="none"/>
              </w:rPr>
            </w:pPr>
          </w:p>
        </w:tc>
      </w:tr>
      <w:tr w14:paraId="2C3257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tcBorders>
              <w:bottom w:val="single" w:color="auto" w:sz="12" w:space="0"/>
            </w:tcBorders>
            <w:vAlign w:val="center"/>
          </w:tcPr>
          <w:p w14:paraId="6D188CFD">
            <w:pPr>
              <w:keepNext/>
              <w:spacing w:line="360" w:lineRule="auto"/>
              <w:jc w:val="center"/>
              <w:rPr>
                <w:rFonts w:cs="宋体"/>
                <w:color w:val="auto"/>
                <w:szCs w:val="21"/>
                <w:highlight w:val="none"/>
              </w:rPr>
            </w:pPr>
          </w:p>
        </w:tc>
        <w:tc>
          <w:tcPr>
            <w:tcW w:w="641" w:type="pct"/>
            <w:tcBorders>
              <w:bottom w:val="single" w:color="auto" w:sz="12" w:space="0"/>
            </w:tcBorders>
            <w:vAlign w:val="center"/>
          </w:tcPr>
          <w:p w14:paraId="74E41795">
            <w:pPr>
              <w:keepNext/>
              <w:spacing w:line="360" w:lineRule="auto"/>
              <w:jc w:val="center"/>
              <w:rPr>
                <w:rFonts w:cs="宋体"/>
                <w:color w:val="auto"/>
                <w:szCs w:val="21"/>
                <w:highlight w:val="none"/>
              </w:rPr>
            </w:pPr>
          </w:p>
        </w:tc>
        <w:tc>
          <w:tcPr>
            <w:tcW w:w="513" w:type="pct"/>
            <w:tcBorders>
              <w:bottom w:val="single" w:color="auto" w:sz="12" w:space="0"/>
            </w:tcBorders>
            <w:vAlign w:val="center"/>
          </w:tcPr>
          <w:p w14:paraId="5BB9F4C8">
            <w:pPr>
              <w:keepNext/>
              <w:spacing w:line="360" w:lineRule="auto"/>
              <w:jc w:val="center"/>
              <w:rPr>
                <w:rFonts w:cs="宋体"/>
                <w:color w:val="auto"/>
                <w:szCs w:val="21"/>
                <w:highlight w:val="none"/>
              </w:rPr>
            </w:pPr>
          </w:p>
        </w:tc>
        <w:tc>
          <w:tcPr>
            <w:tcW w:w="373" w:type="pct"/>
            <w:tcBorders>
              <w:bottom w:val="single" w:color="auto" w:sz="12" w:space="0"/>
            </w:tcBorders>
            <w:vAlign w:val="center"/>
          </w:tcPr>
          <w:p w14:paraId="21F86BCF">
            <w:pPr>
              <w:keepNext/>
              <w:spacing w:line="360" w:lineRule="auto"/>
              <w:jc w:val="center"/>
              <w:rPr>
                <w:rFonts w:cs="宋体"/>
                <w:color w:val="auto"/>
                <w:szCs w:val="21"/>
                <w:highlight w:val="none"/>
              </w:rPr>
            </w:pPr>
          </w:p>
        </w:tc>
        <w:tc>
          <w:tcPr>
            <w:tcW w:w="1889" w:type="pct"/>
            <w:tcBorders>
              <w:bottom w:val="single" w:color="auto" w:sz="12" w:space="0"/>
            </w:tcBorders>
            <w:vAlign w:val="center"/>
          </w:tcPr>
          <w:p w14:paraId="6AD0AA6F">
            <w:pPr>
              <w:keepNext/>
              <w:spacing w:line="360" w:lineRule="auto"/>
              <w:jc w:val="center"/>
              <w:rPr>
                <w:rFonts w:cs="宋体"/>
                <w:color w:val="auto"/>
                <w:szCs w:val="21"/>
                <w:highlight w:val="none"/>
              </w:rPr>
            </w:pPr>
          </w:p>
        </w:tc>
        <w:tc>
          <w:tcPr>
            <w:tcW w:w="739" w:type="pct"/>
            <w:tcBorders>
              <w:bottom w:val="single" w:color="auto" w:sz="12" w:space="0"/>
            </w:tcBorders>
            <w:vAlign w:val="center"/>
          </w:tcPr>
          <w:p w14:paraId="36657CC9">
            <w:pPr>
              <w:keepNext/>
              <w:spacing w:line="360" w:lineRule="auto"/>
              <w:jc w:val="center"/>
              <w:rPr>
                <w:rFonts w:cs="宋体"/>
                <w:color w:val="auto"/>
                <w:szCs w:val="21"/>
                <w:highlight w:val="none"/>
              </w:rPr>
            </w:pPr>
          </w:p>
        </w:tc>
      </w:tr>
    </w:tbl>
    <w:p w14:paraId="3373EC61">
      <w:pPr>
        <w:spacing w:before="312" w:beforeLines="100" w:after="312" w:afterLines="100"/>
        <w:outlineLvl w:val="2"/>
        <w:rPr>
          <w:rFonts w:ascii="Times New Roman" w:eastAsia="黑体"/>
          <w:color w:val="auto"/>
          <w:szCs w:val="24"/>
          <w:highlight w:val="none"/>
        </w:rPr>
      </w:pPr>
      <w:r>
        <w:rPr>
          <w:rFonts w:hint="eastAsia" w:cs="宋体"/>
          <w:bCs/>
          <w:color w:val="auto"/>
          <w:highlight w:val="none"/>
        </w:rPr>
        <w:br w:type="page"/>
      </w:r>
      <w:bookmarkStart w:id="620" w:name="_Toc128950243"/>
      <w:r>
        <w:rPr>
          <w:rFonts w:hint="eastAsia" w:ascii="Times New Roman" w:eastAsia="黑体"/>
          <w:color w:val="auto"/>
          <w:szCs w:val="24"/>
          <w:highlight w:val="none"/>
        </w:rPr>
        <w:t>附</w:t>
      </w:r>
      <w:bookmarkStart w:id="621" w:name="_Toc296346732"/>
      <w:bookmarkStart w:id="622" w:name="_Toc296347230"/>
      <w:bookmarkStart w:id="623" w:name="_Toc296503231"/>
      <w:bookmarkStart w:id="624" w:name="_Toc296891271"/>
      <w:bookmarkStart w:id="625" w:name="_Toc296944570"/>
      <w:bookmarkStart w:id="626" w:name="_Toc296891059"/>
      <w:r>
        <w:rPr>
          <w:rFonts w:hint="eastAsia" w:ascii="Times New Roman" w:eastAsia="黑体"/>
          <w:color w:val="auto"/>
          <w:szCs w:val="24"/>
          <w:highlight w:val="none"/>
        </w:rPr>
        <w:t>件</w:t>
      </w:r>
      <w:r>
        <w:rPr>
          <w:rFonts w:ascii="Times New Roman" w:eastAsia="黑体"/>
          <w:color w:val="auto"/>
          <w:szCs w:val="24"/>
          <w:highlight w:val="none"/>
        </w:rPr>
        <w:t>8</w:t>
      </w:r>
      <w:r>
        <w:rPr>
          <w:rFonts w:hint="eastAsia" w:ascii="Times New Roman" w:eastAsia="黑体"/>
          <w:color w:val="auto"/>
          <w:szCs w:val="24"/>
          <w:highlight w:val="none"/>
        </w:rPr>
        <w:t>：廉政协议</w:t>
      </w:r>
      <w:bookmarkEnd w:id="620"/>
    </w:p>
    <w:bookmarkEnd w:id="621"/>
    <w:bookmarkEnd w:id="622"/>
    <w:bookmarkEnd w:id="623"/>
    <w:bookmarkEnd w:id="624"/>
    <w:bookmarkEnd w:id="625"/>
    <w:bookmarkEnd w:id="626"/>
    <w:p w14:paraId="14F1F0BC">
      <w:pPr>
        <w:widowControl/>
        <w:spacing w:line="360" w:lineRule="auto"/>
        <w:ind w:firstLine="643"/>
        <w:jc w:val="center"/>
        <w:rPr>
          <w:rFonts w:cs="宋体"/>
          <w:b/>
          <w:bCs/>
          <w:color w:val="auto"/>
          <w:sz w:val="32"/>
          <w:szCs w:val="32"/>
          <w:highlight w:val="none"/>
        </w:rPr>
      </w:pPr>
      <w:r>
        <w:rPr>
          <w:rFonts w:hint="eastAsia" w:cs="宋体"/>
          <w:b/>
          <w:bCs/>
          <w:color w:val="auto"/>
          <w:sz w:val="32"/>
          <w:szCs w:val="32"/>
          <w:highlight w:val="none"/>
        </w:rPr>
        <w:t>廉政协议</w:t>
      </w:r>
    </w:p>
    <w:p w14:paraId="1366FF83">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为促进双方诚信经营、廉洁从业，防范商业贿赂，保护国家、集体和当事人的合法权益，根据国家有关法律法规和安徽省廉政建设的规定，</w:t>
      </w:r>
      <w:r>
        <w:rPr>
          <w:rFonts w:hint="eastAsia" w:cs="宋体"/>
          <w:color w:val="auto"/>
          <w:sz w:val="21"/>
          <w:szCs w:val="21"/>
          <w:highlight w:val="none"/>
          <w:u w:val="single"/>
          <w:lang w:val="en-US" w:eastAsia="zh-CN"/>
        </w:rPr>
        <w:t>滁州市重点工程建设管理处</w:t>
      </w:r>
      <w:r>
        <w:rPr>
          <w:rFonts w:hint="eastAsia" w:cs="宋体"/>
          <w:color w:val="auto"/>
          <w:sz w:val="21"/>
          <w:szCs w:val="21"/>
          <w:highlight w:val="none"/>
        </w:rPr>
        <w:t>（以下称甲方）与</w:t>
      </w:r>
      <w:r>
        <w:rPr>
          <w:rFonts w:hint="eastAsia" w:cs="宋体"/>
          <w:color w:val="auto"/>
          <w:sz w:val="21"/>
          <w:szCs w:val="21"/>
          <w:highlight w:val="none"/>
          <w:u w:val="single"/>
        </w:rPr>
        <w:t xml:space="preserve">             （</w:t>
      </w:r>
      <w:r>
        <w:rPr>
          <w:rFonts w:hint="eastAsia" w:cs="宋体"/>
          <w:color w:val="auto"/>
          <w:sz w:val="21"/>
          <w:szCs w:val="21"/>
          <w:highlight w:val="none"/>
        </w:rPr>
        <w:t>以下称乙方），特此订立本协议共同遵照执行。</w:t>
      </w:r>
    </w:p>
    <w:p w14:paraId="1B3C4364">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第一条 甲乙双方的权利和义务</w:t>
      </w:r>
    </w:p>
    <w:p w14:paraId="5EB2F400">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一）甲乙双方自觉遵守《中华人民共和国反不正当竞争法》、国家工商行政管理局《关于禁止商业贿赂行为的暂行规定》、国家最高人民检察院、最高人民法院《关于办理受贿刑事案件适用法律若干问题的意见》及相关法律法规和廉政建设的规定。</w:t>
      </w:r>
    </w:p>
    <w:p w14:paraId="312EC1E4">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（二）严格执行</w:t>
      </w:r>
      <w:r>
        <w:rPr>
          <w:rFonts w:hint="eastAsia" w:cs="宋体"/>
          <w:color w:val="auto"/>
          <w:sz w:val="21"/>
          <w:szCs w:val="21"/>
          <w:highlight w:val="none"/>
          <w:u w:val="single"/>
          <w:lang w:val="en-US" w:eastAsia="zh-CN"/>
        </w:rPr>
        <w:t>花园路上跨京沪铁路枢纽项目附属配套绿化工程</w:t>
      </w:r>
      <w:r>
        <w:rPr>
          <w:rFonts w:hint="eastAsia" w:cs="宋体"/>
          <w:color w:val="auto"/>
          <w:sz w:val="21"/>
          <w:szCs w:val="21"/>
          <w:highlight w:val="none"/>
        </w:rPr>
        <w:t>的合同要求，自觉履行合同约定的相关义务。</w:t>
      </w:r>
    </w:p>
    <w:p w14:paraId="523E6265">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（三）在业务活动中坚持公开、公正、诚信、透明的原则，不得损害国家、集体利益。</w:t>
      </w:r>
    </w:p>
    <w:p w14:paraId="3D2839C8">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（四）建立健全廉政制度，开展廉政教育，公布举报电话，监督并认真查处违法违纪行为。</w:t>
      </w:r>
    </w:p>
    <w:p w14:paraId="520CB4C5">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（五）发现对方在业务活动中有违反廉政规定的行为，应及时提醒对方纠正。情节严重的，应向其上级有关部门举报、建议给予处理，并有权要求告知处理结果。</w:t>
      </w:r>
    </w:p>
    <w:p w14:paraId="6A14BC1D">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第二条 甲方的义务</w:t>
      </w:r>
    </w:p>
    <w:p w14:paraId="36664E19">
      <w:pPr>
        <w:widowControl/>
        <w:spacing w:line="360" w:lineRule="auto"/>
        <w:ind w:firstLine="525" w:firstLineChars="250"/>
        <w:jc w:val="left"/>
        <w:rPr>
          <w:rFonts w:cs="宋体"/>
          <w:color w:val="auto"/>
          <w:sz w:val="21"/>
          <w:szCs w:val="21"/>
          <w:highlight w:val="none"/>
        </w:rPr>
      </w:pPr>
      <w:r>
        <w:rPr>
          <w:rFonts w:hint="eastAsia" w:cs="宋体"/>
          <w:color w:val="auto"/>
          <w:sz w:val="21"/>
          <w:szCs w:val="21"/>
          <w:highlight w:val="none"/>
        </w:rPr>
        <w:t>（一）甲方及其工作人员不得索要或接受乙方的礼金、有价证券和贵重物品，不得在乙方报销任何应由甲方单位或个人支付的费用等。</w:t>
      </w:r>
    </w:p>
    <w:p w14:paraId="03D672C2">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二）甲方工作人员不得参加乙方安排的可能影响相关业务公开、公正、公平性的宴请和娱乐活动；不得参与任何形式的赌博，严禁通过赌博方式取得乙方及其工作人员的财物；不得接受乙方提供的通讯工具和高档办公用品等。</w:t>
      </w:r>
    </w:p>
    <w:p w14:paraId="1F168DA6">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（三） 甲方及其工作人员不得要求或者接受乙方为其住房装修、婚丧嫁娶活动、配偶子女工作安排以及出国出境、旅游等提供方便等。</w:t>
      </w:r>
    </w:p>
    <w:p w14:paraId="7723B741">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（四） 甲方工作人员不得在乙方有股权关联的企业兼职，不得向乙方介绍家属或者亲友从事与甲方业务有关的经济活动。</w:t>
      </w:r>
    </w:p>
    <w:p w14:paraId="4441762F">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（五）甲方工作人员不得以明显低于市场的价格向乙方购买房屋、汽车等物品；不得以明显高于市场的价格向乙方出售房屋、汽车等物品；不得以其他交易形式非法收受请托人财物。</w:t>
      </w:r>
    </w:p>
    <w:p w14:paraId="469C7F2E">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（六）甲方工作人员不得利用职务之便收受乙方以回扣、手续费、加班费、咨询费、劳务费、协调费、辛苦费等各种名义给予或赠送的钱物。</w:t>
      </w:r>
    </w:p>
    <w:p w14:paraId="664CB411">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（七）甲方工作人员不得接受乙方给予或赠送的干股或红利。</w:t>
      </w:r>
    </w:p>
    <w:p w14:paraId="07F08849">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（八）甲方任何人不得以个人的名义向乙方推荐设备、部件等供货商以及其他合作单位。</w:t>
      </w:r>
    </w:p>
    <w:p w14:paraId="41736B74">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第三条 乙方的义务</w:t>
      </w:r>
    </w:p>
    <w:p w14:paraId="1C507E48">
      <w:pPr>
        <w:widowControl/>
        <w:spacing w:line="360" w:lineRule="auto"/>
        <w:ind w:firstLine="525" w:firstLineChars="250"/>
        <w:jc w:val="left"/>
        <w:rPr>
          <w:rFonts w:cs="宋体"/>
          <w:color w:val="auto"/>
          <w:sz w:val="21"/>
          <w:szCs w:val="21"/>
          <w:highlight w:val="none"/>
        </w:rPr>
      </w:pPr>
      <w:r>
        <w:rPr>
          <w:rFonts w:hint="eastAsia" w:cs="宋体"/>
          <w:color w:val="auto"/>
          <w:sz w:val="21"/>
          <w:szCs w:val="21"/>
          <w:highlight w:val="none"/>
        </w:rPr>
        <w:t>（一）乙方不得以任何理由向甲方及其工作人员行贿或馈赠礼金、有价证券、贵重礼品。</w:t>
      </w:r>
    </w:p>
    <w:p w14:paraId="4432638C">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（二）乙方不得以任何名义为甲方及其工作人员报销应由甲方单位或个人支付的任何费用。</w:t>
      </w:r>
    </w:p>
    <w:p w14:paraId="3A7BC5C2">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（三）乙方不得以任何理由安排甲方工作人员参加可能影响相关业务公开、公正、公平性的宴请及娱乐活动。</w:t>
      </w:r>
    </w:p>
    <w:p w14:paraId="53D6E17E">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（四）乙方不得为甲方单位和个人购置或提供通讯工具和高档办公用品等物品，也不得为甲方提供与工作无关的房屋、汽车等。</w:t>
      </w:r>
    </w:p>
    <w:p w14:paraId="6AA67953">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（五）乙方不得与甲方工作人员就合同中的质量、数量、价格、工程量、验收等条款进行私下商谈或者达成默契。</w:t>
      </w:r>
    </w:p>
    <w:p w14:paraId="340E87A8">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（六）乙方不得以回扣、手续费、加班费、咨询费、劳务费、协调费、辛苦费等各种名义向甲方工作人员给予或赠送钱物。</w:t>
      </w:r>
    </w:p>
    <w:p w14:paraId="054E2922">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（七）乙方不得向甲方工作人员提供干股或红利。</w:t>
      </w:r>
    </w:p>
    <w:p w14:paraId="09764B11">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（八）乙方须按</w:t>
      </w:r>
      <w:r>
        <w:rPr>
          <w:rFonts w:hint="eastAsia" w:cs="宋体"/>
          <w:color w:val="auto"/>
          <w:sz w:val="21"/>
          <w:szCs w:val="21"/>
          <w:highlight w:val="none"/>
          <w:u w:val="single"/>
        </w:rPr>
        <w:t xml:space="preserve">         </w:t>
      </w:r>
      <w:r>
        <w:rPr>
          <w:rFonts w:hint="eastAsia" w:cs="宋体"/>
          <w:color w:val="auto"/>
          <w:sz w:val="21"/>
          <w:szCs w:val="21"/>
          <w:highlight w:val="none"/>
        </w:rPr>
        <w:t>专项纪检监察工作组（如有）要求开展相关工作。</w:t>
      </w:r>
    </w:p>
    <w:p w14:paraId="1EA848C2">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第四条 违约责任</w:t>
      </w:r>
    </w:p>
    <w:p w14:paraId="53FA9886">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一）甲方及其工作人员违反本协议第一、二条规定。甲方按管理权限，对相关责任人依据有关规定给予党纪、政纪处分或组织处理；涉嫌犯罪的，移交司法机关追究刑事责任；给乙方单位造成经济损失的，应予以赔偿。</w:t>
      </w:r>
    </w:p>
    <w:p w14:paraId="2B364D81">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甲方投诉联系部门：</w:t>
      </w:r>
      <w:r>
        <w:rPr>
          <w:rFonts w:hint="eastAsia" w:cs="宋体"/>
          <w:color w:val="auto"/>
          <w:sz w:val="21"/>
          <w:szCs w:val="21"/>
          <w:highlight w:val="none"/>
          <w:u w:val="single"/>
        </w:rPr>
        <w:t xml:space="preserve">           </w:t>
      </w:r>
      <w:r>
        <w:rPr>
          <w:rFonts w:hint="eastAsia" w:cs="宋体"/>
          <w:color w:val="auto"/>
          <w:sz w:val="21"/>
          <w:szCs w:val="21"/>
          <w:highlight w:val="none"/>
        </w:rPr>
        <w:t>，联系电话：</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0B0EF1B">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（二）乙方及其工作人员违反本协议第一、三条规定。根据具体情节和造成的后果，甲方有权对乙方采取以下一种或多种处理办法：</w:t>
      </w:r>
    </w:p>
    <w:p w14:paraId="51816C9F">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 xml:space="preserve">1. 全额收取乙方合同履约保证金不予退还； </w:t>
      </w:r>
    </w:p>
    <w:p w14:paraId="52E7B78B">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2. 追究乙方其他违约责任；</w:t>
      </w:r>
    </w:p>
    <w:p w14:paraId="6E8BACFE">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3. 终止或解除双方已签订的包括本合同在内的所有合同；</w:t>
      </w:r>
    </w:p>
    <w:p w14:paraId="6A61CE44">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4. 乙方一定期限内（6个月至3年，具体由甲方根据情况而定）不得参与甲方作为发包人（业主）的工程项目投标。</w:t>
      </w:r>
    </w:p>
    <w:p w14:paraId="4C7ECF0A">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甲方作出的处理意见，乙方应无条件接受并承担给甲方造成的损失，全额返还通过不正当手段从甲方获取的非法所得，并承担相应的法律责任。</w:t>
      </w:r>
    </w:p>
    <w:p w14:paraId="1549DF3F">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第五条 双方约定</w:t>
      </w:r>
    </w:p>
    <w:p w14:paraId="33BB3197">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本协议由双方或双方上级单位负责监督。可由甲方或甲方上级单位的纪检监察部门约请乙方或乙方上级单位的纪检监察部门对本协议履行情况进行检查，提出在本协议规定范围内的裁定意见。</w:t>
      </w:r>
    </w:p>
    <w:p w14:paraId="25EC5379">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 xml:space="preserve">第六条  本协议有效期为甲乙双方签署之日起至合同终止。  </w:t>
      </w:r>
    </w:p>
    <w:p w14:paraId="7DBE18A7">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第七条  本协议作为合同的附件，与本合同具有同等法律效力。</w:t>
      </w:r>
    </w:p>
    <w:p w14:paraId="6272B345">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 xml:space="preserve"> </w:t>
      </w:r>
    </w:p>
    <w:p w14:paraId="4729E6FB">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 xml:space="preserve">甲方（盖章）： </w:t>
      </w:r>
      <w:r>
        <w:rPr>
          <w:rFonts w:hint="eastAsia" w:cs="宋体"/>
          <w:color w:val="auto"/>
          <w:sz w:val="21"/>
          <w:szCs w:val="21"/>
          <w:highlight w:val="none"/>
          <w:u w:val="single"/>
        </w:rPr>
        <w:t xml:space="preserve">                  </w:t>
      </w:r>
      <w:r>
        <w:rPr>
          <w:rFonts w:hint="eastAsia" w:cs="宋体"/>
          <w:color w:val="auto"/>
          <w:sz w:val="21"/>
          <w:szCs w:val="21"/>
          <w:highlight w:val="none"/>
        </w:rPr>
        <w:t xml:space="preserve">     乙方（盖章）：</w:t>
      </w:r>
      <w:r>
        <w:rPr>
          <w:rFonts w:hint="eastAsia" w:cs="宋体"/>
          <w:color w:val="auto"/>
          <w:sz w:val="21"/>
          <w:szCs w:val="21"/>
          <w:highlight w:val="none"/>
          <w:u w:val="single"/>
        </w:rPr>
        <w:t xml:space="preserve">             </w:t>
      </w:r>
    </w:p>
    <w:p w14:paraId="4E4F957C">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法定代表人或                          法定代表人或</w:t>
      </w:r>
    </w:p>
    <w:p w14:paraId="0D3D5B38">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授权代表：</w:t>
      </w:r>
      <w:r>
        <w:rPr>
          <w:rFonts w:hint="eastAsia" w:cs="宋体"/>
          <w:color w:val="auto"/>
          <w:sz w:val="21"/>
          <w:szCs w:val="21"/>
          <w:highlight w:val="none"/>
          <w:u w:val="single"/>
        </w:rPr>
        <w:t xml:space="preserve">              </w:t>
      </w:r>
      <w:r>
        <w:rPr>
          <w:rFonts w:hint="eastAsia" w:cs="宋体"/>
          <w:color w:val="auto"/>
          <w:sz w:val="21"/>
          <w:szCs w:val="21"/>
          <w:highlight w:val="none"/>
        </w:rPr>
        <w:t>(职务)         授权代表：</w:t>
      </w:r>
      <w:r>
        <w:rPr>
          <w:rFonts w:hint="eastAsia" w:cs="宋体"/>
          <w:color w:val="auto"/>
          <w:sz w:val="21"/>
          <w:szCs w:val="21"/>
          <w:highlight w:val="none"/>
          <w:u w:val="single"/>
        </w:rPr>
        <w:t xml:space="preserve">             </w:t>
      </w:r>
      <w:r>
        <w:rPr>
          <w:rFonts w:hint="eastAsia" w:cs="宋体"/>
          <w:color w:val="auto"/>
          <w:sz w:val="21"/>
          <w:szCs w:val="21"/>
          <w:highlight w:val="none"/>
        </w:rPr>
        <w:t>(职务)</w:t>
      </w:r>
    </w:p>
    <w:p w14:paraId="62C74229">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姓名：</w:t>
      </w:r>
      <w:r>
        <w:rPr>
          <w:rFonts w:hint="eastAsia" w:cs="宋体"/>
          <w:color w:val="auto"/>
          <w:sz w:val="21"/>
          <w:szCs w:val="21"/>
          <w:highlight w:val="none"/>
          <w:u w:val="single"/>
        </w:rPr>
        <w:t xml:space="preserve">             </w:t>
      </w:r>
      <w:r>
        <w:rPr>
          <w:rFonts w:hint="eastAsia" w:cs="宋体"/>
          <w:color w:val="auto"/>
          <w:sz w:val="21"/>
          <w:szCs w:val="21"/>
          <w:highlight w:val="none"/>
        </w:rPr>
        <w:t xml:space="preserve">                   姓名：</w:t>
      </w:r>
      <w:r>
        <w:rPr>
          <w:rFonts w:hint="eastAsia" w:cs="宋体"/>
          <w:color w:val="auto"/>
          <w:sz w:val="21"/>
          <w:szCs w:val="21"/>
          <w:highlight w:val="none"/>
          <w:u w:val="single"/>
        </w:rPr>
        <w:t xml:space="preserve">             </w:t>
      </w:r>
    </w:p>
    <w:p w14:paraId="3B80AF77">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签字：</w:t>
      </w:r>
      <w:r>
        <w:rPr>
          <w:rFonts w:hint="eastAsia" w:cs="宋体"/>
          <w:color w:val="auto"/>
          <w:sz w:val="21"/>
          <w:szCs w:val="21"/>
          <w:highlight w:val="none"/>
          <w:u w:val="single"/>
        </w:rPr>
        <w:t xml:space="preserve">             </w:t>
      </w:r>
      <w:r>
        <w:rPr>
          <w:rFonts w:hint="eastAsia" w:cs="宋体"/>
          <w:color w:val="auto"/>
          <w:sz w:val="21"/>
          <w:szCs w:val="21"/>
          <w:highlight w:val="none"/>
        </w:rPr>
        <w:t xml:space="preserve">                   签字：</w:t>
      </w:r>
      <w:r>
        <w:rPr>
          <w:rFonts w:hint="eastAsia" w:cs="宋体"/>
          <w:color w:val="auto"/>
          <w:sz w:val="21"/>
          <w:szCs w:val="21"/>
          <w:highlight w:val="none"/>
          <w:u w:val="single"/>
        </w:rPr>
        <w:t xml:space="preserve">             </w:t>
      </w:r>
    </w:p>
    <w:p w14:paraId="26005C95">
      <w:pPr>
        <w:widowControl/>
        <w:spacing w:line="360" w:lineRule="auto"/>
        <w:ind w:firstLine="420" w:firstLineChars="200"/>
        <w:jc w:val="left"/>
        <w:rPr>
          <w:rFonts w:cs="宋体"/>
          <w:color w:val="auto"/>
          <w:sz w:val="21"/>
          <w:szCs w:val="21"/>
          <w:highlight w:val="none"/>
        </w:rPr>
      </w:pPr>
    </w:p>
    <w:p w14:paraId="64615C45">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廉政监督联系人                        廉政监督联系人</w:t>
      </w:r>
    </w:p>
    <w:p w14:paraId="5224F1B1">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姓名：</w:t>
      </w:r>
      <w:r>
        <w:rPr>
          <w:rFonts w:hint="eastAsia" w:cs="宋体"/>
          <w:color w:val="auto"/>
          <w:sz w:val="21"/>
          <w:szCs w:val="21"/>
          <w:highlight w:val="none"/>
          <w:u w:val="single"/>
        </w:rPr>
        <w:t xml:space="preserve">                       </w:t>
      </w:r>
      <w:r>
        <w:rPr>
          <w:rFonts w:hint="eastAsia" w:cs="宋体"/>
          <w:color w:val="auto"/>
          <w:sz w:val="21"/>
          <w:szCs w:val="21"/>
          <w:highlight w:val="none"/>
        </w:rPr>
        <w:t xml:space="preserve">         姓名：</w:t>
      </w:r>
      <w:r>
        <w:rPr>
          <w:rFonts w:hint="eastAsia" w:cs="宋体"/>
          <w:color w:val="auto"/>
          <w:sz w:val="21"/>
          <w:szCs w:val="21"/>
          <w:highlight w:val="none"/>
          <w:u w:val="single"/>
        </w:rPr>
        <w:t xml:space="preserve">                     </w:t>
      </w:r>
    </w:p>
    <w:p w14:paraId="7A10C847">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签字：</w:t>
      </w:r>
      <w:r>
        <w:rPr>
          <w:rFonts w:hint="eastAsia" w:cs="宋体"/>
          <w:color w:val="auto"/>
          <w:sz w:val="21"/>
          <w:szCs w:val="21"/>
          <w:highlight w:val="none"/>
          <w:u w:val="single"/>
        </w:rPr>
        <w:t xml:space="preserve">                       </w:t>
      </w:r>
      <w:r>
        <w:rPr>
          <w:rFonts w:hint="eastAsia" w:cs="宋体"/>
          <w:color w:val="auto"/>
          <w:sz w:val="21"/>
          <w:szCs w:val="21"/>
          <w:highlight w:val="none"/>
        </w:rPr>
        <w:t xml:space="preserve">         签字：</w:t>
      </w:r>
      <w:r>
        <w:rPr>
          <w:rFonts w:hint="eastAsia" w:cs="宋体"/>
          <w:color w:val="auto"/>
          <w:sz w:val="21"/>
          <w:szCs w:val="21"/>
          <w:highlight w:val="none"/>
          <w:u w:val="single"/>
        </w:rPr>
        <w:t xml:space="preserve">                     </w:t>
      </w:r>
    </w:p>
    <w:p w14:paraId="6A51FF26">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电话：</w:t>
      </w:r>
      <w:r>
        <w:rPr>
          <w:rFonts w:hint="eastAsia" w:cs="宋体"/>
          <w:color w:val="auto"/>
          <w:sz w:val="21"/>
          <w:szCs w:val="21"/>
          <w:highlight w:val="none"/>
          <w:u w:val="single"/>
        </w:rPr>
        <w:t xml:space="preserve">                       </w:t>
      </w:r>
      <w:r>
        <w:rPr>
          <w:rFonts w:hint="eastAsia" w:cs="宋体"/>
          <w:color w:val="auto"/>
          <w:sz w:val="21"/>
          <w:szCs w:val="21"/>
          <w:highlight w:val="none"/>
        </w:rPr>
        <w:t xml:space="preserve">         电话：</w:t>
      </w:r>
      <w:r>
        <w:rPr>
          <w:rFonts w:hint="eastAsia" w:cs="宋体"/>
          <w:color w:val="auto"/>
          <w:sz w:val="21"/>
          <w:szCs w:val="21"/>
          <w:highlight w:val="none"/>
          <w:u w:val="single"/>
        </w:rPr>
        <w:t xml:space="preserve">                     </w:t>
      </w:r>
    </w:p>
    <w:p w14:paraId="74427937">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地址：</w:t>
      </w:r>
      <w:r>
        <w:rPr>
          <w:rFonts w:hint="eastAsia" w:cs="宋体"/>
          <w:color w:val="auto"/>
          <w:sz w:val="21"/>
          <w:szCs w:val="21"/>
          <w:highlight w:val="none"/>
          <w:u w:val="single"/>
        </w:rPr>
        <w:t xml:space="preserve">                       </w:t>
      </w:r>
      <w:r>
        <w:rPr>
          <w:rFonts w:hint="eastAsia" w:cs="宋体"/>
          <w:color w:val="auto"/>
          <w:sz w:val="21"/>
          <w:szCs w:val="21"/>
          <w:highlight w:val="none"/>
        </w:rPr>
        <w:t xml:space="preserve">         地址：</w:t>
      </w:r>
      <w:r>
        <w:rPr>
          <w:rFonts w:hint="eastAsia" w:cs="宋体"/>
          <w:color w:val="auto"/>
          <w:sz w:val="21"/>
          <w:szCs w:val="21"/>
          <w:highlight w:val="none"/>
          <w:u w:val="single"/>
        </w:rPr>
        <w:t xml:space="preserve">                     </w:t>
      </w:r>
    </w:p>
    <w:p w14:paraId="52A3CBF9">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日期：</w:t>
      </w:r>
      <w:r>
        <w:rPr>
          <w:rFonts w:hint="eastAsia" w:cs="宋体"/>
          <w:color w:val="auto"/>
          <w:sz w:val="21"/>
          <w:szCs w:val="21"/>
          <w:highlight w:val="none"/>
          <w:u w:val="single"/>
        </w:rPr>
        <w:t xml:space="preserve">                       </w:t>
      </w:r>
      <w:r>
        <w:rPr>
          <w:rFonts w:hint="eastAsia" w:cs="宋体"/>
          <w:color w:val="auto"/>
          <w:sz w:val="21"/>
          <w:szCs w:val="21"/>
          <w:highlight w:val="none"/>
        </w:rPr>
        <w:t xml:space="preserve">         日期：</w:t>
      </w:r>
      <w:r>
        <w:rPr>
          <w:rFonts w:hint="eastAsia" w:cs="宋体"/>
          <w:color w:val="auto"/>
          <w:sz w:val="21"/>
          <w:szCs w:val="21"/>
          <w:highlight w:val="none"/>
          <w:u w:val="single"/>
        </w:rPr>
        <w:t xml:space="preserve">                     </w:t>
      </w:r>
    </w:p>
    <w:p w14:paraId="44FA8F94">
      <w:pPr>
        <w:spacing w:before="312" w:beforeLines="100" w:after="312" w:afterLines="100"/>
        <w:outlineLvl w:val="2"/>
        <w:rPr>
          <w:rFonts w:ascii="Times New Roman" w:eastAsia="黑体"/>
          <w:color w:val="auto"/>
          <w:szCs w:val="24"/>
          <w:highlight w:val="none"/>
        </w:rPr>
      </w:pPr>
      <w:r>
        <w:rPr>
          <w:rFonts w:hint="eastAsia" w:ascii="Times New Roman" w:eastAsia="黑体"/>
          <w:bCs/>
          <w:color w:val="auto"/>
          <w:szCs w:val="21"/>
          <w:highlight w:val="none"/>
        </w:rPr>
        <w:br w:type="page"/>
      </w:r>
      <w:bookmarkStart w:id="627" w:name="_Toc128950244"/>
      <w:r>
        <w:rPr>
          <w:rFonts w:hint="eastAsia" w:ascii="Times New Roman" w:eastAsia="黑体"/>
          <w:color w:val="auto"/>
          <w:szCs w:val="24"/>
          <w:highlight w:val="none"/>
        </w:rPr>
        <w:t>附件9：履约保证金</w:t>
      </w:r>
      <w:bookmarkEnd w:id="627"/>
    </w:p>
    <w:p w14:paraId="2F363983">
      <w:pPr>
        <w:spacing w:line="360" w:lineRule="auto"/>
        <w:jc w:val="center"/>
        <w:rPr>
          <w:rFonts w:cs="宋体"/>
          <w:b/>
          <w:bCs/>
          <w:color w:val="auto"/>
          <w:sz w:val="32"/>
          <w:szCs w:val="32"/>
          <w:highlight w:val="none"/>
        </w:rPr>
      </w:pPr>
      <w:r>
        <w:rPr>
          <w:rFonts w:hint="eastAsia" w:cs="宋体"/>
          <w:b/>
          <w:bCs/>
          <w:color w:val="auto"/>
          <w:sz w:val="32"/>
          <w:szCs w:val="32"/>
          <w:highlight w:val="none"/>
        </w:rPr>
        <w:t>履约保函示范文本</w:t>
      </w:r>
    </w:p>
    <w:p w14:paraId="5A0F4203">
      <w:pPr>
        <w:wordWrap w:val="0"/>
        <w:spacing w:line="360" w:lineRule="auto"/>
        <w:jc w:val="right"/>
        <w:rPr>
          <w:rFonts w:ascii="Times New Roman"/>
          <w:color w:val="auto"/>
          <w:szCs w:val="21"/>
          <w:highlight w:val="none"/>
        </w:rPr>
      </w:pPr>
      <w:r>
        <w:rPr>
          <w:rFonts w:hint="eastAsia" w:ascii="Times New Roman"/>
          <w:color w:val="auto"/>
          <w:szCs w:val="21"/>
          <w:highlight w:val="none"/>
        </w:rPr>
        <w:t>编号：</w:t>
      </w:r>
      <w:r>
        <w:rPr>
          <w:rFonts w:hint="eastAsia" w:ascii="Times New Roman"/>
          <w:color w:val="auto"/>
          <w:szCs w:val="21"/>
          <w:highlight w:val="none"/>
          <w:u w:val="single"/>
        </w:rPr>
        <w:t xml:space="preserve"> </w:t>
      </w:r>
      <w:r>
        <w:rPr>
          <w:rFonts w:ascii="Times New Roman"/>
          <w:color w:val="auto"/>
          <w:szCs w:val="21"/>
          <w:highlight w:val="none"/>
          <w:u w:val="single"/>
        </w:rPr>
        <w:t xml:space="preserve">          </w:t>
      </w:r>
    </w:p>
    <w:p w14:paraId="669CBCCA">
      <w:pPr>
        <w:spacing w:line="360" w:lineRule="auto"/>
        <w:rPr>
          <w:rFonts w:ascii="Times New Roman"/>
          <w:color w:val="auto"/>
          <w:szCs w:val="21"/>
          <w:highlight w:val="none"/>
        </w:rPr>
      </w:pPr>
    </w:p>
    <w:p w14:paraId="4748E686">
      <w:pPr>
        <w:spacing w:line="360" w:lineRule="auto"/>
        <w:rPr>
          <w:rFonts w:cs="宋体"/>
          <w:color w:val="auto"/>
          <w:sz w:val="21"/>
          <w:szCs w:val="21"/>
          <w:highlight w:val="none"/>
        </w:rPr>
      </w:pPr>
      <w:r>
        <w:rPr>
          <w:rFonts w:hint="eastAsia" w:cs="宋体"/>
          <w:color w:val="auto"/>
          <w:sz w:val="21"/>
          <w:szCs w:val="21"/>
          <w:highlight w:val="none"/>
          <w:u w:val="single"/>
        </w:rPr>
        <w:t xml:space="preserve">              </w:t>
      </w:r>
      <w:r>
        <w:rPr>
          <w:rFonts w:hint="eastAsia" w:cs="宋体"/>
          <w:color w:val="auto"/>
          <w:sz w:val="21"/>
          <w:szCs w:val="21"/>
          <w:highlight w:val="none"/>
        </w:rPr>
        <w:t xml:space="preserve">（受益人名称）： </w:t>
      </w:r>
    </w:p>
    <w:p w14:paraId="45CAAD56">
      <w:pPr>
        <w:spacing w:line="360" w:lineRule="auto"/>
        <w:ind w:firstLine="420" w:firstLineChars="200"/>
        <w:rPr>
          <w:rFonts w:cs="宋体"/>
          <w:color w:val="auto"/>
          <w:sz w:val="21"/>
          <w:szCs w:val="21"/>
          <w:highlight w:val="none"/>
        </w:rPr>
      </w:pPr>
      <w:r>
        <w:rPr>
          <w:rFonts w:hint="eastAsia" w:cs="宋体"/>
          <w:color w:val="auto"/>
          <w:sz w:val="21"/>
          <w:szCs w:val="21"/>
          <w:highlight w:val="none"/>
        </w:rPr>
        <w:t>鉴于</w:t>
      </w:r>
      <w:r>
        <w:rPr>
          <w:rFonts w:hint="eastAsia" w:cs="宋体"/>
          <w:color w:val="auto"/>
          <w:sz w:val="21"/>
          <w:szCs w:val="21"/>
          <w:highlight w:val="none"/>
          <w:u w:val="single"/>
        </w:rPr>
        <w:t xml:space="preserve">        </w:t>
      </w:r>
      <w:r>
        <w:rPr>
          <w:rFonts w:hint="eastAsia" w:cs="宋体"/>
          <w:color w:val="auto"/>
          <w:sz w:val="21"/>
          <w:szCs w:val="21"/>
          <w:highlight w:val="none"/>
        </w:rPr>
        <w:t>（以下简称“受益人”）与</w:t>
      </w:r>
      <w:r>
        <w:rPr>
          <w:rFonts w:hint="eastAsia" w:cs="宋体"/>
          <w:color w:val="auto"/>
          <w:sz w:val="21"/>
          <w:szCs w:val="21"/>
          <w:highlight w:val="none"/>
          <w:u w:val="single"/>
        </w:rPr>
        <w:t xml:space="preserve">         </w:t>
      </w:r>
      <w:r>
        <w:rPr>
          <w:rFonts w:hint="eastAsia" w:cs="宋体"/>
          <w:color w:val="auto"/>
          <w:sz w:val="21"/>
          <w:szCs w:val="21"/>
          <w:highlight w:val="none"/>
        </w:rPr>
        <w:t>（以下简称“申请人”）于</w:t>
      </w: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日就</w:t>
      </w:r>
      <w:r>
        <w:rPr>
          <w:rFonts w:hint="eastAsia" w:cs="宋体"/>
          <w:snapToGrid w:val="0"/>
          <w:color w:val="auto"/>
          <w:sz w:val="21"/>
          <w:szCs w:val="21"/>
          <w:highlight w:val="none"/>
          <w:u w:val="single"/>
        </w:rPr>
        <w:t xml:space="preserve">        </w:t>
      </w:r>
      <w:r>
        <w:rPr>
          <w:rFonts w:hint="eastAsia" w:cs="宋体"/>
          <w:snapToGrid w:val="0"/>
          <w:color w:val="auto"/>
          <w:sz w:val="21"/>
          <w:szCs w:val="21"/>
          <w:highlight w:val="none"/>
        </w:rPr>
        <w:t>（项目编号）的</w:t>
      </w:r>
      <w:r>
        <w:rPr>
          <w:rFonts w:hint="eastAsia" w:cs="宋体"/>
          <w:snapToGrid w:val="0"/>
          <w:color w:val="auto"/>
          <w:sz w:val="21"/>
          <w:szCs w:val="21"/>
          <w:highlight w:val="none"/>
          <w:u w:val="single"/>
        </w:rPr>
        <w:t xml:space="preserve">         </w:t>
      </w:r>
      <w:r>
        <w:rPr>
          <w:rFonts w:hint="eastAsia" w:cs="宋体"/>
          <w:snapToGrid w:val="0"/>
          <w:color w:val="auto"/>
          <w:sz w:val="21"/>
          <w:szCs w:val="21"/>
          <w:highlight w:val="none"/>
        </w:rPr>
        <w:t>（项目名称）</w:t>
      </w:r>
      <w:r>
        <w:rPr>
          <w:rFonts w:hint="eastAsia" w:cs="宋体"/>
          <w:color w:val="auto"/>
          <w:sz w:val="21"/>
          <w:szCs w:val="21"/>
          <w:highlight w:val="none"/>
        </w:rPr>
        <w:t>有关事项协商一致共同签订</w:t>
      </w:r>
      <w:r>
        <w:rPr>
          <w:rFonts w:hint="eastAsia" w:cs="宋体"/>
          <w:color w:val="auto"/>
          <w:sz w:val="21"/>
          <w:szCs w:val="21"/>
          <w:highlight w:val="none"/>
          <w:u w:val="single"/>
        </w:rPr>
        <w:t>《        》</w:t>
      </w:r>
      <w:r>
        <w:rPr>
          <w:rFonts w:hint="eastAsia" w:cs="宋体"/>
          <w:color w:val="auto"/>
          <w:sz w:val="21"/>
          <w:szCs w:val="21"/>
          <w:highlight w:val="none"/>
        </w:rPr>
        <w:t xml:space="preserve">（以下简称“基础合同”），开立人根据基础合同了解到申请人为基础合同项下之承包人，受益人为基础合同项下之发包人，基于申请人的请求，开立人同意就申请人履行与受益人签订的基础合同项下的义务，向受益人提供不可撤销、不可转让的见索即付独立保函（以下简称“本保函”）。 </w:t>
      </w:r>
    </w:p>
    <w:p w14:paraId="023B0117">
      <w:pPr>
        <w:spacing w:line="360" w:lineRule="auto"/>
        <w:ind w:firstLine="420" w:firstLineChars="200"/>
        <w:rPr>
          <w:rFonts w:cs="宋体"/>
          <w:color w:val="auto"/>
          <w:sz w:val="21"/>
          <w:szCs w:val="21"/>
          <w:highlight w:val="none"/>
        </w:rPr>
      </w:pPr>
      <w:r>
        <w:rPr>
          <w:rFonts w:hint="eastAsia" w:cs="宋体"/>
          <w:color w:val="auto"/>
          <w:sz w:val="21"/>
          <w:szCs w:val="21"/>
          <w:highlight w:val="none"/>
        </w:rPr>
        <w:t>一、本保函担保范围：承包人未按照基础合同的约定履行义务，应当向受益人承担的违约责任和赔偿因此造成的损失、利息、律师费、诉讼费用等实现债权的费用。</w:t>
      </w:r>
    </w:p>
    <w:p w14:paraId="68B761A0">
      <w:pPr>
        <w:spacing w:line="360" w:lineRule="auto"/>
        <w:ind w:firstLine="420" w:firstLineChars="200"/>
        <w:rPr>
          <w:rFonts w:cs="宋体"/>
          <w:color w:val="auto"/>
          <w:sz w:val="21"/>
          <w:szCs w:val="21"/>
          <w:highlight w:val="none"/>
        </w:rPr>
      </w:pPr>
      <w:r>
        <w:rPr>
          <w:rFonts w:hint="eastAsia" w:cs="宋体"/>
          <w:color w:val="auto"/>
          <w:sz w:val="21"/>
          <w:szCs w:val="21"/>
          <w:highlight w:val="none"/>
        </w:rPr>
        <w:t>二、本保函担保金额最高不超过人民币（大写）</w:t>
      </w:r>
      <w:r>
        <w:rPr>
          <w:rFonts w:hint="eastAsia" w:cs="宋体"/>
          <w:color w:val="auto"/>
          <w:sz w:val="21"/>
          <w:szCs w:val="21"/>
          <w:highlight w:val="none"/>
          <w:u w:val="single"/>
        </w:rPr>
        <w:t xml:space="preserve">          </w:t>
      </w:r>
      <w:r>
        <w:rPr>
          <w:rFonts w:hint="eastAsia" w:cs="宋体"/>
          <w:color w:val="auto"/>
          <w:sz w:val="21"/>
          <w:szCs w:val="21"/>
          <w:highlight w:val="none"/>
        </w:rPr>
        <w:t>元（¥</w:t>
      </w:r>
      <w:r>
        <w:rPr>
          <w:rFonts w:hint="eastAsia" w:cs="宋体"/>
          <w:color w:val="auto"/>
          <w:sz w:val="21"/>
          <w:szCs w:val="21"/>
          <w:highlight w:val="none"/>
          <w:u w:val="single"/>
        </w:rPr>
        <w:t xml:space="preserve">       </w:t>
      </w:r>
      <w:r>
        <w:rPr>
          <w:rFonts w:hint="eastAsia" w:cs="宋体"/>
          <w:color w:val="auto"/>
          <w:sz w:val="21"/>
          <w:szCs w:val="21"/>
          <w:highlight w:val="none"/>
        </w:rPr>
        <w:t xml:space="preserve">）。 </w:t>
      </w:r>
    </w:p>
    <w:p w14:paraId="458B9851">
      <w:pPr>
        <w:spacing w:line="360" w:lineRule="auto"/>
        <w:ind w:firstLine="420" w:firstLineChars="200"/>
        <w:rPr>
          <w:rFonts w:cs="宋体"/>
          <w:color w:val="auto"/>
          <w:sz w:val="21"/>
          <w:szCs w:val="21"/>
          <w:highlight w:val="none"/>
        </w:rPr>
      </w:pPr>
      <w:r>
        <w:rPr>
          <w:rFonts w:hint="eastAsia" w:cs="宋体"/>
          <w:color w:val="auto"/>
          <w:sz w:val="21"/>
          <w:szCs w:val="21"/>
          <w:highlight w:val="none"/>
        </w:rPr>
        <w:t xml:space="preserve">三、本保函有效期自开立之日起至基础合同约定的缺陷责任期满之日止。 </w:t>
      </w:r>
    </w:p>
    <w:p w14:paraId="7F276B4C">
      <w:pPr>
        <w:spacing w:line="360" w:lineRule="auto"/>
        <w:ind w:firstLine="480"/>
        <w:rPr>
          <w:rFonts w:cs="宋体"/>
          <w:color w:val="auto"/>
          <w:sz w:val="21"/>
          <w:szCs w:val="21"/>
          <w:highlight w:val="none"/>
        </w:rPr>
      </w:pPr>
      <w:bookmarkStart w:id="628" w:name="_Hlk40302764"/>
      <w:r>
        <w:rPr>
          <w:rFonts w:hint="eastAsia" w:cs="宋体"/>
          <w:color w:val="auto"/>
          <w:sz w:val="21"/>
          <w:szCs w:val="21"/>
          <w:highlight w:val="none"/>
        </w:rPr>
        <w:t>四、开立人承诺，在收到受益人发来的书面付款通知后的七日内无条件支付，前述书面付款通知即为付款要求之单据，且应满足以下要求：</w:t>
      </w:r>
    </w:p>
    <w:bookmarkEnd w:id="628"/>
    <w:p w14:paraId="627F35C1">
      <w:pPr>
        <w:spacing w:line="360" w:lineRule="auto"/>
        <w:ind w:firstLine="420" w:firstLineChars="200"/>
        <w:rPr>
          <w:rFonts w:cs="宋体"/>
          <w:color w:val="auto"/>
          <w:sz w:val="21"/>
          <w:szCs w:val="21"/>
          <w:highlight w:val="none"/>
        </w:rPr>
      </w:pPr>
      <w:r>
        <w:rPr>
          <w:rFonts w:hint="eastAsia" w:cs="宋体"/>
          <w:color w:val="auto"/>
          <w:sz w:val="21"/>
          <w:szCs w:val="21"/>
          <w:highlight w:val="none"/>
        </w:rPr>
        <w:t>（1）付款通知到达的日期在本保函的有效期内；</w:t>
      </w:r>
    </w:p>
    <w:p w14:paraId="65FD0B14">
      <w:pPr>
        <w:spacing w:line="360" w:lineRule="auto"/>
        <w:ind w:firstLine="420" w:firstLineChars="200"/>
        <w:rPr>
          <w:rFonts w:cs="宋体"/>
          <w:color w:val="auto"/>
          <w:sz w:val="21"/>
          <w:szCs w:val="21"/>
          <w:highlight w:val="none"/>
        </w:rPr>
      </w:pPr>
      <w:r>
        <w:rPr>
          <w:rFonts w:hint="eastAsia" w:cs="宋体"/>
          <w:color w:val="auto"/>
          <w:sz w:val="21"/>
          <w:szCs w:val="21"/>
          <w:highlight w:val="none"/>
        </w:rPr>
        <w:t>（2）载明要求支付的金额；</w:t>
      </w:r>
    </w:p>
    <w:p w14:paraId="4F9C3712">
      <w:pPr>
        <w:spacing w:line="360" w:lineRule="auto"/>
        <w:ind w:firstLine="420" w:firstLineChars="200"/>
        <w:rPr>
          <w:rFonts w:cs="宋体"/>
          <w:color w:val="auto"/>
          <w:sz w:val="21"/>
          <w:szCs w:val="21"/>
          <w:highlight w:val="none"/>
        </w:rPr>
      </w:pPr>
      <w:r>
        <w:rPr>
          <w:rFonts w:hint="eastAsia" w:cs="宋体"/>
          <w:color w:val="auto"/>
          <w:sz w:val="21"/>
          <w:szCs w:val="21"/>
          <w:highlight w:val="none"/>
        </w:rPr>
        <w:t>（3）载明申请人违反合同义务的条款和内容；</w:t>
      </w:r>
    </w:p>
    <w:p w14:paraId="5F03BAA5">
      <w:pPr>
        <w:spacing w:line="360" w:lineRule="auto"/>
        <w:ind w:firstLine="420" w:firstLineChars="200"/>
        <w:rPr>
          <w:rFonts w:cs="宋体"/>
          <w:color w:val="auto"/>
          <w:sz w:val="21"/>
          <w:szCs w:val="21"/>
          <w:highlight w:val="none"/>
        </w:rPr>
      </w:pPr>
      <w:r>
        <w:rPr>
          <w:rFonts w:hint="eastAsia" w:cs="宋体"/>
          <w:color w:val="auto"/>
          <w:sz w:val="21"/>
          <w:szCs w:val="21"/>
          <w:highlight w:val="none"/>
        </w:rPr>
        <w:t>（4）声明不存在合同文件约定或我国法律规定免除申请人或开立人支付责任的情形；</w:t>
      </w:r>
    </w:p>
    <w:p w14:paraId="29F0DBAD">
      <w:pPr>
        <w:spacing w:line="360" w:lineRule="auto"/>
        <w:ind w:firstLine="420" w:firstLineChars="200"/>
        <w:rPr>
          <w:rFonts w:cs="宋体"/>
          <w:color w:val="auto"/>
          <w:sz w:val="21"/>
          <w:szCs w:val="21"/>
          <w:highlight w:val="none"/>
        </w:rPr>
      </w:pPr>
      <w:r>
        <w:rPr>
          <w:rFonts w:hint="eastAsia" w:cs="宋体"/>
          <w:color w:val="auto"/>
          <w:sz w:val="21"/>
          <w:szCs w:val="21"/>
          <w:highlight w:val="none"/>
        </w:rPr>
        <w:t>（5）付款通知应在本保函有效期内到达的地址是：</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B3CEB33">
      <w:pPr>
        <w:spacing w:line="360" w:lineRule="auto"/>
        <w:ind w:firstLine="420" w:firstLineChars="200"/>
        <w:rPr>
          <w:rFonts w:cs="宋体"/>
          <w:color w:val="auto"/>
          <w:sz w:val="21"/>
          <w:szCs w:val="21"/>
          <w:highlight w:val="none"/>
        </w:rPr>
      </w:pPr>
      <w:bookmarkStart w:id="629" w:name="_Hlk40303486"/>
      <w:r>
        <w:rPr>
          <w:rFonts w:hint="eastAsia" w:cs="宋体"/>
          <w:color w:val="auto"/>
          <w:sz w:val="21"/>
          <w:szCs w:val="21"/>
          <w:highlight w:val="none"/>
        </w:rPr>
        <w:t>受益人发出的书面付款通知应由其法定代表人（负责人）或授权代理人签字并加盖公章。</w:t>
      </w:r>
      <w:bookmarkEnd w:id="629"/>
    </w:p>
    <w:p w14:paraId="0ED0A00E">
      <w:pPr>
        <w:spacing w:line="360" w:lineRule="auto"/>
        <w:ind w:firstLine="420" w:firstLineChars="200"/>
        <w:rPr>
          <w:rFonts w:cs="宋体"/>
          <w:color w:val="auto"/>
          <w:sz w:val="21"/>
          <w:szCs w:val="21"/>
          <w:highlight w:val="none"/>
        </w:rPr>
      </w:pPr>
      <w:r>
        <w:rPr>
          <w:rFonts w:hint="eastAsia" w:cs="宋体"/>
          <w:color w:val="auto"/>
          <w:sz w:val="21"/>
          <w:szCs w:val="21"/>
          <w:highlight w:val="none"/>
        </w:rPr>
        <w:t xml:space="preserve">五、本保函项下的权利不得转让，不得设定担保。受益人未经我方书面同意转 让本保函或其项下任何权利，对我方不发生法律效力。 </w:t>
      </w:r>
    </w:p>
    <w:p w14:paraId="45E1DC00">
      <w:pPr>
        <w:spacing w:line="360" w:lineRule="auto"/>
        <w:ind w:firstLine="420" w:firstLineChars="200"/>
        <w:rPr>
          <w:rFonts w:cs="宋体"/>
          <w:color w:val="auto"/>
          <w:sz w:val="21"/>
          <w:szCs w:val="21"/>
          <w:highlight w:val="none"/>
        </w:rPr>
      </w:pPr>
      <w:r>
        <w:rPr>
          <w:rFonts w:hint="eastAsia" w:cs="宋体"/>
          <w:color w:val="auto"/>
          <w:sz w:val="21"/>
          <w:szCs w:val="21"/>
          <w:highlight w:val="none"/>
        </w:rPr>
        <w:t xml:space="preserve">六、与本保函有关的基础合同不成立、不生效、无效、被撤销、被解除，不影响本保函的独立有效。 </w:t>
      </w:r>
    </w:p>
    <w:p w14:paraId="59DAB969">
      <w:pPr>
        <w:spacing w:line="360" w:lineRule="auto"/>
        <w:ind w:firstLine="420" w:firstLineChars="200"/>
        <w:rPr>
          <w:rFonts w:cs="宋体"/>
          <w:color w:val="auto"/>
          <w:sz w:val="21"/>
          <w:szCs w:val="21"/>
          <w:highlight w:val="none"/>
        </w:rPr>
      </w:pPr>
      <w:bookmarkStart w:id="630" w:name="_Hlk40303383"/>
      <w:bookmarkStart w:id="631" w:name="_Hlk40354981"/>
      <w:r>
        <w:rPr>
          <w:rFonts w:hint="eastAsia" w:cs="宋体"/>
          <w:color w:val="auto"/>
          <w:sz w:val="21"/>
          <w:szCs w:val="21"/>
          <w:highlight w:val="none"/>
        </w:rPr>
        <w:t xml:space="preserve">七、本保函项下的义务和责任均在保函有效期到期后自动消灭。 </w:t>
      </w:r>
    </w:p>
    <w:p w14:paraId="074AB58C">
      <w:pPr>
        <w:spacing w:line="360" w:lineRule="auto"/>
        <w:ind w:firstLine="420" w:firstLineChars="200"/>
        <w:rPr>
          <w:rFonts w:cs="宋体"/>
          <w:color w:val="auto"/>
          <w:sz w:val="21"/>
          <w:szCs w:val="21"/>
          <w:highlight w:val="none"/>
        </w:rPr>
      </w:pPr>
      <w:r>
        <w:rPr>
          <w:rFonts w:hint="eastAsia" w:cs="宋体"/>
          <w:color w:val="auto"/>
          <w:sz w:val="21"/>
          <w:szCs w:val="21"/>
          <w:highlight w:val="none"/>
        </w:rPr>
        <w:t>八、本保函适用的法律为中华人民共和国法律，因本保函产生的纠纷案件，</w:t>
      </w:r>
      <w:bookmarkEnd w:id="630"/>
      <w:r>
        <w:rPr>
          <w:rFonts w:hint="eastAsia" w:cs="宋体"/>
          <w:color w:val="auto"/>
          <w:sz w:val="21"/>
          <w:szCs w:val="21"/>
          <w:highlight w:val="none"/>
        </w:rPr>
        <w:t xml:space="preserve">由受益人所在地人民法院管辖。 </w:t>
      </w:r>
    </w:p>
    <w:bookmarkEnd w:id="631"/>
    <w:p w14:paraId="4921EE98">
      <w:pPr>
        <w:spacing w:line="360" w:lineRule="auto"/>
        <w:ind w:firstLine="420" w:firstLineChars="200"/>
        <w:rPr>
          <w:rFonts w:cs="宋体"/>
          <w:color w:val="auto"/>
          <w:sz w:val="21"/>
          <w:szCs w:val="21"/>
          <w:highlight w:val="none"/>
        </w:rPr>
      </w:pPr>
      <w:r>
        <w:rPr>
          <w:rFonts w:hint="eastAsia" w:cs="宋体"/>
          <w:color w:val="auto"/>
          <w:sz w:val="21"/>
          <w:szCs w:val="21"/>
          <w:highlight w:val="none"/>
        </w:rPr>
        <w:t xml:space="preserve">九、本保函自我方法定代表人或授权代表签字并加盖公章之日起生效。 </w:t>
      </w:r>
    </w:p>
    <w:p w14:paraId="3EBAE895">
      <w:pPr>
        <w:spacing w:line="360" w:lineRule="auto"/>
        <w:ind w:firstLine="420" w:firstLineChars="200"/>
        <w:rPr>
          <w:rFonts w:cs="宋体"/>
          <w:color w:val="auto"/>
          <w:sz w:val="21"/>
          <w:szCs w:val="21"/>
          <w:highlight w:val="none"/>
        </w:rPr>
      </w:pPr>
    </w:p>
    <w:p w14:paraId="1F9B452B">
      <w:pPr>
        <w:spacing w:line="360" w:lineRule="auto"/>
        <w:ind w:firstLine="420" w:firstLineChars="200"/>
        <w:rPr>
          <w:rFonts w:cs="宋体"/>
          <w:color w:val="auto"/>
          <w:sz w:val="21"/>
          <w:szCs w:val="21"/>
          <w:highlight w:val="none"/>
        </w:rPr>
      </w:pPr>
    </w:p>
    <w:p w14:paraId="157EFDAB">
      <w:pPr>
        <w:spacing w:line="360" w:lineRule="auto"/>
        <w:ind w:firstLine="420" w:firstLineChars="200"/>
        <w:rPr>
          <w:rFonts w:cs="宋体"/>
          <w:color w:val="auto"/>
          <w:sz w:val="21"/>
          <w:szCs w:val="21"/>
          <w:highlight w:val="none"/>
        </w:rPr>
      </w:pPr>
    </w:p>
    <w:p w14:paraId="63F1AF0D">
      <w:pPr>
        <w:spacing w:line="360" w:lineRule="auto"/>
        <w:ind w:firstLine="420" w:firstLineChars="200"/>
        <w:rPr>
          <w:rFonts w:cs="宋体"/>
          <w:color w:val="auto"/>
          <w:sz w:val="21"/>
          <w:szCs w:val="21"/>
          <w:highlight w:val="none"/>
        </w:rPr>
      </w:pPr>
      <w:r>
        <w:rPr>
          <w:rFonts w:hint="eastAsia" w:cs="宋体"/>
          <w:color w:val="auto"/>
          <w:sz w:val="21"/>
          <w:szCs w:val="21"/>
          <w:highlight w:val="none"/>
        </w:rPr>
        <w:t>开 立 人：</w:t>
      </w:r>
      <w:r>
        <w:rPr>
          <w:rFonts w:hint="eastAsia" w:cs="宋体"/>
          <w:color w:val="auto"/>
          <w:sz w:val="21"/>
          <w:szCs w:val="21"/>
          <w:highlight w:val="none"/>
          <w:u w:val="single"/>
        </w:rPr>
        <w:t xml:space="preserve">                              </w:t>
      </w:r>
      <w:r>
        <w:rPr>
          <w:rFonts w:hint="eastAsia" w:cs="宋体"/>
          <w:color w:val="auto"/>
          <w:sz w:val="21"/>
          <w:szCs w:val="21"/>
          <w:highlight w:val="none"/>
        </w:rPr>
        <w:t xml:space="preserve">（公章） </w:t>
      </w:r>
    </w:p>
    <w:p w14:paraId="472B6B5C">
      <w:pPr>
        <w:spacing w:line="360" w:lineRule="auto"/>
        <w:ind w:firstLine="420" w:firstLineChars="200"/>
        <w:rPr>
          <w:rFonts w:cs="宋体"/>
          <w:color w:val="auto"/>
          <w:sz w:val="21"/>
          <w:szCs w:val="21"/>
          <w:highlight w:val="none"/>
        </w:rPr>
      </w:pPr>
      <w:r>
        <w:rPr>
          <w:rFonts w:hint="eastAsia" w:cs="宋体"/>
          <w:color w:val="auto"/>
          <w:sz w:val="21"/>
          <w:szCs w:val="21"/>
          <w:highlight w:val="none"/>
        </w:rPr>
        <w:t>法定代表人（或授权代表）：</w:t>
      </w:r>
      <w:r>
        <w:rPr>
          <w:rFonts w:hint="eastAsia" w:cs="宋体"/>
          <w:color w:val="auto"/>
          <w:sz w:val="21"/>
          <w:szCs w:val="21"/>
          <w:highlight w:val="none"/>
          <w:u w:val="single"/>
        </w:rPr>
        <w:t xml:space="preserve">               </w:t>
      </w:r>
      <w:r>
        <w:rPr>
          <w:rFonts w:hint="eastAsia" w:cs="宋体"/>
          <w:color w:val="auto"/>
          <w:sz w:val="21"/>
          <w:szCs w:val="21"/>
          <w:highlight w:val="none"/>
        </w:rPr>
        <w:t xml:space="preserve">（签字） </w:t>
      </w:r>
    </w:p>
    <w:p w14:paraId="7F351623">
      <w:pPr>
        <w:spacing w:line="360" w:lineRule="auto"/>
        <w:ind w:firstLine="420" w:firstLineChars="200"/>
        <w:rPr>
          <w:rFonts w:cs="宋体"/>
          <w:color w:val="auto"/>
          <w:sz w:val="21"/>
          <w:szCs w:val="21"/>
          <w:highlight w:val="none"/>
        </w:rPr>
      </w:pPr>
      <w:r>
        <w:rPr>
          <w:rFonts w:hint="eastAsia" w:cs="宋体"/>
          <w:color w:val="auto"/>
          <w:sz w:val="21"/>
          <w:szCs w:val="21"/>
          <w:highlight w:val="none"/>
        </w:rPr>
        <w:t>地    址：</w:t>
      </w:r>
      <w:r>
        <w:rPr>
          <w:rFonts w:hint="eastAsia" w:cs="宋体"/>
          <w:color w:val="auto"/>
          <w:sz w:val="21"/>
          <w:szCs w:val="21"/>
          <w:highlight w:val="none"/>
          <w:u w:val="single"/>
        </w:rPr>
        <w:t xml:space="preserve">                                       </w:t>
      </w:r>
    </w:p>
    <w:p w14:paraId="0E28C764">
      <w:pPr>
        <w:spacing w:line="360" w:lineRule="auto"/>
        <w:ind w:firstLine="420" w:firstLineChars="200"/>
        <w:rPr>
          <w:rFonts w:cs="宋体"/>
          <w:color w:val="auto"/>
          <w:sz w:val="21"/>
          <w:szCs w:val="21"/>
          <w:highlight w:val="none"/>
        </w:rPr>
      </w:pPr>
      <w:r>
        <w:rPr>
          <w:rFonts w:hint="eastAsia" w:cs="宋体"/>
          <w:color w:val="auto"/>
          <w:sz w:val="21"/>
          <w:szCs w:val="21"/>
          <w:highlight w:val="none"/>
        </w:rPr>
        <w:t>邮政编码：</w:t>
      </w:r>
      <w:r>
        <w:rPr>
          <w:rFonts w:hint="eastAsia" w:cs="宋体"/>
          <w:color w:val="auto"/>
          <w:sz w:val="21"/>
          <w:szCs w:val="21"/>
          <w:highlight w:val="none"/>
          <w:u w:val="single"/>
        </w:rPr>
        <w:t xml:space="preserve">                 </w:t>
      </w:r>
    </w:p>
    <w:p w14:paraId="78155D1A">
      <w:pPr>
        <w:spacing w:line="360" w:lineRule="auto"/>
        <w:ind w:firstLine="420" w:firstLineChars="200"/>
        <w:rPr>
          <w:rFonts w:cs="宋体"/>
          <w:color w:val="auto"/>
          <w:sz w:val="21"/>
          <w:szCs w:val="21"/>
          <w:highlight w:val="none"/>
        </w:rPr>
      </w:pPr>
      <w:r>
        <w:rPr>
          <w:rFonts w:hint="eastAsia" w:cs="宋体"/>
          <w:color w:val="auto"/>
          <w:sz w:val="21"/>
          <w:szCs w:val="21"/>
          <w:highlight w:val="none"/>
        </w:rPr>
        <w:t>电    话：</w:t>
      </w:r>
      <w:r>
        <w:rPr>
          <w:rFonts w:hint="eastAsia" w:cs="宋体"/>
          <w:color w:val="auto"/>
          <w:sz w:val="21"/>
          <w:szCs w:val="21"/>
          <w:highlight w:val="none"/>
          <w:u w:val="single"/>
        </w:rPr>
        <w:t xml:space="preserve">                 </w:t>
      </w:r>
    </w:p>
    <w:p w14:paraId="550D0B33">
      <w:pPr>
        <w:spacing w:line="360" w:lineRule="auto"/>
        <w:ind w:firstLine="420" w:firstLineChars="200"/>
        <w:rPr>
          <w:rFonts w:cs="宋体"/>
          <w:color w:val="auto"/>
          <w:sz w:val="21"/>
          <w:szCs w:val="21"/>
          <w:highlight w:val="none"/>
          <w:u w:val="single"/>
        </w:rPr>
      </w:pPr>
      <w:r>
        <w:rPr>
          <w:rFonts w:hint="eastAsia" w:cs="宋体"/>
          <w:color w:val="auto"/>
          <w:sz w:val="21"/>
          <w:szCs w:val="21"/>
          <w:highlight w:val="none"/>
        </w:rPr>
        <w:t>传    真：</w:t>
      </w:r>
      <w:r>
        <w:rPr>
          <w:rFonts w:hint="eastAsia" w:cs="宋体"/>
          <w:color w:val="auto"/>
          <w:sz w:val="21"/>
          <w:szCs w:val="21"/>
          <w:highlight w:val="none"/>
          <w:u w:val="single"/>
        </w:rPr>
        <w:t xml:space="preserve">                 </w:t>
      </w:r>
    </w:p>
    <w:p w14:paraId="051578F0">
      <w:pPr>
        <w:spacing w:line="360" w:lineRule="auto"/>
        <w:ind w:left="1303" w:leftChars="200" w:hanging="903" w:hangingChars="430"/>
        <w:rPr>
          <w:rFonts w:cs="宋体"/>
          <w:color w:val="auto"/>
          <w:sz w:val="21"/>
          <w:szCs w:val="21"/>
          <w:highlight w:val="none"/>
        </w:rPr>
      </w:pPr>
      <w:r>
        <w:rPr>
          <w:rFonts w:hint="eastAsia" w:cs="宋体"/>
          <w:color w:val="auto"/>
          <w:sz w:val="21"/>
          <w:szCs w:val="21"/>
          <w:highlight w:val="none"/>
        </w:rPr>
        <w:t>开立时间：</w:t>
      </w: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日</w:t>
      </w:r>
    </w:p>
    <w:p w14:paraId="5043E052">
      <w:pPr>
        <w:spacing w:before="312" w:beforeLines="100" w:after="312" w:afterLines="100"/>
        <w:outlineLvl w:val="2"/>
        <w:rPr>
          <w:rFonts w:ascii="Times New Roman" w:eastAsia="黑体"/>
          <w:color w:val="auto"/>
          <w:szCs w:val="24"/>
          <w:highlight w:val="none"/>
        </w:rPr>
      </w:pPr>
      <w:r>
        <w:rPr>
          <w:rFonts w:ascii="Times New Roman" w:eastAsia="黑体"/>
          <w:bCs/>
          <w:color w:val="auto"/>
          <w:highlight w:val="none"/>
        </w:rPr>
        <w:br w:type="page"/>
      </w:r>
      <w:bookmarkStart w:id="632" w:name="_Toc128950245"/>
      <w:r>
        <w:rPr>
          <w:rFonts w:hint="eastAsia" w:ascii="Times New Roman" w:eastAsia="黑体"/>
          <w:color w:val="auto"/>
          <w:szCs w:val="24"/>
          <w:highlight w:val="none"/>
        </w:rPr>
        <w:t>附</w:t>
      </w:r>
      <w:bookmarkStart w:id="633" w:name="_Toc296891272"/>
      <w:bookmarkStart w:id="634" w:name="_Toc296347231"/>
      <w:bookmarkStart w:id="635" w:name="_Toc296891060"/>
      <w:bookmarkStart w:id="636" w:name="_Toc267261702"/>
      <w:bookmarkStart w:id="637" w:name="_Toc296346733"/>
      <w:bookmarkStart w:id="638" w:name="_Toc296503232"/>
      <w:bookmarkStart w:id="639" w:name="_Toc296944571"/>
      <w:r>
        <w:rPr>
          <w:rFonts w:hint="eastAsia" w:ascii="Times New Roman" w:eastAsia="黑体"/>
          <w:color w:val="auto"/>
          <w:szCs w:val="24"/>
          <w:highlight w:val="none"/>
        </w:rPr>
        <w:t>件10：预付款担保</w:t>
      </w:r>
      <w:bookmarkEnd w:id="632"/>
    </w:p>
    <w:bookmarkEnd w:id="633"/>
    <w:bookmarkEnd w:id="634"/>
    <w:bookmarkEnd w:id="635"/>
    <w:bookmarkEnd w:id="636"/>
    <w:bookmarkEnd w:id="637"/>
    <w:bookmarkEnd w:id="638"/>
    <w:bookmarkEnd w:id="639"/>
    <w:p w14:paraId="704E0FD2">
      <w:pPr>
        <w:spacing w:line="360" w:lineRule="auto"/>
        <w:jc w:val="center"/>
        <w:rPr>
          <w:rFonts w:cs="宋体"/>
          <w:b/>
          <w:bCs/>
          <w:color w:val="auto"/>
          <w:sz w:val="32"/>
          <w:szCs w:val="32"/>
          <w:highlight w:val="none"/>
        </w:rPr>
      </w:pPr>
      <w:r>
        <w:rPr>
          <w:rFonts w:hint="eastAsia" w:cs="宋体"/>
          <w:b/>
          <w:bCs/>
          <w:color w:val="auto"/>
          <w:sz w:val="32"/>
          <w:szCs w:val="32"/>
          <w:highlight w:val="none"/>
        </w:rPr>
        <w:t>预付款保函示范文本</w:t>
      </w:r>
    </w:p>
    <w:p w14:paraId="51075313">
      <w:pPr>
        <w:wordWrap w:val="0"/>
        <w:spacing w:line="360" w:lineRule="auto"/>
        <w:jc w:val="right"/>
        <w:rPr>
          <w:rFonts w:ascii="Times New Roman"/>
          <w:color w:val="auto"/>
          <w:szCs w:val="21"/>
          <w:highlight w:val="none"/>
        </w:rPr>
      </w:pPr>
      <w:r>
        <w:rPr>
          <w:rFonts w:hint="eastAsia" w:ascii="Times New Roman"/>
          <w:color w:val="auto"/>
          <w:szCs w:val="21"/>
          <w:highlight w:val="none"/>
        </w:rPr>
        <w:t>编号：</w:t>
      </w:r>
      <w:r>
        <w:rPr>
          <w:rFonts w:hint="eastAsia" w:ascii="Times New Roman"/>
          <w:color w:val="auto"/>
          <w:szCs w:val="21"/>
          <w:highlight w:val="none"/>
          <w:u w:val="single"/>
        </w:rPr>
        <w:t xml:space="preserve"> </w:t>
      </w:r>
      <w:r>
        <w:rPr>
          <w:rFonts w:ascii="Times New Roman"/>
          <w:color w:val="auto"/>
          <w:szCs w:val="21"/>
          <w:highlight w:val="none"/>
          <w:u w:val="single"/>
        </w:rPr>
        <w:t xml:space="preserve">          </w:t>
      </w:r>
    </w:p>
    <w:p w14:paraId="61DA3EF1">
      <w:pPr>
        <w:spacing w:line="360" w:lineRule="auto"/>
        <w:rPr>
          <w:rFonts w:ascii="Times New Roman"/>
          <w:color w:val="auto"/>
          <w:szCs w:val="21"/>
          <w:highlight w:val="none"/>
        </w:rPr>
      </w:pPr>
    </w:p>
    <w:p w14:paraId="48E24AB6">
      <w:pPr>
        <w:spacing w:line="360" w:lineRule="auto"/>
        <w:rPr>
          <w:rFonts w:cs="宋体"/>
          <w:color w:val="auto"/>
          <w:sz w:val="21"/>
          <w:szCs w:val="21"/>
          <w:highlight w:val="none"/>
        </w:rPr>
      </w:pPr>
      <w:r>
        <w:rPr>
          <w:rFonts w:hint="eastAsia" w:cs="宋体"/>
          <w:color w:val="auto"/>
          <w:sz w:val="21"/>
          <w:szCs w:val="21"/>
          <w:highlight w:val="none"/>
          <w:u w:val="single"/>
        </w:rPr>
        <w:t xml:space="preserve">              </w:t>
      </w:r>
      <w:r>
        <w:rPr>
          <w:rFonts w:hint="eastAsia" w:cs="宋体"/>
          <w:color w:val="auto"/>
          <w:sz w:val="21"/>
          <w:szCs w:val="21"/>
          <w:highlight w:val="none"/>
        </w:rPr>
        <w:t xml:space="preserve">（受益人名称）： </w:t>
      </w:r>
    </w:p>
    <w:p w14:paraId="3ED11425">
      <w:pPr>
        <w:spacing w:line="360" w:lineRule="auto"/>
        <w:ind w:firstLine="420" w:firstLineChars="200"/>
        <w:rPr>
          <w:rFonts w:cs="宋体"/>
          <w:color w:val="auto"/>
          <w:sz w:val="21"/>
          <w:szCs w:val="21"/>
          <w:highlight w:val="none"/>
        </w:rPr>
      </w:pPr>
      <w:r>
        <w:rPr>
          <w:rFonts w:hint="eastAsia" w:cs="宋体"/>
          <w:color w:val="auto"/>
          <w:sz w:val="21"/>
          <w:szCs w:val="21"/>
          <w:highlight w:val="none"/>
        </w:rPr>
        <w:t>鉴于</w:t>
      </w:r>
      <w:r>
        <w:rPr>
          <w:rFonts w:hint="eastAsia" w:cs="宋体"/>
          <w:color w:val="auto"/>
          <w:sz w:val="21"/>
          <w:szCs w:val="21"/>
          <w:highlight w:val="none"/>
          <w:u w:val="single"/>
        </w:rPr>
        <w:t xml:space="preserve">     </w:t>
      </w:r>
      <w:r>
        <w:rPr>
          <w:rFonts w:hint="eastAsia" w:cs="宋体"/>
          <w:color w:val="auto"/>
          <w:sz w:val="21"/>
          <w:szCs w:val="21"/>
          <w:highlight w:val="none"/>
        </w:rPr>
        <w:t>（以下简称“受益人”）与</w:t>
      </w:r>
      <w:r>
        <w:rPr>
          <w:rFonts w:hint="eastAsia" w:cs="宋体"/>
          <w:color w:val="auto"/>
          <w:sz w:val="21"/>
          <w:szCs w:val="21"/>
          <w:highlight w:val="none"/>
          <w:u w:val="single"/>
        </w:rPr>
        <w:t xml:space="preserve">     </w:t>
      </w:r>
      <w:r>
        <w:rPr>
          <w:rFonts w:hint="eastAsia" w:cs="宋体"/>
          <w:color w:val="auto"/>
          <w:sz w:val="21"/>
          <w:szCs w:val="21"/>
          <w:highlight w:val="none"/>
        </w:rPr>
        <w:t>（以下简称“申请人”）于</w:t>
      </w: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日就</w:t>
      </w:r>
      <w:r>
        <w:rPr>
          <w:rFonts w:hint="eastAsia" w:cs="宋体"/>
          <w:snapToGrid w:val="0"/>
          <w:color w:val="auto"/>
          <w:sz w:val="21"/>
          <w:szCs w:val="21"/>
          <w:highlight w:val="none"/>
          <w:u w:val="single"/>
        </w:rPr>
        <w:t xml:space="preserve">        </w:t>
      </w:r>
      <w:r>
        <w:rPr>
          <w:rFonts w:hint="eastAsia" w:cs="宋体"/>
          <w:snapToGrid w:val="0"/>
          <w:color w:val="auto"/>
          <w:sz w:val="21"/>
          <w:szCs w:val="21"/>
          <w:highlight w:val="none"/>
        </w:rPr>
        <w:t>（项目编号）的</w:t>
      </w:r>
      <w:r>
        <w:rPr>
          <w:rFonts w:hint="eastAsia" w:cs="宋体"/>
          <w:snapToGrid w:val="0"/>
          <w:color w:val="auto"/>
          <w:sz w:val="21"/>
          <w:szCs w:val="21"/>
          <w:highlight w:val="none"/>
          <w:u w:val="single"/>
        </w:rPr>
        <w:t xml:space="preserve">     </w:t>
      </w:r>
      <w:r>
        <w:rPr>
          <w:rFonts w:hint="eastAsia" w:cs="宋体"/>
          <w:snapToGrid w:val="0"/>
          <w:color w:val="auto"/>
          <w:sz w:val="21"/>
          <w:szCs w:val="21"/>
          <w:highlight w:val="none"/>
        </w:rPr>
        <w:t>（项目名称）</w:t>
      </w:r>
      <w:r>
        <w:rPr>
          <w:rFonts w:hint="eastAsia" w:cs="宋体"/>
          <w:color w:val="auto"/>
          <w:sz w:val="21"/>
          <w:szCs w:val="21"/>
          <w:highlight w:val="none"/>
        </w:rPr>
        <w:t>有关事项协商一致共同签订</w:t>
      </w:r>
      <w:r>
        <w:rPr>
          <w:rFonts w:hint="eastAsia" w:cs="宋体"/>
          <w:color w:val="auto"/>
          <w:sz w:val="21"/>
          <w:szCs w:val="21"/>
          <w:highlight w:val="none"/>
          <w:u w:val="single"/>
        </w:rPr>
        <w:t>《        》</w:t>
      </w:r>
      <w:r>
        <w:rPr>
          <w:rFonts w:hint="eastAsia" w:cs="宋体"/>
          <w:color w:val="auto"/>
          <w:sz w:val="21"/>
          <w:szCs w:val="21"/>
          <w:highlight w:val="none"/>
        </w:rPr>
        <w:t xml:space="preserve">（以下简称“基础合同”），开立人根据主合同了解到申请人为主合同项下之承包人，受益人为主合同项下之发包人，基于申请人的请求，开立人同意就申请人按照合同约定正确和合理地为合同目的使用预付款，向受益人提供不可撤销、不可转让的见索即付独立保函（以下简称“本保函”）。 </w:t>
      </w:r>
    </w:p>
    <w:p w14:paraId="373E946A">
      <w:pPr>
        <w:spacing w:line="360" w:lineRule="auto"/>
        <w:ind w:firstLine="420" w:firstLineChars="200"/>
        <w:rPr>
          <w:rFonts w:cs="宋体"/>
          <w:color w:val="auto"/>
          <w:sz w:val="21"/>
          <w:szCs w:val="21"/>
          <w:highlight w:val="none"/>
        </w:rPr>
      </w:pPr>
      <w:r>
        <w:rPr>
          <w:rFonts w:hint="eastAsia" w:cs="宋体"/>
          <w:color w:val="auto"/>
          <w:sz w:val="21"/>
          <w:szCs w:val="21"/>
          <w:highlight w:val="none"/>
        </w:rPr>
        <w:t>一、本保函担保范围：申请人未按照合同约定正确和合理地为合同目的使用预付款，应当向受益人承担的违约责任和赔偿因此造成的损失、利息、律师费、诉讼费用等实现债权的费用。</w:t>
      </w:r>
    </w:p>
    <w:p w14:paraId="07FBCBCF">
      <w:pPr>
        <w:spacing w:line="360" w:lineRule="auto"/>
        <w:ind w:firstLine="420" w:firstLineChars="200"/>
        <w:rPr>
          <w:rFonts w:cs="宋体"/>
          <w:color w:val="auto"/>
          <w:sz w:val="21"/>
          <w:szCs w:val="21"/>
          <w:highlight w:val="none"/>
        </w:rPr>
      </w:pPr>
      <w:r>
        <w:rPr>
          <w:rFonts w:hint="eastAsia" w:cs="宋体"/>
          <w:color w:val="auto"/>
          <w:sz w:val="21"/>
          <w:szCs w:val="21"/>
          <w:highlight w:val="none"/>
        </w:rPr>
        <w:t>二、本保函担保金额最高不超过人民币（大写）</w:t>
      </w:r>
      <w:r>
        <w:rPr>
          <w:rFonts w:hint="eastAsia" w:cs="宋体"/>
          <w:color w:val="auto"/>
          <w:sz w:val="21"/>
          <w:szCs w:val="21"/>
          <w:highlight w:val="none"/>
          <w:u w:val="single"/>
        </w:rPr>
        <w:t xml:space="preserve">          </w:t>
      </w:r>
      <w:r>
        <w:rPr>
          <w:rFonts w:hint="eastAsia" w:cs="宋体"/>
          <w:color w:val="auto"/>
          <w:sz w:val="21"/>
          <w:szCs w:val="21"/>
          <w:highlight w:val="none"/>
        </w:rPr>
        <w:t>元（¥</w:t>
      </w:r>
      <w:r>
        <w:rPr>
          <w:rFonts w:hint="eastAsia" w:cs="宋体"/>
          <w:color w:val="auto"/>
          <w:sz w:val="21"/>
          <w:szCs w:val="21"/>
          <w:highlight w:val="none"/>
          <w:u w:val="single"/>
        </w:rPr>
        <w:t xml:space="preserve">       </w:t>
      </w:r>
      <w:r>
        <w:rPr>
          <w:rFonts w:hint="eastAsia" w:cs="宋体"/>
          <w:color w:val="auto"/>
          <w:sz w:val="21"/>
          <w:szCs w:val="21"/>
          <w:highlight w:val="none"/>
        </w:rPr>
        <w:t xml:space="preserve">）。 </w:t>
      </w:r>
    </w:p>
    <w:p w14:paraId="1ED32A4A">
      <w:pPr>
        <w:spacing w:line="360" w:lineRule="auto"/>
        <w:ind w:firstLine="420" w:firstLineChars="200"/>
        <w:rPr>
          <w:rFonts w:cs="宋体"/>
          <w:color w:val="auto"/>
          <w:sz w:val="21"/>
          <w:szCs w:val="21"/>
          <w:highlight w:val="none"/>
        </w:rPr>
      </w:pPr>
      <w:r>
        <w:rPr>
          <w:rFonts w:hint="eastAsia" w:cs="宋体"/>
          <w:color w:val="auto"/>
          <w:sz w:val="21"/>
          <w:szCs w:val="21"/>
          <w:highlight w:val="none"/>
        </w:rPr>
        <w:t>三、本保函有效期自开立之日起至发包人全额扣回预付款之日止。</w:t>
      </w:r>
    </w:p>
    <w:p w14:paraId="359C006A">
      <w:pPr>
        <w:spacing w:line="400" w:lineRule="exact"/>
        <w:ind w:firstLine="480"/>
        <w:rPr>
          <w:rFonts w:cs="宋体"/>
          <w:color w:val="auto"/>
          <w:sz w:val="21"/>
          <w:szCs w:val="21"/>
          <w:highlight w:val="none"/>
        </w:rPr>
      </w:pPr>
      <w:r>
        <w:rPr>
          <w:rFonts w:hint="eastAsia" w:cs="宋体"/>
          <w:color w:val="auto"/>
          <w:sz w:val="21"/>
          <w:szCs w:val="21"/>
          <w:highlight w:val="none"/>
        </w:rPr>
        <w:t>四、开立人承诺，在收到受益人发来的书面付款通知后的七日内无条件支付，前述书面付款通知即为付款要求之单据，且应满足以下要求：</w:t>
      </w:r>
    </w:p>
    <w:p w14:paraId="483545FF">
      <w:pPr>
        <w:spacing w:line="360" w:lineRule="auto"/>
        <w:ind w:firstLine="420" w:firstLineChars="200"/>
        <w:rPr>
          <w:rFonts w:cs="宋体"/>
          <w:color w:val="auto"/>
          <w:sz w:val="21"/>
          <w:szCs w:val="21"/>
          <w:highlight w:val="none"/>
        </w:rPr>
      </w:pPr>
      <w:r>
        <w:rPr>
          <w:rFonts w:hint="eastAsia" w:cs="宋体"/>
          <w:color w:val="auto"/>
          <w:sz w:val="21"/>
          <w:szCs w:val="21"/>
          <w:highlight w:val="none"/>
        </w:rPr>
        <w:t>（1）付款通知到达的日期在本保函的有效期内；</w:t>
      </w:r>
    </w:p>
    <w:p w14:paraId="441CE4A6">
      <w:pPr>
        <w:spacing w:line="360" w:lineRule="auto"/>
        <w:ind w:firstLine="420" w:firstLineChars="200"/>
        <w:rPr>
          <w:rFonts w:cs="宋体"/>
          <w:color w:val="auto"/>
          <w:sz w:val="21"/>
          <w:szCs w:val="21"/>
          <w:highlight w:val="none"/>
        </w:rPr>
      </w:pPr>
      <w:r>
        <w:rPr>
          <w:rFonts w:hint="eastAsia" w:cs="宋体"/>
          <w:color w:val="auto"/>
          <w:sz w:val="21"/>
          <w:szCs w:val="21"/>
          <w:highlight w:val="none"/>
        </w:rPr>
        <w:t>（2）载明要求支付的金额；</w:t>
      </w:r>
    </w:p>
    <w:p w14:paraId="72502D26">
      <w:pPr>
        <w:spacing w:line="360" w:lineRule="auto"/>
        <w:ind w:firstLine="420" w:firstLineChars="200"/>
        <w:rPr>
          <w:rFonts w:cs="宋体"/>
          <w:color w:val="auto"/>
          <w:sz w:val="21"/>
          <w:szCs w:val="21"/>
          <w:highlight w:val="none"/>
        </w:rPr>
      </w:pPr>
      <w:r>
        <w:rPr>
          <w:rFonts w:hint="eastAsia" w:cs="宋体"/>
          <w:color w:val="auto"/>
          <w:sz w:val="21"/>
          <w:szCs w:val="21"/>
          <w:highlight w:val="none"/>
        </w:rPr>
        <w:t>（3）载明申请人违反合同义务的条款和内容；</w:t>
      </w:r>
    </w:p>
    <w:p w14:paraId="68FFBD47">
      <w:pPr>
        <w:spacing w:line="360" w:lineRule="auto"/>
        <w:ind w:firstLine="420" w:firstLineChars="200"/>
        <w:rPr>
          <w:rFonts w:cs="宋体"/>
          <w:color w:val="auto"/>
          <w:sz w:val="21"/>
          <w:szCs w:val="21"/>
          <w:highlight w:val="none"/>
        </w:rPr>
      </w:pPr>
      <w:r>
        <w:rPr>
          <w:rFonts w:hint="eastAsia" w:cs="宋体"/>
          <w:color w:val="auto"/>
          <w:sz w:val="21"/>
          <w:szCs w:val="21"/>
          <w:highlight w:val="none"/>
        </w:rPr>
        <w:t>（4）声明不存在合同文件约定或我国法律规定免除申请人或开立人支付责任的情形；</w:t>
      </w:r>
    </w:p>
    <w:p w14:paraId="25C91FC5">
      <w:pPr>
        <w:spacing w:line="360" w:lineRule="auto"/>
        <w:ind w:firstLine="420" w:firstLineChars="200"/>
        <w:rPr>
          <w:rFonts w:cs="宋体"/>
          <w:color w:val="auto"/>
          <w:sz w:val="21"/>
          <w:szCs w:val="21"/>
          <w:highlight w:val="none"/>
        </w:rPr>
      </w:pPr>
      <w:r>
        <w:rPr>
          <w:rFonts w:hint="eastAsia" w:cs="宋体"/>
          <w:color w:val="auto"/>
          <w:sz w:val="21"/>
          <w:szCs w:val="21"/>
          <w:highlight w:val="none"/>
        </w:rPr>
        <w:t>（5）付款通知应在本保函有效期内到达的地址是：</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83F9C26">
      <w:pPr>
        <w:spacing w:line="400" w:lineRule="exact"/>
        <w:rPr>
          <w:rFonts w:cs="宋体"/>
          <w:color w:val="auto"/>
          <w:sz w:val="21"/>
          <w:szCs w:val="21"/>
          <w:highlight w:val="none"/>
        </w:rPr>
      </w:pPr>
      <w:r>
        <w:rPr>
          <w:rFonts w:hint="eastAsia" w:cs="宋体"/>
          <w:color w:val="auto"/>
          <w:sz w:val="21"/>
          <w:szCs w:val="21"/>
          <w:highlight w:val="none"/>
        </w:rPr>
        <w:t xml:space="preserve">    受益人发出的书面付款通知应由其法定代表人（负责人）或授权代理人签字并加盖公章。</w:t>
      </w:r>
    </w:p>
    <w:p w14:paraId="7DB10614">
      <w:pPr>
        <w:spacing w:line="400" w:lineRule="exact"/>
        <w:ind w:firstLine="420" w:firstLineChars="200"/>
        <w:rPr>
          <w:rFonts w:cs="宋体"/>
          <w:color w:val="auto"/>
          <w:sz w:val="21"/>
          <w:szCs w:val="21"/>
          <w:highlight w:val="none"/>
        </w:rPr>
      </w:pPr>
      <w:r>
        <w:rPr>
          <w:rFonts w:hint="eastAsia" w:cs="宋体"/>
          <w:color w:val="auto"/>
          <w:sz w:val="21"/>
          <w:szCs w:val="21"/>
          <w:highlight w:val="none"/>
        </w:rPr>
        <w:t xml:space="preserve">五、本保函项下的权利不得转让，不得设定担保。受益人未经开立人书面同意转让本保函或其项下任何权利，对开立人不发生法律效力。 </w:t>
      </w:r>
    </w:p>
    <w:p w14:paraId="676530BC">
      <w:pPr>
        <w:spacing w:line="400" w:lineRule="exact"/>
        <w:ind w:firstLine="420" w:firstLineChars="200"/>
        <w:rPr>
          <w:rStyle w:val="68"/>
          <w:rFonts w:cs="宋体"/>
          <w:color w:val="auto"/>
          <w:highlight w:val="none"/>
        </w:rPr>
      </w:pPr>
      <w:r>
        <w:rPr>
          <w:rFonts w:hint="eastAsia" w:cs="宋体"/>
          <w:color w:val="auto"/>
          <w:sz w:val="21"/>
          <w:szCs w:val="21"/>
          <w:highlight w:val="none"/>
        </w:rPr>
        <w:t>六、本保函项下的基础交易不成立、不生效、无效、被撤销、被解除，不影响本保函的独立有效。</w:t>
      </w:r>
    </w:p>
    <w:p w14:paraId="7FE8B346">
      <w:pPr>
        <w:spacing w:line="400" w:lineRule="exact"/>
        <w:ind w:firstLine="420" w:firstLineChars="200"/>
        <w:rPr>
          <w:rFonts w:cs="宋体"/>
          <w:color w:val="auto"/>
          <w:sz w:val="21"/>
          <w:szCs w:val="21"/>
          <w:highlight w:val="none"/>
        </w:rPr>
      </w:pPr>
      <w:r>
        <w:rPr>
          <w:rFonts w:hint="eastAsia" w:cs="宋体"/>
          <w:color w:val="auto"/>
          <w:sz w:val="21"/>
          <w:szCs w:val="21"/>
          <w:highlight w:val="none"/>
        </w:rPr>
        <w:t xml:space="preserve">七、本保函项下的义务和责任均在保函有效期到期后自动消灭。 </w:t>
      </w:r>
    </w:p>
    <w:p w14:paraId="0081BDB1">
      <w:pPr>
        <w:spacing w:line="400" w:lineRule="exact"/>
        <w:ind w:firstLine="420" w:firstLineChars="200"/>
        <w:rPr>
          <w:rFonts w:cs="宋体"/>
          <w:color w:val="auto"/>
          <w:sz w:val="21"/>
          <w:szCs w:val="21"/>
          <w:highlight w:val="none"/>
        </w:rPr>
      </w:pPr>
      <w:r>
        <w:rPr>
          <w:rFonts w:hint="eastAsia" w:cs="宋体"/>
          <w:color w:val="auto"/>
          <w:sz w:val="21"/>
          <w:szCs w:val="21"/>
          <w:highlight w:val="none"/>
        </w:rPr>
        <w:t xml:space="preserve">八、本保函适用的法律为中华人民共和国法律，因本保函产生的纠纷案件，由受益人所在地人民法院管辖。 </w:t>
      </w:r>
    </w:p>
    <w:p w14:paraId="626CCA69">
      <w:pPr>
        <w:spacing w:line="360" w:lineRule="auto"/>
        <w:ind w:firstLine="420" w:firstLineChars="200"/>
        <w:rPr>
          <w:rFonts w:cs="宋体"/>
          <w:color w:val="auto"/>
          <w:sz w:val="21"/>
          <w:szCs w:val="21"/>
          <w:highlight w:val="none"/>
        </w:rPr>
      </w:pPr>
      <w:r>
        <w:rPr>
          <w:rFonts w:hint="eastAsia" w:cs="宋体"/>
          <w:color w:val="auto"/>
          <w:sz w:val="21"/>
          <w:szCs w:val="21"/>
          <w:highlight w:val="none"/>
        </w:rPr>
        <w:t xml:space="preserve">九、本保函自我方法定代表人或授权代表签字并加盖公章之日起生效。 </w:t>
      </w:r>
    </w:p>
    <w:p w14:paraId="3B1F8799">
      <w:pPr>
        <w:spacing w:line="360" w:lineRule="auto"/>
        <w:ind w:firstLine="420" w:firstLineChars="200"/>
        <w:rPr>
          <w:rFonts w:cs="宋体"/>
          <w:color w:val="auto"/>
          <w:sz w:val="21"/>
          <w:szCs w:val="21"/>
          <w:highlight w:val="none"/>
        </w:rPr>
      </w:pPr>
    </w:p>
    <w:p w14:paraId="70034F81">
      <w:pPr>
        <w:spacing w:line="360" w:lineRule="auto"/>
        <w:ind w:firstLine="420" w:firstLineChars="200"/>
        <w:rPr>
          <w:rFonts w:cs="宋体"/>
          <w:color w:val="auto"/>
          <w:sz w:val="21"/>
          <w:szCs w:val="21"/>
          <w:highlight w:val="none"/>
        </w:rPr>
      </w:pPr>
    </w:p>
    <w:p w14:paraId="1E739C22">
      <w:pPr>
        <w:spacing w:line="360" w:lineRule="auto"/>
        <w:ind w:firstLine="420" w:firstLineChars="200"/>
        <w:rPr>
          <w:rFonts w:cs="宋体"/>
          <w:color w:val="auto"/>
          <w:sz w:val="21"/>
          <w:szCs w:val="21"/>
          <w:highlight w:val="none"/>
        </w:rPr>
      </w:pPr>
    </w:p>
    <w:p w14:paraId="5D2507C6">
      <w:pPr>
        <w:spacing w:line="360" w:lineRule="auto"/>
        <w:ind w:firstLine="420" w:firstLineChars="200"/>
        <w:rPr>
          <w:rFonts w:cs="宋体"/>
          <w:color w:val="auto"/>
          <w:sz w:val="21"/>
          <w:szCs w:val="21"/>
          <w:highlight w:val="none"/>
        </w:rPr>
      </w:pPr>
      <w:r>
        <w:rPr>
          <w:rFonts w:hint="eastAsia" w:cs="宋体"/>
          <w:color w:val="auto"/>
          <w:sz w:val="21"/>
          <w:szCs w:val="21"/>
          <w:highlight w:val="none"/>
        </w:rPr>
        <w:t>开 立 人：</w:t>
      </w:r>
      <w:r>
        <w:rPr>
          <w:rFonts w:hint="eastAsia" w:cs="宋体"/>
          <w:color w:val="auto"/>
          <w:sz w:val="21"/>
          <w:szCs w:val="21"/>
          <w:highlight w:val="none"/>
          <w:u w:val="single"/>
        </w:rPr>
        <w:t xml:space="preserve">                              </w:t>
      </w:r>
      <w:r>
        <w:rPr>
          <w:rFonts w:hint="eastAsia" w:cs="宋体"/>
          <w:color w:val="auto"/>
          <w:sz w:val="21"/>
          <w:szCs w:val="21"/>
          <w:highlight w:val="none"/>
        </w:rPr>
        <w:t xml:space="preserve">（公章） </w:t>
      </w:r>
    </w:p>
    <w:p w14:paraId="0C15DCE9">
      <w:pPr>
        <w:spacing w:line="360" w:lineRule="auto"/>
        <w:ind w:firstLine="420" w:firstLineChars="200"/>
        <w:rPr>
          <w:rFonts w:cs="宋体"/>
          <w:color w:val="auto"/>
          <w:sz w:val="21"/>
          <w:szCs w:val="21"/>
          <w:highlight w:val="none"/>
        </w:rPr>
      </w:pPr>
      <w:r>
        <w:rPr>
          <w:rFonts w:hint="eastAsia" w:cs="宋体"/>
          <w:color w:val="auto"/>
          <w:sz w:val="21"/>
          <w:szCs w:val="21"/>
          <w:highlight w:val="none"/>
        </w:rPr>
        <w:t>法定代表人（或授权代表）：</w:t>
      </w:r>
      <w:r>
        <w:rPr>
          <w:rFonts w:hint="eastAsia" w:cs="宋体"/>
          <w:color w:val="auto"/>
          <w:sz w:val="21"/>
          <w:szCs w:val="21"/>
          <w:highlight w:val="none"/>
          <w:u w:val="single"/>
        </w:rPr>
        <w:t xml:space="preserve">               </w:t>
      </w:r>
      <w:r>
        <w:rPr>
          <w:rFonts w:hint="eastAsia" w:cs="宋体"/>
          <w:color w:val="auto"/>
          <w:sz w:val="21"/>
          <w:szCs w:val="21"/>
          <w:highlight w:val="none"/>
        </w:rPr>
        <w:t xml:space="preserve">（签字） </w:t>
      </w:r>
    </w:p>
    <w:p w14:paraId="292AFB80">
      <w:pPr>
        <w:spacing w:line="360" w:lineRule="auto"/>
        <w:ind w:firstLine="420" w:firstLineChars="200"/>
        <w:rPr>
          <w:rFonts w:cs="宋体"/>
          <w:color w:val="auto"/>
          <w:sz w:val="21"/>
          <w:szCs w:val="21"/>
          <w:highlight w:val="none"/>
        </w:rPr>
      </w:pPr>
      <w:r>
        <w:rPr>
          <w:rFonts w:hint="eastAsia" w:cs="宋体"/>
          <w:color w:val="auto"/>
          <w:sz w:val="21"/>
          <w:szCs w:val="21"/>
          <w:highlight w:val="none"/>
        </w:rPr>
        <w:t>地    址：</w:t>
      </w:r>
      <w:r>
        <w:rPr>
          <w:rFonts w:hint="eastAsia" w:cs="宋体"/>
          <w:color w:val="auto"/>
          <w:sz w:val="21"/>
          <w:szCs w:val="21"/>
          <w:highlight w:val="none"/>
          <w:u w:val="single"/>
        </w:rPr>
        <w:t xml:space="preserve">                                       </w:t>
      </w:r>
    </w:p>
    <w:p w14:paraId="7987E5B8">
      <w:pPr>
        <w:spacing w:line="360" w:lineRule="auto"/>
        <w:ind w:firstLine="420" w:firstLineChars="200"/>
        <w:rPr>
          <w:rFonts w:cs="宋体"/>
          <w:color w:val="auto"/>
          <w:sz w:val="21"/>
          <w:szCs w:val="21"/>
          <w:highlight w:val="none"/>
        </w:rPr>
      </w:pPr>
      <w:r>
        <w:rPr>
          <w:rFonts w:hint="eastAsia" w:cs="宋体"/>
          <w:color w:val="auto"/>
          <w:sz w:val="21"/>
          <w:szCs w:val="21"/>
          <w:highlight w:val="none"/>
        </w:rPr>
        <w:t>邮政编码：</w:t>
      </w:r>
      <w:r>
        <w:rPr>
          <w:rFonts w:hint="eastAsia" w:cs="宋体"/>
          <w:color w:val="auto"/>
          <w:sz w:val="21"/>
          <w:szCs w:val="21"/>
          <w:highlight w:val="none"/>
          <w:u w:val="single"/>
        </w:rPr>
        <w:t xml:space="preserve">                 </w:t>
      </w:r>
    </w:p>
    <w:p w14:paraId="422D4CB6">
      <w:pPr>
        <w:spacing w:line="360" w:lineRule="auto"/>
        <w:ind w:firstLine="420" w:firstLineChars="200"/>
        <w:rPr>
          <w:rFonts w:cs="宋体"/>
          <w:color w:val="auto"/>
          <w:sz w:val="21"/>
          <w:szCs w:val="21"/>
          <w:highlight w:val="none"/>
        </w:rPr>
      </w:pPr>
      <w:r>
        <w:rPr>
          <w:rFonts w:hint="eastAsia" w:cs="宋体"/>
          <w:color w:val="auto"/>
          <w:sz w:val="21"/>
          <w:szCs w:val="21"/>
          <w:highlight w:val="none"/>
        </w:rPr>
        <w:t>电    话：</w:t>
      </w:r>
      <w:r>
        <w:rPr>
          <w:rFonts w:hint="eastAsia" w:cs="宋体"/>
          <w:color w:val="auto"/>
          <w:sz w:val="21"/>
          <w:szCs w:val="21"/>
          <w:highlight w:val="none"/>
          <w:u w:val="single"/>
        </w:rPr>
        <w:t xml:space="preserve">                 </w:t>
      </w:r>
    </w:p>
    <w:p w14:paraId="41DEF854">
      <w:pPr>
        <w:spacing w:line="360" w:lineRule="auto"/>
        <w:ind w:firstLine="420" w:firstLineChars="200"/>
        <w:rPr>
          <w:rFonts w:cs="宋体"/>
          <w:color w:val="auto"/>
          <w:sz w:val="21"/>
          <w:szCs w:val="21"/>
          <w:highlight w:val="none"/>
          <w:u w:val="single"/>
        </w:rPr>
      </w:pPr>
      <w:r>
        <w:rPr>
          <w:rFonts w:hint="eastAsia" w:cs="宋体"/>
          <w:color w:val="auto"/>
          <w:sz w:val="21"/>
          <w:szCs w:val="21"/>
          <w:highlight w:val="none"/>
        </w:rPr>
        <w:t>传    真：</w:t>
      </w:r>
      <w:r>
        <w:rPr>
          <w:rFonts w:hint="eastAsia" w:cs="宋体"/>
          <w:color w:val="auto"/>
          <w:sz w:val="21"/>
          <w:szCs w:val="21"/>
          <w:highlight w:val="none"/>
          <w:u w:val="single"/>
        </w:rPr>
        <w:t xml:space="preserve">                 </w:t>
      </w:r>
    </w:p>
    <w:p w14:paraId="5202475B">
      <w:pPr>
        <w:spacing w:line="360" w:lineRule="auto"/>
        <w:ind w:left="1303" w:leftChars="200" w:hanging="903" w:hangingChars="430"/>
        <w:rPr>
          <w:rFonts w:cs="宋体"/>
          <w:color w:val="auto"/>
          <w:sz w:val="21"/>
          <w:szCs w:val="21"/>
          <w:highlight w:val="none"/>
        </w:rPr>
      </w:pPr>
      <w:r>
        <w:rPr>
          <w:rFonts w:hint="eastAsia" w:cs="宋体"/>
          <w:color w:val="auto"/>
          <w:sz w:val="21"/>
          <w:szCs w:val="21"/>
          <w:highlight w:val="none"/>
        </w:rPr>
        <w:t>开立时间：</w:t>
      </w: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日</w:t>
      </w:r>
    </w:p>
    <w:p w14:paraId="051F3605">
      <w:pPr>
        <w:spacing w:before="312" w:beforeLines="100" w:after="312" w:afterLines="100"/>
        <w:outlineLvl w:val="2"/>
        <w:rPr>
          <w:rFonts w:ascii="Times New Roman" w:eastAsia="黑体"/>
          <w:color w:val="auto"/>
          <w:szCs w:val="24"/>
          <w:highlight w:val="none"/>
        </w:rPr>
      </w:pPr>
      <w:r>
        <w:rPr>
          <w:rFonts w:ascii="Times New Roman" w:eastAsia="黑体"/>
          <w:b/>
          <w:bCs/>
          <w:color w:val="auto"/>
          <w:highlight w:val="none"/>
        </w:rPr>
        <w:br w:type="page"/>
      </w:r>
      <w:bookmarkStart w:id="640" w:name="_Toc128950246"/>
      <w:r>
        <w:rPr>
          <w:rFonts w:hint="eastAsia" w:ascii="Times New Roman" w:eastAsia="黑体"/>
          <w:color w:val="auto"/>
          <w:szCs w:val="24"/>
          <w:highlight w:val="none"/>
        </w:rPr>
        <w:t>附</w:t>
      </w:r>
      <w:bookmarkStart w:id="641" w:name="_Toc296944572"/>
      <w:bookmarkStart w:id="642" w:name="_Toc296891273"/>
      <w:bookmarkStart w:id="643" w:name="_Toc296347232"/>
      <w:bookmarkStart w:id="644" w:name="_Toc296503233"/>
      <w:bookmarkStart w:id="645" w:name="_Toc296891061"/>
      <w:bookmarkStart w:id="646" w:name="_Toc296346734"/>
      <w:r>
        <w:rPr>
          <w:rFonts w:hint="eastAsia" w:ascii="Times New Roman" w:eastAsia="黑体"/>
          <w:color w:val="auto"/>
          <w:szCs w:val="24"/>
          <w:highlight w:val="none"/>
        </w:rPr>
        <w:t>件</w:t>
      </w:r>
      <w:r>
        <w:rPr>
          <w:rFonts w:ascii="Times New Roman" w:eastAsia="黑体"/>
          <w:color w:val="auto"/>
          <w:szCs w:val="24"/>
          <w:highlight w:val="none"/>
        </w:rPr>
        <w:t>1</w:t>
      </w:r>
      <w:r>
        <w:rPr>
          <w:rFonts w:hint="eastAsia" w:ascii="Times New Roman" w:eastAsia="黑体"/>
          <w:color w:val="auto"/>
          <w:szCs w:val="24"/>
          <w:highlight w:val="none"/>
        </w:rPr>
        <w:t>1：支付担保</w:t>
      </w:r>
      <w:bookmarkEnd w:id="640"/>
      <w:bookmarkEnd w:id="641"/>
      <w:bookmarkEnd w:id="642"/>
      <w:bookmarkEnd w:id="643"/>
      <w:bookmarkEnd w:id="644"/>
      <w:bookmarkEnd w:id="645"/>
      <w:bookmarkEnd w:id="646"/>
    </w:p>
    <w:p w14:paraId="74474E2F">
      <w:pPr>
        <w:spacing w:line="360" w:lineRule="auto"/>
        <w:jc w:val="center"/>
        <w:rPr>
          <w:rFonts w:cs="宋体"/>
          <w:b/>
          <w:bCs/>
          <w:color w:val="auto"/>
          <w:sz w:val="32"/>
          <w:szCs w:val="32"/>
          <w:highlight w:val="none"/>
        </w:rPr>
      </w:pPr>
      <w:r>
        <w:rPr>
          <w:rFonts w:hint="eastAsia" w:cs="宋体"/>
          <w:b/>
          <w:bCs/>
          <w:color w:val="auto"/>
          <w:sz w:val="32"/>
          <w:szCs w:val="32"/>
          <w:highlight w:val="none"/>
        </w:rPr>
        <w:t>支付保函示范文本</w:t>
      </w:r>
    </w:p>
    <w:p w14:paraId="08A4CC86">
      <w:pPr>
        <w:wordWrap w:val="0"/>
        <w:spacing w:line="360" w:lineRule="auto"/>
        <w:jc w:val="right"/>
        <w:rPr>
          <w:rFonts w:ascii="Times New Roman"/>
          <w:color w:val="auto"/>
          <w:szCs w:val="21"/>
          <w:highlight w:val="none"/>
        </w:rPr>
      </w:pPr>
      <w:r>
        <w:rPr>
          <w:rFonts w:hint="eastAsia" w:ascii="Times New Roman"/>
          <w:color w:val="auto"/>
          <w:szCs w:val="21"/>
          <w:highlight w:val="none"/>
        </w:rPr>
        <w:t>编号：</w:t>
      </w:r>
      <w:r>
        <w:rPr>
          <w:rFonts w:hint="eastAsia" w:ascii="Times New Roman"/>
          <w:color w:val="auto"/>
          <w:szCs w:val="21"/>
          <w:highlight w:val="none"/>
          <w:u w:val="single"/>
        </w:rPr>
        <w:t xml:space="preserve"> </w:t>
      </w:r>
      <w:r>
        <w:rPr>
          <w:rFonts w:ascii="Times New Roman"/>
          <w:color w:val="auto"/>
          <w:szCs w:val="21"/>
          <w:highlight w:val="none"/>
          <w:u w:val="single"/>
        </w:rPr>
        <w:t xml:space="preserve">          </w:t>
      </w:r>
    </w:p>
    <w:p w14:paraId="73C2E1CC">
      <w:pPr>
        <w:spacing w:line="360" w:lineRule="auto"/>
        <w:rPr>
          <w:rFonts w:ascii="Times New Roman"/>
          <w:color w:val="auto"/>
          <w:szCs w:val="21"/>
          <w:highlight w:val="none"/>
        </w:rPr>
      </w:pPr>
    </w:p>
    <w:p w14:paraId="7AE47C68">
      <w:pPr>
        <w:spacing w:line="360" w:lineRule="auto"/>
        <w:rPr>
          <w:rFonts w:cs="宋体"/>
          <w:color w:val="auto"/>
          <w:sz w:val="21"/>
          <w:szCs w:val="21"/>
          <w:highlight w:val="none"/>
        </w:rPr>
      </w:pPr>
      <w:bookmarkStart w:id="647" w:name="_Hlk40355074"/>
      <w:r>
        <w:rPr>
          <w:rFonts w:hint="eastAsia" w:cs="宋体"/>
          <w:color w:val="auto"/>
          <w:sz w:val="21"/>
          <w:szCs w:val="21"/>
          <w:highlight w:val="none"/>
          <w:u w:val="single"/>
        </w:rPr>
        <w:t xml:space="preserve">              </w:t>
      </w:r>
      <w:r>
        <w:rPr>
          <w:rFonts w:hint="eastAsia" w:cs="宋体"/>
          <w:color w:val="auto"/>
          <w:sz w:val="21"/>
          <w:szCs w:val="21"/>
          <w:highlight w:val="none"/>
        </w:rPr>
        <w:t xml:space="preserve">（受益人名称）： </w:t>
      </w:r>
    </w:p>
    <w:bookmarkEnd w:id="647"/>
    <w:p w14:paraId="42C38403">
      <w:pPr>
        <w:spacing w:line="360" w:lineRule="auto"/>
        <w:ind w:firstLine="420" w:firstLineChars="200"/>
        <w:rPr>
          <w:rFonts w:cs="宋体"/>
          <w:color w:val="auto"/>
          <w:sz w:val="21"/>
          <w:szCs w:val="21"/>
          <w:highlight w:val="none"/>
        </w:rPr>
      </w:pPr>
      <w:r>
        <w:rPr>
          <w:rFonts w:hint="eastAsia" w:cs="宋体"/>
          <w:color w:val="auto"/>
          <w:sz w:val="21"/>
          <w:szCs w:val="21"/>
          <w:highlight w:val="none"/>
        </w:rPr>
        <w:t>鉴于</w:t>
      </w:r>
      <w:r>
        <w:rPr>
          <w:rFonts w:hint="eastAsia" w:cs="宋体"/>
          <w:color w:val="auto"/>
          <w:sz w:val="21"/>
          <w:szCs w:val="21"/>
          <w:highlight w:val="none"/>
          <w:u w:val="single"/>
        </w:rPr>
        <w:t xml:space="preserve">        </w:t>
      </w:r>
      <w:r>
        <w:rPr>
          <w:rFonts w:hint="eastAsia" w:cs="宋体"/>
          <w:color w:val="auto"/>
          <w:sz w:val="21"/>
          <w:szCs w:val="21"/>
          <w:highlight w:val="none"/>
        </w:rPr>
        <w:t>（以下简称“受益人”）与</w:t>
      </w:r>
      <w:r>
        <w:rPr>
          <w:rFonts w:hint="eastAsia" w:cs="宋体"/>
          <w:color w:val="auto"/>
          <w:sz w:val="21"/>
          <w:szCs w:val="21"/>
          <w:highlight w:val="none"/>
          <w:u w:val="single"/>
        </w:rPr>
        <w:t xml:space="preserve">         </w:t>
      </w:r>
      <w:r>
        <w:rPr>
          <w:rFonts w:hint="eastAsia" w:cs="宋体"/>
          <w:color w:val="auto"/>
          <w:sz w:val="21"/>
          <w:szCs w:val="21"/>
          <w:highlight w:val="none"/>
        </w:rPr>
        <w:t>（以下简称“申请人”）于</w:t>
      </w: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日就</w:t>
      </w:r>
      <w:r>
        <w:rPr>
          <w:rFonts w:hint="eastAsia" w:cs="宋体"/>
          <w:snapToGrid w:val="0"/>
          <w:color w:val="auto"/>
          <w:sz w:val="21"/>
          <w:szCs w:val="21"/>
          <w:highlight w:val="none"/>
          <w:u w:val="single"/>
        </w:rPr>
        <w:t xml:space="preserve">        </w:t>
      </w:r>
      <w:r>
        <w:rPr>
          <w:rFonts w:hint="eastAsia" w:cs="宋体"/>
          <w:snapToGrid w:val="0"/>
          <w:color w:val="auto"/>
          <w:sz w:val="21"/>
          <w:szCs w:val="21"/>
          <w:highlight w:val="none"/>
        </w:rPr>
        <w:t>（项目编号）的</w:t>
      </w:r>
      <w:r>
        <w:rPr>
          <w:rFonts w:hint="eastAsia" w:cs="宋体"/>
          <w:snapToGrid w:val="0"/>
          <w:color w:val="auto"/>
          <w:sz w:val="21"/>
          <w:szCs w:val="21"/>
          <w:highlight w:val="none"/>
          <w:u w:val="single"/>
        </w:rPr>
        <w:t xml:space="preserve">         </w:t>
      </w:r>
      <w:r>
        <w:rPr>
          <w:rFonts w:hint="eastAsia" w:cs="宋体"/>
          <w:snapToGrid w:val="0"/>
          <w:color w:val="auto"/>
          <w:sz w:val="21"/>
          <w:szCs w:val="21"/>
          <w:highlight w:val="none"/>
        </w:rPr>
        <w:t>（项目名称）</w:t>
      </w:r>
      <w:r>
        <w:rPr>
          <w:rFonts w:hint="eastAsia" w:cs="宋体"/>
          <w:color w:val="auto"/>
          <w:sz w:val="21"/>
          <w:szCs w:val="21"/>
          <w:highlight w:val="none"/>
        </w:rPr>
        <w:t>有关事项协商一致共同签订</w:t>
      </w:r>
      <w:r>
        <w:rPr>
          <w:rFonts w:hint="eastAsia" w:cs="宋体"/>
          <w:color w:val="auto"/>
          <w:sz w:val="21"/>
          <w:szCs w:val="21"/>
          <w:highlight w:val="none"/>
          <w:u w:val="single"/>
        </w:rPr>
        <w:t>《        》</w:t>
      </w:r>
      <w:r>
        <w:rPr>
          <w:rFonts w:hint="eastAsia" w:cs="宋体"/>
          <w:color w:val="auto"/>
          <w:sz w:val="21"/>
          <w:szCs w:val="21"/>
          <w:highlight w:val="none"/>
        </w:rPr>
        <w:t xml:space="preserve">（以下简称基础合同”），开立人根据基础合同了解到申请人为基础合同项下之发包人，受益人为基础合同项下之承包人，基于申请人的请求，开立人同意就申请人履行与受益人签订的基础合同项下的工程款（指基础合同约定的除工程质量保修金以外的工程款）付款义务，向受益人提供不可撤销、不可转让的见索即付独立保函（以下简称“本保函”）。 </w:t>
      </w:r>
    </w:p>
    <w:p w14:paraId="10680DE7">
      <w:pPr>
        <w:spacing w:line="360" w:lineRule="auto"/>
        <w:ind w:firstLine="420" w:firstLineChars="200"/>
        <w:rPr>
          <w:rFonts w:cs="宋体"/>
          <w:color w:val="auto"/>
          <w:sz w:val="21"/>
          <w:szCs w:val="21"/>
          <w:highlight w:val="none"/>
        </w:rPr>
      </w:pPr>
      <w:r>
        <w:rPr>
          <w:rFonts w:hint="eastAsia" w:cs="宋体"/>
          <w:color w:val="auto"/>
          <w:sz w:val="21"/>
          <w:szCs w:val="21"/>
          <w:highlight w:val="none"/>
        </w:rPr>
        <w:t>一、本保函担保范围：申请人未履行基础合同约定的工程款支付义务，应当向受益人承担的违约责任和赔偿因此造成的损失、利息、律师费、诉讼费用等实现债权的费用。</w:t>
      </w:r>
    </w:p>
    <w:p w14:paraId="5E9B0187">
      <w:pPr>
        <w:spacing w:line="360" w:lineRule="auto"/>
        <w:ind w:firstLine="420" w:firstLineChars="200"/>
        <w:rPr>
          <w:rFonts w:cs="宋体"/>
          <w:color w:val="auto"/>
          <w:sz w:val="21"/>
          <w:szCs w:val="21"/>
          <w:highlight w:val="none"/>
        </w:rPr>
      </w:pPr>
      <w:r>
        <w:rPr>
          <w:rFonts w:hint="eastAsia" w:cs="宋体"/>
          <w:color w:val="auto"/>
          <w:sz w:val="21"/>
          <w:szCs w:val="21"/>
          <w:highlight w:val="none"/>
        </w:rPr>
        <w:t>二、本保函担保金额最高不超过人民币（大写）</w:t>
      </w:r>
      <w:r>
        <w:rPr>
          <w:rFonts w:hint="eastAsia" w:cs="宋体"/>
          <w:color w:val="auto"/>
          <w:sz w:val="21"/>
          <w:szCs w:val="21"/>
          <w:highlight w:val="none"/>
          <w:u w:val="single"/>
        </w:rPr>
        <w:t xml:space="preserve">          </w:t>
      </w:r>
      <w:r>
        <w:rPr>
          <w:rFonts w:hint="eastAsia" w:cs="宋体"/>
          <w:color w:val="auto"/>
          <w:sz w:val="21"/>
          <w:szCs w:val="21"/>
          <w:highlight w:val="none"/>
        </w:rPr>
        <w:t>元（¥</w:t>
      </w:r>
      <w:r>
        <w:rPr>
          <w:rFonts w:hint="eastAsia" w:cs="宋体"/>
          <w:color w:val="auto"/>
          <w:sz w:val="21"/>
          <w:szCs w:val="21"/>
          <w:highlight w:val="none"/>
          <w:u w:val="single"/>
        </w:rPr>
        <w:t xml:space="preserve">       </w:t>
      </w:r>
      <w:r>
        <w:rPr>
          <w:rFonts w:hint="eastAsia" w:cs="宋体"/>
          <w:color w:val="auto"/>
          <w:sz w:val="21"/>
          <w:szCs w:val="21"/>
          <w:highlight w:val="none"/>
        </w:rPr>
        <w:t xml:space="preserve">）。 </w:t>
      </w:r>
    </w:p>
    <w:p w14:paraId="7605F3A9">
      <w:pPr>
        <w:spacing w:line="360" w:lineRule="auto"/>
        <w:ind w:firstLine="420" w:firstLineChars="200"/>
        <w:rPr>
          <w:rFonts w:cs="宋体"/>
          <w:color w:val="auto"/>
          <w:sz w:val="21"/>
          <w:szCs w:val="21"/>
          <w:highlight w:val="none"/>
        </w:rPr>
      </w:pPr>
      <w:r>
        <w:rPr>
          <w:rFonts w:hint="eastAsia" w:cs="宋体"/>
          <w:color w:val="auto"/>
          <w:sz w:val="21"/>
          <w:szCs w:val="21"/>
          <w:highlight w:val="none"/>
        </w:rPr>
        <w:t>三、本保函有效期自开立之日起至基础合同约定的除工程质量保修金以外的全部工程结算款项支付之日后</w:t>
      </w:r>
      <w:r>
        <w:rPr>
          <w:rFonts w:hint="eastAsia" w:cs="宋体"/>
          <w:color w:val="auto"/>
          <w:sz w:val="21"/>
          <w:szCs w:val="21"/>
          <w:highlight w:val="none"/>
          <w:u w:val="single"/>
        </w:rPr>
        <w:t xml:space="preserve">    </w:t>
      </w:r>
      <w:r>
        <w:rPr>
          <w:rFonts w:hint="eastAsia" w:cs="宋体"/>
          <w:color w:val="auto"/>
          <w:sz w:val="21"/>
          <w:szCs w:val="21"/>
          <w:highlight w:val="none"/>
        </w:rPr>
        <w:t xml:space="preserve">日止。 </w:t>
      </w:r>
    </w:p>
    <w:p w14:paraId="3D595E79">
      <w:pPr>
        <w:spacing w:line="400" w:lineRule="exact"/>
        <w:ind w:firstLine="480"/>
        <w:rPr>
          <w:rFonts w:cs="宋体"/>
          <w:color w:val="auto"/>
          <w:sz w:val="21"/>
          <w:szCs w:val="21"/>
          <w:highlight w:val="none"/>
        </w:rPr>
      </w:pPr>
      <w:r>
        <w:rPr>
          <w:rFonts w:hint="eastAsia" w:cs="宋体"/>
          <w:color w:val="auto"/>
          <w:sz w:val="21"/>
          <w:szCs w:val="21"/>
          <w:highlight w:val="none"/>
        </w:rPr>
        <w:t>四、开立人承诺，在收到受益人发来的书面付款通知后的七日内无条件支付，前述书面付款通知即为付款要求之单据，且应满足以下要求：</w:t>
      </w:r>
    </w:p>
    <w:p w14:paraId="14053616">
      <w:pPr>
        <w:spacing w:line="360" w:lineRule="auto"/>
        <w:ind w:firstLine="420" w:firstLineChars="200"/>
        <w:rPr>
          <w:rFonts w:cs="宋体"/>
          <w:color w:val="auto"/>
          <w:sz w:val="21"/>
          <w:szCs w:val="21"/>
          <w:highlight w:val="none"/>
        </w:rPr>
      </w:pPr>
      <w:r>
        <w:rPr>
          <w:rFonts w:hint="eastAsia" w:cs="宋体"/>
          <w:color w:val="auto"/>
          <w:sz w:val="21"/>
          <w:szCs w:val="21"/>
          <w:highlight w:val="none"/>
        </w:rPr>
        <w:t>（1）付款通知到达的日期在本保函的有效期内；</w:t>
      </w:r>
    </w:p>
    <w:p w14:paraId="661B6D1D">
      <w:pPr>
        <w:spacing w:line="360" w:lineRule="auto"/>
        <w:ind w:firstLine="420" w:firstLineChars="200"/>
        <w:rPr>
          <w:rFonts w:cs="宋体"/>
          <w:color w:val="auto"/>
          <w:sz w:val="21"/>
          <w:szCs w:val="21"/>
          <w:highlight w:val="none"/>
        </w:rPr>
      </w:pPr>
      <w:r>
        <w:rPr>
          <w:rFonts w:hint="eastAsia" w:cs="宋体"/>
          <w:color w:val="auto"/>
          <w:sz w:val="21"/>
          <w:szCs w:val="21"/>
          <w:highlight w:val="none"/>
        </w:rPr>
        <w:t>（2）载明要求支付的金额；</w:t>
      </w:r>
    </w:p>
    <w:p w14:paraId="56D200CB">
      <w:pPr>
        <w:spacing w:line="360" w:lineRule="auto"/>
        <w:ind w:firstLine="420" w:firstLineChars="200"/>
        <w:rPr>
          <w:rFonts w:cs="宋体"/>
          <w:color w:val="auto"/>
          <w:sz w:val="21"/>
          <w:szCs w:val="21"/>
          <w:highlight w:val="none"/>
        </w:rPr>
      </w:pPr>
      <w:r>
        <w:rPr>
          <w:rFonts w:hint="eastAsia" w:cs="宋体"/>
          <w:color w:val="auto"/>
          <w:sz w:val="21"/>
          <w:szCs w:val="21"/>
          <w:highlight w:val="none"/>
        </w:rPr>
        <w:t>（3）载明申请人违反合同义务的条款和内容；</w:t>
      </w:r>
    </w:p>
    <w:p w14:paraId="0AFED0C9">
      <w:pPr>
        <w:spacing w:line="360" w:lineRule="auto"/>
        <w:ind w:firstLine="420" w:firstLineChars="200"/>
        <w:rPr>
          <w:rFonts w:cs="宋体"/>
          <w:color w:val="auto"/>
          <w:sz w:val="21"/>
          <w:szCs w:val="21"/>
          <w:highlight w:val="none"/>
        </w:rPr>
      </w:pPr>
      <w:r>
        <w:rPr>
          <w:rFonts w:hint="eastAsia" w:cs="宋体"/>
          <w:color w:val="auto"/>
          <w:sz w:val="21"/>
          <w:szCs w:val="21"/>
          <w:highlight w:val="none"/>
        </w:rPr>
        <w:t>（4）声明不存在合同文件约定或我国法律规定免除申请人或开立人支付责任的情形；</w:t>
      </w:r>
    </w:p>
    <w:p w14:paraId="103432B8">
      <w:pPr>
        <w:spacing w:line="360" w:lineRule="auto"/>
        <w:ind w:firstLine="420" w:firstLineChars="200"/>
        <w:rPr>
          <w:rFonts w:cs="宋体"/>
          <w:color w:val="auto"/>
          <w:sz w:val="21"/>
          <w:szCs w:val="21"/>
          <w:highlight w:val="none"/>
        </w:rPr>
      </w:pPr>
      <w:r>
        <w:rPr>
          <w:rFonts w:hint="eastAsia" w:cs="宋体"/>
          <w:color w:val="auto"/>
          <w:sz w:val="21"/>
          <w:szCs w:val="21"/>
          <w:highlight w:val="none"/>
        </w:rPr>
        <w:t>（5）付款通知应在本保函有效期内到达的地址是：</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0AE2B71">
      <w:pPr>
        <w:spacing w:line="400" w:lineRule="exact"/>
        <w:rPr>
          <w:rFonts w:cs="宋体"/>
          <w:color w:val="auto"/>
          <w:sz w:val="21"/>
          <w:szCs w:val="21"/>
          <w:highlight w:val="none"/>
        </w:rPr>
      </w:pPr>
      <w:r>
        <w:rPr>
          <w:rFonts w:hint="eastAsia" w:cs="宋体"/>
          <w:color w:val="auto"/>
          <w:sz w:val="21"/>
          <w:szCs w:val="21"/>
          <w:highlight w:val="none"/>
        </w:rPr>
        <w:t xml:space="preserve">    受益人发出的书面付款通知应由其法定代表人（负责人）或授权代理人签字并加盖公章。</w:t>
      </w:r>
    </w:p>
    <w:p w14:paraId="67ABB101">
      <w:pPr>
        <w:spacing w:line="400" w:lineRule="exact"/>
        <w:ind w:firstLine="420" w:firstLineChars="200"/>
        <w:rPr>
          <w:rFonts w:cs="宋体"/>
          <w:color w:val="auto"/>
          <w:sz w:val="21"/>
          <w:szCs w:val="21"/>
          <w:highlight w:val="none"/>
        </w:rPr>
      </w:pPr>
      <w:r>
        <w:rPr>
          <w:rFonts w:hint="eastAsia" w:cs="宋体"/>
          <w:color w:val="auto"/>
          <w:sz w:val="21"/>
          <w:szCs w:val="21"/>
          <w:highlight w:val="none"/>
        </w:rPr>
        <w:t xml:space="preserve">五、本保函项下的权利不得转让，不得设定担保。受益人未经开立人书面同意转让本保函或其项下任何权利，对开立人不发生法律效力。 </w:t>
      </w:r>
    </w:p>
    <w:p w14:paraId="6A5AF081">
      <w:pPr>
        <w:spacing w:line="400" w:lineRule="exact"/>
        <w:ind w:firstLine="420" w:firstLineChars="200"/>
        <w:rPr>
          <w:rStyle w:val="68"/>
          <w:rFonts w:cs="宋体"/>
          <w:color w:val="auto"/>
          <w:highlight w:val="none"/>
        </w:rPr>
      </w:pPr>
      <w:r>
        <w:rPr>
          <w:rFonts w:hint="eastAsia" w:cs="宋体"/>
          <w:color w:val="auto"/>
          <w:sz w:val="21"/>
          <w:szCs w:val="21"/>
          <w:highlight w:val="none"/>
        </w:rPr>
        <w:t>六、本保函项下的基础交易不成立、不生效、无效、被撤销、被解除，不影响本保函的独立有效。</w:t>
      </w:r>
    </w:p>
    <w:p w14:paraId="15482CF2">
      <w:pPr>
        <w:spacing w:line="400" w:lineRule="exact"/>
        <w:ind w:firstLine="420" w:firstLineChars="200"/>
        <w:rPr>
          <w:rFonts w:cs="宋体"/>
          <w:color w:val="auto"/>
          <w:sz w:val="21"/>
          <w:szCs w:val="21"/>
          <w:highlight w:val="none"/>
        </w:rPr>
      </w:pPr>
      <w:r>
        <w:rPr>
          <w:rFonts w:hint="eastAsia" w:cs="宋体"/>
          <w:color w:val="auto"/>
          <w:sz w:val="21"/>
          <w:szCs w:val="21"/>
          <w:highlight w:val="none"/>
        </w:rPr>
        <w:t xml:space="preserve">七、本保函项下的义务和责任均在保函有效期到期后自动消灭。 </w:t>
      </w:r>
    </w:p>
    <w:p w14:paraId="3EA7BA52">
      <w:pPr>
        <w:spacing w:line="400" w:lineRule="exact"/>
        <w:ind w:firstLine="420" w:firstLineChars="200"/>
        <w:rPr>
          <w:rFonts w:cs="宋体"/>
          <w:color w:val="auto"/>
          <w:sz w:val="21"/>
          <w:szCs w:val="21"/>
          <w:highlight w:val="none"/>
        </w:rPr>
      </w:pPr>
      <w:r>
        <w:rPr>
          <w:rFonts w:hint="eastAsia" w:cs="宋体"/>
          <w:color w:val="auto"/>
          <w:sz w:val="21"/>
          <w:szCs w:val="21"/>
          <w:highlight w:val="none"/>
        </w:rPr>
        <w:t xml:space="preserve">八、本保函适用的法律为中华人民共和国法律，因本保函产生的纠纷案件，由申请人所在地人民法院管辖。 </w:t>
      </w:r>
    </w:p>
    <w:p w14:paraId="4C9B4531">
      <w:pPr>
        <w:spacing w:line="360" w:lineRule="auto"/>
        <w:ind w:firstLine="420" w:firstLineChars="200"/>
        <w:rPr>
          <w:rFonts w:cs="宋体"/>
          <w:color w:val="auto"/>
          <w:sz w:val="21"/>
          <w:szCs w:val="21"/>
          <w:highlight w:val="none"/>
        </w:rPr>
      </w:pPr>
      <w:r>
        <w:rPr>
          <w:rFonts w:hint="eastAsia" w:cs="宋体"/>
          <w:color w:val="auto"/>
          <w:sz w:val="21"/>
          <w:szCs w:val="21"/>
          <w:highlight w:val="none"/>
        </w:rPr>
        <w:t xml:space="preserve">九、本保函自我方法定代表人或授权代表签字并加盖公章之日起生效。 </w:t>
      </w:r>
    </w:p>
    <w:p w14:paraId="43AE75D8">
      <w:pPr>
        <w:spacing w:line="360" w:lineRule="auto"/>
        <w:ind w:firstLine="420" w:firstLineChars="200"/>
        <w:rPr>
          <w:rFonts w:cs="宋体"/>
          <w:color w:val="auto"/>
          <w:sz w:val="21"/>
          <w:szCs w:val="21"/>
          <w:highlight w:val="none"/>
        </w:rPr>
      </w:pPr>
    </w:p>
    <w:p w14:paraId="2BB74ADC">
      <w:pPr>
        <w:spacing w:line="360" w:lineRule="auto"/>
        <w:ind w:firstLine="420" w:firstLineChars="200"/>
        <w:rPr>
          <w:rFonts w:cs="宋体"/>
          <w:color w:val="auto"/>
          <w:sz w:val="21"/>
          <w:szCs w:val="21"/>
          <w:highlight w:val="none"/>
        </w:rPr>
      </w:pPr>
    </w:p>
    <w:p w14:paraId="14CDF7BF">
      <w:pPr>
        <w:spacing w:line="360" w:lineRule="auto"/>
        <w:ind w:firstLine="420" w:firstLineChars="200"/>
        <w:rPr>
          <w:rFonts w:cs="宋体"/>
          <w:color w:val="auto"/>
          <w:sz w:val="21"/>
          <w:szCs w:val="21"/>
          <w:highlight w:val="none"/>
        </w:rPr>
      </w:pPr>
      <w:r>
        <w:rPr>
          <w:rFonts w:hint="eastAsia" w:cs="宋体"/>
          <w:color w:val="auto"/>
          <w:sz w:val="21"/>
          <w:szCs w:val="21"/>
          <w:highlight w:val="none"/>
        </w:rPr>
        <w:t>开 立 人：</w:t>
      </w:r>
      <w:r>
        <w:rPr>
          <w:rFonts w:hint="eastAsia" w:cs="宋体"/>
          <w:color w:val="auto"/>
          <w:sz w:val="21"/>
          <w:szCs w:val="21"/>
          <w:highlight w:val="none"/>
          <w:u w:val="single"/>
        </w:rPr>
        <w:t xml:space="preserve">                              </w:t>
      </w:r>
      <w:r>
        <w:rPr>
          <w:rFonts w:hint="eastAsia" w:cs="宋体"/>
          <w:color w:val="auto"/>
          <w:sz w:val="21"/>
          <w:szCs w:val="21"/>
          <w:highlight w:val="none"/>
        </w:rPr>
        <w:t xml:space="preserve">（公章） </w:t>
      </w:r>
    </w:p>
    <w:p w14:paraId="284FEA22">
      <w:pPr>
        <w:spacing w:line="360" w:lineRule="auto"/>
        <w:ind w:firstLine="420" w:firstLineChars="200"/>
        <w:rPr>
          <w:rFonts w:cs="宋体"/>
          <w:color w:val="auto"/>
          <w:sz w:val="21"/>
          <w:szCs w:val="21"/>
          <w:highlight w:val="none"/>
        </w:rPr>
      </w:pPr>
      <w:r>
        <w:rPr>
          <w:rFonts w:hint="eastAsia" w:cs="宋体"/>
          <w:color w:val="auto"/>
          <w:sz w:val="21"/>
          <w:szCs w:val="21"/>
          <w:highlight w:val="none"/>
        </w:rPr>
        <w:t>法定代表人（或授权代表）：</w:t>
      </w:r>
      <w:r>
        <w:rPr>
          <w:rFonts w:hint="eastAsia" w:cs="宋体"/>
          <w:color w:val="auto"/>
          <w:sz w:val="21"/>
          <w:szCs w:val="21"/>
          <w:highlight w:val="none"/>
          <w:u w:val="single"/>
        </w:rPr>
        <w:t xml:space="preserve">               </w:t>
      </w:r>
      <w:r>
        <w:rPr>
          <w:rFonts w:hint="eastAsia" w:cs="宋体"/>
          <w:color w:val="auto"/>
          <w:sz w:val="21"/>
          <w:szCs w:val="21"/>
          <w:highlight w:val="none"/>
        </w:rPr>
        <w:t xml:space="preserve">（签字） </w:t>
      </w:r>
    </w:p>
    <w:p w14:paraId="3E0C6A72">
      <w:pPr>
        <w:spacing w:line="360" w:lineRule="auto"/>
        <w:ind w:firstLine="420" w:firstLineChars="200"/>
        <w:rPr>
          <w:rFonts w:cs="宋体"/>
          <w:color w:val="auto"/>
          <w:sz w:val="21"/>
          <w:szCs w:val="21"/>
          <w:highlight w:val="none"/>
        </w:rPr>
      </w:pPr>
      <w:r>
        <w:rPr>
          <w:rFonts w:hint="eastAsia" w:cs="宋体"/>
          <w:color w:val="auto"/>
          <w:sz w:val="21"/>
          <w:szCs w:val="21"/>
          <w:highlight w:val="none"/>
        </w:rPr>
        <w:t>地    址：</w:t>
      </w:r>
      <w:r>
        <w:rPr>
          <w:rFonts w:hint="eastAsia" w:cs="宋体"/>
          <w:color w:val="auto"/>
          <w:sz w:val="21"/>
          <w:szCs w:val="21"/>
          <w:highlight w:val="none"/>
          <w:u w:val="single"/>
        </w:rPr>
        <w:t xml:space="preserve">                                       </w:t>
      </w:r>
    </w:p>
    <w:p w14:paraId="010DDAEB">
      <w:pPr>
        <w:spacing w:line="360" w:lineRule="auto"/>
        <w:ind w:firstLine="420" w:firstLineChars="200"/>
        <w:rPr>
          <w:rFonts w:cs="宋体"/>
          <w:color w:val="auto"/>
          <w:sz w:val="21"/>
          <w:szCs w:val="21"/>
          <w:highlight w:val="none"/>
        </w:rPr>
      </w:pPr>
      <w:r>
        <w:rPr>
          <w:rFonts w:hint="eastAsia" w:cs="宋体"/>
          <w:color w:val="auto"/>
          <w:sz w:val="21"/>
          <w:szCs w:val="21"/>
          <w:highlight w:val="none"/>
        </w:rPr>
        <w:t>邮政编码：</w:t>
      </w:r>
      <w:r>
        <w:rPr>
          <w:rFonts w:hint="eastAsia" w:cs="宋体"/>
          <w:color w:val="auto"/>
          <w:sz w:val="21"/>
          <w:szCs w:val="21"/>
          <w:highlight w:val="none"/>
          <w:u w:val="single"/>
        </w:rPr>
        <w:t xml:space="preserve">                 </w:t>
      </w:r>
    </w:p>
    <w:p w14:paraId="2CC9FA64">
      <w:pPr>
        <w:spacing w:line="360" w:lineRule="auto"/>
        <w:ind w:firstLine="420" w:firstLineChars="200"/>
        <w:rPr>
          <w:rFonts w:cs="宋体"/>
          <w:color w:val="auto"/>
          <w:sz w:val="21"/>
          <w:szCs w:val="21"/>
          <w:highlight w:val="none"/>
        </w:rPr>
      </w:pPr>
      <w:r>
        <w:rPr>
          <w:rFonts w:hint="eastAsia" w:cs="宋体"/>
          <w:color w:val="auto"/>
          <w:sz w:val="21"/>
          <w:szCs w:val="21"/>
          <w:highlight w:val="none"/>
        </w:rPr>
        <w:t>电    话：</w:t>
      </w:r>
      <w:r>
        <w:rPr>
          <w:rFonts w:hint="eastAsia" w:cs="宋体"/>
          <w:color w:val="auto"/>
          <w:sz w:val="21"/>
          <w:szCs w:val="21"/>
          <w:highlight w:val="none"/>
          <w:u w:val="single"/>
        </w:rPr>
        <w:t xml:space="preserve">                 </w:t>
      </w:r>
    </w:p>
    <w:p w14:paraId="6755D91A">
      <w:pPr>
        <w:spacing w:line="360" w:lineRule="auto"/>
        <w:ind w:firstLine="420" w:firstLineChars="200"/>
        <w:rPr>
          <w:rFonts w:cs="宋体"/>
          <w:color w:val="auto"/>
          <w:sz w:val="21"/>
          <w:szCs w:val="21"/>
          <w:highlight w:val="none"/>
          <w:u w:val="single"/>
        </w:rPr>
      </w:pPr>
      <w:r>
        <w:rPr>
          <w:rFonts w:hint="eastAsia" w:cs="宋体"/>
          <w:color w:val="auto"/>
          <w:sz w:val="21"/>
          <w:szCs w:val="21"/>
          <w:highlight w:val="none"/>
        </w:rPr>
        <w:t>传    真：</w:t>
      </w:r>
      <w:r>
        <w:rPr>
          <w:rFonts w:hint="eastAsia" w:cs="宋体"/>
          <w:color w:val="auto"/>
          <w:sz w:val="21"/>
          <w:szCs w:val="21"/>
          <w:highlight w:val="none"/>
          <w:u w:val="single"/>
        </w:rPr>
        <w:t xml:space="preserve">                 </w:t>
      </w:r>
    </w:p>
    <w:p w14:paraId="6ECDAD18">
      <w:pPr>
        <w:spacing w:line="360" w:lineRule="auto"/>
        <w:ind w:left="1303" w:leftChars="200" w:hanging="903" w:hangingChars="430"/>
        <w:rPr>
          <w:rFonts w:cs="宋体"/>
          <w:color w:val="auto"/>
          <w:sz w:val="21"/>
          <w:szCs w:val="21"/>
          <w:highlight w:val="none"/>
        </w:rPr>
      </w:pPr>
      <w:r>
        <w:rPr>
          <w:rFonts w:hint="eastAsia" w:cs="宋体"/>
          <w:color w:val="auto"/>
          <w:sz w:val="21"/>
          <w:szCs w:val="21"/>
          <w:highlight w:val="none"/>
        </w:rPr>
        <w:t>开立时间：</w:t>
      </w: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日</w:t>
      </w:r>
    </w:p>
    <w:p w14:paraId="7FBEB578">
      <w:pPr>
        <w:spacing w:before="312" w:beforeLines="100" w:after="312" w:afterLines="100"/>
        <w:outlineLvl w:val="2"/>
        <w:rPr>
          <w:rFonts w:ascii="Times New Roman" w:eastAsia="黑体"/>
          <w:color w:val="auto"/>
          <w:szCs w:val="24"/>
          <w:highlight w:val="none"/>
        </w:rPr>
      </w:pPr>
      <w:r>
        <w:rPr>
          <w:rFonts w:ascii="Times New Roman" w:eastAsia="黑体"/>
          <w:bCs/>
          <w:color w:val="auto"/>
          <w:highlight w:val="none"/>
        </w:rPr>
        <w:br w:type="page"/>
      </w:r>
      <w:bookmarkStart w:id="648" w:name="_Toc128950247"/>
      <w:r>
        <w:rPr>
          <w:rFonts w:hint="eastAsia" w:ascii="Times New Roman" w:eastAsia="黑体"/>
          <w:color w:val="auto"/>
          <w:szCs w:val="24"/>
          <w:highlight w:val="none"/>
        </w:rPr>
        <w:t>附件</w:t>
      </w:r>
      <w:r>
        <w:rPr>
          <w:rFonts w:ascii="Times New Roman" w:eastAsia="黑体"/>
          <w:color w:val="auto"/>
          <w:szCs w:val="24"/>
          <w:highlight w:val="none"/>
        </w:rPr>
        <w:t>1</w:t>
      </w:r>
      <w:r>
        <w:rPr>
          <w:rFonts w:hint="eastAsia" w:ascii="Times New Roman" w:eastAsia="黑体"/>
          <w:color w:val="auto"/>
          <w:szCs w:val="24"/>
          <w:highlight w:val="none"/>
        </w:rPr>
        <w:t>2：暂估价一览表</w:t>
      </w:r>
      <w:bookmarkEnd w:id="648"/>
    </w:p>
    <w:p w14:paraId="45FA0443">
      <w:pPr>
        <w:spacing w:before="156" w:beforeLines="50" w:after="156" w:afterLines="50" w:line="440" w:lineRule="exact"/>
        <w:jc w:val="center"/>
        <w:rPr>
          <w:rFonts w:cs="宋体"/>
          <w:color w:val="auto"/>
          <w:szCs w:val="21"/>
          <w:highlight w:val="none"/>
        </w:rPr>
      </w:pPr>
      <w:r>
        <w:rPr>
          <w:rFonts w:hint="eastAsia" w:cs="宋体"/>
          <w:color w:val="auto"/>
          <w:szCs w:val="21"/>
          <w:highlight w:val="none"/>
        </w:rPr>
        <w:t>12-1：材料暂估价表</w:t>
      </w:r>
    </w:p>
    <w:tbl>
      <w:tblPr>
        <w:tblStyle w:val="55"/>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6"/>
        <w:gridCol w:w="1830"/>
        <w:gridCol w:w="783"/>
        <w:gridCol w:w="712"/>
        <w:gridCol w:w="1246"/>
        <w:gridCol w:w="1306"/>
        <w:gridCol w:w="1569"/>
      </w:tblGrid>
      <w:tr w14:paraId="262A60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single" w:color="auto" w:sz="12" w:space="0"/>
              <w:bottom w:val="double" w:color="auto" w:sz="6" w:space="0"/>
            </w:tcBorders>
            <w:vAlign w:val="center"/>
          </w:tcPr>
          <w:p w14:paraId="557E715D">
            <w:pPr>
              <w:keepNext/>
              <w:spacing w:line="440" w:lineRule="exact"/>
              <w:jc w:val="center"/>
              <w:rPr>
                <w:rFonts w:cs="宋体"/>
                <w:color w:val="auto"/>
                <w:szCs w:val="21"/>
                <w:highlight w:val="none"/>
              </w:rPr>
            </w:pPr>
            <w:r>
              <w:rPr>
                <w:rFonts w:hint="eastAsia" w:cs="宋体"/>
                <w:color w:val="auto"/>
                <w:szCs w:val="21"/>
                <w:highlight w:val="none"/>
              </w:rPr>
              <w:t>序号</w:t>
            </w:r>
          </w:p>
        </w:tc>
        <w:tc>
          <w:tcPr>
            <w:tcW w:w="1094" w:type="pct"/>
            <w:tcBorders>
              <w:top w:val="single" w:color="auto" w:sz="12" w:space="0"/>
              <w:bottom w:val="double" w:color="auto" w:sz="6" w:space="0"/>
            </w:tcBorders>
            <w:vAlign w:val="center"/>
          </w:tcPr>
          <w:p w14:paraId="2244E1A3">
            <w:pPr>
              <w:keepNext/>
              <w:spacing w:line="440" w:lineRule="exact"/>
              <w:jc w:val="center"/>
              <w:rPr>
                <w:rFonts w:cs="宋体"/>
                <w:color w:val="auto"/>
                <w:szCs w:val="21"/>
                <w:highlight w:val="none"/>
              </w:rPr>
            </w:pPr>
            <w:r>
              <w:rPr>
                <w:rFonts w:hint="eastAsia" w:cs="宋体"/>
                <w:color w:val="auto"/>
                <w:szCs w:val="21"/>
                <w:highlight w:val="none"/>
              </w:rPr>
              <w:t>名称</w:t>
            </w:r>
          </w:p>
        </w:tc>
        <w:tc>
          <w:tcPr>
            <w:tcW w:w="468" w:type="pct"/>
            <w:tcBorders>
              <w:top w:val="single" w:color="auto" w:sz="12" w:space="0"/>
              <w:bottom w:val="double" w:color="auto" w:sz="6" w:space="0"/>
            </w:tcBorders>
            <w:vAlign w:val="center"/>
          </w:tcPr>
          <w:p w14:paraId="2349C27C">
            <w:pPr>
              <w:keepNext/>
              <w:spacing w:line="440" w:lineRule="exact"/>
              <w:jc w:val="center"/>
              <w:rPr>
                <w:rFonts w:cs="宋体"/>
                <w:color w:val="auto"/>
                <w:szCs w:val="21"/>
                <w:highlight w:val="none"/>
              </w:rPr>
            </w:pPr>
            <w:r>
              <w:rPr>
                <w:rFonts w:hint="eastAsia" w:cs="宋体"/>
                <w:color w:val="auto"/>
                <w:szCs w:val="21"/>
                <w:highlight w:val="none"/>
              </w:rPr>
              <w:t>单位</w:t>
            </w:r>
          </w:p>
        </w:tc>
        <w:tc>
          <w:tcPr>
            <w:tcW w:w="426" w:type="pct"/>
            <w:tcBorders>
              <w:top w:val="single" w:color="auto" w:sz="12" w:space="0"/>
              <w:bottom w:val="double" w:color="auto" w:sz="6" w:space="0"/>
            </w:tcBorders>
            <w:vAlign w:val="center"/>
          </w:tcPr>
          <w:p w14:paraId="7C3BADBB">
            <w:pPr>
              <w:keepNext/>
              <w:spacing w:line="440" w:lineRule="exact"/>
              <w:jc w:val="center"/>
              <w:rPr>
                <w:rFonts w:cs="宋体"/>
                <w:color w:val="auto"/>
                <w:szCs w:val="21"/>
                <w:highlight w:val="none"/>
              </w:rPr>
            </w:pPr>
            <w:r>
              <w:rPr>
                <w:rFonts w:hint="eastAsia" w:cs="宋体"/>
                <w:color w:val="auto"/>
                <w:szCs w:val="21"/>
                <w:highlight w:val="none"/>
              </w:rPr>
              <w:t>数量</w:t>
            </w:r>
          </w:p>
        </w:tc>
        <w:tc>
          <w:tcPr>
            <w:tcW w:w="745" w:type="pct"/>
            <w:tcBorders>
              <w:top w:val="single" w:color="auto" w:sz="12" w:space="0"/>
              <w:bottom w:val="double" w:color="auto" w:sz="6" w:space="0"/>
            </w:tcBorders>
            <w:vAlign w:val="center"/>
          </w:tcPr>
          <w:p w14:paraId="442A4CF6">
            <w:pPr>
              <w:keepNext/>
              <w:spacing w:line="440" w:lineRule="exact"/>
              <w:jc w:val="center"/>
              <w:rPr>
                <w:rFonts w:cs="宋体"/>
                <w:color w:val="auto"/>
                <w:szCs w:val="21"/>
                <w:highlight w:val="none"/>
              </w:rPr>
            </w:pPr>
            <w:r>
              <w:rPr>
                <w:rFonts w:hint="eastAsia" w:cs="宋体"/>
                <w:color w:val="auto"/>
                <w:szCs w:val="21"/>
                <w:highlight w:val="none"/>
              </w:rPr>
              <w:t>单价（元）</w:t>
            </w:r>
          </w:p>
        </w:tc>
        <w:tc>
          <w:tcPr>
            <w:tcW w:w="781" w:type="pct"/>
            <w:tcBorders>
              <w:top w:val="single" w:color="auto" w:sz="12" w:space="0"/>
              <w:bottom w:val="double" w:color="auto" w:sz="6" w:space="0"/>
            </w:tcBorders>
            <w:vAlign w:val="center"/>
          </w:tcPr>
          <w:p w14:paraId="4B66BC9D">
            <w:pPr>
              <w:keepNext/>
              <w:spacing w:line="440" w:lineRule="exact"/>
              <w:jc w:val="center"/>
              <w:rPr>
                <w:rFonts w:cs="宋体"/>
                <w:color w:val="auto"/>
                <w:szCs w:val="21"/>
                <w:highlight w:val="none"/>
              </w:rPr>
            </w:pPr>
            <w:r>
              <w:rPr>
                <w:rFonts w:hint="eastAsia" w:cs="宋体"/>
                <w:color w:val="auto"/>
                <w:szCs w:val="21"/>
                <w:highlight w:val="none"/>
              </w:rPr>
              <w:t>合价（元）</w:t>
            </w:r>
          </w:p>
        </w:tc>
        <w:tc>
          <w:tcPr>
            <w:tcW w:w="938" w:type="pct"/>
            <w:tcBorders>
              <w:top w:val="single" w:color="auto" w:sz="12" w:space="0"/>
              <w:bottom w:val="double" w:color="auto" w:sz="6" w:space="0"/>
            </w:tcBorders>
            <w:vAlign w:val="center"/>
          </w:tcPr>
          <w:p w14:paraId="4CF2CE05">
            <w:pPr>
              <w:keepNext/>
              <w:spacing w:line="440" w:lineRule="exact"/>
              <w:jc w:val="center"/>
              <w:rPr>
                <w:rFonts w:cs="宋体"/>
                <w:color w:val="auto"/>
                <w:szCs w:val="21"/>
                <w:highlight w:val="none"/>
              </w:rPr>
            </w:pPr>
            <w:r>
              <w:rPr>
                <w:rFonts w:hint="eastAsia" w:cs="宋体"/>
                <w:color w:val="auto"/>
                <w:szCs w:val="21"/>
                <w:highlight w:val="none"/>
              </w:rPr>
              <w:t>备注</w:t>
            </w:r>
          </w:p>
        </w:tc>
      </w:tr>
      <w:tr w14:paraId="5FC8A5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double" w:color="auto" w:sz="6" w:space="0"/>
            </w:tcBorders>
            <w:vAlign w:val="center"/>
          </w:tcPr>
          <w:p w14:paraId="231FA03A">
            <w:pPr>
              <w:keepNext/>
              <w:spacing w:line="440" w:lineRule="exact"/>
              <w:jc w:val="center"/>
              <w:rPr>
                <w:rFonts w:cs="宋体"/>
                <w:color w:val="auto"/>
                <w:szCs w:val="21"/>
                <w:highlight w:val="none"/>
              </w:rPr>
            </w:pPr>
          </w:p>
        </w:tc>
        <w:tc>
          <w:tcPr>
            <w:tcW w:w="1094" w:type="pct"/>
            <w:tcBorders>
              <w:top w:val="double" w:color="auto" w:sz="6" w:space="0"/>
            </w:tcBorders>
            <w:vAlign w:val="center"/>
          </w:tcPr>
          <w:p w14:paraId="317CA79D">
            <w:pPr>
              <w:keepNext/>
              <w:spacing w:line="440" w:lineRule="exact"/>
              <w:jc w:val="center"/>
              <w:rPr>
                <w:rFonts w:cs="宋体"/>
                <w:color w:val="auto"/>
                <w:szCs w:val="21"/>
                <w:highlight w:val="none"/>
              </w:rPr>
            </w:pPr>
          </w:p>
        </w:tc>
        <w:tc>
          <w:tcPr>
            <w:tcW w:w="468" w:type="pct"/>
            <w:tcBorders>
              <w:top w:val="double" w:color="auto" w:sz="6" w:space="0"/>
            </w:tcBorders>
            <w:vAlign w:val="center"/>
          </w:tcPr>
          <w:p w14:paraId="7285B71E">
            <w:pPr>
              <w:keepNext/>
              <w:spacing w:line="440" w:lineRule="exact"/>
              <w:jc w:val="center"/>
              <w:rPr>
                <w:rFonts w:cs="宋体"/>
                <w:color w:val="auto"/>
                <w:szCs w:val="21"/>
                <w:highlight w:val="none"/>
              </w:rPr>
            </w:pPr>
          </w:p>
        </w:tc>
        <w:tc>
          <w:tcPr>
            <w:tcW w:w="426" w:type="pct"/>
            <w:tcBorders>
              <w:top w:val="double" w:color="auto" w:sz="6" w:space="0"/>
            </w:tcBorders>
            <w:vAlign w:val="center"/>
          </w:tcPr>
          <w:p w14:paraId="7F828397">
            <w:pPr>
              <w:keepNext/>
              <w:spacing w:line="440" w:lineRule="exact"/>
              <w:jc w:val="center"/>
              <w:rPr>
                <w:rFonts w:cs="宋体"/>
                <w:color w:val="auto"/>
                <w:szCs w:val="21"/>
                <w:highlight w:val="none"/>
              </w:rPr>
            </w:pPr>
          </w:p>
        </w:tc>
        <w:tc>
          <w:tcPr>
            <w:tcW w:w="745" w:type="pct"/>
            <w:tcBorders>
              <w:top w:val="double" w:color="auto" w:sz="6" w:space="0"/>
            </w:tcBorders>
            <w:vAlign w:val="center"/>
          </w:tcPr>
          <w:p w14:paraId="0F400568">
            <w:pPr>
              <w:keepNext/>
              <w:spacing w:line="440" w:lineRule="exact"/>
              <w:jc w:val="center"/>
              <w:rPr>
                <w:rFonts w:cs="宋体"/>
                <w:color w:val="auto"/>
                <w:szCs w:val="21"/>
                <w:highlight w:val="none"/>
              </w:rPr>
            </w:pPr>
          </w:p>
        </w:tc>
        <w:tc>
          <w:tcPr>
            <w:tcW w:w="781" w:type="pct"/>
            <w:tcBorders>
              <w:top w:val="double" w:color="auto" w:sz="6" w:space="0"/>
            </w:tcBorders>
            <w:vAlign w:val="center"/>
          </w:tcPr>
          <w:p w14:paraId="7E916A4F">
            <w:pPr>
              <w:keepNext/>
              <w:spacing w:line="440" w:lineRule="exact"/>
              <w:jc w:val="center"/>
              <w:rPr>
                <w:rFonts w:cs="宋体"/>
                <w:color w:val="auto"/>
                <w:szCs w:val="21"/>
                <w:highlight w:val="none"/>
              </w:rPr>
            </w:pPr>
          </w:p>
        </w:tc>
        <w:tc>
          <w:tcPr>
            <w:tcW w:w="938" w:type="pct"/>
            <w:tcBorders>
              <w:top w:val="double" w:color="auto" w:sz="6" w:space="0"/>
            </w:tcBorders>
            <w:vAlign w:val="center"/>
          </w:tcPr>
          <w:p w14:paraId="3F4D3672">
            <w:pPr>
              <w:keepNext/>
              <w:spacing w:line="440" w:lineRule="exact"/>
              <w:jc w:val="center"/>
              <w:rPr>
                <w:rFonts w:cs="宋体"/>
                <w:color w:val="auto"/>
                <w:szCs w:val="21"/>
                <w:highlight w:val="none"/>
              </w:rPr>
            </w:pPr>
          </w:p>
        </w:tc>
      </w:tr>
      <w:tr w14:paraId="6CE0E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nil"/>
            </w:tcBorders>
            <w:vAlign w:val="center"/>
          </w:tcPr>
          <w:p w14:paraId="22E49313">
            <w:pPr>
              <w:keepNext/>
              <w:spacing w:line="440" w:lineRule="exact"/>
              <w:jc w:val="center"/>
              <w:rPr>
                <w:rFonts w:cs="宋体"/>
                <w:color w:val="auto"/>
                <w:szCs w:val="21"/>
                <w:highlight w:val="none"/>
              </w:rPr>
            </w:pPr>
          </w:p>
        </w:tc>
        <w:tc>
          <w:tcPr>
            <w:tcW w:w="1094" w:type="pct"/>
            <w:tcBorders>
              <w:top w:val="nil"/>
            </w:tcBorders>
            <w:vAlign w:val="center"/>
          </w:tcPr>
          <w:p w14:paraId="18BD1879">
            <w:pPr>
              <w:keepNext/>
              <w:spacing w:line="440" w:lineRule="exact"/>
              <w:jc w:val="center"/>
              <w:rPr>
                <w:rFonts w:cs="宋体"/>
                <w:color w:val="auto"/>
                <w:szCs w:val="21"/>
                <w:highlight w:val="none"/>
              </w:rPr>
            </w:pPr>
          </w:p>
        </w:tc>
        <w:tc>
          <w:tcPr>
            <w:tcW w:w="468" w:type="pct"/>
            <w:tcBorders>
              <w:top w:val="nil"/>
            </w:tcBorders>
            <w:vAlign w:val="center"/>
          </w:tcPr>
          <w:p w14:paraId="1670921C">
            <w:pPr>
              <w:keepNext/>
              <w:spacing w:line="440" w:lineRule="exact"/>
              <w:jc w:val="center"/>
              <w:rPr>
                <w:rFonts w:cs="宋体"/>
                <w:color w:val="auto"/>
                <w:szCs w:val="21"/>
                <w:highlight w:val="none"/>
              </w:rPr>
            </w:pPr>
          </w:p>
        </w:tc>
        <w:tc>
          <w:tcPr>
            <w:tcW w:w="426" w:type="pct"/>
            <w:tcBorders>
              <w:top w:val="nil"/>
            </w:tcBorders>
            <w:vAlign w:val="center"/>
          </w:tcPr>
          <w:p w14:paraId="5990C587">
            <w:pPr>
              <w:keepNext/>
              <w:spacing w:line="440" w:lineRule="exact"/>
              <w:jc w:val="center"/>
              <w:rPr>
                <w:rFonts w:cs="宋体"/>
                <w:color w:val="auto"/>
                <w:szCs w:val="21"/>
                <w:highlight w:val="none"/>
              </w:rPr>
            </w:pPr>
          </w:p>
        </w:tc>
        <w:tc>
          <w:tcPr>
            <w:tcW w:w="745" w:type="pct"/>
            <w:tcBorders>
              <w:top w:val="nil"/>
            </w:tcBorders>
            <w:vAlign w:val="center"/>
          </w:tcPr>
          <w:p w14:paraId="4DE48E3D">
            <w:pPr>
              <w:keepNext/>
              <w:spacing w:line="440" w:lineRule="exact"/>
              <w:jc w:val="center"/>
              <w:rPr>
                <w:rFonts w:cs="宋体"/>
                <w:color w:val="auto"/>
                <w:szCs w:val="21"/>
                <w:highlight w:val="none"/>
              </w:rPr>
            </w:pPr>
          </w:p>
        </w:tc>
        <w:tc>
          <w:tcPr>
            <w:tcW w:w="781" w:type="pct"/>
            <w:tcBorders>
              <w:top w:val="nil"/>
            </w:tcBorders>
            <w:vAlign w:val="center"/>
          </w:tcPr>
          <w:p w14:paraId="1B129D15">
            <w:pPr>
              <w:keepNext/>
              <w:spacing w:line="440" w:lineRule="exact"/>
              <w:jc w:val="center"/>
              <w:rPr>
                <w:rFonts w:cs="宋体"/>
                <w:color w:val="auto"/>
                <w:szCs w:val="21"/>
                <w:highlight w:val="none"/>
              </w:rPr>
            </w:pPr>
          </w:p>
        </w:tc>
        <w:tc>
          <w:tcPr>
            <w:tcW w:w="938" w:type="pct"/>
            <w:tcBorders>
              <w:top w:val="nil"/>
            </w:tcBorders>
            <w:vAlign w:val="center"/>
          </w:tcPr>
          <w:p w14:paraId="39AFBFAC">
            <w:pPr>
              <w:keepNext/>
              <w:spacing w:line="440" w:lineRule="exact"/>
              <w:jc w:val="center"/>
              <w:rPr>
                <w:rFonts w:cs="宋体"/>
                <w:color w:val="auto"/>
                <w:szCs w:val="21"/>
                <w:highlight w:val="none"/>
              </w:rPr>
            </w:pPr>
          </w:p>
        </w:tc>
      </w:tr>
      <w:tr w14:paraId="46649D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14:paraId="2BBD16BE">
            <w:pPr>
              <w:keepNext/>
              <w:spacing w:line="440" w:lineRule="exact"/>
              <w:jc w:val="center"/>
              <w:rPr>
                <w:rFonts w:cs="宋体"/>
                <w:color w:val="auto"/>
                <w:szCs w:val="21"/>
                <w:highlight w:val="none"/>
              </w:rPr>
            </w:pPr>
          </w:p>
        </w:tc>
        <w:tc>
          <w:tcPr>
            <w:tcW w:w="1094" w:type="pct"/>
            <w:vAlign w:val="center"/>
          </w:tcPr>
          <w:p w14:paraId="55A1BEB2">
            <w:pPr>
              <w:keepNext/>
              <w:spacing w:line="440" w:lineRule="exact"/>
              <w:jc w:val="center"/>
              <w:rPr>
                <w:rFonts w:cs="宋体"/>
                <w:color w:val="auto"/>
                <w:szCs w:val="21"/>
                <w:highlight w:val="none"/>
              </w:rPr>
            </w:pPr>
          </w:p>
        </w:tc>
        <w:tc>
          <w:tcPr>
            <w:tcW w:w="468" w:type="pct"/>
            <w:vAlign w:val="center"/>
          </w:tcPr>
          <w:p w14:paraId="5DFE33BB">
            <w:pPr>
              <w:keepNext/>
              <w:spacing w:line="440" w:lineRule="exact"/>
              <w:jc w:val="center"/>
              <w:rPr>
                <w:rFonts w:cs="宋体"/>
                <w:color w:val="auto"/>
                <w:szCs w:val="21"/>
                <w:highlight w:val="none"/>
              </w:rPr>
            </w:pPr>
          </w:p>
        </w:tc>
        <w:tc>
          <w:tcPr>
            <w:tcW w:w="426" w:type="pct"/>
            <w:vAlign w:val="center"/>
          </w:tcPr>
          <w:p w14:paraId="02DA4928">
            <w:pPr>
              <w:keepNext/>
              <w:spacing w:line="440" w:lineRule="exact"/>
              <w:jc w:val="center"/>
              <w:rPr>
                <w:rFonts w:cs="宋体"/>
                <w:color w:val="auto"/>
                <w:szCs w:val="21"/>
                <w:highlight w:val="none"/>
              </w:rPr>
            </w:pPr>
          </w:p>
        </w:tc>
        <w:tc>
          <w:tcPr>
            <w:tcW w:w="745" w:type="pct"/>
            <w:vAlign w:val="center"/>
          </w:tcPr>
          <w:p w14:paraId="5E1441D4">
            <w:pPr>
              <w:keepNext/>
              <w:spacing w:line="440" w:lineRule="exact"/>
              <w:jc w:val="center"/>
              <w:rPr>
                <w:rFonts w:cs="宋体"/>
                <w:color w:val="auto"/>
                <w:szCs w:val="21"/>
                <w:highlight w:val="none"/>
              </w:rPr>
            </w:pPr>
          </w:p>
        </w:tc>
        <w:tc>
          <w:tcPr>
            <w:tcW w:w="781" w:type="pct"/>
            <w:vAlign w:val="center"/>
          </w:tcPr>
          <w:p w14:paraId="2047ACDD">
            <w:pPr>
              <w:keepNext/>
              <w:spacing w:line="440" w:lineRule="exact"/>
              <w:jc w:val="center"/>
              <w:rPr>
                <w:rFonts w:cs="宋体"/>
                <w:color w:val="auto"/>
                <w:szCs w:val="21"/>
                <w:highlight w:val="none"/>
              </w:rPr>
            </w:pPr>
          </w:p>
        </w:tc>
        <w:tc>
          <w:tcPr>
            <w:tcW w:w="938" w:type="pct"/>
            <w:vAlign w:val="center"/>
          </w:tcPr>
          <w:p w14:paraId="60F8FFD9">
            <w:pPr>
              <w:keepNext/>
              <w:spacing w:line="440" w:lineRule="exact"/>
              <w:jc w:val="center"/>
              <w:rPr>
                <w:rFonts w:cs="宋体"/>
                <w:color w:val="auto"/>
                <w:szCs w:val="21"/>
                <w:highlight w:val="none"/>
              </w:rPr>
            </w:pPr>
          </w:p>
        </w:tc>
      </w:tr>
      <w:tr w14:paraId="77238E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14:paraId="1F82D1F0">
            <w:pPr>
              <w:keepNext/>
              <w:spacing w:line="440" w:lineRule="exact"/>
              <w:jc w:val="center"/>
              <w:rPr>
                <w:rFonts w:cs="宋体"/>
                <w:color w:val="auto"/>
                <w:szCs w:val="21"/>
                <w:highlight w:val="none"/>
              </w:rPr>
            </w:pPr>
          </w:p>
        </w:tc>
        <w:tc>
          <w:tcPr>
            <w:tcW w:w="1094" w:type="pct"/>
            <w:vAlign w:val="center"/>
          </w:tcPr>
          <w:p w14:paraId="63D27D10">
            <w:pPr>
              <w:keepNext/>
              <w:spacing w:line="440" w:lineRule="exact"/>
              <w:jc w:val="center"/>
              <w:rPr>
                <w:rFonts w:cs="宋体"/>
                <w:color w:val="auto"/>
                <w:szCs w:val="21"/>
                <w:highlight w:val="none"/>
              </w:rPr>
            </w:pPr>
          </w:p>
        </w:tc>
        <w:tc>
          <w:tcPr>
            <w:tcW w:w="468" w:type="pct"/>
            <w:vAlign w:val="center"/>
          </w:tcPr>
          <w:p w14:paraId="7403F44E">
            <w:pPr>
              <w:keepNext/>
              <w:spacing w:line="440" w:lineRule="exact"/>
              <w:jc w:val="center"/>
              <w:rPr>
                <w:rFonts w:cs="宋体"/>
                <w:color w:val="auto"/>
                <w:szCs w:val="21"/>
                <w:highlight w:val="none"/>
              </w:rPr>
            </w:pPr>
          </w:p>
        </w:tc>
        <w:tc>
          <w:tcPr>
            <w:tcW w:w="426" w:type="pct"/>
            <w:vAlign w:val="center"/>
          </w:tcPr>
          <w:p w14:paraId="4283CE6E">
            <w:pPr>
              <w:keepNext/>
              <w:spacing w:line="440" w:lineRule="exact"/>
              <w:jc w:val="center"/>
              <w:rPr>
                <w:rFonts w:cs="宋体"/>
                <w:color w:val="auto"/>
                <w:szCs w:val="21"/>
                <w:highlight w:val="none"/>
              </w:rPr>
            </w:pPr>
          </w:p>
        </w:tc>
        <w:tc>
          <w:tcPr>
            <w:tcW w:w="745" w:type="pct"/>
            <w:vAlign w:val="center"/>
          </w:tcPr>
          <w:p w14:paraId="7AAAA01D">
            <w:pPr>
              <w:keepNext/>
              <w:spacing w:line="440" w:lineRule="exact"/>
              <w:jc w:val="center"/>
              <w:rPr>
                <w:rFonts w:cs="宋体"/>
                <w:color w:val="auto"/>
                <w:szCs w:val="21"/>
                <w:highlight w:val="none"/>
              </w:rPr>
            </w:pPr>
          </w:p>
        </w:tc>
        <w:tc>
          <w:tcPr>
            <w:tcW w:w="781" w:type="pct"/>
            <w:vAlign w:val="center"/>
          </w:tcPr>
          <w:p w14:paraId="5D51479E">
            <w:pPr>
              <w:keepNext/>
              <w:spacing w:line="440" w:lineRule="exact"/>
              <w:jc w:val="center"/>
              <w:rPr>
                <w:rFonts w:cs="宋体"/>
                <w:color w:val="auto"/>
                <w:szCs w:val="21"/>
                <w:highlight w:val="none"/>
              </w:rPr>
            </w:pPr>
          </w:p>
        </w:tc>
        <w:tc>
          <w:tcPr>
            <w:tcW w:w="938" w:type="pct"/>
            <w:vAlign w:val="center"/>
          </w:tcPr>
          <w:p w14:paraId="50090645">
            <w:pPr>
              <w:keepNext/>
              <w:spacing w:line="440" w:lineRule="exact"/>
              <w:jc w:val="center"/>
              <w:rPr>
                <w:rFonts w:cs="宋体"/>
                <w:color w:val="auto"/>
                <w:szCs w:val="21"/>
                <w:highlight w:val="none"/>
              </w:rPr>
            </w:pPr>
          </w:p>
        </w:tc>
      </w:tr>
      <w:tr w14:paraId="436EA3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bottom w:val="single" w:color="auto" w:sz="12" w:space="0"/>
            </w:tcBorders>
            <w:vAlign w:val="center"/>
          </w:tcPr>
          <w:p w14:paraId="7B7AEC33">
            <w:pPr>
              <w:keepNext/>
              <w:spacing w:line="440" w:lineRule="exact"/>
              <w:jc w:val="center"/>
              <w:rPr>
                <w:rFonts w:cs="宋体"/>
                <w:color w:val="auto"/>
                <w:szCs w:val="21"/>
                <w:highlight w:val="none"/>
              </w:rPr>
            </w:pPr>
          </w:p>
        </w:tc>
        <w:tc>
          <w:tcPr>
            <w:tcW w:w="1094" w:type="pct"/>
            <w:tcBorders>
              <w:bottom w:val="single" w:color="auto" w:sz="12" w:space="0"/>
            </w:tcBorders>
            <w:vAlign w:val="center"/>
          </w:tcPr>
          <w:p w14:paraId="19C14961">
            <w:pPr>
              <w:keepNext/>
              <w:spacing w:line="440" w:lineRule="exact"/>
              <w:jc w:val="center"/>
              <w:rPr>
                <w:rFonts w:cs="宋体"/>
                <w:color w:val="auto"/>
                <w:szCs w:val="21"/>
                <w:highlight w:val="none"/>
              </w:rPr>
            </w:pPr>
          </w:p>
        </w:tc>
        <w:tc>
          <w:tcPr>
            <w:tcW w:w="468" w:type="pct"/>
            <w:tcBorders>
              <w:bottom w:val="single" w:color="auto" w:sz="12" w:space="0"/>
            </w:tcBorders>
            <w:vAlign w:val="center"/>
          </w:tcPr>
          <w:p w14:paraId="3488D719">
            <w:pPr>
              <w:keepNext/>
              <w:spacing w:line="440" w:lineRule="exact"/>
              <w:jc w:val="center"/>
              <w:rPr>
                <w:rFonts w:cs="宋体"/>
                <w:color w:val="auto"/>
                <w:szCs w:val="21"/>
                <w:highlight w:val="none"/>
              </w:rPr>
            </w:pPr>
          </w:p>
        </w:tc>
        <w:tc>
          <w:tcPr>
            <w:tcW w:w="426" w:type="pct"/>
            <w:tcBorders>
              <w:bottom w:val="single" w:color="auto" w:sz="12" w:space="0"/>
            </w:tcBorders>
            <w:vAlign w:val="center"/>
          </w:tcPr>
          <w:p w14:paraId="66895FBB">
            <w:pPr>
              <w:keepNext/>
              <w:spacing w:line="440" w:lineRule="exact"/>
              <w:jc w:val="center"/>
              <w:rPr>
                <w:rFonts w:cs="宋体"/>
                <w:color w:val="auto"/>
                <w:szCs w:val="21"/>
                <w:highlight w:val="none"/>
              </w:rPr>
            </w:pPr>
          </w:p>
        </w:tc>
        <w:tc>
          <w:tcPr>
            <w:tcW w:w="745" w:type="pct"/>
            <w:tcBorders>
              <w:bottom w:val="single" w:color="auto" w:sz="12" w:space="0"/>
            </w:tcBorders>
            <w:vAlign w:val="center"/>
          </w:tcPr>
          <w:p w14:paraId="11C90E5C">
            <w:pPr>
              <w:keepNext/>
              <w:spacing w:line="440" w:lineRule="exact"/>
              <w:jc w:val="center"/>
              <w:rPr>
                <w:rFonts w:cs="宋体"/>
                <w:color w:val="auto"/>
                <w:szCs w:val="21"/>
                <w:highlight w:val="none"/>
              </w:rPr>
            </w:pPr>
          </w:p>
        </w:tc>
        <w:tc>
          <w:tcPr>
            <w:tcW w:w="781" w:type="pct"/>
            <w:tcBorders>
              <w:bottom w:val="single" w:color="auto" w:sz="12" w:space="0"/>
            </w:tcBorders>
            <w:vAlign w:val="center"/>
          </w:tcPr>
          <w:p w14:paraId="65CCD3C1">
            <w:pPr>
              <w:keepNext/>
              <w:spacing w:line="440" w:lineRule="exact"/>
              <w:jc w:val="center"/>
              <w:rPr>
                <w:rFonts w:cs="宋体"/>
                <w:color w:val="auto"/>
                <w:szCs w:val="21"/>
                <w:highlight w:val="none"/>
              </w:rPr>
            </w:pPr>
          </w:p>
        </w:tc>
        <w:tc>
          <w:tcPr>
            <w:tcW w:w="938" w:type="pct"/>
            <w:tcBorders>
              <w:bottom w:val="single" w:color="auto" w:sz="12" w:space="0"/>
            </w:tcBorders>
            <w:vAlign w:val="center"/>
          </w:tcPr>
          <w:p w14:paraId="535EB796">
            <w:pPr>
              <w:keepNext/>
              <w:spacing w:line="440" w:lineRule="exact"/>
              <w:jc w:val="center"/>
              <w:rPr>
                <w:rFonts w:cs="宋体"/>
                <w:color w:val="auto"/>
                <w:szCs w:val="21"/>
                <w:highlight w:val="none"/>
              </w:rPr>
            </w:pPr>
          </w:p>
        </w:tc>
      </w:tr>
    </w:tbl>
    <w:p w14:paraId="5B10964B">
      <w:pPr>
        <w:spacing w:before="156" w:beforeLines="50" w:after="156" w:afterLines="50" w:line="440" w:lineRule="exact"/>
        <w:jc w:val="center"/>
        <w:rPr>
          <w:rFonts w:cs="宋体"/>
          <w:color w:val="auto"/>
          <w:szCs w:val="21"/>
          <w:highlight w:val="none"/>
        </w:rPr>
      </w:pPr>
      <w:r>
        <w:rPr>
          <w:rFonts w:hint="eastAsia" w:cs="宋体"/>
          <w:color w:val="auto"/>
          <w:szCs w:val="21"/>
          <w:highlight w:val="none"/>
        </w:rPr>
        <w:t>12-2：工程设备暂估价表</w:t>
      </w:r>
    </w:p>
    <w:tbl>
      <w:tblPr>
        <w:tblStyle w:val="55"/>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6"/>
        <w:gridCol w:w="1830"/>
        <w:gridCol w:w="783"/>
        <w:gridCol w:w="712"/>
        <w:gridCol w:w="1246"/>
        <w:gridCol w:w="1306"/>
        <w:gridCol w:w="1569"/>
      </w:tblGrid>
      <w:tr w14:paraId="3A5090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single" w:color="auto" w:sz="12" w:space="0"/>
              <w:bottom w:val="double" w:color="auto" w:sz="6" w:space="0"/>
            </w:tcBorders>
            <w:vAlign w:val="center"/>
          </w:tcPr>
          <w:p w14:paraId="16F019C6">
            <w:pPr>
              <w:keepNext/>
              <w:spacing w:line="440" w:lineRule="exact"/>
              <w:jc w:val="center"/>
              <w:rPr>
                <w:rFonts w:cs="宋体"/>
                <w:color w:val="auto"/>
                <w:szCs w:val="21"/>
                <w:highlight w:val="none"/>
              </w:rPr>
            </w:pPr>
            <w:r>
              <w:rPr>
                <w:rFonts w:hint="eastAsia" w:cs="宋体"/>
                <w:color w:val="auto"/>
                <w:szCs w:val="21"/>
                <w:highlight w:val="none"/>
              </w:rPr>
              <w:t>序号</w:t>
            </w:r>
          </w:p>
        </w:tc>
        <w:tc>
          <w:tcPr>
            <w:tcW w:w="1094" w:type="pct"/>
            <w:tcBorders>
              <w:top w:val="single" w:color="auto" w:sz="12" w:space="0"/>
              <w:bottom w:val="double" w:color="auto" w:sz="6" w:space="0"/>
            </w:tcBorders>
            <w:vAlign w:val="center"/>
          </w:tcPr>
          <w:p w14:paraId="346F9C51">
            <w:pPr>
              <w:keepNext/>
              <w:spacing w:line="440" w:lineRule="exact"/>
              <w:jc w:val="center"/>
              <w:rPr>
                <w:rFonts w:cs="宋体"/>
                <w:color w:val="auto"/>
                <w:szCs w:val="21"/>
                <w:highlight w:val="none"/>
              </w:rPr>
            </w:pPr>
            <w:r>
              <w:rPr>
                <w:rFonts w:hint="eastAsia" w:cs="宋体"/>
                <w:color w:val="auto"/>
                <w:szCs w:val="21"/>
                <w:highlight w:val="none"/>
              </w:rPr>
              <w:t>名称</w:t>
            </w:r>
          </w:p>
        </w:tc>
        <w:tc>
          <w:tcPr>
            <w:tcW w:w="468" w:type="pct"/>
            <w:tcBorders>
              <w:top w:val="single" w:color="auto" w:sz="12" w:space="0"/>
              <w:bottom w:val="double" w:color="auto" w:sz="6" w:space="0"/>
            </w:tcBorders>
            <w:vAlign w:val="center"/>
          </w:tcPr>
          <w:p w14:paraId="569FAB79">
            <w:pPr>
              <w:keepNext/>
              <w:spacing w:line="440" w:lineRule="exact"/>
              <w:jc w:val="center"/>
              <w:rPr>
                <w:rFonts w:cs="宋体"/>
                <w:color w:val="auto"/>
                <w:szCs w:val="21"/>
                <w:highlight w:val="none"/>
              </w:rPr>
            </w:pPr>
            <w:r>
              <w:rPr>
                <w:rFonts w:hint="eastAsia" w:cs="宋体"/>
                <w:color w:val="auto"/>
                <w:szCs w:val="21"/>
                <w:highlight w:val="none"/>
              </w:rPr>
              <w:t>单位</w:t>
            </w:r>
          </w:p>
        </w:tc>
        <w:tc>
          <w:tcPr>
            <w:tcW w:w="426" w:type="pct"/>
            <w:tcBorders>
              <w:top w:val="single" w:color="auto" w:sz="12" w:space="0"/>
              <w:bottom w:val="double" w:color="auto" w:sz="6" w:space="0"/>
            </w:tcBorders>
            <w:vAlign w:val="center"/>
          </w:tcPr>
          <w:p w14:paraId="3C2FEE42">
            <w:pPr>
              <w:keepNext/>
              <w:spacing w:line="440" w:lineRule="exact"/>
              <w:jc w:val="center"/>
              <w:rPr>
                <w:rFonts w:cs="宋体"/>
                <w:color w:val="auto"/>
                <w:szCs w:val="21"/>
                <w:highlight w:val="none"/>
              </w:rPr>
            </w:pPr>
            <w:r>
              <w:rPr>
                <w:rFonts w:hint="eastAsia" w:cs="宋体"/>
                <w:color w:val="auto"/>
                <w:szCs w:val="21"/>
                <w:highlight w:val="none"/>
              </w:rPr>
              <w:t>数量</w:t>
            </w:r>
          </w:p>
        </w:tc>
        <w:tc>
          <w:tcPr>
            <w:tcW w:w="745" w:type="pct"/>
            <w:tcBorders>
              <w:top w:val="single" w:color="auto" w:sz="12" w:space="0"/>
              <w:bottom w:val="double" w:color="auto" w:sz="6" w:space="0"/>
            </w:tcBorders>
            <w:vAlign w:val="center"/>
          </w:tcPr>
          <w:p w14:paraId="05191942">
            <w:pPr>
              <w:keepNext/>
              <w:spacing w:line="440" w:lineRule="exact"/>
              <w:jc w:val="center"/>
              <w:rPr>
                <w:rFonts w:cs="宋体"/>
                <w:color w:val="auto"/>
                <w:szCs w:val="21"/>
                <w:highlight w:val="none"/>
              </w:rPr>
            </w:pPr>
            <w:r>
              <w:rPr>
                <w:rFonts w:hint="eastAsia" w:cs="宋体"/>
                <w:color w:val="auto"/>
                <w:szCs w:val="21"/>
                <w:highlight w:val="none"/>
              </w:rPr>
              <w:t>单价（元）</w:t>
            </w:r>
          </w:p>
        </w:tc>
        <w:tc>
          <w:tcPr>
            <w:tcW w:w="781" w:type="pct"/>
            <w:tcBorders>
              <w:top w:val="single" w:color="auto" w:sz="12" w:space="0"/>
              <w:bottom w:val="double" w:color="auto" w:sz="6" w:space="0"/>
            </w:tcBorders>
            <w:vAlign w:val="center"/>
          </w:tcPr>
          <w:p w14:paraId="5191EB68">
            <w:pPr>
              <w:keepNext/>
              <w:spacing w:line="440" w:lineRule="exact"/>
              <w:jc w:val="center"/>
              <w:rPr>
                <w:rFonts w:cs="宋体"/>
                <w:color w:val="auto"/>
                <w:szCs w:val="21"/>
                <w:highlight w:val="none"/>
              </w:rPr>
            </w:pPr>
            <w:r>
              <w:rPr>
                <w:rFonts w:hint="eastAsia" w:cs="宋体"/>
                <w:color w:val="auto"/>
                <w:szCs w:val="21"/>
                <w:highlight w:val="none"/>
              </w:rPr>
              <w:t>合价（元）</w:t>
            </w:r>
          </w:p>
        </w:tc>
        <w:tc>
          <w:tcPr>
            <w:tcW w:w="938" w:type="pct"/>
            <w:tcBorders>
              <w:top w:val="single" w:color="auto" w:sz="12" w:space="0"/>
              <w:bottom w:val="double" w:color="auto" w:sz="6" w:space="0"/>
            </w:tcBorders>
            <w:vAlign w:val="center"/>
          </w:tcPr>
          <w:p w14:paraId="29609C7F">
            <w:pPr>
              <w:keepNext/>
              <w:spacing w:line="440" w:lineRule="exact"/>
              <w:jc w:val="center"/>
              <w:rPr>
                <w:rFonts w:cs="宋体"/>
                <w:color w:val="auto"/>
                <w:szCs w:val="21"/>
                <w:highlight w:val="none"/>
              </w:rPr>
            </w:pPr>
            <w:r>
              <w:rPr>
                <w:rFonts w:hint="eastAsia" w:cs="宋体"/>
                <w:color w:val="auto"/>
                <w:szCs w:val="21"/>
                <w:highlight w:val="none"/>
              </w:rPr>
              <w:t>备注</w:t>
            </w:r>
          </w:p>
        </w:tc>
      </w:tr>
      <w:tr w14:paraId="11D20F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double" w:color="auto" w:sz="6" w:space="0"/>
            </w:tcBorders>
            <w:vAlign w:val="center"/>
          </w:tcPr>
          <w:p w14:paraId="47CC3FD5">
            <w:pPr>
              <w:keepNext/>
              <w:spacing w:line="440" w:lineRule="exact"/>
              <w:jc w:val="center"/>
              <w:rPr>
                <w:rFonts w:cs="宋体"/>
                <w:color w:val="auto"/>
                <w:szCs w:val="21"/>
                <w:highlight w:val="none"/>
              </w:rPr>
            </w:pPr>
          </w:p>
        </w:tc>
        <w:tc>
          <w:tcPr>
            <w:tcW w:w="1094" w:type="pct"/>
            <w:tcBorders>
              <w:top w:val="double" w:color="auto" w:sz="6" w:space="0"/>
            </w:tcBorders>
            <w:vAlign w:val="center"/>
          </w:tcPr>
          <w:p w14:paraId="738776D8">
            <w:pPr>
              <w:keepNext/>
              <w:spacing w:line="440" w:lineRule="exact"/>
              <w:jc w:val="center"/>
              <w:rPr>
                <w:rFonts w:cs="宋体"/>
                <w:color w:val="auto"/>
                <w:szCs w:val="21"/>
                <w:highlight w:val="none"/>
              </w:rPr>
            </w:pPr>
          </w:p>
        </w:tc>
        <w:tc>
          <w:tcPr>
            <w:tcW w:w="468" w:type="pct"/>
            <w:tcBorders>
              <w:top w:val="double" w:color="auto" w:sz="6" w:space="0"/>
            </w:tcBorders>
            <w:vAlign w:val="center"/>
          </w:tcPr>
          <w:p w14:paraId="0CD5FF3F">
            <w:pPr>
              <w:keepNext/>
              <w:spacing w:line="440" w:lineRule="exact"/>
              <w:jc w:val="center"/>
              <w:rPr>
                <w:rFonts w:cs="宋体"/>
                <w:color w:val="auto"/>
                <w:szCs w:val="21"/>
                <w:highlight w:val="none"/>
              </w:rPr>
            </w:pPr>
          </w:p>
        </w:tc>
        <w:tc>
          <w:tcPr>
            <w:tcW w:w="426" w:type="pct"/>
            <w:tcBorders>
              <w:top w:val="double" w:color="auto" w:sz="6" w:space="0"/>
            </w:tcBorders>
            <w:vAlign w:val="center"/>
          </w:tcPr>
          <w:p w14:paraId="3350F567">
            <w:pPr>
              <w:keepNext/>
              <w:spacing w:line="440" w:lineRule="exact"/>
              <w:jc w:val="center"/>
              <w:rPr>
                <w:rFonts w:cs="宋体"/>
                <w:color w:val="auto"/>
                <w:szCs w:val="21"/>
                <w:highlight w:val="none"/>
              </w:rPr>
            </w:pPr>
          </w:p>
        </w:tc>
        <w:tc>
          <w:tcPr>
            <w:tcW w:w="745" w:type="pct"/>
            <w:tcBorders>
              <w:top w:val="double" w:color="auto" w:sz="6" w:space="0"/>
            </w:tcBorders>
            <w:vAlign w:val="center"/>
          </w:tcPr>
          <w:p w14:paraId="607DB2E8">
            <w:pPr>
              <w:keepNext/>
              <w:spacing w:line="440" w:lineRule="exact"/>
              <w:jc w:val="center"/>
              <w:rPr>
                <w:rFonts w:cs="宋体"/>
                <w:color w:val="auto"/>
                <w:szCs w:val="21"/>
                <w:highlight w:val="none"/>
              </w:rPr>
            </w:pPr>
          </w:p>
        </w:tc>
        <w:tc>
          <w:tcPr>
            <w:tcW w:w="781" w:type="pct"/>
            <w:tcBorders>
              <w:top w:val="double" w:color="auto" w:sz="6" w:space="0"/>
            </w:tcBorders>
            <w:vAlign w:val="center"/>
          </w:tcPr>
          <w:p w14:paraId="5CDC4CF2">
            <w:pPr>
              <w:keepNext/>
              <w:spacing w:line="440" w:lineRule="exact"/>
              <w:jc w:val="center"/>
              <w:rPr>
                <w:rFonts w:cs="宋体"/>
                <w:color w:val="auto"/>
                <w:szCs w:val="21"/>
                <w:highlight w:val="none"/>
              </w:rPr>
            </w:pPr>
          </w:p>
        </w:tc>
        <w:tc>
          <w:tcPr>
            <w:tcW w:w="938" w:type="pct"/>
            <w:tcBorders>
              <w:top w:val="double" w:color="auto" w:sz="6" w:space="0"/>
            </w:tcBorders>
            <w:vAlign w:val="center"/>
          </w:tcPr>
          <w:p w14:paraId="1E657198">
            <w:pPr>
              <w:keepNext/>
              <w:spacing w:line="440" w:lineRule="exact"/>
              <w:jc w:val="center"/>
              <w:rPr>
                <w:rFonts w:cs="宋体"/>
                <w:color w:val="auto"/>
                <w:szCs w:val="21"/>
                <w:highlight w:val="none"/>
              </w:rPr>
            </w:pPr>
          </w:p>
        </w:tc>
      </w:tr>
      <w:tr w14:paraId="2AF7B1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nil"/>
            </w:tcBorders>
            <w:vAlign w:val="center"/>
          </w:tcPr>
          <w:p w14:paraId="6C989B8E">
            <w:pPr>
              <w:keepNext/>
              <w:spacing w:line="440" w:lineRule="exact"/>
              <w:jc w:val="center"/>
              <w:rPr>
                <w:rFonts w:cs="宋体"/>
                <w:color w:val="auto"/>
                <w:szCs w:val="21"/>
                <w:highlight w:val="none"/>
              </w:rPr>
            </w:pPr>
          </w:p>
        </w:tc>
        <w:tc>
          <w:tcPr>
            <w:tcW w:w="1094" w:type="pct"/>
            <w:tcBorders>
              <w:top w:val="nil"/>
            </w:tcBorders>
            <w:vAlign w:val="center"/>
          </w:tcPr>
          <w:p w14:paraId="1E5F2BDA">
            <w:pPr>
              <w:keepNext/>
              <w:spacing w:line="440" w:lineRule="exact"/>
              <w:jc w:val="center"/>
              <w:rPr>
                <w:rFonts w:cs="宋体"/>
                <w:color w:val="auto"/>
                <w:szCs w:val="21"/>
                <w:highlight w:val="none"/>
              </w:rPr>
            </w:pPr>
          </w:p>
        </w:tc>
        <w:tc>
          <w:tcPr>
            <w:tcW w:w="468" w:type="pct"/>
            <w:tcBorders>
              <w:top w:val="nil"/>
            </w:tcBorders>
            <w:vAlign w:val="center"/>
          </w:tcPr>
          <w:p w14:paraId="39A3847A">
            <w:pPr>
              <w:keepNext/>
              <w:spacing w:line="440" w:lineRule="exact"/>
              <w:jc w:val="center"/>
              <w:rPr>
                <w:rFonts w:cs="宋体"/>
                <w:color w:val="auto"/>
                <w:szCs w:val="21"/>
                <w:highlight w:val="none"/>
              </w:rPr>
            </w:pPr>
          </w:p>
        </w:tc>
        <w:tc>
          <w:tcPr>
            <w:tcW w:w="426" w:type="pct"/>
            <w:tcBorders>
              <w:top w:val="nil"/>
            </w:tcBorders>
            <w:vAlign w:val="center"/>
          </w:tcPr>
          <w:p w14:paraId="6638E132">
            <w:pPr>
              <w:keepNext/>
              <w:spacing w:line="440" w:lineRule="exact"/>
              <w:jc w:val="center"/>
              <w:rPr>
                <w:rFonts w:cs="宋体"/>
                <w:color w:val="auto"/>
                <w:szCs w:val="21"/>
                <w:highlight w:val="none"/>
              </w:rPr>
            </w:pPr>
          </w:p>
        </w:tc>
        <w:tc>
          <w:tcPr>
            <w:tcW w:w="745" w:type="pct"/>
            <w:tcBorders>
              <w:top w:val="nil"/>
            </w:tcBorders>
            <w:vAlign w:val="center"/>
          </w:tcPr>
          <w:p w14:paraId="09008ECC">
            <w:pPr>
              <w:keepNext/>
              <w:spacing w:line="440" w:lineRule="exact"/>
              <w:jc w:val="center"/>
              <w:rPr>
                <w:rFonts w:cs="宋体"/>
                <w:color w:val="auto"/>
                <w:szCs w:val="21"/>
                <w:highlight w:val="none"/>
              </w:rPr>
            </w:pPr>
          </w:p>
        </w:tc>
        <w:tc>
          <w:tcPr>
            <w:tcW w:w="781" w:type="pct"/>
            <w:tcBorders>
              <w:top w:val="nil"/>
            </w:tcBorders>
            <w:vAlign w:val="center"/>
          </w:tcPr>
          <w:p w14:paraId="3AA9E1E8">
            <w:pPr>
              <w:keepNext/>
              <w:spacing w:line="440" w:lineRule="exact"/>
              <w:jc w:val="center"/>
              <w:rPr>
                <w:rFonts w:cs="宋体"/>
                <w:color w:val="auto"/>
                <w:szCs w:val="21"/>
                <w:highlight w:val="none"/>
              </w:rPr>
            </w:pPr>
          </w:p>
        </w:tc>
        <w:tc>
          <w:tcPr>
            <w:tcW w:w="938" w:type="pct"/>
            <w:tcBorders>
              <w:top w:val="nil"/>
            </w:tcBorders>
            <w:vAlign w:val="center"/>
          </w:tcPr>
          <w:p w14:paraId="56311791">
            <w:pPr>
              <w:keepNext/>
              <w:spacing w:line="440" w:lineRule="exact"/>
              <w:jc w:val="center"/>
              <w:rPr>
                <w:rFonts w:cs="宋体"/>
                <w:color w:val="auto"/>
                <w:szCs w:val="21"/>
                <w:highlight w:val="none"/>
              </w:rPr>
            </w:pPr>
          </w:p>
        </w:tc>
      </w:tr>
      <w:tr w14:paraId="1E4055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14:paraId="07EE54D6">
            <w:pPr>
              <w:keepNext/>
              <w:spacing w:line="440" w:lineRule="exact"/>
              <w:jc w:val="center"/>
              <w:rPr>
                <w:rFonts w:cs="宋体"/>
                <w:color w:val="auto"/>
                <w:szCs w:val="21"/>
                <w:highlight w:val="none"/>
              </w:rPr>
            </w:pPr>
          </w:p>
        </w:tc>
        <w:tc>
          <w:tcPr>
            <w:tcW w:w="1094" w:type="pct"/>
            <w:vAlign w:val="center"/>
          </w:tcPr>
          <w:p w14:paraId="51BDE60A">
            <w:pPr>
              <w:keepNext/>
              <w:spacing w:line="440" w:lineRule="exact"/>
              <w:jc w:val="center"/>
              <w:rPr>
                <w:rFonts w:cs="宋体"/>
                <w:color w:val="auto"/>
                <w:szCs w:val="21"/>
                <w:highlight w:val="none"/>
              </w:rPr>
            </w:pPr>
          </w:p>
        </w:tc>
        <w:tc>
          <w:tcPr>
            <w:tcW w:w="468" w:type="pct"/>
            <w:vAlign w:val="center"/>
          </w:tcPr>
          <w:p w14:paraId="2C954AA6">
            <w:pPr>
              <w:keepNext/>
              <w:spacing w:line="440" w:lineRule="exact"/>
              <w:jc w:val="center"/>
              <w:rPr>
                <w:rFonts w:cs="宋体"/>
                <w:color w:val="auto"/>
                <w:szCs w:val="21"/>
                <w:highlight w:val="none"/>
              </w:rPr>
            </w:pPr>
          </w:p>
        </w:tc>
        <w:tc>
          <w:tcPr>
            <w:tcW w:w="426" w:type="pct"/>
            <w:vAlign w:val="center"/>
          </w:tcPr>
          <w:p w14:paraId="63746952">
            <w:pPr>
              <w:keepNext/>
              <w:spacing w:line="440" w:lineRule="exact"/>
              <w:jc w:val="center"/>
              <w:rPr>
                <w:rFonts w:cs="宋体"/>
                <w:color w:val="auto"/>
                <w:szCs w:val="21"/>
                <w:highlight w:val="none"/>
              </w:rPr>
            </w:pPr>
          </w:p>
        </w:tc>
        <w:tc>
          <w:tcPr>
            <w:tcW w:w="745" w:type="pct"/>
            <w:vAlign w:val="center"/>
          </w:tcPr>
          <w:p w14:paraId="645335F5">
            <w:pPr>
              <w:keepNext/>
              <w:spacing w:line="440" w:lineRule="exact"/>
              <w:jc w:val="center"/>
              <w:rPr>
                <w:rFonts w:cs="宋体"/>
                <w:color w:val="auto"/>
                <w:szCs w:val="21"/>
                <w:highlight w:val="none"/>
              </w:rPr>
            </w:pPr>
          </w:p>
        </w:tc>
        <w:tc>
          <w:tcPr>
            <w:tcW w:w="781" w:type="pct"/>
            <w:vAlign w:val="center"/>
          </w:tcPr>
          <w:p w14:paraId="109D4B72">
            <w:pPr>
              <w:keepNext/>
              <w:spacing w:line="440" w:lineRule="exact"/>
              <w:jc w:val="center"/>
              <w:rPr>
                <w:rFonts w:cs="宋体"/>
                <w:color w:val="auto"/>
                <w:szCs w:val="21"/>
                <w:highlight w:val="none"/>
              </w:rPr>
            </w:pPr>
          </w:p>
        </w:tc>
        <w:tc>
          <w:tcPr>
            <w:tcW w:w="938" w:type="pct"/>
            <w:vAlign w:val="center"/>
          </w:tcPr>
          <w:p w14:paraId="796D50CE">
            <w:pPr>
              <w:keepNext/>
              <w:spacing w:line="440" w:lineRule="exact"/>
              <w:jc w:val="center"/>
              <w:rPr>
                <w:rFonts w:cs="宋体"/>
                <w:color w:val="auto"/>
                <w:szCs w:val="21"/>
                <w:highlight w:val="none"/>
              </w:rPr>
            </w:pPr>
          </w:p>
        </w:tc>
      </w:tr>
      <w:tr w14:paraId="39A1C3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bottom w:val="single" w:color="auto" w:sz="12" w:space="0"/>
            </w:tcBorders>
            <w:vAlign w:val="center"/>
          </w:tcPr>
          <w:p w14:paraId="5AA5E002">
            <w:pPr>
              <w:keepNext/>
              <w:spacing w:line="440" w:lineRule="exact"/>
              <w:jc w:val="center"/>
              <w:rPr>
                <w:rFonts w:cs="宋体"/>
                <w:color w:val="auto"/>
                <w:szCs w:val="21"/>
                <w:highlight w:val="none"/>
              </w:rPr>
            </w:pPr>
          </w:p>
        </w:tc>
        <w:tc>
          <w:tcPr>
            <w:tcW w:w="1094" w:type="pct"/>
            <w:tcBorders>
              <w:bottom w:val="single" w:color="auto" w:sz="12" w:space="0"/>
            </w:tcBorders>
            <w:vAlign w:val="center"/>
          </w:tcPr>
          <w:p w14:paraId="08C1276E">
            <w:pPr>
              <w:keepNext/>
              <w:spacing w:line="440" w:lineRule="exact"/>
              <w:jc w:val="center"/>
              <w:rPr>
                <w:rFonts w:cs="宋体"/>
                <w:color w:val="auto"/>
                <w:szCs w:val="21"/>
                <w:highlight w:val="none"/>
              </w:rPr>
            </w:pPr>
          </w:p>
        </w:tc>
        <w:tc>
          <w:tcPr>
            <w:tcW w:w="468" w:type="pct"/>
            <w:tcBorders>
              <w:bottom w:val="single" w:color="auto" w:sz="12" w:space="0"/>
            </w:tcBorders>
            <w:vAlign w:val="center"/>
          </w:tcPr>
          <w:p w14:paraId="0B35E469">
            <w:pPr>
              <w:keepNext/>
              <w:spacing w:line="440" w:lineRule="exact"/>
              <w:jc w:val="center"/>
              <w:rPr>
                <w:rFonts w:cs="宋体"/>
                <w:color w:val="auto"/>
                <w:szCs w:val="21"/>
                <w:highlight w:val="none"/>
              </w:rPr>
            </w:pPr>
          </w:p>
        </w:tc>
        <w:tc>
          <w:tcPr>
            <w:tcW w:w="426" w:type="pct"/>
            <w:tcBorders>
              <w:bottom w:val="single" w:color="auto" w:sz="12" w:space="0"/>
            </w:tcBorders>
            <w:vAlign w:val="center"/>
          </w:tcPr>
          <w:p w14:paraId="6C1D7CEE">
            <w:pPr>
              <w:keepNext/>
              <w:spacing w:line="440" w:lineRule="exact"/>
              <w:jc w:val="center"/>
              <w:rPr>
                <w:rFonts w:cs="宋体"/>
                <w:color w:val="auto"/>
                <w:szCs w:val="21"/>
                <w:highlight w:val="none"/>
              </w:rPr>
            </w:pPr>
          </w:p>
        </w:tc>
        <w:tc>
          <w:tcPr>
            <w:tcW w:w="745" w:type="pct"/>
            <w:tcBorders>
              <w:bottom w:val="single" w:color="auto" w:sz="12" w:space="0"/>
            </w:tcBorders>
            <w:vAlign w:val="center"/>
          </w:tcPr>
          <w:p w14:paraId="295003BF">
            <w:pPr>
              <w:keepNext/>
              <w:spacing w:line="440" w:lineRule="exact"/>
              <w:jc w:val="center"/>
              <w:rPr>
                <w:rFonts w:cs="宋体"/>
                <w:color w:val="auto"/>
                <w:szCs w:val="21"/>
                <w:highlight w:val="none"/>
              </w:rPr>
            </w:pPr>
          </w:p>
        </w:tc>
        <w:tc>
          <w:tcPr>
            <w:tcW w:w="781" w:type="pct"/>
            <w:tcBorders>
              <w:bottom w:val="single" w:color="auto" w:sz="12" w:space="0"/>
            </w:tcBorders>
            <w:vAlign w:val="center"/>
          </w:tcPr>
          <w:p w14:paraId="130E725A">
            <w:pPr>
              <w:keepNext/>
              <w:spacing w:line="440" w:lineRule="exact"/>
              <w:jc w:val="center"/>
              <w:rPr>
                <w:rFonts w:cs="宋体"/>
                <w:color w:val="auto"/>
                <w:szCs w:val="21"/>
                <w:highlight w:val="none"/>
              </w:rPr>
            </w:pPr>
          </w:p>
        </w:tc>
        <w:tc>
          <w:tcPr>
            <w:tcW w:w="938" w:type="pct"/>
            <w:tcBorders>
              <w:bottom w:val="single" w:color="auto" w:sz="12" w:space="0"/>
            </w:tcBorders>
            <w:vAlign w:val="center"/>
          </w:tcPr>
          <w:p w14:paraId="117B1F61">
            <w:pPr>
              <w:keepNext/>
              <w:spacing w:line="440" w:lineRule="exact"/>
              <w:jc w:val="center"/>
              <w:rPr>
                <w:rFonts w:cs="宋体"/>
                <w:color w:val="auto"/>
                <w:szCs w:val="21"/>
                <w:highlight w:val="none"/>
              </w:rPr>
            </w:pPr>
          </w:p>
        </w:tc>
      </w:tr>
    </w:tbl>
    <w:p w14:paraId="0415E6DC">
      <w:pPr>
        <w:spacing w:before="156" w:beforeLines="50" w:after="156" w:afterLines="50" w:line="440" w:lineRule="exact"/>
        <w:jc w:val="center"/>
        <w:rPr>
          <w:rFonts w:cs="宋体"/>
          <w:color w:val="auto"/>
          <w:szCs w:val="21"/>
          <w:highlight w:val="none"/>
        </w:rPr>
      </w:pPr>
      <w:r>
        <w:rPr>
          <w:rFonts w:hint="eastAsia" w:cs="宋体"/>
          <w:color w:val="auto"/>
          <w:szCs w:val="21"/>
          <w:highlight w:val="none"/>
        </w:rPr>
        <w:t>12-3：专业工程暂估价表</w:t>
      </w:r>
    </w:p>
    <w:tbl>
      <w:tblPr>
        <w:tblStyle w:val="55"/>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6"/>
        <w:gridCol w:w="1830"/>
        <w:gridCol w:w="783"/>
        <w:gridCol w:w="712"/>
        <w:gridCol w:w="1246"/>
        <w:gridCol w:w="1306"/>
        <w:gridCol w:w="1569"/>
      </w:tblGrid>
      <w:tr w14:paraId="6B395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single" w:color="auto" w:sz="12" w:space="0"/>
              <w:bottom w:val="double" w:color="auto" w:sz="6" w:space="0"/>
            </w:tcBorders>
            <w:vAlign w:val="center"/>
          </w:tcPr>
          <w:p w14:paraId="45A132EF">
            <w:pPr>
              <w:keepNext/>
              <w:spacing w:line="440" w:lineRule="exact"/>
              <w:jc w:val="center"/>
              <w:rPr>
                <w:rFonts w:cs="宋体"/>
                <w:color w:val="auto"/>
                <w:szCs w:val="21"/>
                <w:highlight w:val="none"/>
              </w:rPr>
            </w:pPr>
            <w:r>
              <w:rPr>
                <w:rFonts w:hint="eastAsia" w:cs="宋体"/>
                <w:color w:val="auto"/>
                <w:szCs w:val="21"/>
                <w:highlight w:val="none"/>
              </w:rPr>
              <w:t>序号</w:t>
            </w:r>
          </w:p>
        </w:tc>
        <w:tc>
          <w:tcPr>
            <w:tcW w:w="1094" w:type="pct"/>
            <w:tcBorders>
              <w:top w:val="single" w:color="auto" w:sz="12" w:space="0"/>
              <w:bottom w:val="double" w:color="auto" w:sz="6" w:space="0"/>
            </w:tcBorders>
            <w:vAlign w:val="center"/>
          </w:tcPr>
          <w:p w14:paraId="7D82C600">
            <w:pPr>
              <w:keepNext/>
              <w:spacing w:line="440" w:lineRule="exact"/>
              <w:jc w:val="center"/>
              <w:rPr>
                <w:rFonts w:cs="宋体"/>
                <w:color w:val="auto"/>
                <w:szCs w:val="21"/>
                <w:highlight w:val="none"/>
              </w:rPr>
            </w:pPr>
            <w:r>
              <w:rPr>
                <w:rFonts w:hint="eastAsia" w:cs="宋体"/>
                <w:color w:val="auto"/>
                <w:szCs w:val="21"/>
                <w:highlight w:val="none"/>
              </w:rPr>
              <w:t>名称</w:t>
            </w:r>
          </w:p>
        </w:tc>
        <w:tc>
          <w:tcPr>
            <w:tcW w:w="468" w:type="pct"/>
            <w:tcBorders>
              <w:top w:val="single" w:color="auto" w:sz="12" w:space="0"/>
              <w:bottom w:val="double" w:color="auto" w:sz="6" w:space="0"/>
            </w:tcBorders>
            <w:vAlign w:val="center"/>
          </w:tcPr>
          <w:p w14:paraId="7A6CBB91">
            <w:pPr>
              <w:keepNext/>
              <w:spacing w:line="440" w:lineRule="exact"/>
              <w:jc w:val="center"/>
              <w:rPr>
                <w:rFonts w:cs="宋体"/>
                <w:color w:val="auto"/>
                <w:szCs w:val="21"/>
                <w:highlight w:val="none"/>
              </w:rPr>
            </w:pPr>
            <w:r>
              <w:rPr>
                <w:rFonts w:hint="eastAsia" w:cs="宋体"/>
                <w:color w:val="auto"/>
                <w:szCs w:val="21"/>
                <w:highlight w:val="none"/>
              </w:rPr>
              <w:t>单位</w:t>
            </w:r>
          </w:p>
        </w:tc>
        <w:tc>
          <w:tcPr>
            <w:tcW w:w="426" w:type="pct"/>
            <w:tcBorders>
              <w:top w:val="single" w:color="auto" w:sz="12" w:space="0"/>
              <w:bottom w:val="double" w:color="auto" w:sz="6" w:space="0"/>
            </w:tcBorders>
            <w:vAlign w:val="center"/>
          </w:tcPr>
          <w:p w14:paraId="1C6453A2">
            <w:pPr>
              <w:keepNext/>
              <w:spacing w:line="440" w:lineRule="exact"/>
              <w:jc w:val="center"/>
              <w:rPr>
                <w:rFonts w:cs="宋体"/>
                <w:color w:val="auto"/>
                <w:szCs w:val="21"/>
                <w:highlight w:val="none"/>
              </w:rPr>
            </w:pPr>
            <w:r>
              <w:rPr>
                <w:rFonts w:hint="eastAsia" w:cs="宋体"/>
                <w:color w:val="auto"/>
                <w:szCs w:val="21"/>
                <w:highlight w:val="none"/>
              </w:rPr>
              <w:t>数量</w:t>
            </w:r>
          </w:p>
        </w:tc>
        <w:tc>
          <w:tcPr>
            <w:tcW w:w="745" w:type="pct"/>
            <w:tcBorders>
              <w:top w:val="single" w:color="auto" w:sz="12" w:space="0"/>
              <w:bottom w:val="double" w:color="auto" w:sz="6" w:space="0"/>
            </w:tcBorders>
            <w:vAlign w:val="center"/>
          </w:tcPr>
          <w:p w14:paraId="2525DDDA">
            <w:pPr>
              <w:keepNext/>
              <w:spacing w:line="440" w:lineRule="exact"/>
              <w:jc w:val="center"/>
              <w:rPr>
                <w:rFonts w:cs="宋体"/>
                <w:color w:val="auto"/>
                <w:szCs w:val="21"/>
                <w:highlight w:val="none"/>
              </w:rPr>
            </w:pPr>
            <w:r>
              <w:rPr>
                <w:rFonts w:hint="eastAsia" w:cs="宋体"/>
                <w:color w:val="auto"/>
                <w:szCs w:val="21"/>
                <w:highlight w:val="none"/>
              </w:rPr>
              <w:t>单价（元）</w:t>
            </w:r>
          </w:p>
        </w:tc>
        <w:tc>
          <w:tcPr>
            <w:tcW w:w="781" w:type="pct"/>
            <w:tcBorders>
              <w:top w:val="single" w:color="auto" w:sz="12" w:space="0"/>
              <w:bottom w:val="double" w:color="auto" w:sz="6" w:space="0"/>
            </w:tcBorders>
            <w:vAlign w:val="center"/>
          </w:tcPr>
          <w:p w14:paraId="5CEE16A9">
            <w:pPr>
              <w:keepNext/>
              <w:spacing w:line="440" w:lineRule="exact"/>
              <w:jc w:val="center"/>
              <w:rPr>
                <w:rFonts w:cs="宋体"/>
                <w:color w:val="auto"/>
                <w:szCs w:val="21"/>
                <w:highlight w:val="none"/>
              </w:rPr>
            </w:pPr>
            <w:r>
              <w:rPr>
                <w:rFonts w:hint="eastAsia" w:cs="宋体"/>
                <w:color w:val="auto"/>
                <w:szCs w:val="21"/>
                <w:highlight w:val="none"/>
              </w:rPr>
              <w:t>合价（元）</w:t>
            </w:r>
          </w:p>
        </w:tc>
        <w:tc>
          <w:tcPr>
            <w:tcW w:w="938" w:type="pct"/>
            <w:tcBorders>
              <w:top w:val="single" w:color="auto" w:sz="12" w:space="0"/>
              <w:bottom w:val="double" w:color="auto" w:sz="6" w:space="0"/>
            </w:tcBorders>
            <w:vAlign w:val="center"/>
          </w:tcPr>
          <w:p w14:paraId="34379226">
            <w:pPr>
              <w:keepNext/>
              <w:spacing w:line="440" w:lineRule="exact"/>
              <w:jc w:val="center"/>
              <w:rPr>
                <w:rFonts w:cs="宋体"/>
                <w:color w:val="auto"/>
                <w:szCs w:val="21"/>
                <w:highlight w:val="none"/>
              </w:rPr>
            </w:pPr>
            <w:r>
              <w:rPr>
                <w:rFonts w:hint="eastAsia" w:cs="宋体"/>
                <w:color w:val="auto"/>
                <w:szCs w:val="21"/>
                <w:highlight w:val="none"/>
              </w:rPr>
              <w:t>备注</w:t>
            </w:r>
          </w:p>
        </w:tc>
      </w:tr>
      <w:tr w14:paraId="361113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double" w:color="auto" w:sz="6" w:space="0"/>
            </w:tcBorders>
            <w:vAlign w:val="center"/>
          </w:tcPr>
          <w:p w14:paraId="6F8BB345">
            <w:pPr>
              <w:keepNext/>
              <w:spacing w:line="440" w:lineRule="exact"/>
              <w:jc w:val="center"/>
              <w:rPr>
                <w:rFonts w:cs="宋体"/>
                <w:color w:val="auto"/>
                <w:szCs w:val="21"/>
                <w:highlight w:val="none"/>
              </w:rPr>
            </w:pPr>
          </w:p>
        </w:tc>
        <w:tc>
          <w:tcPr>
            <w:tcW w:w="1094" w:type="pct"/>
            <w:tcBorders>
              <w:top w:val="double" w:color="auto" w:sz="6" w:space="0"/>
            </w:tcBorders>
            <w:vAlign w:val="center"/>
          </w:tcPr>
          <w:p w14:paraId="169EE924">
            <w:pPr>
              <w:keepNext/>
              <w:spacing w:line="440" w:lineRule="exact"/>
              <w:jc w:val="center"/>
              <w:rPr>
                <w:rFonts w:cs="宋体"/>
                <w:color w:val="auto"/>
                <w:szCs w:val="21"/>
                <w:highlight w:val="none"/>
              </w:rPr>
            </w:pPr>
          </w:p>
        </w:tc>
        <w:tc>
          <w:tcPr>
            <w:tcW w:w="468" w:type="pct"/>
            <w:tcBorders>
              <w:top w:val="double" w:color="auto" w:sz="6" w:space="0"/>
            </w:tcBorders>
            <w:vAlign w:val="center"/>
          </w:tcPr>
          <w:p w14:paraId="559EADC1">
            <w:pPr>
              <w:keepNext/>
              <w:spacing w:line="440" w:lineRule="exact"/>
              <w:jc w:val="center"/>
              <w:rPr>
                <w:rFonts w:cs="宋体"/>
                <w:color w:val="auto"/>
                <w:szCs w:val="21"/>
                <w:highlight w:val="none"/>
              </w:rPr>
            </w:pPr>
          </w:p>
        </w:tc>
        <w:tc>
          <w:tcPr>
            <w:tcW w:w="426" w:type="pct"/>
            <w:tcBorders>
              <w:top w:val="double" w:color="auto" w:sz="6" w:space="0"/>
            </w:tcBorders>
            <w:vAlign w:val="center"/>
          </w:tcPr>
          <w:p w14:paraId="7E14B389">
            <w:pPr>
              <w:keepNext/>
              <w:spacing w:line="440" w:lineRule="exact"/>
              <w:jc w:val="center"/>
              <w:rPr>
                <w:rFonts w:cs="宋体"/>
                <w:color w:val="auto"/>
                <w:szCs w:val="21"/>
                <w:highlight w:val="none"/>
              </w:rPr>
            </w:pPr>
          </w:p>
        </w:tc>
        <w:tc>
          <w:tcPr>
            <w:tcW w:w="745" w:type="pct"/>
            <w:tcBorders>
              <w:top w:val="double" w:color="auto" w:sz="6" w:space="0"/>
            </w:tcBorders>
            <w:vAlign w:val="center"/>
          </w:tcPr>
          <w:p w14:paraId="3330B3BA">
            <w:pPr>
              <w:keepNext/>
              <w:spacing w:line="440" w:lineRule="exact"/>
              <w:jc w:val="center"/>
              <w:rPr>
                <w:rFonts w:cs="宋体"/>
                <w:color w:val="auto"/>
                <w:szCs w:val="21"/>
                <w:highlight w:val="none"/>
              </w:rPr>
            </w:pPr>
          </w:p>
        </w:tc>
        <w:tc>
          <w:tcPr>
            <w:tcW w:w="781" w:type="pct"/>
            <w:tcBorders>
              <w:top w:val="double" w:color="auto" w:sz="6" w:space="0"/>
            </w:tcBorders>
            <w:vAlign w:val="center"/>
          </w:tcPr>
          <w:p w14:paraId="0973A063">
            <w:pPr>
              <w:keepNext/>
              <w:spacing w:line="440" w:lineRule="exact"/>
              <w:jc w:val="center"/>
              <w:rPr>
                <w:rFonts w:cs="宋体"/>
                <w:color w:val="auto"/>
                <w:szCs w:val="21"/>
                <w:highlight w:val="none"/>
              </w:rPr>
            </w:pPr>
          </w:p>
        </w:tc>
        <w:tc>
          <w:tcPr>
            <w:tcW w:w="938" w:type="pct"/>
            <w:tcBorders>
              <w:top w:val="double" w:color="auto" w:sz="6" w:space="0"/>
            </w:tcBorders>
            <w:vAlign w:val="center"/>
          </w:tcPr>
          <w:p w14:paraId="000903A0">
            <w:pPr>
              <w:keepNext/>
              <w:spacing w:line="440" w:lineRule="exact"/>
              <w:jc w:val="center"/>
              <w:rPr>
                <w:rFonts w:cs="宋体"/>
                <w:color w:val="auto"/>
                <w:szCs w:val="21"/>
                <w:highlight w:val="none"/>
              </w:rPr>
            </w:pPr>
          </w:p>
        </w:tc>
      </w:tr>
      <w:tr w14:paraId="1135BC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nil"/>
            </w:tcBorders>
            <w:vAlign w:val="center"/>
          </w:tcPr>
          <w:p w14:paraId="27AD21FF">
            <w:pPr>
              <w:keepNext/>
              <w:spacing w:line="440" w:lineRule="exact"/>
              <w:jc w:val="center"/>
              <w:rPr>
                <w:rFonts w:cs="宋体"/>
                <w:color w:val="auto"/>
                <w:szCs w:val="21"/>
                <w:highlight w:val="none"/>
              </w:rPr>
            </w:pPr>
          </w:p>
        </w:tc>
        <w:tc>
          <w:tcPr>
            <w:tcW w:w="1094" w:type="pct"/>
            <w:tcBorders>
              <w:top w:val="nil"/>
            </w:tcBorders>
            <w:vAlign w:val="center"/>
          </w:tcPr>
          <w:p w14:paraId="3EFFB536">
            <w:pPr>
              <w:keepNext/>
              <w:spacing w:line="440" w:lineRule="exact"/>
              <w:jc w:val="center"/>
              <w:rPr>
                <w:rFonts w:cs="宋体"/>
                <w:color w:val="auto"/>
                <w:szCs w:val="21"/>
                <w:highlight w:val="none"/>
              </w:rPr>
            </w:pPr>
          </w:p>
        </w:tc>
        <w:tc>
          <w:tcPr>
            <w:tcW w:w="468" w:type="pct"/>
            <w:tcBorders>
              <w:top w:val="nil"/>
            </w:tcBorders>
            <w:vAlign w:val="center"/>
          </w:tcPr>
          <w:p w14:paraId="6ABFA5F4">
            <w:pPr>
              <w:keepNext/>
              <w:spacing w:line="440" w:lineRule="exact"/>
              <w:jc w:val="center"/>
              <w:rPr>
                <w:rFonts w:cs="宋体"/>
                <w:color w:val="auto"/>
                <w:szCs w:val="21"/>
                <w:highlight w:val="none"/>
              </w:rPr>
            </w:pPr>
          </w:p>
        </w:tc>
        <w:tc>
          <w:tcPr>
            <w:tcW w:w="426" w:type="pct"/>
            <w:tcBorders>
              <w:top w:val="nil"/>
            </w:tcBorders>
            <w:vAlign w:val="center"/>
          </w:tcPr>
          <w:p w14:paraId="00428110">
            <w:pPr>
              <w:keepNext/>
              <w:spacing w:line="440" w:lineRule="exact"/>
              <w:jc w:val="center"/>
              <w:rPr>
                <w:rFonts w:cs="宋体"/>
                <w:color w:val="auto"/>
                <w:szCs w:val="21"/>
                <w:highlight w:val="none"/>
              </w:rPr>
            </w:pPr>
          </w:p>
        </w:tc>
        <w:tc>
          <w:tcPr>
            <w:tcW w:w="745" w:type="pct"/>
            <w:tcBorders>
              <w:top w:val="nil"/>
            </w:tcBorders>
            <w:vAlign w:val="center"/>
          </w:tcPr>
          <w:p w14:paraId="2BD91C9C">
            <w:pPr>
              <w:keepNext/>
              <w:spacing w:line="440" w:lineRule="exact"/>
              <w:jc w:val="center"/>
              <w:rPr>
                <w:rFonts w:cs="宋体"/>
                <w:color w:val="auto"/>
                <w:szCs w:val="21"/>
                <w:highlight w:val="none"/>
              </w:rPr>
            </w:pPr>
          </w:p>
        </w:tc>
        <w:tc>
          <w:tcPr>
            <w:tcW w:w="781" w:type="pct"/>
            <w:tcBorders>
              <w:top w:val="nil"/>
            </w:tcBorders>
            <w:vAlign w:val="center"/>
          </w:tcPr>
          <w:p w14:paraId="0EAAF22D">
            <w:pPr>
              <w:keepNext/>
              <w:spacing w:line="440" w:lineRule="exact"/>
              <w:jc w:val="center"/>
              <w:rPr>
                <w:rFonts w:cs="宋体"/>
                <w:color w:val="auto"/>
                <w:szCs w:val="21"/>
                <w:highlight w:val="none"/>
              </w:rPr>
            </w:pPr>
          </w:p>
        </w:tc>
        <w:tc>
          <w:tcPr>
            <w:tcW w:w="938" w:type="pct"/>
            <w:tcBorders>
              <w:top w:val="nil"/>
            </w:tcBorders>
            <w:vAlign w:val="center"/>
          </w:tcPr>
          <w:p w14:paraId="1CCC70BC">
            <w:pPr>
              <w:keepNext/>
              <w:spacing w:line="440" w:lineRule="exact"/>
              <w:jc w:val="center"/>
              <w:rPr>
                <w:rFonts w:cs="宋体"/>
                <w:color w:val="auto"/>
                <w:szCs w:val="21"/>
                <w:highlight w:val="none"/>
              </w:rPr>
            </w:pPr>
          </w:p>
        </w:tc>
      </w:tr>
      <w:tr w14:paraId="55F3DD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14:paraId="41AE547E">
            <w:pPr>
              <w:keepNext/>
              <w:spacing w:line="440" w:lineRule="exact"/>
              <w:jc w:val="center"/>
              <w:rPr>
                <w:rFonts w:cs="宋体"/>
                <w:color w:val="auto"/>
                <w:szCs w:val="21"/>
                <w:highlight w:val="none"/>
              </w:rPr>
            </w:pPr>
          </w:p>
        </w:tc>
        <w:tc>
          <w:tcPr>
            <w:tcW w:w="1094" w:type="pct"/>
            <w:vAlign w:val="center"/>
          </w:tcPr>
          <w:p w14:paraId="29AB2999">
            <w:pPr>
              <w:keepNext/>
              <w:spacing w:line="440" w:lineRule="exact"/>
              <w:jc w:val="center"/>
              <w:rPr>
                <w:rFonts w:cs="宋体"/>
                <w:color w:val="auto"/>
                <w:szCs w:val="21"/>
                <w:highlight w:val="none"/>
              </w:rPr>
            </w:pPr>
          </w:p>
        </w:tc>
        <w:tc>
          <w:tcPr>
            <w:tcW w:w="468" w:type="pct"/>
            <w:vAlign w:val="center"/>
          </w:tcPr>
          <w:p w14:paraId="4F1F84F4">
            <w:pPr>
              <w:keepNext/>
              <w:spacing w:line="440" w:lineRule="exact"/>
              <w:jc w:val="center"/>
              <w:rPr>
                <w:rFonts w:cs="宋体"/>
                <w:color w:val="auto"/>
                <w:szCs w:val="21"/>
                <w:highlight w:val="none"/>
              </w:rPr>
            </w:pPr>
          </w:p>
        </w:tc>
        <w:tc>
          <w:tcPr>
            <w:tcW w:w="426" w:type="pct"/>
            <w:vAlign w:val="center"/>
          </w:tcPr>
          <w:p w14:paraId="620A55C0">
            <w:pPr>
              <w:keepNext/>
              <w:spacing w:line="440" w:lineRule="exact"/>
              <w:jc w:val="center"/>
              <w:rPr>
                <w:rFonts w:cs="宋体"/>
                <w:color w:val="auto"/>
                <w:szCs w:val="21"/>
                <w:highlight w:val="none"/>
              </w:rPr>
            </w:pPr>
          </w:p>
        </w:tc>
        <w:tc>
          <w:tcPr>
            <w:tcW w:w="745" w:type="pct"/>
            <w:vAlign w:val="center"/>
          </w:tcPr>
          <w:p w14:paraId="647FD0D9">
            <w:pPr>
              <w:keepNext/>
              <w:spacing w:line="440" w:lineRule="exact"/>
              <w:jc w:val="center"/>
              <w:rPr>
                <w:rFonts w:cs="宋体"/>
                <w:color w:val="auto"/>
                <w:szCs w:val="21"/>
                <w:highlight w:val="none"/>
              </w:rPr>
            </w:pPr>
          </w:p>
        </w:tc>
        <w:tc>
          <w:tcPr>
            <w:tcW w:w="781" w:type="pct"/>
            <w:vAlign w:val="center"/>
          </w:tcPr>
          <w:p w14:paraId="601CBF85">
            <w:pPr>
              <w:keepNext/>
              <w:spacing w:line="440" w:lineRule="exact"/>
              <w:jc w:val="center"/>
              <w:rPr>
                <w:rFonts w:cs="宋体"/>
                <w:color w:val="auto"/>
                <w:szCs w:val="21"/>
                <w:highlight w:val="none"/>
              </w:rPr>
            </w:pPr>
          </w:p>
        </w:tc>
        <w:tc>
          <w:tcPr>
            <w:tcW w:w="938" w:type="pct"/>
            <w:vAlign w:val="center"/>
          </w:tcPr>
          <w:p w14:paraId="2F6FFD52">
            <w:pPr>
              <w:keepNext/>
              <w:spacing w:line="440" w:lineRule="exact"/>
              <w:jc w:val="center"/>
              <w:rPr>
                <w:rFonts w:cs="宋体"/>
                <w:color w:val="auto"/>
                <w:szCs w:val="21"/>
                <w:highlight w:val="none"/>
              </w:rPr>
            </w:pPr>
          </w:p>
        </w:tc>
      </w:tr>
      <w:tr w14:paraId="6C418F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bottom w:val="single" w:color="auto" w:sz="12" w:space="0"/>
            </w:tcBorders>
            <w:vAlign w:val="center"/>
          </w:tcPr>
          <w:p w14:paraId="02D81134">
            <w:pPr>
              <w:keepNext/>
              <w:spacing w:line="440" w:lineRule="exact"/>
              <w:jc w:val="center"/>
              <w:rPr>
                <w:rFonts w:cs="宋体"/>
                <w:color w:val="auto"/>
                <w:szCs w:val="21"/>
                <w:highlight w:val="none"/>
              </w:rPr>
            </w:pPr>
          </w:p>
        </w:tc>
        <w:tc>
          <w:tcPr>
            <w:tcW w:w="1094" w:type="pct"/>
            <w:tcBorders>
              <w:bottom w:val="single" w:color="auto" w:sz="12" w:space="0"/>
            </w:tcBorders>
            <w:vAlign w:val="center"/>
          </w:tcPr>
          <w:p w14:paraId="7562919A">
            <w:pPr>
              <w:keepNext/>
              <w:spacing w:line="440" w:lineRule="exact"/>
              <w:jc w:val="center"/>
              <w:rPr>
                <w:rFonts w:cs="宋体"/>
                <w:color w:val="auto"/>
                <w:szCs w:val="21"/>
                <w:highlight w:val="none"/>
              </w:rPr>
            </w:pPr>
          </w:p>
        </w:tc>
        <w:tc>
          <w:tcPr>
            <w:tcW w:w="468" w:type="pct"/>
            <w:tcBorders>
              <w:bottom w:val="single" w:color="auto" w:sz="12" w:space="0"/>
            </w:tcBorders>
            <w:vAlign w:val="center"/>
          </w:tcPr>
          <w:p w14:paraId="6F46E411">
            <w:pPr>
              <w:keepNext/>
              <w:spacing w:line="440" w:lineRule="exact"/>
              <w:jc w:val="center"/>
              <w:rPr>
                <w:rFonts w:cs="宋体"/>
                <w:color w:val="auto"/>
                <w:szCs w:val="21"/>
                <w:highlight w:val="none"/>
              </w:rPr>
            </w:pPr>
          </w:p>
        </w:tc>
        <w:tc>
          <w:tcPr>
            <w:tcW w:w="426" w:type="pct"/>
            <w:tcBorders>
              <w:bottom w:val="single" w:color="auto" w:sz="12" w:space="0"/>
            </w:tcBorders>
            <w:vAlign w:val="center"/>
          </w:tcPr>
          <w:p w14:paraId="161A7B4B">
            <w:pPr>
              <w:keepNext/>
              <w:spacing w:line="440" w:lineRule="exact"/>
              <w:jc w:val="center"/>
              <w:rPr>
                <w:rFonts w:cs="宋体"/>
                <w:color w:val="auto"/>
                <w:szCs w:val="21"/>
                <w:highlight w:val="none"/>
              </w:rPr>
            </w:pPr>
          </w:p>
        </w:tc>
        <w:tc>
          <w:tcPr>
            <w:tcW w:w="745" w:type="pct"/>
            <w:tcBorders>
              <w:bottom w:val="single" w:color="auto" w:sz="12" w:space="0"/>
            </w:tcBorders>
            <w:vAlign w:val="center"/>
          </w:tcPr>
          <w:p w14:paraId="50405C40">
            <w:pPr>
              <w:keepNext/>
              <w:spacing w:line="440" w:lineRule="exact"/>
              <w:jc w:val="center"/>
              <w:rPr>
                <w:rFonts w:cs="宋体"/>
                <w:color w:val="auto"/>
                <w:szCs w:val="21"/>
                <w:highlight w:val="none"/>
              </w:rPr>
            </w:pPr>
          </w:p>
        </w:tc>
        <w:tc>
          <w:tcPr>
            <w:tcW w:w="781" w:type="pct"/>
            <w:tcBorders>
              <w:bottom w:val="single" w:color="auto" w:sz="12" w:space="0"/>
            </w:tcBorders>
            <w:vAlign w:val="center"/>
          </w:tcPr>
          <w:p w14:paraId="00F58B5C">
            <w:pPr>
              <w:keepNext/>
              <w:spacing w:line="440" w:lineRule="exact"/>
              <w:jc w:val="center"/>
              <w:rPr>
                <w:rFonts w:cs="宋体"/>
                <w:color w:val="auto"/>
                <w:szCs w:val="21"/>
                <w:highlight w:val="none"/>
              </w:rPr>
            </w:pPr>
          </w:p>
        </w:tc>
        <w:tc>
          <w:tcPr>
            <w:tcW w:w="938" w:type="pct"/>
            <w:tcBorders>
              <w:bottom w:val="single" w:color="auto" w:sz="12" w:space="0"/>
            </w:tcBorders>
            <w:vAlign w:val="center"/>
          </w:tcPr>
          <w:p w14:paraId="32016D8A">
            <w:pPr>
              <w:keepNext/>
              <w:spacing w:line="440" w:lineRule="exact"/>
              <w:jc w:val="center"/>
              <w:rPr>
                <w:rFonts w:cs="宋体"/>
                <w:color w:val="auto"/>
                <w:szCs w:val="21"/>
                <w:highlight w:val="none"/>
              </w:rPr>
            </w:pPr>
          </w:p>
        </w:tc>
      </w:tr>
    </w:tbl>
    <w:p w14:paraId="57E27BF7">
      <w:pPr>
        <w:rPr>
          <w:rFonts w:cs="宋体"/>
          <w:color w:val="auto"/>
          <w:szCs w:val="21"/>
          <w:highlight w:val="none"/>
        </w:rPr>
      </w:pPr>
    </w:p>
    <w:p w14:paraId="10798F5A">
      <w:pPr>
        <w:spacing w:before="312" w:beforeLines="100" w:after="312" w:afterLines="100"/>
        <w:outlineLvl w:val="2"/>
        <w:rPr>
          <w:rFonts w:ascii="Times New Roman" w:eastAsia="黑体"/>
          <w:color w:val="auto"/>
          <w:szCs w:val="24"/>
          <w:highlight w:val="none"/>
        </w:rPr>
      </w:pPr>
      <w:r>
        <w:rPr>
          <w:rFonts w:hint="eastAsia" w:cs="宋体"/>
          <w:bCs/>
          <w:color w:val="auto"/>
          <w:highlight w:val="none"/>
        </w:rPr>
        <w:br w:type="page"/>
      </w:r>
      <w:bookmarkStart w:id="649" w:name="_Toc128950248"/>
      <w:r>
        <w:rPr>
          <w:rFonts w:hint="eastAsia" w:ascii="Times New Roman" w:eastAsia="黑体"/>
          <w:color w:val="auto"/>
          <w:szCs w:val="24"/>
          <w:highlight w:val="none"/>
        </w:rPr>
        <w:t>附件13：安全生产合同</w:t>
      </w:r>
      <w:bookmarkEnd w:id="649"/>
    </w:p>
    <w:p w14:paraId="48073097">
      <w:pPr>
        <w:spacing w:before="156" w:beforeLines="50" w:after="156" w:afterLines="50" w:line="360" w:lineRule="auto"/>
        <w:jc w:val="center"/>
        <w:rPr>
          <w:rFonts w:cs="宋体"/>
          <w:b/>
          <w:color w:val="auto"/>
          <w:sz w:val="32"/>
          <w:szCs w:val="32"/>
          <w:highlight w:val="none"/>
        </w:rPr>
      </w:pPr>
      <w:bookmarkStart w:id="650" w:name="_Toc11475"/>
      <w:bookmarkStart w:id="651" w:name="_Toc23792"/>
      <w:r>
        <w:rPr>
          <w:rFonts w:hint="eastAsia" w:cs="宋体"/>
          <w:b/>
          <w:color w:val="auto"/>
          <w:sz w:val="32"/>
          <w:szCs w:val="32"/>
          <w:highlight w:val="none"/>
        </w:rPr>
        <w:t>安全生产合同</w:t>
      </w:r>
      <w:bookmarkEnd w:id="650"/>
      <w:bookmarkEnd w:id="651"/>
    </w:p>
    <w:p w14:paraId="54747FBE">
      <w:pPr>
        <w:spacing w:line="360" w:lineRule="auto"/>
        <w:ind w:firstLine="420" w:firstLineChars="200"/>
        <w:rPr>
          <w:rFonts w:cs="宋体"/>
          <w:color w:val="auto"/>
          <w:sz w:val="21"/>
          <w:szCs w:val="21"/>
          <w:highlight w:val="none"/>
        </w:rPr>
      </w:pPr>
      <w:r>
        <w:rPr>
          <w:rFonts w:hint="eastAsia" w:cs="宋体"/>
          <w:color w:val="auto"/>
          <w:sz w:val="21"/>
          <w:szCs w:val="21"/>
          <w:highlight w:val="none"/>
        </w:rPr>
        <w:t>为在</w:t>
      </w:r>
      <w:r>
        <w:rPr>
          <w:rFonts w:hint="eastAsia" w:cs="宋体"/>
          <w:color w:val="auto"/>
          <w:sz w:val="21"/>
          <w:szCs w:val="21"/>
          <w:highlight w:val="none"/>
          <w:u w:val="single"/>
          <w:lang w:val="en-US" w:eastAsia="zh-CN"/>
        </w:rPr>
        <w:t>花园路上跨京沪铁路枢纽项目附属配套绿化工程</w:t>
      </w:r>
      <w:r>
        <w:rPr>
          <w:rFonts w:hint="eastAsia" w:cs="宋体"/>
          <w:color w:val="auto"/>
          <w:sz w:val="21"/>
          <w:szCs w:val="21"/>
          <w:highlight w:val="none"/>
        </w:rPr>
        <w:t>（项目名称）施工合同的实施过程中创造安全、高效的施工环境，切实搞好本项目的安全管理工作，本项目发包人</w:t>
      </w:r>
      <w:r>
        <w:rPr>
          <w:rFonts w:hint="eastAsia" w:cs="宋体"/>
          <w:color w:val="auto"/>
          <w:sz w:val="21"/>
          <w:szCs w:val="21"/>
          <w:highlight w:val="none"/>
          <w:u w:val="single"/>
        </w:rPr>
        <w:t xml:space="preserve">       </w:t>
      </w:r>
      <w:r>
        <w:rPr>
          <w:rFonts w:hint="eastAsia" w:cs="宋体"/>
          <w:color w:val="auto"/>
          <w:sz w:val="21"/>
          <w:szCs w:val="21"/>
          <w:highlight w:val="none"/>
        </w:rPr>
        <w:t>（发包人名称，以下简称“发包人”）与承包人</w:t>
      </w:r>
      <w:r>
        <w:rPr>
          <w:rFonts w:hint="eastAsia" w:cs="宋体"/>
          <w:color w:val="auto"/>
          <w:sz w:val="21"/>
          <w:szCs w:val="21"/>
          <w:highlight w:val="none"/>
          <w:u w:val="single"/>
        </w:rPr>
        <w:t xml:space="preserve">         </w:t>
      </w:r>
      <w:r>
        <w:rPr>
          <w:rFonts w:hint="eastAsia" w:cs="宋体"/>
          <w:color w:val="auto"/>
          <w:sz w:val="21"/>
          <w:szCs w:val="21"/>
          <w:highlight w:val="none"/>
        </w:rPr>
        <w:t>（承包人名称，以下简称“承包人”）特此签订安全生产合同：</w:t>
      </w:r>
    </w:p>
    <w:p w14:paraId="49A407BA">
      <w:pPr>
        <w:spacing w:line="360" w:lineRule="auto"/>
        <w:ind w:firstLine="420" w:firstLineChars="200"/>
        <w:rPr>
          <w:rFonts w:cs="宋体"/>
          <w:color w:val="auto"/>
          <w:sz w:val="21"/>
          <w:szCs w:val="21"/>
          <w:highlight w:val="none"/>
        </w:rPr>
      </w:pPr>
      <w:r>
        <w:rPr>
          <w:rFonts w:hint="eastAsia" w:cs="宋体"/>
          <w:color w:val="auto"/>
          <w:sz w:val="21"/>
          <w:szCs w:val="21"/>
          <w:highlight w:val="none"/>
        </w:rPr>
        <w:t>1.发包人职责</w:t>
      </w:r>
    </w:p>
    <w:p w14:paraId="379286BA">
      <w:pPr>
        <w:spacing w:line="360" w:lineRule="auto"/>
        <w:ind w:firstLine="420" w:firstLineChars="200"/>
        <w:rPr>
          <w:rFonts w:cs="宋体"/>
          <w:color w:val="auto"/>
          <w:sz w:val="21"/>
          <w:szCs w:val="21"/>
          <w:highlight w:val="none"/>
        </w:rPr>
      </w:pPr>
      <w:r>
        <w:rPr>
          <w:rFonts w:hint="eastAsia" w:cs="宋体"/>
          <w:color w:val="auto"/>
          <w:sz w:val="21"/>
          <w:szCs w:val="21"/>
          <w:highlight w:val="none"/>
        </w:rPr>
        <w:t>（1）严格遵守国家有关安全生产的法律法规，认真执行工程承包合同中的有关安全要求。</w:t>
      </w:r>
    </w:p>
    <w:p w14:paraId="7C858D2C">
      <w:pPr>
        <w:spacing w:line="360" w:lineRule="auto"/>
        <w:ind w:firstLine="420" w:firstLineChars="200"/>
        <w:rPr>
          <w:rFonts w:cs="宋体"/>
          <w:color w:val="auto"/>
          <w:sz w:val="21"/>
          <w:szCs w:val="21"/>
          <w:highlight w:val="none"/>
        </w:rPr>
      </w:pPr>
      <w:r>
        <w:rPr>
          <w:rFonts w:hint="eastAsia" w:cs="宋体"/>
          <w:color w:val="auto"/>
          <w:sz w:val="21"/>
          <w:szCs w:val="21"/>
          <w:highlight w:val="none"/>
        </w:rPr>
        <w:t>（2）按照“安全第一、预防为主”和坚持“管生产必须管安全”的原则进行安全生产管理，做到生产与安全工作同时计划、布置、检查、总结和评比。</w:t>
      </w:r>
    </w:p>
    <w:p w14:paraId="443670DC">
      <w:pPr>
        <w:spacing w:line="360" w:lineRule="auto"/>
        <w:ind w:firstLine="420" w:firstLineChars="200"/>
        <w:rPr>
          <w:rFonts w:cs="宋体"/>
          <w:color w:val="auto"/>
          <w:sz w:val="21"/>
          <w:szCs w:val="21"/>
          <w:highlight w:val="none"/>
        </w:rPr>
      </w:pPr>
      <w:r>
        <w:rPr>
          <w:rFonts w:hint="eastAsia" w:cs="宋体"/>
          <w:color w:val="auto"/>
          <w:sz w:val="21"/>
          <w:szCs w:val="21"/>
          <w:highlight w:val="none"/>
        </w:rPr>
        <w:t>（3）重要的安全设施必须坚持与主体工程“三同时”的原则，即：同时设计、审批，同时施工，同时验收，投入使用。</w:t>
      </w:r>
    </w:p>
    <w:p w14:paraId="64A0A0E3">
      <w:pPr>
        <w:spacing w:line="360" w:lineRule="auto"/>
        <w:ind w:firstLine="420" w:firstLineChars="200"/>
        <w:rPr>
          <w:rFonts w:cs="宋体"/>
          <w:color w:val="auto"/>
          <w:sz w:val="21"/>
          <w:szCs w:val="21"/>
          <w:highlight w:val="none"/>
        </w:rPr>
      </w:pPr>
      <w:r>
        <w:rPr>
          <w:rFonts w:hint="eastAsia" w:cs="宋体"/>
          <w:color w:val="auto"/>
          <w:sz w:val="21"/>
          <w:szCs w:val="21"/>
          <w:highlight w:val="none"/>
        </w:rPr>
        <w:t>（4）定期召开安全生产调度会，及时传达中央及地方有关安全生产的精神。</w:t>
      </w:r>
    </w:p>
    <w:p w14:paraId="1112927D">
      <w:pPr>
        <w:spacing w:line="360" w:lineRule="auto"/>
        <w:ind w:firstLine="420" w:firstLineChars="200"/>
        <w:rPr>
          <w:rFonts w:cs="宋体"/>
          <w:color w:val="auto"/>
          <w:sz w:val="21"/>
          <w:szCs w:val="21"/>
          <w:highlight w:val="none"/>
        </w:rPr>
      </w:pPr>
      <w:r>
        <w:rPr>
          <w:rFonts w:hint="eastAsia" w:cs="宋体"/>
          <w:color w:val="auto"/>
          <w:sz w:val="21"/>
          <w:szCs w:val="21"/>
          <w:highlight w:val="none"/>
        </w:rPr>
        <w:t>（5）组织对承包人施工现场安全生产检查，监督承包人及时处理发现的各种安全隐患。</w:t>
      </w:r>
    </w:p>
    <w:p w14:paraId="3F43EE03">
      <w:pPr>
        <w:spacing w:line="360" w:lineRule="auto"/>
        <w:ind w:firstLine="420" w:firstLineChars="200"/>
        <w:rPr>
          <w:rFonts w:cs="宋体"/>
          <w:color w:val="auto"/>
          <w:sz w:val="21"/>
          <w:szCs w:val="21"/>
          <w:highlight w:val="none"/>
        </w:rPr>
      </w:pPr>
      <w:r>
        <w:rPr>
          <w:rFonts w:hint="eastAsia" w:cs="宋体"/>
          <w:color w:val="auto"/>
          <w:sz w:val="21"/>
          <w:szCs w:val="21"/>
          <w:highlight w:val="none"/>
        </w:rPr>
        <w:t>2.承包人职责</w:t>
      </w:r>
    </w:p>
    <w:p w14:paraId="7142A3B4">
      <w:pPr>
        <w:spacing w:line="360" w:lineRule="auto"/>
        <w:ind w:firstLine="420" w:firstLineChars="200"/>
        <w:rPr>
          <w:rFonts w:cs="宋体"/>
          <w:color w:val="auto"/>
          <w:sz w:val="21"/>
          <w:szCs w:val="21"/>
          <w:highlight w:val="none"/>
        </w:rPr>
      </w:pPr>
      <w:r>
        <w:rPr>
          <w:rFonts w:hint="eastAsia" w:cs="宋体"/>
          <w:color w:val="auto"/>
          <w:sz w:val="21"/>
          <w:szCs w:val="21"/>
          <w:highlight w:val="none"/>
        </w:rPr>
        <w:t>（1）严格遵守《中华人民共和国安全生产法》《建设工程安全生产管理条例》等国家有关安全生产的法律法规、《建设项目安全设施“三同时”监督管理办法》等有关安全生产的规定。认真执行工程承包合同中的有关安全要求。</w:t>
      </w:r>
    </w:p>
    <w:p w14:paraId="6399985C">
      <w:pPr>
        <w:spacing w:line="360" w:lineRule="auto"/>
        <w:ind w:firstLine="420" w:firstLineChars="200"/>
        <w:rPr>
          <w:rFonts w:cs="宋体"/>
          <w:color w:val="auto"/>
          <w:sz w:val="21"/>
          <w:szCs w:val="21"/>
          <w:highlight w:val="none"/>
        </w:rPr>
      </w:pPr>
      <w:r>
        <w:rPr>
          <w:rFonts w:hint="eastAsia" w:cs="宋体"/>
          <w:color w:val="auto"/>
          <w:sz w:val="21"/>
          <w:szCs w:val="21"/>
          <w:highlight w:val="none"/>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2C51F830">
      <w:pPr>
        <w:spacing w:line="360" w:lineRule="auto"/>
        <w:ind w:firstLine="420" w:firstLineChars="200"/>
        <w:rPr>
          <w:rFonts w:cs="宋体"/>
          <w:color w:val="auto"/>
          <w:sz w:val="21"/>
          <w:szCs w:val="21"/>
          <w:highlight w:val="none"/>
        </w:rPr>
      </w:pPr>
      <w:r>
        <w:rPr>
          <w:rFonts w:hint="eastAsia" w:cs="宋体"/>
          <w:color w:val="auto"/>
          <w:sz w:val="21"/>
          <w:szCs w:val="21"/>
          <w:highlight w:val="none"/>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管理条例》及有关规定的配备专职安全生产管理人员，专职负责所有员工的安全和治安保卫工作及预防事故的发生。安全机构人员有权按有关规定发布指令，并采取保护性措施防止事故发生。</w:t>
      </w:r>
    </w:p>
    <w:p w14:paraId="36227972">
      <w:pPr>
        <w:spacing w:line="360" w:lineRule="auto"/>
        <w:ind w:firstLine="420" w:firstLineChars="200"/>
        <w:rPr>
          <w:rFonts w:cs="宋体"/>
          <w:color w:val="auto"/>
          <w:sz w:val="21"/>
          <w:szCs w:val="21"/>
          <w:highlight w:val="none"/>
        </w:rPr>
      </w:pPr>
      <w:r>
        <w:rPr>
          <w:rFonts w:hint="eastAsia" w:cs="宋体"/>
          <w:color w:val="auto"/>
          <w:sz w:val="21"/>
          <w:szCs w:val="21"/>
          <w:highlight w:val="none"/>
        </w:rPr>
        <w:t>（4）承包人在任何时候都应采取各种合理的预防措施，防止其员工发生任何违法、违禁、暴力或妨碍治安的行为。</w:t>
      </w:r>
    </w:p>
    <w:p w14:paraId="7D3A0890">
      <w:pPr>
        <w:spacing w:line="360" w:lineRule="auto"/>
        <w:ind w:firstLine="420" w:firstLineChars="200"/>
        <w:rPr>
          <w:rFonts w:cs="宋体"/>
          <w:color w:val="auto"/>
          <w:sz w:val="21"/>
          <w:szCs w:val="21"/>
          <w:highlight w:val="none"/>
        </w:rPr>
      </w:pPr>
      <w:r>
        <w:rPr>
          <w:rFonts w:hint="eastAsia" w:cs="宋体"/>
          <w:color w:val="auto"/>
          <w:sz w:val="21"/>
          <w:szCs w:val="21"/>
          <w:highlight w:val="none"/>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69119B71">
      <w:pPr>
        <w:spacing w:line="360" w:lineRule="auto"/>
        <w:ind w:firstLine="420" w:firstLineChars="200"/>
        <w:rPr>
          <w:rFonts w:cs="宋体"/>
          <w:color w:val="auto"/>
          <w:sz w:val="21"/>
          <w:szCs w:val="21"/>
          <w:highlight w:val="none"/>
        </w:rPr>
      </w:pPr>
      <w:r>
        <w:rPr>
          <w:rFonts w:hint="eastAsia" w:cs="宋体"/>
          <w:color w:val="auto"/>
          <w:sz w:val="21"/>
          <w:szCs w:val="21"/>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0DA08AEC">
      <w:pPr>
        <w:spacing w:line="360" w:lineRule="auto"/>
        <w:ind w:firstLine="420" w:firstLineChars="200"/>
        <w:rPr>
          <w:rFonts w:cs="宋体"/>
          <w:color w:val="auto"/>
          <w:sz w:val="21"/>
          <w:szCs w:val="21"/>
          <w:highlight w:val="none"/>
        </w:rPr>
      </w:pPr>
      <w:r>
        <w:rPr>
          <w:rFonts w:hint="eastAsia" w:cs="宋体"/>
          <w:color w:val="auto"/>
          <w:sz w:val="21"/>
          <w:szCs w:val="21"/>
          <w:highlight w:val="none"/>
        </w:rPr>
        <w:t>（7）操作人员上岗，必须按规定穿戴防护用品。施工负责人和安全检查员应随时检查劳动防护用品的穿戴情况，不按规定穿戴防护用品的人员不得上岗。</w:t>
      </w:r>
    </w:p>
    <w:p w14:paraId="24A6042C">
      <w:pPr>
        <w:spacing w:line="360" w:lineRule="auto"/>
        <w:ind w:firstLine="420" w:firstLineChars="200"/>
        <w:rPr>
          <w:rFonts w:cs="宋体"/>
          <w:color w:val="auto"/>
          <w:sz w:val="21"/>
          <w:szCs w:val="21"/>
          <w:highlight w:val="none"/>
        </w:rPr>
      </w:pPr>
      <w:r>
        <w:rPr>
          <w:rFonts w:hint="eastAsia" w:cs="宋体"/>
          <w:color w:val="auto"/>
          <w:sz w:val="21"/>
          <w:szCs w:val="21"/>
          <w:highlight w:val="none"/>
        </w:rPr>
        <w:t>（8）所有施工机具设备和高空作业的设备均应定期检查，并有安全员的签字记录，保证其经常处于完好状态；不合格的机具、设备和劳动保护用品严禁使用：</w:t>
      </w:r>
    </w:p>
    <w:p w14:paraId="7A0F0977">
      <w:pPr>
        <w:spacing w:line="360" w:lineRule="auto"/>
        <w:ind w:firstLine="420" w:firstLineChars="200"/>
        <w:rPr>
          <w:rFonts w:cs="宋体"/>
          <w:color w:val="auto"/>
          <w:sz w:val="21"/>
          <w:szCs w:val="21"/>
          <w:highlight w:val="none"/>
        </w:rPr>
      </w:pPr>
      <w:r>
        <w:rPr>
          <w:rFonts w:hint="eastAsia" w:cs="宋体"/>
          <w:color w:val="auto"/>
          <w:sz w:val="21"/>
          <w:szCs w:val="21"/>
          <w:highlight w:val="none"/>
        </w:rPr>
        <w:t>（9）施工中采用新技术、新工艺、新设备、新材料时，必须制定相应的安全技术措施，施工现场必须具有相关的安全标志牌。</w:t>
      </w:r>
    </w:p>
    <w:p w14:paraId="00ED9EDB">
      <w:pPr>
        <w:spacing w:line="360" w:lineRule="auto"/>
        <w:ind w:firstLine="420" w:firstLineChars="200"/>
        <w:rPr>
          <w:rFonts w:cs="宋体"/>
          <w:color w:val="auto"/>
          <w:sz w:val="21"/>
          <w:szCs w:val="21"/>
          <w:highlight w:val="none"/>
        </w:rPr>
      </w:pPr>
      <w:r>
        <w:rPr>
          <w:rFonts w:hint="eastAsia" w:cs="宋体"/>
          <w:color w:val="auto"/>
          <w:sz w:val="21"/>
          <w:szCs w:val="21"/>
          <w:highlight w:val="none"/>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689008DC">
      <w:pPr>
        <w:spacing w:line="360" w:lineRule="auto"/>
        <w:ind w:firstLine="420" w:firstLineChars="200"/>
        <w:rPr>
          <w:rFonts w:cs="宋体"/>
          <w:color w:val="auto"/>
          <w:sz w:val="21"/>
          <w:szCs w:val="21"/>
          <w:highlight w:val="none"/>
        </w:rPr>
      </w:pPr>
      <w:r>
        <w:rPr>
          <w:rFonts w:hint="eastAsia" w:cs="宋体"/>
          <w:color w:val="auto"/>
          <w:sz w:val="21"/>
          <w:szCs w:val="21"/>
          <w:highlight w:val="none"/>
        </w:rPr>
        <w:t>（11）安全生产费用按照《建设工程安全生产管理条例》的相关规定使用和管理。</w:t>
      </w:r>
    </w:p>
    <w:p w14:paraId="003CC033">
      <w:pPr>
        <w:spacing w:line="360" w:lineRule="auto"/>
        <w:ind w:firstLine="420" w:firstLineChars="200"/>
        <w:rPr>
          <w:rFonts w:cs="宋体"/>
          <w:color w:val="auto"/>
          <w:sz w:val="21"/>
          <w:szCs w:val="21"/>
          <w:highlight w:val="none"/>
        </w:rPr>
      </w:pPr>
      <w:r>
        <w:rPr>
          <w:rFonts w:hint="eastAsia" w:cs="宋体"/>
          <w:color w:val="auto"/>
          <w:sz w:val="21"/>
          <w:szCs w:val="21"/>
          <w:highlight w:val="none"/>
        </w:rPr>
        <w:t>3.违约责任</w:t>
      </w:r>
    </w:p>
    <w:p w14:paraId="1310266B">
      <w:pPr>
        <w:spacing w:line="360" w:lineRule="auto"/>
        <w:ind w:firstLine="420" w:firstLineChars="200"/>
        <w:rPr>
          <w:rFonts w:cs="宋体"/>
          <w:color w:val="auto"/>
          <w:sz w:val="21"/>
          <w:szCs w:val="21"/>
          <w:highlight w:val="none"/>
        </w:rPr>
      </w:pPr>
      <w:r>
        <w:rPr>
          <w:rFonts w:hint="eastAsia" w:cs="宋体"/>
          <w:color w:val="auto"/>
          <w:sz w:val="21"/>
          <w:szCs w:val="21"/>
          <w:highlight w:val="none"/>
        </w:rPr>
        <w:t>如因发包人或承包人违约造成安全事故，将依法追究责任。</w:t>
      </w:r>
    </w:p>
    <w:p w14:paraId="5728F004">
      <w:pPr>
        <w:spacing w:line="360" w:lineRule="auto"/>
        <w:ind w:firstLine="420" w:firstLineChars="200"/>
        <w:rPr>
          <w:rFonts w:cs="宋体"/>
          <w:color w:val="auto"/>
          <w:sz w:val="21"/>
          <w:szCs w:val="21"/>
          <w:highlight w:val="none"/>
        </w:rPr>
      </w:pPr>
      <w:r>
        <w:rPr>
          <w:rFonts w:hint="eastAsia" w:cs="宋体"/>
          <w:color w:val="auto"/>
          <w:sz w:val="21"/>
          <w:szCs w:val="21"/>
          <w:highlight w:val="none"/>
        </w:rPr>
        <w:t>4.本合同由双方法定代表人或其授权的代理人签署并加盖单位章后生效，全部工程竣工验收后失效。</w:t>
      </w:r>
    </w:p>
    <w:p w14:paraId="45EC1BB4">
      <w:pPr>
        <w:spacing w:line="360" w:lineRule="auto"/>
        <w:ind w:firstLine="420" w:firstLineChars="200"/>
        <w:rPr>
          <w:rFonts w:cs="宋体"/>
          <w:color w:val="auto"/>
          <w:sz w:val="21"/>
          <w:szCs w:val="21"/>
          <w:highlight w:val="none"/>
        </w:rPr>
      </w:pPr>
      <w:r>
        <w:rPr>
          <w:rFonts w:hint="eastAsia" w:cs="宋体"/>
          <w:color w:val="auto"/>
          <w:sz w:val="21"/>
          <w:szCs w:val="21"/>
          <w:highlight w:val="none"/>
        </w:rPr>
        <w:t>5.本合同正本—式</w:t>
      </w:r>
      <w:r>
        <w:rPr>
          <w:rFonts w:hint="eastAsia" w:cs="宋体"/>
          <w:color w:val="auto"/>
          <w:sz w:val="21"/>
          <w:szCs w:val="21"/>
          <w:highlight w:val="none"/>
          <w:u w:val="single"/>
        </w:rPr>
        <w:t xml:space="preserve">   </w:t>
      </w:r>
      <w:r>
        <w:rPr>
          <w:rFonts w:hint="eastAsia" w:cs="宋体"/>
          <w:color w:val="auto"/>
          <w:sz w:val="21"/>
          <w:szCs w:val="21"/>
          <w:highlight w:val="none"/>
        </w:rPr>
        <w:t>份，副本</w:t>
      </w:r>
      <w:r>
        <w:rPr>
          <w:rFonts w:hint="eastAsia" w:cs="宋体"/>
          <w:color w:val="auto"/>
          <w:sz w:val="21"/>
          <w:szCs w:val="21"/>
          <w:highlight w:val="none"/>
          <w:u w:val="single"/>
        </w:rPr>
        <w:t xml:space="preserve">  </w:t>
      </w:r>
      <w:r>
        <w:rPr>
          <w:rFonts w:hint="eastAsia" w:cs="宋体"/>
          <w:color w:val="auto"/>
          <w:sz w:val="21"/>
          <w:szCs w:val="21"/>
          <w:highlight w:val="none"/>
        </w:rPr>
        <w:t>份，合同双方各执正本—份，副本</w:t>
      </w:r>
      <w:r>
        <w:rPr>
          <w:rFonts w:hint="eastAsia" w:cs="宋体"/>
          <w:color w:val="auto"/>
          <w:sz w:val="21"/>
          <w:szCs w:val="21"/>
          <w:highlight w:val="none"/>
          <w:u w:val="single"/>
        </w:rPr>
        <w:t xml:space="preserve">  </w:t>
      </w:r>
      <w:r>
        <w:rPr>
          <w:rFonts w:hint="eastAsia" w:cs="宋体"/>
          <w:color w:val="auto"/>
          <w:sz w:val="21"/>
          <w:szCs w:val="21"/>
          <w:highlight w:val="none"/>
        </w:rPr>
        <w:t>份，当正本与副本的内容不一致时，以正本为准。</w:t>
      </w:r>
    </w:p>
    <w:p w14:paraId="0693E976">
      <w:pPr>
        <w:spacing w:line="360" w:lineRule="auto"/>
        <w:rPr>
          <w:rFonts w:cs="宋体"/>
          <w:color w:val="auto"/>
          <w:sz w:val="21"/>
          <w:szCs w:val="21"/>
          <w:highlight w:val="none"/>
        </w:rPr>
      </w:pPr>
    </w:p>
    <w:p w14:paraId="07C1AFFA">
      <w:pPr>
        <w:spacing w:line="360" w:lineRule="auto"/>
        <w:rPr>
          <w:rFonts w:cs="宋体"/>
          <w:color w:val="auto"/>
          <w:sz w:val="21"/>
          <w:szCs w:val="21"/>
          <w:highlight w:val="none"/>
        </w:rPr>
      </w:pPr>
    </w:p>
    <w:p w14:paraId="3CAD722D">
      <w:pPr>
        <w:spacing w:line="360" w:lineRule="auto"/>
        <w:rPr>
          <w:rFonts w:cs="宋体"/>
          <w:color w:val="auto"/>
          <w:sz w:val="21"/>
          <w:szCs w:val="21"/>
          <w:highlight w:val="none"/>
        </w:rPr>
      </w:pPr>
      <w:r>
        <w:rPr>
          <w:rFonts w:hint="eastAsia" w:cs="宋体"/>
          <w:color w:val="auto"/>
          <w:sz w:val="21"/>
          <w:szCs w:val="21"/>
          <w:highlight w:val="none"/>
        </w:rPr>
        <w:t>发包人：</w:t>
      </w:r>
      <w:r>
        <w:rPr>
          <w:rFonts w:hint="eastAsia" w:cs="宋体"/>
          <w:color w:val="auto"/>
          <w:sz w:val="21"/>
          <w:szCs w:val="21"/>
          <w:highlight w:val="none"/>
          <w:u w:val="single"/>
        </w:rPr>
        <w:t xml:space="preserve">            </w:t>
      </w:r>
      <w:r>
        <w:rPr>
          <w:rFonts w:hint="eastAsia" w:cs="宋体"/>
          <w:color w:val="auto"/>
          <w:sz w:val="21"/>
          <w:szCs w:val="21"/>
          <w:highlight w:val="none"/>
        </w:rPr>
        <w:t>（盖单位章）          承包人：</w:t>
      </w:r>
      <w:r>
        <w:rPr>
          <w:rFonts w:hint="eastAsia" w:cs="宋体"/>
          <w:color w:val="auto"/>
          <w:sz w:val="21"/>
          <w:szCs w:val="21"/>
          <w:highlight w:val="none"/>
          <w:u w:val="single"/>
        </w:rPr>
        <w:t xml:space="preserve">        </w:t>
      </w:r>
      <w:r>
        <w:rPr>
          <w:rFonts w:hint="eastAsia" w:cs="宋体"/>
          <w:color w:val="auto"/>
          <w:sz w:val="21"/>
          <w:szCs w:val="21"/>
          <w:highlight w:val="none"/>
        </w:rPr>
        <w:t>（盖单位章）</w:t>
      </w:r>
    </w:p>
    <w:p w14:paraId="21E0C466">
      <w:pPr>
        <w:spacing w:line="360" w:lineRule="auto"/>
        <w:rPr>
          <w:rFonts w:cs="宋体"/>
          <w:color w:val="auto"/>
          <w:sz w:val="21"/>
          <w:szCs w:val="21"/>
          <w:highlight w:val="none"/>
        </w:rPr>
      </w:pPr>
    </w:p>
    <w:p w14:paraId="29D3CCA3">
      <w:pPr>
        <w:spacing w:line="360" w:lineRule="auto"/>
        <w:rPr>
          <w:rFonts w:cs="宋体"/>
          <w:color w:val="auto"/>
          <w:sz w:val="21"/>
          <w:szCs w:val="21"/>
          <w:highlight w:val="none"/>
        </w:rPr>
      </w:pPr>
      <w:r>
        <w:rPr>
          <w:rFonts w:hint="eastAsia" w:cs="宋体"/>
          <w:color w:val="auto"/>
          <w:sz w:val="21"/>
          <w:szCs w:val="21"/>
          <w:highlight w:val="none"/>
        </w:rPr>
        <w:t>法定代表人或其委托代理人：</w:t>
      </w:r>
      <w:r>
        <w:rPr>
          <w:rFonts w:hint="eastAsia" w:cs="宋体"/>
          <w:color w:val="auto"/>
          <w:sz w:val="21"/>
          <w:szCs w:val="21"/>
          <w:highlight w:val="none"/>
          <w:u w:val="single"/>
        </w:rPr>
        <w:t xml:space="preserve">  </w:t>
      </w:r>
      <w:r>
        <w:rPr>
          <w:rFonts w:hint="eastAsia" w:cs="宋体"/>
          <w:color w:val="auto"/>
          <w:sz w:val="21"/>
          <w:szCs w:val="21"/>
          <w:highlight w:val="none"/>
        </w:rPr>
        <w:t>（签字）     法定代表人或其委托代理人：</w:t>
      </w:r>
      <w:r>
        <w:rPr>
          <w:rFonts w:hint="eastAsia" w:cs="宋体"/>
          <w:color w:val="auto"/>
          <w:sz w:val="21"/>
          <w:szCs w:val="21"/>
          <w:highlight w:val="none"/>
          <w:u w:val="single"/>
        </w:rPr>
        <w:t xml:space="preserve">   </w:t>
      </w:r>
      <w:r>
        <w:rPr>
          <w:rFonts w:hint="eastAsia" w:cs="宋体"/>
          <w:color w:val="auto"/>
          <w:sz w:val="21"/>
          <w:szCs w:val="21"/>
          <w:highlight w:val="none"/>
        </w:rPr>
        <w:t>（签字）</w:t>
      </w:r>
    </w:p>
    <w:p w14:paraId="243A6F92">
      <w:pPr>
        <w:spacing w:line="360" w:lineRule="auto"/>
        <w:rPr>
          <w:rFonts w:cs="宋体"/>
          <w:color w:val="auto"/>
          <w:sz w:val="21"/>
          <w:szCs w:val="21"/>
          <w:highlight w:val="none"/>
        </w:rPr>
      </w:pPr>
    </w:p>
    <w:p w14:paraId="0BA97D6A">
      <w:pPr>
        <w:spacing w:line="360" w:lineRule="auto"/>
        <w:ind w:firstLine="840"/>
        <w:rPr>
          <w:rFonts w:cs="宋体"/>
          <w:color w:val="auto"/>
          <w:sz w:val="21"/>
          <w:szCs w:val="21"/>
          <w:highlight w:val="none"/>
        </w:rPr>
      </w:pP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 xml:space="preserve">日                </w:t>
      </w: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日</w:t>
      </w:r>
    </w:p>
    <w:p w14:paraId="7CEE39DB">
      <w:pPr>
        <w:spacing w:before="312" w:beforeLines="100" w:after="312" w:afterLines="100"/>
        <w:outlineLvl w:val="2"/>
        <w:rPr>
          <w:rFonts w:ascii="Times New Roman" w:eastAsia="黑体"/>
          <w:color w:val="auto"/>
          <w:szCs w:val="24"/>
          <w:highlight w:val="none"/>
        </w:rPr>
      </w:pPr>
      <w:r>
        <w:rPr>
          <w:rFonts w:hint="eastAsia" w:cs="宋体"/>
          <w:bCs/>
          <w:color w:val="auto"/>
          <w:kern w:val="44"/>
          <w:sz w:val="21"/>
          <w:szCs w:val="21"/>
          <w:highlight w:val="none"/>
        </w:rPr>
        <w:br w:type="page"/>
      </w:r>
      <w:bookmarkStart w:id="652" w:name="_Toc128950249"/>
      <w:r>
        <w:rPr>
          <w:rFonts w:hint="eastAsia" w:ascii="Times New Roman" w:eastAsia="黑体"/>
          <w:color w:val="auto"/>
          <w:szCs w:val="24"/>
          <w:highlight w:val="none"/>
        </w:rPr>
        <w:t>附件14：项目经理质量终身责任制承诺</w:t>
      </w:r>
      <w:bookmarkEnd w:id="652"/>
    </w:p>
    <w:p w14:paraId="0839DB50">
      <w:pPr>
        <w:spacing w:before="156" w:beforeLines="50" w:after="156" w:afterLines="50" w:line="360" w:lineRule="auto"/>
        <w:jc w:val="center"/>
        <w:rPr>
          <w:rFonts w:cs="宋体"/>
          <w:b/>
          <w:color w:val="auto"/>
          <w:sz w:val="32"/>
          <w:szCs w:val="32"/>
          <w:highlight w:val="none"/>
        </w:rPr>
      </w:pPr>
      <w:bookmarkStart w:id="653" w:name="_Toc19417"/>
      <w:bookmarkStart w:id="654" w:name="_Toc14540"/>
      <w:bookmarkStart w:id="655" w:name="_Toc128950250"/>
      <w:r>
        <w:rPr>
          <w:rFonts w:hint="eastAsia" w:cs="宋体"/>
          <w:b/>
          <w:color w:val="auto"/>
          <w:sz w:val="32"/>
          <w:szCs w:val="32"/>
          <w:highlight w:val="none"/>
        </w:rPr>
        <w:t>项目经理质量终身责任制承诺</w:t>
      </w:r>
      <w:bookmarkEnd w:id="653"/>
      <w:bookmarkEnd w:id="654"/>
      <w:bookmarkEnd w:id="655"/>
    </w:p>
    <w:p w14:paraId="6D18411C">
      <w:pPr>
        <w:spacing w:line="360" w:lineRule="auto"/>
        <w:rPr>
          <w:rFonts w:hint="default" w:eastAsia="宋体" w:cs="宋体"/>
          <w:bCs/>
          <w:color w:val="auto"/>
          <w:sz w:val="21"/>
          <w:szCs w:val="21"/>
          <w:highlight w:val="none"/>
          <w:lang w:val="en-US" w:eastAsia="zh-CN"/>
        </w:rPr>
      </w:pPr>
      <w:r>
        <w:rPr>
          <w:rFonts w:hint="eastAsia" w:cs="宋体"/>
          <w:bCs/>
          <w:color w:val="auto"/>
          <w:sz w:val="21"/>
          <w:szCs w:val="21"/>
          <w:highlight w:val="none"/>
        </w:rPr>
        <w:t>致：</w:t>
      </w:r>
      <w:r>
        <w:rPr>
          <w:rFonts w:hint="eastAsia" w:cs="宋体"/>
          <w:bCs/>
          <w:color w:val="auto"/>
          <w:sz w:val="21"/>
          <w:szCs w:val="21"/>
          <w:highlight w:val="none"/>
          <w:u w:val="single"/>
          <w:lang w:val="en-US" w:eastAsia="zh-CN"/>
        </w:rPr>
        <w:t>滁州市重点工程建设管理处</w:t>
      </w:r>
    </w:p>
    <w:p w14:paraId="030651F1">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本人作为施工项目经理，承担相关质量终身责任，现郑重承诺如下：</w:t>
      </w:r>
    </w:p>
    <w:p w14:paraId="000DC663">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一、在取得施工许可证后进行施工。</w:t>
      </w:r>
    </w:p>
    <w:p w14:paraId="19A29E51">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二、严格执行施工规范及标准。</w:t>
      </w:r>
    </w:p>
    <w:p w14:paraId="469B5A08">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三、严格按规定配备施工项目部关键岗位人员，并确保所有人员到岗履职。</w:t>
      </w:r>
    </w:p>
    <w:p w14:paraId="11A10881">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四、严格按照经施工图审查机构审查合格的工程设计文件及合同约定的质量标准精心组织施工。</w:t>
      </w:r>
    </w:p>
    <w:p w14:paraId="06A6E35B">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五、施工中采用合格的建筑材料、建筑构配件和设备等，并严格按规定执行见证取样制度。</w:t>
      </w:r>
    </w:p>
    <w:p w14:paraId="49AE45B4">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六、建立、健全质量检查、验收制度，严格工序管理，做好隐蔽工程质量的检查和记录。</w:t>
      </w:r>
    </w:p>
    <w:p w14:paraId="382DC5B2">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七、对施工中出现的质量问题，及时进行整改。严格依法依规履行义务。</w:t>
      </w:r>
    </w:p>
    <w:p w14:paraId="753CBB6E">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八、履行相关工程质量检查、验收及事故处理等职责。</w:t>
      </w:r>
    </w:p>
    <w:p w14:paraId="3ACA9FEC">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九、履行其他法律法规规定的职责。</w:t>
      </w:r>
    </w:p>
    <w:p w14:paraId="6954BF42">
      <w:pPr>
        <w:spacing w:line="360" w:lineRule="auto"/>
        <w:ind w:left="342" w:leftChars="171" w:firstLine="630" w:firstLineChars="300"/>
        <w:rPr>
          <w:rFonts w:cs="宋体"/>
          <w:bCs/>
          <w:color w:val="auto"/>
          <w:sz w:val="21"/>
          <w:szCs w:val="21"/>
          <w:highlight w:val="none"/>
        </w:rPr>
      </w:pPr>
    </w:p>
    <w:p w14:paraId="1FBB4B4C">
      <w:pPr>
        <w:spacing w:line="360" w:lineRule="auto"/>
        <w:ind w:left="342" w:leftChars="171" w:firstLine="630" w:firstLineChars="300"/>
        <w:rPr>
          <w:rFonts w:cs="宋体"/>
          <w:bCs/>
          <w:color w:val="auto"/>
          <w:sz w:val="21"/>
          <w:szCs w:val="21"/>
          <w:highlight w:val="none"/>
        </w:rPr>
      </w:pPr>
    </w:p>
    <w:p w14:paraId="32EFA0B5">
      <w:pPr>
        <w:spacing w:line="360" w:lineRule="auto"/>
        <w:ind w:left="342" w:leftChars="171" w:firstLine="630" w:firstLineChars="300"/>
        <w:rPr>
          <w:rFonts w:cs="宋体"/>
          <w:bCs/>
          <w:color w:val="auto"/>
          <w:sz w:val="21"/>
          <w:szCs w:val="21"/>
          <w:highlight w:val="none"/>
        </w:rPr>
      </w:pPr>
      <w:r>
        <w:rPr>
          <w:rFonts w:hint="eastAsia" w:cs="宋体"/>
          <w:bCs/>
          <w:color w:val="auto"/>
          <w:sz w:val="21"/>
          <w:szCs w:val="21"/>
          <w:highlight w:val="none"/>
        </w:rPr>
        <w:t>项目经理：</w:t>
      </w:r>
      <w:r>
        <w:rPr>
          <w:rFonts w:hint="eastAsia" w:cs="宋体"/>
          <w:bCs/>
          <w:color w:val="auto"/>
          <w:sz w:val="21"/>
          <w:szCs w:val="21"/>
          <w:highlight w:val="none"/>
          <w:u w:val="single"/>
        </w:rPr>
        <w:t xml:space="preserve">                   </w:t>
      </w:r>
      <w:r>
        <w:rPr>
          <w:rFonts w:hint="eastAsia" w:cs="宋体"/>
          <w:bCs/>
          <w:color w:val="auto"/>
          <w:sz w:val="21"/>
          <w:szCs w:val="21"/>
          <w:highlight w:val="none"/>
        </w:rPr>
        <w:t>（签字）</w:t>
      </w:r>
    </w:p>
    <w:p w14:paraId="32C7E9A7">
      <w:pPr>
        <w:spacing w:line="360" w:lineRule="auto"/>
        <w:ind w:left="342" w:leftChars="171" w:firstLine="630" w:firstLineChars="300"/>
        <w:rPr>
          <w:rFonts w:cs="宋体"/>
          <w:bCs/>
          <w:color w:val="auto"/>
          <w:sz w:val="21"/>
          <w:szCs w:val="21"/>
          <w:highlight w:val="none"/>
        </w:rPr>
      </w:pPr>
      <w:r>
        <w:rPr>
          <w:rFonts w:hint="eastAsia" w:cs="宋体"/>
          <w:bCs/>
          <w:color w:val="auto"/>
          <w:sz w:val="21"/>
          <w:szCs w:val="21"/>
          <w:highlight w:val="none"/>
        </w:rPr>
        <w:t>日期：_____年____月____日</w:t>
      </w:r>
    </w:p>
    <w:p w14:paraId="676ECC27">
      <w:pPr>
        <w:pStyle w:val="19"/>
        <w:rPr>
          <w:rFonts w:ascii="宋体" w:hAnsi="宋体" w:eastAsia="宋体" w:cs="宋体"/>
          <w:bCs/>
          <w:color w:val="auto"/>
          <w:sz w:val="21"/>
          <w:szCs w:val="21"/>
          <w:highlight w:val="none"/>
        </w:rPr>
      </w:pPr>
    </w:p>
    <w:p w14:paraId="420F9BC8">
      <w:pPr>
        <w:widowControl/>
        <w:jc w:val="left"/>
        <w:rPr>
          <w:b/>
          <w:color w:val="auto"/>
          <w:sz w:val="24"/>
          <w:highlight w:val="none"/>
        </w:rPr>
      </w:pPr>
      <w:r>
        <w:rPr>
          <w:b/>
          <w:color w:val="auto"/>
          <w:sz w:val="24"/>
          <w:highlight w:val="none"/>
        </w:rPr>
        <w:br w:type="page"/>
      </w:r>
    </w:p>
    <w:p w14:paraId="6BFF4EEC">
      <w:pPr>
        <w:spacing w:line="360" w:lineRule="auto"/>
        <w:jc w:val="center"/>
        <w:outlineLvl w:val="0"/>
        <w:rPr>
          <w:rFonts w:asciiTheme="minorEastAsia" w:hAnsiTheme="minorEastAsia" w:eastAsiaTheme="minorEastAsia"/>
          <w:b/>
          <w:color w:val="auto"/>
          <w:sz w:val="28"/>
          <w:highlight w:val="none"/>
        </w:rPr>
      </w:pPr>
      <w:bookmarkStart w:id="656" w:name="_Toc22734"/>
      <w:r>
        <w:rPr>
          <w:rFonts w:hint="eastAsia" w:asciiTheme="minorEastAsia" w:hAnsiTheme="minorEastAsia" w:eastAsiaTheme="minorEastAsia"/>
          <w:b/>
          <w:color w:val="auto"/>
          <w:sz w:val="28"/>
          <w:highlight w:val="none"/>
        </w:rPr>
        <w:t>第六章  响应文件格式</w:t>
      </w:r>
      <w:bookmarkEnd w:id="656"/>
    </w:p>
    <w:p w14:paraId="117FC587">
      <w:pPr>
        <w:spacing w:line="900" w:lineRule="exact"/>
        <w:jc w:val="center"/>
        <w:rPr>
          <w:rFonts w:asciiTheme="minorEastAsia" w:hAnsiTheme="minorEastAsia" w:eastAsiaTheme="minorEastAsia"/>
          <w:b/>
          <w:color w:val="auto"/>
          <w:sz w:val="72"/>
          <w:highlight w:val="none"/>
        </w:rPr>
      </w:pPr>
    </w:p>
    <w:p w14:paraId="2C258CC6">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14:paraId="6DACC3C5">
      <w:pPr>
        <w:spacing w:line="900" w:lineRule="exact"/>
        <w:jc w:val="center"/>
        <w:rPr>
          <w:rFonts w:asciiTheme="minorEastAsia" w:hAnsiTheme="minorEastAsia" w:eastAsiaTheme="minorEastAsia"/>
          <w:b/>
          <w:color w:val="auto"/>
          <w:sz w:val="72"/>
          <w:highlight w:val="none"/>
        </w:rPr>
      </w:pPr>
    </w:p>
    <w:p w14:paraId="5D1CD7E2">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14:paraId="6EA1D0EC">
      <w:pPr>
        <w:spacing w:line="900" w:lineRule="exact"/>
        <w:jc w:val="center"/>
        <w:rPr>
          <w:rFonts w:asciiTheme="minorEastAsia" w:hAnsiTheme="minorEastAsia" w:eastAsiaTheme="minorEastAsia"/>
          <w:b/>
          <w:color w:val="auto"/>
          <w:sz w:val="72"/>
          <w:highlight w:val="none"/>
        </w:rPr>
      </w:pPr>
    </w:p>
    <w:p w14:paraId="40EB8D80">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14:paraId="27523DBC">
      <w:pPr>
        <w:spacing w:line="900" w:lineRule="exact"/>
        <w:jc w:val="center"/>
        <w:rPr>
          <w:rFonts w:asciiTheme="minorEastAsia" w:hAnsiTheme="minorEastAsia" w:eastAsiaTheme="minorEastAsia"/>
          <w:b/>
          <w:color w:val="auto"/>
          <w:sz w:val="72"/>
          <w:highlight w:val="none"/>
        </w:rPr>
      </w:pPr>
    </w:p>
    <w:p w14:paraId="6B1A2927">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14:paraId="799D998B">
      <w:pPr>
        <w:spacing w:after="156" w:afterLines="50"/>
        <w:jc w:val="center"/>
        <w:rPr>
          <w:rFonts w:asciiTheme="minorEastAsia" w:hAnsiTheme="minorEastAsia" w:eastAsiaTheme="minorEastAsia"/>
          <w:b/>
          <w:color w:val="auto"/>
          <w:sz w:val="72"/>
          <w:highlight w:val="none"/>
        </w:rPr>
      </w:pPr>
    </w:p>
    <w:p w14:paraId="32C6A32F">
      <w:pPr>
        <w:spacing w:after="156" w:afterLines="50" w:line="500" w:lineRule="exact"/>
        <w:jc w:val="center"/>
        <w:rPr>
          <w:rFonts w:asciiTheme="minorEastAsia" w:hAnsiTheme="minorEastAsia" w:eastAsiaTheme="minorEastAsia"/>
          <w:b/>
          <w:color w:val="auto"/>
          <w:sz w:val="28"/>
          <w:szCs w:val="28"/>
          <w:highlight w:val="none"/>
        </w:rPr>
      </w:pPr>
    </w:p>
    <w:p w14:paraId="48E97191">
      <w:pPr>
        <w:spacing w:after="156" w:afterLines="50" w:line="500" w:lineRule="exact"/>
        <w:jc w:val="center"/>
        <w:rPr>
          <w:rFonts w:asciiTheme="minorEastAsia" w:hAnsiTheme="minorEastAsia" w:eastAsiaTheme="minorEastAsia"/>
          <w:b/>
          <w:color w:val="auto"/>
          <w:sz w:val="28"/>
          <w:szCs w:val="28"/>
          <w:highlight w:val="none"/>
        </w:rPr>
      </w:pPr>
    </w:p>
    <w:p w14:paraId="25C54846">
      <w:pPr>
        <w:tabs>
          <w:tab w:val="left" w:pos="2410"/>
        </w:tabs>
        <w:autoSpaceDE w:val="0"/>
        <w:autoSpaceDN w:val="0"/>
        <w:adjustRightInd w:val="0"/>
        <w:snapToGrid w:val="0"/>
        <w:spacing w:line="360" w:lineRule="auto"/>
        <w:ind w:firstLine="1928" w:firstLineChars="6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14:paraId="7B05845E">
      <w:pPr>
        <w:tabs>
          <w:tab w:val="left" w:pos="2410"/>
        </w:tabs>
        <w:autoSpaceDE w:val="0"/>
        <w:autoSpaceDN w:val="0"/>
        <w:adjustRightInd w:val="0"/>
        <w:snapToGrid w:val="0"/>
        <w:spacing w:line="360" w:lineRule="auto"/>
        <w:ind w:firstLine="1928" w:firstLineChars="6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14:paraId="2CF330BF">
      <w:pPr>
        <w:tabs>
          <w:tab w:val="left" w:pos="2410"/>
        </w:tabs>
        <w:autoSpaceDE w:val="0"/>
        <w:autoSpaceDN w:val="0"/>
        <w:adjustRightInd w:val="0"/>
        <w:snapToGrid w:val="0"/>
        <w:spacing w:line="360" w:lineRule="auto"/>
        <w:ind w:firstLine="1928" w:firstLineChars="600"/>
        <w:jc w:val="both"/>
        <w:outlineLvl w:val="9"/>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lang w:val="en-US" w:eastAsia="zh-CN"/>
        </w:rPr>
        <w:t>供 应 商</w:t>
      </w:r>
      <w:r>
        <w:rPr>
          <w:rFonts w:hint="eastAsia" w:asciiTheme="minorEastAsia" w:hAnsiTheme="minorEastAsia" w:eastAsiaTheme="minorEastAsia"/>
          <w:b/>
          <w:color w:val="auto"/>
          <w:sz w:val="32"/>
          <w:highlight w:val="none"/>
        </w:rPr>
        <w:t>：</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14:paraId="3D612FDD">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657" w:name="_Toc24911"/>
      <w:bookmarkStart w:id="658" w:name="_Toc19892"/>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657"/>
      <w:bookmarkEnd w:id="658"/>
    </w:p>
    <w:p w14:paraId="334EC9B7">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14:paraId="784081C1">
      <w:pPr>
        <w:spacing w:line="360" w:lineRule="auto"/>
        <w:jc w:val="center"/>
        <w:outlineLvl w:val="1"/>
        <w:rPr>
          <w:rFonts w:asciiTheme="minorEastAsia" w:hAnsiTheme="minorEastAsia" w:eastAsiaTheme="minorEastAsia"/>
          <w:b/>
          <w:color w:val="auto"/>
          <w:sz w:val="24"/>
          <w:highlight w:val="none"/>
        </w:rPr>
      </w:pPr>
      <w:bookmarkStart w:id="659" w:name="_Toc461053086"/>
      <w:bookmarkStart w:id="660" w:name="_Toc461056631"/>
      <w:bookmarkStart w:id="661" w:name="_Toc21496"/>
      <w:bookmarkStart w:id="662" w:name="_Toc520983587"/>
      <w:bookmarkStart w:id="663" w:name="_Toc28280"/>
      <w:r>
        <w:rPr>
          <w:rFonts w:hint="eastAsia" w:asciiTheme="minorEastAsia" w:hAnsiTheme="minorEastAsia" w:eastAsiaTheme="minorEastAsia"/>
          <w:b/>
          <w:color w:val="auto"/>
          <w:sz w:val="24"/>
          <w:highlight w:val="none"/>
        </w:rPr>
        <w:t>一</w:t>
      </w:r>
      <w:bookmarkEnd w:id="659"/>
      <w:bookmarkEnd w:id="660"/>
      <w:r>
        <w:rPr>
          <w:rFonts w:hint="eastAsia" w:asciiTheme="minorEastAsia" w:hAnsiTheme="minorEastAsia" w:eastAsiaTheme="minorEastAsia"/>
          <w:b/>
          <w:color w:val="auto"/>
          <w:sz w:val="24"/>
          <w:highlight w:val="none"/>
        </w:rPr>
        <w:t>、报价表格式</w:t>
      </w:r>
      <w:bookmarkEnd w:id="661"/>
      <w:bookmarkEnd w:id="662"/>
      <w:bookmarkEnd w:id="663"/>
    </w:p>
    <w:p w14:paraId="6B6205C4">
      <w:pPr>
        <w:spacing w:before="156" w:beforeLines="50" w:after="156" w:afterLines="50" w:line="360" w:lineRule="auto"/>
        <w:jc w:val="left"/>
        <w:outlineLvl w:val="2"/>
        <w:rPr>
          <w:rFonts w:cs="@仿宋_GB2312" w:asciiTheme="minorEastAsia" w:hAnsiTheme="minorEastAsia" w:eastAsiaTheme="minorEastAsia"/>
          <w:b/>
          <w:color w:val="auto"/>
          <w:kern w:val="2"/>
          <w:sz w:val="24"/>
          <w:szCs w:val="24"/>
          <w:highlight w:val="none"/>
        </w:rPr>
      </w:pPr>
      <w:r>
        <w:rPr>
          <w:rFonts w:hint="eastAsia" w:cs="@仿宋_GB2312" w:asciiTheme="minorEastAsia" w:hAnsiTheme="minorEastAsia" w:eastAsiaTheme="minorEastAsia"/>
          <w:b/>
          <w:color w:val="auto"/>
          <w:kern w:val="2"/>
          <w:sz w:val="24"/>
          <w:szCs w:val="24"/>
          <w:highlight w:val="none"/>
        </w:rPr>
        <w:t>1-1 报价表</w:t>
      </w:r>
    </w:p>
    <w:p w14:paraId="425D42CD">
      <w:pPr>
        <w:snapToGrid w:val="0"/>
        <w:spacing w:line="360" w:lineRule="auto"/>
        <w:jc w:val="left"/>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项目名称：</w:t>
      </w:r>
      <w:r>
        <w:rPr>
          <w:rFonts w:hint="eastAsia" w:cs="宋体" w:asciiTheme="minorEastAsia" w:hAnsiTheme="minorEastAsia" w:eastAsiaTheme="minorEastAsia"/>
          <w:b/>
          <w:color w:val="auto"/>
          <w:kern w:val="2"/>
          <w:sz w:val="24"/>
          <w:szCs w:val="24"/>
          <w:highlight w:val="none"/>
          <w:u w:val="single"/>
        </w:rPr>
        <w:t xml:space="preserve"> </w:t>
      </w:r>
      <w:r>
        <w:rPr>
          <w:rFonts w:hint="eastAsia" w:cs="宋体" w:asciiTheme="minorEastAsia" w:hAnsiTheme="minorEastAsia" w:eastAsiaTheme="minorEastAsia"/>
          <w:b/>
          <w:color w:val="auto"/>
          <w:kern w:val="2"/>
          <w:sz w:val="24"/>
          <w:szCs w:val="24"/>
          <w:highlight w:val="none"/>
          <w:u w:val="single"/>
          <w:lang w:val="en-US" w:eastAsia="zh-CN"/>
        </w:rPr>
        <w:t xml:space="preserve">   </w:t>
      </w:r>
      <w:r>
        <w:rPr>
          <w:rFonts w:hint="eastAsia" w:cs="宋体" w:asciiTheme="minorEastAsia" w:hAnsiTheme="minorEastAsia" w:eastAsiaTheme="minorEastAsia"/>
          <w:b/>
          <w:color w:val="auto"/>
          <w:kern w:val="2"/>
          <w:sz w:val="24"/>
          <w:szCs w:val="24"/>
          <w:highlight w:val="none"/>
          <w:u w:val="single"/>
        </w:rPr>
        <w:t xml:space="preserve">    </w:t>
      </w:r>
    </w:p>
    <w:p w14:paraId="171E0A94">
      <w:pPr>
        <w:snapToGrid w:val="0"/>
        <w:spacing w:after="156" w:afterLines="50" w:line="360" w:lineRule="auto"/>
        <w:jc w:val="left"/>
        <w:rPr>
          <w:rFonts w:cs="宋体" w:asciiTheme="minorEastAsia" w:hAnsiTheme="minorEastAsia" w:eastAsiaTheme="minorEastAsia"/>
          <w:b/>
          <w:bCs/>
          <w:color w:val="auto"/>
          <w:kern w:val="2"/>
          <w:sz w:val="24"/>
          <w:szCs w:val="24"/>
          <w:highlight w:val="none"/>
          <w:u w:val="single"/>
        </w:rPr>
      </w:pPr>
      <w:r>
        <w:rPr>
          <w:rFonts w:hint="eastAsia" w:cs="宋体" w:asciiTheme="minorEastAsia" w:hAnsiTheme="minorEastAsia" w:eastAsiaTheme="minorEastAsia"/>
          <w:b/>
          <w:color w:val="auto"/>
          <w:kern w:val="2"/>
          <w:sz w:val="24"/>
          <w:szCs w:val="24"/>
          <w:highlight w:val="none"/>
        </w:rPr>
        <w:t>项目编号：</w:t>
      </w:r>
      <w:r>
        <w:rPr>
          <w:rFonts w:hint="eastAsia" w:cs="宋体" w:asciiTheme="minorEastAsia" w:hAnsiTheme="minorEastAsia" w:eastAsiaTheme="minorEastAsia"/>
          <w:b/>
          <w:color w:val="auto"/>
          <w:kern w:val="2"/>
          <w:sz w:val="24"/>
          <w:szCs w:val="24"/>
          <w:highlight w:val="none"/>
          <w:u w:val="single"/>
        </w:rPr>
        <w:t xml:space="preserve"> </w:t>
      </w:r>
      <w:r>
        <w:rPr>
          <w:rFonts w:hint="eastAsia" w:cs="宋体" w:asciiTheme="minorEastAsia" w:hAnsiTheme="minorEastAsia" w:eastAsiaTheme="minorEastAsia"/>
          <w:b/>
          <w:color w:val="auto"/>
          <w:kern w:val="2"/>
          <w:sz w:val="24"/>
          <w:szCs w:val="24"/>
          <w:highlight w:val="none"/>
          <w:u w:val="single"/>
          <w:lang w:val="en-US" w:eastAsia="zh-CN"/>
        </w:rPr>
        <w:t xml:space="preserve">   </w:t>
      </w:r>
      <w:r>
        <w:rPr>
          <w:rFonts w:hint="eastAsia" w:cs="宋体" w:asciiTheme="minorEastAsia" w:hAnsiTheme="minorEastAsia" w:eastAsiaTheme="minorEastAsia"/>
          <w:b/>
          <w:color w:val="auto"/>
          <w:kern w:val="2"/>
          <w:sz w:val="24"/>
          <w:szCs w:val="24"/>
          <w:highlight w:val="none"/>
          <w:u w:val="single"/>
        </w:rPr>
        <w:t xml:space="preserve">    </w:t>
      </w:r>
    </w:p>
    <w:tbl>
      <w:tblPr>
        <w:tblStyle w:val="5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14:paraId="2092F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14:paraId="0A3BDCA0">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供应商名称</w:t>
            </w:r>
          </w:p>
        </w:tc>
        <w:tc>
          <w:tcPr>
            <w:tcW w:w="3557" w:type="pct"/>
            <w:tcBorders>
              <w:left w:val="single" w:color="auto" w:sz="4" w:space="0"/>
            </w:tcBorders>
          </w:tcPr>
          <w:p w14:paraId="0AC238FF">
            <w:pPr>
              <w:rPr>
                <w:rFonts w:cs="宋体" w:asciiTheme="minorEastAsia" w:hAnsiTheme="minorEastAsia" w:eastAsiaTheme="minorEastAsia"/>
                <w:b/>
                <w:color w:val="auto"/>
                <w:kern w:val="2"/>
                <w:sz w:val="24"/>
                <w:szCs w:val="24"/>
                <w:highlight w:val="none"/>
              </w:rPr>
            </w:pPr>
          </w:p>
        </w:tc>
      </w:tr>
      <w:tr w14:paraId="25A25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14:paraId="718B706C">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磋商</w:t>
            </w:r>
            <w:r>
              <w:rPr>
                <w:rFonts w:hint="eastAsia" w:cs="宋体" w:asciiTheme="minorEastAsia" w:hAnsiTheme="minorEastAsia" w:eastAsiaTheme="minorEastAsia"/>
                <w:b/>
                <w:color w:val="auto"/>
                <w:kern w:val="2"/>
                <w:sz w:val="24"/>
                <w:szCs w:val="24"/>
                <w:highlight w:val="none"/>
              </w:rPr>
              <w:t>范围</w:t>
            </w:r>
          </w:p>
        </w:tc>
        <w:tc>
          <w:tcPr>
            <w:tcW w:w="3557" w:type="pct"/>
            <w:tcBorders>
              <w:left w:val="single" w:color="auto" w:sz="4" w:space="0"/>
            </w:tcBorders>
            <w:vAlign w:val="center"/>
          </w:tcPr>
          <w:p w14:paraId="2F3471C5">
            <w:pPr>
              <w:widowControl/>
              <w:rPr>
                <w:rFonts w:cs="宋体" w:asciiTheme="minorEastAsia" w:hAnsiTheme="minorEastAsia" w:eastAsiaTheme="minorEastAsia"/>
                <w:b/>
                <w:color w:val="auto"/>
                <w:kern w:val="2"/>
                <w:sz w:val="24"/>
                <w:szCs w:val="24"/>
                <w:highlight w:val="none"/>
              </w:rPr>
            </w:pPr>
            <w:r>
              <w:rPr>
                <w:rFonts w:hint="eastAsia" w:cs="@仿宋_GB2312" w:asciiTheme="minorEastAsia" w:hAnsiTheme="minorEastAsia" w:eastAsiaTheme="minorEastAsia"/>
                <w:color w:val="auto"/>
                <w:kern w:val="2"/>
                <w:sz w:val="24"/>
                <w:szCs w:val="28"/>
                <w:highlight w:val="none"/>
              </w:rPr>
              <w:t xml:space="preserve">全部 </w:t>
            </w:r>
          </w:p>
        </w:tc>
      </w:tr>
      <w:tr w14:paraId="143C8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14:paraId="3BA6DBA8">
            <w:pPr>
              <w:spacing w:line="360" w:lineRule="auto"/>
              <w:jc w:val="center"/>
              <w:rPr>
                <w:rFonts w:cs="@仿宋_GB2312"/>
                <w:b/>
                <w:color w:val="auto"/>
                <w:kern w:val="2"/>
                <w:sz w:val="24"/>
                <w:highlight w:val="none"/>
              </w:rPr>
            </w:pPr>
            <w:r>
              <w:rPr>
                <w:rFonts w:hint="eastAsia" w:cs="@仿宋_GB2312"/>
                <w:b/>
                <w:color w:val="auto"/>
                <w:kern w:val="2"/>
                <w:sz w:val="24"/>
                <w:highlight w:val="none"/>
              </w:rPr>
              <w:t>报价</w:t>
            </w:r>
          </w:p>
          <w:p w14:paraId="29ABAF92">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（详见备注说明）</w:t>
            </w:r>
          </w:p>
        </w:tc>
        <w:tc>
          <w:tcPr>
            <w:tcW w:w="3557" w:type="pct"/>
            <w:vAlign w:val="center"/>
          </w:tcPr>
          <w:p w14:paraId="01D8E24C">
            <w:pPr>
              <w:snapToGrid w:val="0"/>
              <w:rPr>
                <w:rFonts w:cs="宋体" w:asciiTheme="minorEastAsia" w:hAnsiTheme="minorEastAsia" w:eastAsiaTheme="minorEastAsia"/>
                <w:color w:val="auto"/>
                <w:kern w:val="2"/>
                <w:sz w:val="24"/>
                <w:szCs w:val="24"/>
                <w:highlight w:val="none"/>
              </w:rPr>
            </w:pPr>
          </w:p>
          <w:p w14:paraId="0FEA24E4">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大写：</w:t>
            </w:r>
            <w:r>
              <w:rPr>
                <w:rFonts w:hint="eastAsia" w:ascii="宋体" w:hAnsi="宋体" w:eastAsia="宋体" w:cs="宋体"/>
                <w:bCs/>
                <w:color w:val="auto"/>
                <w:sz w:val="24"/>
                <w:szCs w:val="24"/>
                <w:highlight w:val="none"/>
                <w:u w:val="single"/>
              </w:rPr>
              <w:t xml:space="preserve">                     </w:t>
            </w:r>
          </w:p>
          <w:p w14:paraId="328FE264">
            <w:pPr>
              <w:spacing w:line="360" w:lineRule="auto"/>
              <w:ind w:right="-670"/>
              <w:rPr>
                <w:rFonts w:hint="eastAsia"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小写：</w:t>
            </w:r>
            <w:r>
              <w:rPr>
                <w:rFonts w:hint="eastAsia" w:ascii="宋体" w:hAnsi="宋体" w:eastAsia="宋体" w:cs="宋体"/>
                <w:bCs/>
                <w:color w:val="auto"/>
                <w:sz w:val="24"/>
                <w:szCs w:val="24"/>
                <w:highlight w:val="none"/>
                <w:u w:val="single"/>
              </w:rPr>
              <w:t xml:space="preserve">                     </w:t>
            </w:r>
          </w:p>
          <w:p w14:paraId="52573D8A">
            <w:pPr>
              <w:snapToGrid w:val="0"/>
              <w:rPr>
                <w:rFonts w:cs="宋体" w:asciiTheme="minorEastAsia" w:hAnsiTheme="minorEastAsia" w:eastAsiaTheme="minorEastAsia"/>
                <w:b/>
                <w:color w:val="auto"/>
                <w:kern w:val="2"/>
                <w:sz w:val="24"/>
                <w:szCs w:val="24"/>
                <w:highlight w:val="none"/>
              </w:rPr>
            </w:pPr>
          </w:p>
        </w:tc>
      </w:tr>
      <w:tr w14:paraId="05089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43" w:type="pct"/>
            <w:tcBorders>
              <w:top w:val="single" w:color="auto" w:sz="4" w:space="0"/>
            </w:tcBorders>
            <w:vAlign w:val="center"/>
          </w:tcPr>
          <w:p w14:paraId="03F4D087">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质量标准</w:t>
            </w:r>
          </w:p>
        </w:tc>
        <w:tc>
          <w:tcPr>
            <w:tcW w:w="3557" w:type="pct"/>
            <w:vAlign w:val="center"/>
          </w:tcPr>
          <w:p w14:paraId="183DF8C7">
            <w:pPr>
              <w:snapToGrid w:val="0"/>
              <w:rPr>
                <w:rFonts w:cs="宋体" w:asciiTheme="minorEastAsia" w:hAnsiTheme="minorEastAsia" w:eastAsiaTheme="minorEastAsia"/>
                <w:b/>
                <w:color w:val="auto"/>
                <w:kern w:val="2"/>
                <w:sz w:val="24"/>
                <w:szCs w:val="24"/>
                <w:highlight w:val="none"/>
              </w:rPr>
            </w:pPr>
          </w:p>
        </w:tc>
      </w:tr>
      <w:tr w14:paraId="1F7DC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43" w:type="pct"/>
            <w:tcBorders>
              <w:top w:val="single" w:color="auto" w:sz="4" w:space="0"/>
            </w:tcBorders>
            <w:vAlign w:val="center"/>
          </w:tcPr>
          <w:p w14:paraId="02E3FF65">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工    期</w:t>
            </w:r>
          </w:p>
        </w:tc>
        <w:tc>
          <w:tcPr>
            <w:tcW w:w="3557" w:type="pct"/>
            <w:vAlign w:val="center"/>
          </w:tcPr>
          <w:p w14:paraId="5B4C9615">
            <w:pPr>
              <w:snapToGrid w:val="0"/>
              <w:rPr>
                <w:rFonts w:cs="宋体" w:asciiTheme="minorEastAsia" w:hAnsiTheme="minorEastAsia" w:eastAsiaTheme="minorEastAsia"/>
                <w:b/>
                <w:color w:val="auto"/>
                <w:kern w:val="2"/>
                <w:sz w:val="24"/>
                <w:szCs w:val="24"/>
                <w:highlight w:val="none"/>
              </w:rPr>
            </w:pPr>
            <w:r>
              <w:rPr>
                <w:rFonts w:hint="eastAsia" w:ascii="宋体" w:hAnsi="宋体" w:eastAsia="宋体" w:cs="宋体"/>
                <w:b/>
                <w:color w:val="auto"/>
                <w:kern w:val="2"/>
                <w:sz w:val="24"/>
                <w:szCs w:val="24"/>
                <w:highlight w:val="none"/>
              </w:rPr>
              <w:t>自合同签订之日起，不高于</w:t>
            </w:r>
            <w:r>
              <w:rPr>
                <w:rFonts w:hint="eastAsia" w:ascii="宋体" w:hAnsi="宋体" w:eastAsia="宋体" w:cs="宋体"/>
                <w:b/>
                <w:color w:val="auto"/>
                <w:kern w:val="2"/>
                <w:sz w:val="24"/>
                <w:szCs w:val="24"/>
                <w:highlight w:val="none"/>
                <w:u w:val="single"/>
                <w:lang w:val="en-US" w:eastAsia="zh-CN"/>
              </w:rPr>
              <w:t xml:space="preserve">    </w:t>
            </w:r>
            <w:r>
              <w:rPr>
                <w:rFonts w:hint="eastAsia" w:ascii="宋体" w:hAnsi="宋体" w:eastAsia="宋体" w:cs="宋体"/>
                <w:b/>
                <w:color w:val="auto"/>
                <w:kern w:val="2"/>
                <w:sz w:val="24"/>
                <w:szCs w:val="24"/>
                <w:highlight w:val="none"/>
              </w:rPr>
              <w:t>个日历天完工。养护期1年。供应商自报的承诺工期为考核标准</w:t>
            </w:r>
            <w:r>
              <w:rPr>
                <w:rFonts w:hint="eastAsia" w:ascii="宋体" w:hAnsi="宋体" w:eastAsia="宋体" w:cs="宋体"/>
                <w:b/>
                <w:color w:val="auto"/>
                <w:kern w:val="2"/>
                <w:sz w:val="24"/>
                <w:szCs w:val="24"/>
                <w:highlight w:val="none"/>
                <w:lang w:eastAsia="zh-CN"/>
              </w:rPr>
              <w:t>。</w:t>
            </w:r>
            <w:r>
              <w:rPr>
                <w:rFonts w:hint="eastAsia" w:ascii="宋体" w:hAnsi="宋体" w:eastAsia="宋体" w:cs="宋体"/>
                <w:b/>
                <w:color w:val="auto"/>
                <w:kern w:val="2"/>
                <w:sz w:val="24"/>
                <w:szCs w:val="24"/>
                <w:highlight w:val="none"/>
                <w:lang w:val="en-US" w:eastAsia="zh-CN"/>
              </w:rPr>
              <w:t>因</w:t>
            </w:r>
            <w:r>
              <w:rPr>
                <w:rFonts w:hint="eastAsia" w:ascii="宋体" w:hAnsi="宋体" w:eastAsia="宋体" w:cs="宋体"/>
                <w:b/>
                <w:color w:val="auto"/>
                <w:kern w:val="2"/>
                <w:sz w:val="24"/>
                <w:szCs w:val="24"/>
                <w:highlight w:val="none"/>
              </w:rPr>
              <w:t>供应商</w:t>
            </w:r>
            <w:r>
              <w:rPr>
                <w:rFonts w:hint="eastAsia" w:ascii="宋体" w:hAnsi="宋体" w:eastAsia="宋体" w:cs="宋体"/>
                <w:b/>
                <w:color w:val="auto"/>
                <w:kern w:val="2"/>
                <w:sz w:val="24"/>
                <w:szCs w:val="24"/>
                <w:highlight w:val="none"/>
                <w:lang w:val="en-US" w:eastAsia="zh-CN"/>
              </w:rPr>
              <w:t>原因造成的工期延误，每推迟一天，按合同价款（扣除暂估价和暂列金）万分之二处以违约金</w:t>
            </w:r>
            <w:r>
              <w:rPr>
                <w:rFonts w:hint="eastAsia" w:ascii="宋体" w:hAnsi="宋体" w:eastAsia="宋体" w:cs="宋体"/>
                <w:b/>
                <w:color w:val="auto"/>
                <w:kern w:val="2"/>
                <w:sz w:val="24"/>
                <w:szCs w:val="24"/>
                <w:highlight w:val="none"/>
              </w:rPr>
              <w:t>。</w:t>
            </w:r>
          </w:p>
        </w:tc>
      </w:tr>
      <w:tr w14:paraId="5B9CB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43" w:type="pct"/>
            <w:tcBorders>
              <w:top w:val="single" w:color="auto" w:sz="4" w:space="0"/>
            </w:tcBorders>
            <w:vAlign w:val="center"/>
          </w:tcPr>
          <w:p w14:paraId="2AFE23DC">
            <w:pPr>
              <w:snapToGrid w:val="0"/>
              <w:jc w:val="center"/>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是否响应付款方式</w:t>
            </w:r>
          </w:p>
        </w:tc>
        <w:tc>
          <w:tcPr>
            <w:tcW w:w="3557" w:type="pct"/>
            <w:vAlign w:val="center"/>
          </w:tcPr>
          <w:p w14:paraId="0F24FFC7">
            <w:pPr>
              <w:snapToGrid w:val="0"/>
              <w:rPr>
                <w:rFonts w:cs="宋体" w:asciiTheme="minorEastAsia" w:hAnsiTheme="minorEastAsia" w:eastAsiaTheme="minorEastAsia"/>
                <w:bCs/>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是□    否□   （划√）</w:t>
            </w:r>
          </w:p>
        </w:tc>
      </w:tr>
      <w:tr w14:paraId="4B0FB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jc w:val="center"/>
        </w:trPr>
        <w:tc>
          <w:tcPr>
            <w:tcW w:w="1443" w:type="pct"/>
            <w:vAlign w:val="center"/>
          </w:tcPr>
          <w:p w14:paraId="0012682F">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备注说明</w:t>
            </w:r>
          </w:p>
        </w:tc>
        <w:tc>
          <w:tcPr>
            <w:tcW w:w="3557" w:type="pct"/>
          </w:tcPr>
          <w:p w14:paraId="7178747C">
            <w:pPr>
              <w:rPr>
                <w:rFonts w:cs="宋体" w:asciiTheme="minorEastAsia" w:hAnsiTheme="minorEastAsia" w:eastAsiaTheme="minorEastAsia"/>
                <w:b/>
                <w:color w:val="auto"/>
                <w:kern w:val="2"/>
                <w:sz w:val="24"/>
                <w:szCs w:val="24"/>
                <w:highlight w:val="none"/>
              </w:rPr>
            </w:pPr>
          </w:p>
        </w:tc>
      </w:tr>
    </w:tbl>
    <w:p w14:paraId="48174BD3">
      <w:pPr>
        <w:spacing w:line="440" w:lineRule="exact"/>
        <w:ind w:firstLine="4800" w:firstLineChars="2000"/>
        <w:rPr>
          <w:rFonts w:cs="@仿宋_GB2312"/>
          <w:color w:val="auto"/>
          <w:kern w:val="2"/>
          <w:sz w:val="24"/>
          <w:szCs w:val="24"/>
          <w:highlight w:val="none"/>
          <w:u w:val="single"/>
        </w:rPr>
      </w:pPr>
      <w:r>
        <w:rPr>
          <w:rFonts w:hint="eastAsia" w:cs="@仿宋_GB2312"/>
          <w:color w:val="auto"/>
          <w:kern w:val="2"/>
          <w:sz w:val="24"/>
          <w:szCs w:val="24"/>
          <w:highlight w:val="none"/>
        </w:rPr>
        <w:t>供应商电子签章：</w:t>
      </w:r>
      <w:r>
        <w:rPr>
          <w:rFonts w:hint="eastAsia" w:cs="@仿宋_GB2312"/>
          <w:color w:val="auto"/>
          <w:kern w:val="2"/>
          <w:sz w:val="24"/>
          <w:szCs w:val="24"/>
          <w:highlight w:val="none"/>
          <w:u w:val="single"/>
        </w:rPr>
        <w:t xml:space="preserve">     </w:t>
      </w:r>
      <w:r>
        <w:rPr>
          <w:rFonts w:cs="@仿宋_GB2312"/>
          <w:color w:val="auto"/>
          <w:kern w:val="2"/>
          <w:sz w:val="24"/>
          <w:szCs w:val="24"/>
          <w:highlight w:val="none"/>
          <w:u w:val="single"/>
        </w:rPr>
        <w:t xml:space="preserve">    </w:t>
      </w:r>
      <w:r>
        <w:rPr>
          <w:rFonts w:hint="eastAsia" w:cs="@仿宋_GB2312"/>
          <w:color w:val="auto"/>
          <w:kern w:val="2"/>
          <w:sz w:val="24"/>
          <w:szCs w:val="24"/>
          <w:highlight w:val="none"/>
          <w:u w:val="single"/>
        </w:rPr>
        <w:t xml:space="preserve">    </w:t>
      </w:r>
    </w:p>
    <w:p w14:paraId="60943C51">
      <w:pPr>
        <w:spacing w:line="440" w:lineRule="exact"/>
        <w:ind w:firstLine="4800" w:firstLineChars="2000"/>
        <w:rPr>
          <w:rFonts w:cs="@仿宋_GB2312"/>
          <w:color w:val="auto"/>
          <w:kern w:val="2"/>
          <w:sz w:val="24"/>
          <w:szCs w:val="24"/>
          <w:highlight w:val="none"/>
          <w:u w:val="single"/>
        </w:rPr>
      </w:pPr>
      <w:r>
        <w:rPr>
          <w:rFonts w:hint="eastAsia" w:cs="@仿宋_GB2312"/>
          <w:color w:val="auto"/>
          <w:kern w:val="2"/>
          <w:sz w:val="24"/>
          <w:szCs w:val="24"/>
          <w:highlight w:val="none"/>
        </w:rPr>
        <w:t xml:space="preserve">日     </w:t>
      </w:r>
      <w:r>
        <w:rPr>
          <w:rFonts w:cs="@仿宋_GB2312"/>
          <w:color w:val="auto"/>
          <w:kern w:val="2"/>
          <w:sz w:val="24"/>
          <w:szCs w:val="24"/>
          <w:highlight w:val="none"/>
        </w:rPr>
        <w:t xml:space="preserve">    </w:t>
      </w:r>
      <w:r>
        <w:rPr>
          <w:rFonts w:hint="eastAsia" w:cs="@仿宋_GB2312"/>
          <w:color w:val="auto"/>
          <w:kern w:val="2"/>
          <w:sz w:val="24"/>
          <w:szCs w:val="24"/>
          <w:highlight w:val="none"/>
        </w:rPr>
        <w:t xml:space="preserve"> 期：</w:t>
      </w:r>
      <w:r>
        <w:rPr>
          <w:rFonts w:hint="eastAsia" w:cs="@仿宋_GB2312"/>
          <w:color w:val="auto"/>
          <w:kern w:val="2"/>
          <w:sz w:val="24"/>
          <w:szCs w:val="24"/>
          <w:highlight w:val="none"/>
          <w:u w:val="single"/>
        </w:rPr>
        <w:t xml:space="preserve">             </w:t>
      </w:r>
    </w:p>
    <w:p w14:paraId="44A03A5C">
      <w:pPr>
        <w:adjustRightInd w:val="0"/>
        <w:snapToGrid w:val="0"/>
        <w:spacing w:line="360" w:lineRule="auto"/>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注：</w:t>
      </w:r>
    </w:p>
    <w:p w14:paraId="09EBEECC">
      <w:pPr>
        <w:adjustRightInd w:val="0"/>
        <w:snapToGrid w:val="0"/>
        <w:spacing w:line="360" w:lineRule="auto"/>
        <w:ind w:firstLine="482" w:firstLineChars="200"/>
        <w:rPr>
          <w:rFonts w:cs="宋体" w:asciiTheme="minorEastAsia" w:hAnsiTheme="minorEastAsia" w:eastAsiaTheme="minorEastAsia"/>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1.本表内容根据磋商文件要求包括了磋商文件要求提供的全部内容的所有费用。</w:t>
      </w:r>
    </w:p>
    <w:p w14:paraId="5087F8E9">
      <w:pPr>
        <w:adjustRightInd w:val="0"/>
        <w:snapToGrid w:val="0"/>
        <w:spacing w:line="360" w:lineRule="auto"/>
        <w:ind w:firstLine="482" w:firstLineChars="200"/>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2.特殊事项在备注中注明。</w:t>
      </w:r>
    </w:p>
    <w:p w14:paraId="290073E4">
      <w:pPr>
        <w:adjustRightInd w:val="0"/>
        <w:snapToGrid w:val="0"/>
        <w:spacing w:line="360" w:lineRule="auto"/>
        <w:ind w:firstLine="482" w:firstLineChars="200"/>
        <w:rPr>
          <w:rFonts w:hint="default" w:ascii="宋体" w:hAnsi="宋体" w:eastAsia="宋体"/>
          <w:b/>
          <w:bCs/>
          <w:color w:val="auto"/>
          <w:sz w:val="24"/>
          <w:szCs w:val="28"/>
          <w:highlight w:val="none"/>
          <w:lang w:val="en-US" w:eastAsia="zh-CN"/>
        </w:rPr>
      </w:pPr>
      <w:r>
        <w:rPr>
          <w:rFonts w:hint="eastAsia"/>
          <w:b/>
          <w:bCs/>
          <w:color w:val="auto"/>
          <w:sz w:val="24"/>
          <w:szCs w:val="28"/>
          <w:highlight w:val="none"/>
          <w:lang w:val="en-US" w:eastAsia="zh-CN"/>
        </w:rPr>
        <w:t>3</w:t>
      </w:r>
      <w:r>
        <w:rPr>
          <w:rFonts w:hint="eastAsia" w:ascii="宋体" w:hAnsi="宋体" w:eastAsia="宋体"/>
          <w:b/>
          <w:bCs/>
          <w:color w:val="auto"/>
          <w:sz w:val="24"/>
          <w:szCs w:val="28"/>
          <w:highlight w:val="none"/>
        </w:rPr>
        <w:t>.表中大写金额与小写金额不一致的，以大写金额为准。</w:t>
      </w:r>
    </w:p>
    <w:p w14:paraId="78FE7BB3">
      <w:pPr>
        <w:adjustRightInd w:val="0"/>
        <w:snapToGrid w:val="0"/>
        <w:spacing w:line="360" w:lineRule="auto"/>
        <w:ind w:firstLine="482" w:firstLineChars="200"/>
        <w:rPr>
          <w:rFonts w:cs="宋体" w:asciiTheme="minorEastAsia" w:hAnsiTheme="minorEastAsia" w:eastAsiaTheme="minorEastAsia"/>
          <w:b/>
          <w:bCs/>
          <w:color w:val="auto"/>
          <w:kern w:val="2"/>
          <w:sz w:val="24"/>
          <w:szCs w:val="24"/>
          <w:highlight w:val="none"/>
        </w:rPr>
      </w:pPr>
      <w:r>
        <w:rPr>
          <w:rFonts w:cs="宋体" w:asciiTheme="minorEastAsia" w:hAnsiTheme="minorEastAsia" w:eastAsiaTheme="minorEastAsia"/>
          <w:b/>
          <w:bCs/>
          <w:color w:val="auto"/>
          <w:kern w:val="2"/>
          <w:sz w:val="24"/>
          <w:szCs w:val="24"/>
          <w:highlight w:val="none"/>
        </w:rPr>
        <w:br w:type="page"/>
      </w:r>
    </w:p>
    <w:p w14:paraId="2F39C5AF">
      <w:pPr>
        <w:adjustRightInd w:val="0"/>
        <w:snapToGrid w:val="0"/>
        <w:spacing w:line="360" w:lineRule="auto"/>
        <w:outlineLvl w:val="2"/>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1-2 工程量清单报价书</w:t>
      </w:r>
    </w:p>
    <w:p w14:paraId="6430A31D">
      <w:pPr>
        <w:autoSpaceDE w:val="0"/>
        <w:autoSpaceDN w:val="0"/>
        <w:adjustRightInd w:val="0"/>
        <w:spacing w:before="20" w:after="20" w:line="360" w:lineRule="auto"/>
        <w:jc w:val="center"/>
        <w:rPr>
          <w:rFonts w:cs="宋体" w:asciiTheme="minorEastAsia" w:hAnsiTheme="minorEastAsia" w:eastAsiaTheme="minorEastAsia"/>
          <w:b/>
          <w:color w:val="auto"/>
          <w:sz w:val="24"/>
          <w:szCs w:val="24"/>
          <w:highlight w:val="none"/>
        </w:rPr>
      </w:pPr>
    </w:p>
    <w:p w14:paraId="19879222">
      <w:pPr>
        <w:autoSpaceDE w:val="0"/>
        <w:autoSpaceDN w:val="0"/>
        <w:adjustRightInd w:val="0"/>
        <w:spacing w:before="20" w:after="20" w:line="360" w:lineRule="auto"/>
        <w:jc w:val="center"/>
        <w:outlineLvl w:val="1"/>
        <w:rPr>
          <w:rFonts w:cs="宋体" w:asciiTheme="minorEastAsia" w:hAnsiTheme="minorEastAsia" w:eastAsiaTheme="minorEastAsia"/>
          <w:b/>
          <w:color w:val="auto"/>
          <w:sz w:val="24"/>
          <w:szCs w:val="24"/>
          <w:highlight w:val="none"/>
        </w:rPr>
      </w:pPr>
      <w:bookmarkStart w:id="664" w:name="_Toc26702"/>
      <w:bookmarkStart w:id="665" w:name="_Toc1874"/>
      <w:r>
        <w:rPr>
          <w:rFonts w:hint="eastAsia" w:cs="宋体" w:asciiTheme="minorEastAsia" w:hAnsiTheme="minorEastAsia" w:eastAsiaTheme="minorEastAsia"/>
          <w:b/>
          <w:color w:val="auto"/>
          <w:sz w:val="24"/>
          <w:szCs w:val="24"/>
          <w:highlight w:val="none"/>
        </w:rPr>
        <w:t>工程量清单报价书</w:t>
      </w:r>
      <w:bookmarkEnd w:id="664"/>
      <w:bookmarkEnd w:id="665"/>
    </w:p>
    <w:p w14:paraId="4974DA1D">
      <w:pPr>
        <w:adjustRightInd w:val="0"/>
        <w:snapToGrid w:val="0"/>
        <w:spacing w:line="360" w:lineRule="auto"/>
        <w:ind w:firstLine="422" w:firstLineChars="200"/>
        <w:jc w:val="center"/>
        <w:rPr>
          <w:b/>
          <w:bCs/>
          <w:color w:val="auto"/>
          <w:sz w:val="24"/>
          <w:szCs w:val="28"/>
          <w:highlight w:val="none"/>
        </w:rPr>
      </w:pPr>
      <w:r>
        <w:rPr>
          <w:rFonts w:hint="eastAsia" w:cs="宋体" w:asciiTheme="minorEastAsia" w:hAnsiTheme="minorEastAsia" w:eastAsiaTheme="minorEastAsia"/>
          <w:b/>
          <w:color w:val="auto"/>
          <w:kern w:val="2"/>
          <w:sz w:val="21"/>
          <w:szCs w:val="24"/>
          <w:highlight w:val="none"/>
        </w:rPr>
        <w:t>（格式详见工程量清单）</w:t>
      </w:r>
    </w:p>
    <w:p w14:paraId="727FBB66">
      <w:pPr>
        <w:widowControl/>
        <w:jc w:val="left"/>
        <w:rPr>
          <w:b/>
          <w:bCs/>
          <w:color w:val="auto"/>
          <w:sz w:val="24"/>
          <w:szCs w:val="28"/>
          <w:highlight w:val="none"/>
        </w:rPr>
      </w:pPr>
      <w:r>
        <w:rPr>
          <w:b/>
          <w:bCs/>
          <w:color w:val="auto"/>
          <w:sz w:val="24"/>
          <w:szCs w:val="28"/>
          <w:highlight w:val="none"/>
        </w:rPr>
        <w:br w:type="page"/>
      </w:r>
    </w:p>
    <w:p w14:paraId="6103BAE5">
      <w:pPr>
        <w:spacing w:line="360" w:lineRule="auto"/>
        <w:jc w:val="center"/>
        <w:outlineLvl w:val="1"/>
        <w:rPr>
          <w:rFonts w:asciiTheme="minorEastAsia" w:hAnsiTheme="minorEastAsia" w:eastAsiaTheme="minorEastAsia"/>
          <w:b/>
          <w:color w:val="auto"/>
          <w:sz w:val="24"/>
          <w:highlight w:val="none"/>
        </w:rPr>
      </w:pPr>
      <w:bookmarkStart w:id="666" w:name="_Toc461056632"/>
      <w:bookmarkStart w:id="667" w:name="_Toc461053087"/>
      <w:bookmarkStart w:id="668" w:name="_Toc20879"/>
      <w:bookmarkStart w:id="669" w:name="_Toc22341"/>
      <w:bookmarkStart w:id="670" w:name="_Toc520983588"/>
      <w:r>
        <w:rPr>
          <w:rFonts w:hint="eastAsia" w:asciiTheme="minorEastAsia" w:hAnsiTheme="minorEastAsia" w:eastAsiaTheme="minorEastAsia"/>
          <w:b/>
          <w:color w:val="auto"/>
          <w:sz w:val="24"/>
          <w:highlight w:val="none"/>
        </w:rPr>
        <w:t>二</w:t>
      </w:r>
      <w:bookmarkEnd w:id="666"/>
      <w:bookmarkEnd w:id="667"/>
      <w:r>
        <w:rPr>
          <w:rFonts w:hint="eastAsia" w:asciiTheme="minorEastAsia" w:hAnsiTheme="minorEastAsia" w:eastAsiaTheme="minorEastAsia"/>
          <w:b/>
          <w:color w:val="auto"/>
          <w:sz w:val="24"/>
          <w:highlight w:val="none"/>
        </w:rPr>
        <w:t>、最后承诺报价表</w:t>
      </w:r>
      <w:bookmarkEnd w:id="668"/>
      <w:bookmarkEnd w:id="669"/>
      <w:bookmarkEnd w:id="670"/>
    </w:p>
    <w:p w14:paraId="0EE7A619">
      <w:pPr>
        <w:spacing w:before="156" w:beforeLines="50" w:after="156" w:afterLines="50" w:line="360" w:lineRule="auto"/>
        <w:ind w:firstLine="236" w:firstLineChars="98"/>
        <w:jc w:val="center"/>
        <w:outlineLvl w:val="1"/>
        <w:rPr>
          <w:b/>
          <w:color w:val="auto"/>
          <w:sz w:val="24"/>
          <w:szCs w:val="28"/>
          <w:highlight w:val="none"/>
        </w:rPr>
      </w:pPr>
      <w:bookmarkStart w:id="671" w:name="_Toc13333"/>
      <w:bookmarkStart w:id="672" w:name="_Toc8562"/>
      <w:r>
        <w:rPr>
          <w:rFonts w:hint="eastAsia"/>
          <w:b/>
          <w:color w:val="auto"/>
          <w:sz w:val="24"/>
          <w:szCs w:val="28"/>
          <w:highlight w:val="none"/>
        </w:rPr>
        <w:t>（第</w:t>
      </w:r>
      <w:r>
        <w:rPr>
          <w:rFonts w:hint="eastAsia"/>
          <w:b/>
          <w:color w:val="auto"/>
          <w:sz w:val="24"/>
          <w:szCs w:val="28"/>
          <w:highlight w:val="none"/>
          <w:u w:val="single"/>
        </w:rPr>
        <w:t xml:space="preserve">   </w:t>
      </w:r>
      <w:r>
        <w:rPr>
          <w:rFonts w:hint="eastAsia"/>
          <w:b/>
          <w:color w:val="auto"/>
          <w:sz w:val="24"/>
          <w:szCs w:val="28"/>
          <w:highlight w:val="none"/>
        </w:rPr>
        <w:t>次报价书）</w:t>
      </w:r>
      <w:bookmarkEnd w:id="671"/>
      <w:bookmarkEnd w:id="672"/>
    </w:p>
    <w:p w14:paraId="19A7588B">
      <w:pPr>
        <w:snapToGrid w:val="0"/>
        <w:spacing w:line="360" w:lineRule="auto"/>
        <w:jc w:val="left"/>
        <w:rPr>
          <w:rFonts w:hint="default" w:cs="宋体" w:asciiTheme="minorEastAsia" w:hAnsiTheme="minorEastAsia" w:eastAsiaTheme="minorEastAsia"/>
          <w:b/>
          <w:color w:val="auto"/>
          <w:kern w:val="2"/>
          <w:sz w:val="24"/>
          <w:szCs w:val="24"/>
          <w:highlight w:val="none"/>
          <w:lang w:val="en-US" w:eastAsia="zh-CN"/>
        </w:rPr>
      </w:pPr>
      <w:r>
        <w:rPr>
          <w:rFonts w:hint="eastAsia" w:cs="宋体" w:asciiTheme="minorEastAsia" w:hAnsiTheme="minorEastAsia" w:eastAsiaTheme="minorEastAsia"/>
          <w:b/>
          <w:color w:val="auto"/>
          <w:kern w:val="2"/>
          <w:sz w:val="24"/>
          <w:szCs w:val="24"/>
          <w:highlight w:val="none"/>
        </w:rPr>
        <w:t>项目名称：</w:t>
      </w:r>
      <w:r>
        <w:rPr>
          <w:rFonts w:hint="eastAsia" w:cs="宋体" w:asciiTheme="minorEastAsia" w:hAnsiTheme="minorEastAsia" w:eastAsiaTheme="minorEastAsia"/>
          <w:b/>
          <w:color w:val="auto"/>
          <w:kern w:val="2"/>
          <w:sz w:val="24"/>
          <w:szCs w:val="24"/>
          <w:highlight w:val="none"/>
          <w:u w:val="single"/>
        </w:rPr>
        <w:t xml:space="preserve">     </w:t>
      </w:r>
      <w:r>
        <w:rPr>
          <w:rFonts w:hint="eastAsia" w:cs="宋体" w:asciiTheme="minorEastAsia" w:hAnsiTheme="minorEastAsia" w:eastAsiaTheme="minorEastAsia"/>
          <w:b/>
          <w:color w:val="auto"/>
          <w:kern w:val="2"/>
          <w:sz w:val="24"/>
          <w:szCs w:val="24"/>
          <w:highlight w:val="none"/>
          <w:u w:val="single"/>
          <w:lang w:val="en-US" w:eastAsia="zh-CN"/>
        </w:rPr>
        <w:t xml:space="preserve">     </w:t>
      </w:r>
    </w:p>
    <w:p w14:paraId="07F9BBE7">
      <w:pPr>
        <w:snapToGrid w:val="0"/>
        <w:spacing w:after="156" w:afterLines="50" w:line="360" w:lineRule="auto"/>
        <w:jc w:val="left"/>
        <w:rPr>
          <w:rFonts w:hint="default" w:cs="宋体" w:asciiTheme="minorEastAsia" w:hAnsiTheme="minorEastAsia" w:eastAsiaTheme="minorEastAsia"/>
          <w:b/>
          <w:bCs/>
          <w:color w:val="auto"/>
          <w:kern w:val="2"/>
          <w:sz w:val="24"/>
          <w:szCs w:val="24"/>
          <w:highlight w:val="none"/>
          <w:u w:val="single"/>
          <w:lang w:val="en-US" w:eastAsia="zh-CN"/>
        </w:rPr>
      </w:pPr>
      <w:r>
        <w:rPr>
          <w:rFonts w:hint="eastAsia" w:cs="宋体" w:asciiTheme="minorEastAsia" w:hAnsiTheme="minorEastAsia" w:eastAsiaTheme="minorEastAsia"/>
          <w:b/>
          <w:color w:val="auto"/>
          <w:kern w:val="2"/>
          <w:sz w:val="24"/>
          <w:szCs w:val="24"/>
          <w:highlight w:val="none"/>
        </w:rPr>
        <w:t>项目编号：</w:t>
      </w:r>
      <w:r>
        <w:rPr>
          <w:rFonts w:hint="eastAsia" w:cs="宋体" w:asciiTheme="minorEastAsia" w:hAnsiTheme="minorEastAsia" w:eastAsiaTheme="minorEastAsia"/>
          <w:b/>
          <w:color w:val="auto"/>
          <w:kern w:val="2"/>
          <w:sz w:val="24"/>
          <w:szCs w:val="24"/>
          <w:highlight w:val="none"/>
          <w:u w:val="single"/>
        </w:rPr>
        <w:t xml:space="preserve">     </w:t>
      </w:r>
      <w:r>
        <w:rPr>
          <w:rFonts w:hint="eastAsia" w:cs="宋体" w:asciiTheme="minorEastAsia" w:hAnsiTheme="minorEastAsia" w:eastAsiaTheme="minorEastAsia"/>
          <w:b/>
          <w:color w:val="auto"/>
          <w:kern w:val="2"/>
          <w:sz w:val="24"/>
          <w:szCs w:val="24"/>
          <w:highlight w:val="none"/>
          <w:u w:val="single"/>
          <w:lang w:val="en-US" w:eastAsia="zh-CN"/>
        </w:rPr>
        <w:t xml:space="preserve">     </w:t>
      </w:r>
    </w:p>
    <w:tbl>
      <w:tblPr>
        <w:tblStyle w:val="5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2"/>
        <w:gridCol w:w="5950"/>
      </w:tblGrid>
      <w:tr w14:paraId="59C05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6"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14:paraId="78AC938A">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供应商名称</w:t>
            </w:r>
          </w:p>
        </w:tc>
        <w:tc>
          <w:tcPr>
            <w:tcW w:w="3491" w:type="pct"/>
            <w:tcBorders>
              <w:left w:val="single" w:color="auto" w:sz="4" w:space="0"/>
            </w:tcBorders>
          </w:tcPr>
          <w:p w14:paraId="5335C941">
            <w:pPr>
              <w:rPr>
                <w:rFonts w:cs="宋体" w:asciiTheme="minorEastAsia" w:hAnsiTheme="minorEastAsia" w:eastAsiaTheme="minorEastAsia"/>
                <w:b/>
                <w:color w:val="auto"/>
                <w:kern w:val="2"/>
                <w:sz w:val="24"/>
                <w:szCs w:val="24"/>
                <w:highlight w:val="none"/>
              </w:rPr>
            </w:pPr>
          </w:p>
        </w:tc>
      </w:tr>
      <w:tr w14:paraId="4AEDA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14:paraId="115C86F0">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磋商</w:t>
            </w:r>
            <w:r>
              <w:rPr>
                <w:rFonts w:hint="eastAsia" w:cs="宋体" w:asciiTheme="minorEastAsia" w:hAnsiTheme="minorEastAsia" w:eastAsiaTheme="minorEastAsia"/>
                <w:b/>
                <w:color w:val="auto"/>
                <w:kern w:val="2"/>
                <w:sz w:val="24"/>
                <w:szCs w:val="24"/>
                <w:highlight w:val="none"/>
              </w:rPr>
              <w:t>范围</w:t>
            </w:r>
          </w:p>
        </w:tc>
        <w:tc>
          <w:tcPr>
            <w:tcW w:w="3491" w:type="pct"/>
            <w:tcBorders>
              <w:left w:val="single" w:color="auto" w:sz="4" w:space="0"/>
            </w:tcBorders>
            <w:vAlign w:val="center"/>
          </w:tcPr>
          <w:p w14:paraId="5C3A4C10">
            <w:pPr>
              <w:widowControl/>
              <w:rPr>
                <w:rFonts w:cs="宋体" w:asciiTheme="minorEastAsia" w:hAnsiTheme="minorEastAsia" w:eastAsiaTheme="minorEastAsia"/>
                <w:b/>
                <w:color w:val="auto"/>
                <w:kern w:val="2"/>
                <w:sz w:val="24"/>
                <w:szCs w:val="24"/>
                <w:highlight w:val="none"/>
              </w:rPr>
            </w:pPr>
            <w:r>
              <w:rPr>
                <w:rFonts w:hint="eastAsia" w:cs="@仿宋_GB2312" w:asciiTheme="minorEastAsia" w:hAnsiTheme="minorEastAsia" w:eastAsiaTheme="minorEastAsia"/>
                <w:color w:val="auto"/>
                <w:kern w:val="2"/>
                <w:sz w:val="24"/>
                <w:szCs w:val="28"/>
                <w:highlight w:val="none"/>
              </w:rPr>
              <w:t xml:space="preserve">全部 </w:t>
            </w:r>
          </w:p>
        </w:tc>
      </w:tr>
      <w:tr w14:paraId="0839C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509" w:type="pct"/>
            <w:tcBorders>
              <w:top w:val="single" w:color="auto" w:sz="4" w:space="0"/>
            </w:tcBorders>
            <w:vAlign w:val="center"/>
          </w:tcPr>
          <w:p w14:paraId="180F5ACD">
            <w:pPr>
              <w:spacing w:line="360" w:lineRule="auto"/>
              <w:jc w:val="center"/>
              <w:rPr>
                <w:rFonts w:cs="@仿宋_GB2312"/>
                <w:b/>
                <w:color w:val="auto"/>
                <w:kern w:val="2"/>
                <w:sz w:val="24"/>
                <w:highlight w:val="none"/>
              </w:rPr>
            </w:pPr>
            <w:r>
              <w:rPr>
                <w:rFonts w:hint="eastAsia" w:cs="@仿宋_GB2312"/>
                <w:b/>
                <w:bCs/>
                <w:color w:val="auto"/>
                <w:kern w:val="2"/>
                <w:sz w:val="24"/>
                <w:szCs w:val="28"/>
                <w:highlight w:val="none"/>
              </w:rPr>
              <w:t>最后报价</w:t>
            </w:r>
          </w:p>
          <w:p w14:paraId="5BAFDDC0">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（详见备注说明）</w:t>
            </w:r>
          </w:p>
        </w:tc>
        <w:tc>
          <w:tcPr>
            <w:tcW w:w="3491" w:type="pct"/>
            <w:vAlign w:val="center"/>
          </w:tcPr>
          <w:p w14:paraId="59DB2F23">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大写：</w:t>
            </w:r>
            <w:r>
              <w:rPr>
                <w:rFonts w:hint="eastAsia" w:ascii="宋体" w:hAnsi="宋体" w:eastAsia="宋体" w:cs="宋体"/>
                <w:bCs/>
                <w:color w:val="auto"/>
                <w:sz w:val="24"/>
                <w:szCs w:val="24"/>
                <w:highlight w:val="none"/>
                <w:u w:val="single"/>
              </w:rPr>
              <w:t xml:space="preserve">                     </w:t>
            </w:r>
          </w:p>
          <w:p w14:paraId="72FD5607">
            <w:pPr>
              <w:spacing w:line="360" w:lineRule="auto"/>
              <w:ind w:right="-670"/>
              <w:rPr>
                <w:rFonts w:cs="宋体" w:asciiTheme="minorEastAsia" w:hAnsiTheme="minorEastAsia" w:eastAsiaTheme="minorEastAsia"/>
                <w:b/>
                <w:color w:val="auto"/>
                <w:kern w:val="2"/>
                <w:sz w:val="24"/>
                <w:szCs w:val="24"/>
                <w:highlight w:val="none"/>
              </w:rPr>
            </w:pPr>
            <w:r>
              <w:rPr>
                <w:rFonts w:hint="eastAsia" w:ascii="宋体" w:hAnsi="宋体" w:eastAsia="宋体" w:cs="宋体"/>
                <w:bCs/>
                <w:color w:val="auto"/>
                <w:sz w:val="24"/>
                <w:szCs w:val="24"/>
                <w:highlight w:val="none"/>
              </w:rPr>
              <w:t>小写：</w:t>
            </w:r>
            <w:r>
              <w:rPr>
                <w:rFonts w:hint="eastAsia" w:ascii="宋体" w:hAnsi="宋体" w:eastAsia="宋体" w:cs="宋体"/>
                <w:bCs/>
                <w:color w:val="auto"/>
                <w:sz w:val="24"/>
                <w:szCs w:val="24"/>
                <w:highlight w:val="none"/>
                <w:u w:val="single"/>
              </w:rPr>
              <w:t xml:space="preserve">                     </w:t>
            </w:r>
          </w:p>
        </w:tc>
      </w:tr>
      <w:tr w14:paraId="6B9BC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509" w:type="pct"/>
            <w:tcBorders>
              <w:top w:val="single" w:color="auto" w:sz="4" w:space="0"/>
            </w:tcBorders>
            <w:vAlign w:val="center"/>
          </w:tcPr>
          <w:p w14:paraId="5B0F8036">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质量标准</w:t>
            </w:r>
          </w:p>
        </w:tc>
        <w:tc>
          <w:tcPr>
            <w:tcW w:w="3491" w:type="pct"/>
            <w:vAlign w:val="center"/>
          </w:tcPr>
          <w:p w14:paraId="2779F8BC">
            <w:pPr>
              <w:snapToGrid w:val="0"/>
              <w:rPr>
                <w:rFonts w:cs="宋体" w:asciiTheme="minorEastAsia" w:hAnsiTheme="minorEastAsia" w:eastAsiaTheme="minorEastAsia"/>
                <w:b/>
                <w:color w:val="auto"/>
                <w:kern w:val="2"/>
                <w:sz w:val="24"/>
                <w:szCs w:val="24"/>
                <w:highlight w:val="none"/>
              </w:rPr>
            </w:pPr>
          </w:p>
        </w:tc>
      </w:tr>
      <w:tr w14:paraId="278F2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509" w:type="pct"/>
            <w:tcBorders>
              <w:top w:val="single" w:color="auto" w:sz="4" w:space="0"/>
            </w:tcBorders>
            <w:vAlign w:val="center"/>
          </w:tcPr>
          <w:p w14:paraId="7A43C163">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工    期</w:t>
            </w:r>
          </w:p>
        </w:tc>
        <w:tc>
          <w:tcPr>
            <w:tcW w:w="3491" w:type="pct"/>
            <w:vAlign w:val="center"/>
          </w:tcPr>
          <w:p w14:paraId="09AA531B">
            <w:pPr>
              <w:snapToGrid w:val="0"/>
              <w:rPr>
                <w:rFonts w:cs="宋体" w:asciiTheme="minorEastAsia" w:hAnsiTheme="minorEastAsia" w:eastAsiaTheme="minorEastAsia"/>
                <w:b/>
                <w:color w:val="auto"/>
                <w:kern w:val="2"/>
                <w:sz w:val="24"/>
                <w:szCs w:val="24"/>
                <w:highlight w:val="none"/>
              </w:rPr>
            </w:pPr>
            <w:r>
              <w:rPr>
                <w:rFonts w:hint="eastAsia" w:ascii="宋体" w:hAnsi="宋体" w:eastAsia="宋体" w:cs="宋体"/>
                <w:b/>
                <w:color w:val="auto"/>
                <w:kern w:val="2"/>
                <w:sz w:val="24"/>
                <w:szCs w:val="24"/>
                <w:highlight w:val="none"/>
                <w:lang w:val="en-US" w:eastAsia="zh-CN"/>
              </w:rPr>
              <w:t>自合同签订之日起，不高于</w:t>
            </w:r>
            <w:r>
              <w:rPr>
                <w:rFonts w:hint="eastAsia" w:ascii="宋体" w:hAnsi="宋体" w:eastAsia="宋体" w:cs="宋体"/>
                <w:b/>
                <w:color w:val="auto"/>
                <w:kern w:val="2"/>
                <w:sz w:val="24"/>
                <w:szCs w:val="24"/>
                <w:highlight w:val="none"/>
                <w:u w:val="single"/>
                <w:lang w:val="en-US" w:eastAsia="zh-CN"/>
              </w:rPr>
              <w:t xml:space="preserve">   </w:t>
            </w:r>
            <w:r>
              <w:rPr>
                <w:rFonts w:hint="eastAsia" w:ascii="宋体" w:hAnsi="宋体" w:eastAsia="宋体" w:cs="宋体"/>
                <w:b/>
                <w:color w:val="auto"/>
                <w:kern w:val="2"/>
                <w:sz w:val="24"/>
                <w:szCs w:val="24"/>
                <w:highlight w:val="none"/>
                <w:lang w:val="en-US" w:eastAsia="zh-CN"/>
              </w:rPr>
              <w:t>个日历天完工。养护期1年。</w:t>
            </w:r>
            <w:r>
              <w:rPr>
                <w:rFonts w:hint="eastAsia" w:ascii="宋体" w:hAnsi="宋体" w:eastAsia="宋体" w:cs="宋体"/>
                <w:b/>
                <w:color w:val="auto"/>
                <w:kern w:val="2"/>
                <w:sz w:val="24"/>
                <w:szCs w:val="24"/>
                <w:highlight w:val="none"/>
              </w:rPr>
              <w:t>供应商自报的承诺工期为考核标准</w:t>
            </w:r>
            <w:r>
              <w:rPr>
                <w:rFonts w:hint="eastAsia" w:ascii="宋体" w:hAnsi="宋体" w:eastAsia="宋体" w:cs="宋体"/>
                <w:b/>
                <w:color w:val="auto"/>
                <w:kern w:val="2"/>
                <w:sz w:val="24"/>
                <w:szCs w:val="24"/>
                <w:highlight w:val="none"/>
                <w:lang w:eastAsia="zh-CN"/>
              </w:rPr>
              <w:t>。</w:t>
            </w:r>
            <w:r>
              <w:rPr>
                <w:rFonts w:hint="eastAsia" w:ascii="宋体" w:hAnsi="宋体" w:eastAsia="宋体" w:cs="宋体"/>
                <w:b/>
                <w:color w:val="auto"/>
                <w:kern w:val="2"/>
                <w:sz w:val="24"/>
                <w:szCs w:val="24"/>
                <w:highlight w:val="none"/>
                <w:lang w:val="en-US" w:eastAsia="zh-CN"/>
              </w:rPr>
              <w:t>因</w:t>
            </w:r>
            <w:r>
              <w:rPr>
                <w:rFonts w:hint="eastAsia" w:ascii="宋体" w:hAnsi="宋体" w:eastAsia="宋体" w:cs="宋体"/>
                <w:b/>
                <w:color w:val="auto"/>
                <w:kern w:val="2"/>
                <w:sz w:val="24"/>
                <w:szCs w:val="24"/>
                <w:highlight w:val="none"/>
              </w:rPr>
              <w:t>供应商</w:t>
            </w:r>
            <w:r>
              <w:rPr>
                <w:rFonts w:hint="eastAsia" w:ascii="宋体" w:hAnsi="宋体" w:eastAsia="宋体" w:cs="宋体"/>
                <w:b/>
                <w:color w:val="auto"/>
                <w:kern w:val="2"/>
                <w:sz w:val="24"/>
                <w:szCs w:val="24"/>
                <w:highlight w:val="none"/>
                <w:lang w:val="en-US" w:eastAsia="zh-CN"/>
              </w:rPr>
              <w:t>原因造成的工期延误，每推迟一天，按合同价款（扣除暂估价和暂列金）万分之二处以违约金</w:t>
            </w:r>
            <w:r>
              <w:rPr>
                <w:rFonts w:hint="eastAsia" w:ascii="宋体" w:hAnsi="宋体" w:eastAsia="宋体" w:cs="宋体"/>
                <w:b/>
                <w:color w:val="auto"/>
                <w:kern w:val="2"/>
                <w:sz w:val="24"/>
                <w:szCs w:val="24"/>
                <w:highlight w:val="none"/>
              </w:rPr>
              <w:t>。</w:t>
            </w:r>
          </w:p>
        </w:tc>
      </w:tr>
      <w:tr w14:paraId="0CF3D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509" w:type="pct"/>
            <w:tcBorders>
              <w:top w:val="single" w:color="auto" w:sz="4" w:space="0"/>
            </w:tcBorders>
            <w:vAlign w:val="center"/>
          </w:tcPr>
          <w:p w14:paraId="1948B7D1">
            <w:pPr>
              <w:snapToGrid w:val="0"/>
              <w:jc w:val="center"/>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是否响应付款方式</w:t>
            </w:r>
          </w:p>
        </w:tc>
        <w:tc>
          <w:tcPr>
            <w:tcW w:w="3491" w:type="pct"/>
            <w:vAlign w:val="center"/>
          </w:tcPr>
          <w:p w14:paraId="29174693">
            <w:pPr>
              <w:snapToGrid w:val="0"/>
              <w:rPr>
                <w:rFonts w:cs="宋体" w:asciiTheme="minorEastAsia" w:hAnsiTheme="minorEastAsia" w:eastAsiaTheme="minorEastAsia"/>
                <w:bCs/>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是□    否□   （划√）</w:t>
            </w:r>
          </w:p>
        </w:tc>
      </w:tr>
      <w:tr w14:paraId="19E40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jc w:val="center"/>
        </w:trPr>
        <w:tc>
          <w:tcPr>
            <w:tcW w:w="1509" w:type="pct"/>
            <w:vAlign w:val="center"/>
          </w:tcPr>
          <w:p w14:paraId="63AEFF9B">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备注说明</w:t>
            </w:r>
          </w:p>
        </w:tc>
        <w:tc>
          <w:tcPr>
            <w:tcW w:w="3491" w:type="pct"/>
          </w:tcPr>
          <w:p w14:paraId="48D4D0CF">
            <w:pP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i/>
                <w:color w:val="auto"/>
                <w:kern w:val="2"/>
                <w:sz w:val="24"/>
                <w:szCs w:val="24"/>
                <w:highlight w:val="none"/>
              </w:rPr>
              <w:t>（此处可补充磋商小组根据与供应商磋商情况变动的磋商文件的内容，包括采购需求中的技术、服务要求以及合同草案条款。）</w:t>
            </w:r>
          </w:p>
        </w:tc>
      </w:tr>
      <w:tr w14:paraId="62966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509" w:type="pct"/>
            <w:vAlign w:val="center"/>
          </w:tcPr>
          <w:p w14:paraId="2B86C9FD">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磋商小组签字</w:t>
            </w:r>
          </w:p>
        </w:tc>
        <w:tc>
          <w:tcPr>
            <w:tcW w:w="3491" w:type="pct"/>
          </w:tcPr>
          <w:p w14:paraId="634694F7">
            <w:pPr>
              <w:rPr>
                <w:rFonts w:cs="宋体" w:asciiTheme="minorEastAsia" w:hAnsiTheme="minorEastAsia" w:eastAsiaTheme="minorEastAsia"/>
                <w:b/>
                <w:color w:val="auto"/>
                <w:kern w:val="2"/>
                <w:sz w:val="24"/>
                <w:szCs w:val="24"/>
                <w:highlight w:val="none"/>
              </w:rPr>
            </w:pPr>
          </w:p>
        </w:tc>
      </w:tr>
    </w:tbl>
    <w:p w14:paraId="43EE5FCB">
      <w:pPr>
        <w:spacing w:line="440" w:lineRule="exact"/>
        <w:ind w:firstLine="3600" w:firstLineChars="1500"/>
        <w:rPr>
          <w:rFonts w:cs="@仿宋_GB2312"/>
          <w:color w:val="auto"/>
          <w:kern w:val="2"/>
          <w:sz w:val="24"/>
          <w:szCs w:val="24"/>
          <w:highlight w:val="none"/>
          <w:u w:val="single"/>
        </w:rPr>
      </w:pPr>
      <w:r>
        <w:rPr>
          <w:rFonts w:hint="eastAsia" w:cs="@仿宋_GB2312"/>
          <w:color w:val="auto"/>
          <w:kern w:val="2"/>
          <w:sz w:val="24"/>
          <w:szCs w:val="24"/>
          <w:highlight w:val="none"/>
        </w:rPr>
        <w:t>供应商公章或授权代表签字：</w:t>
      </w:r>
      <w:r>
        <w:rPr>
          <w:rFonts w:hint="eastAsia" w:cs="@仿宋_GB2312"/>
          <w:color w:val="auto"/>
          <w:kern w:val="2"/>
          <w:sz w:val="24"/>
          <w:szCs w:val="24"/>
          <w:highlight w:val="none"/>
          <w:u w:val="single"/>
        </w:rPr>
        <w:t xml:space="preserve">     </w:t>
      </w:r>
      <w:r>
        <w:rPr>
          <w:rFonts w:cs="@仿宋_GB2312"/>
          <w:color w:val="auto"/>
          <w:kern w:val="2"/>
          <w:sz w:val="24"/>
          <w:szCs w:val="24"/>
          <w:highlight w:val="none"/>
          <w:u w:val="single"/>
        </w:rPr>
        <w:t xml:space="preserve">    </w:t>
      </w:r>
      <w:r>
        <w:rPr>
          <w:rFonts w:hint="eastAsia" w:cs="@仿宋_GB2312"/>
          <w:color w:val="auto"/>
          <w:kern w:val="2"/>
          <w:sz w:val="24"/>
          <w:szCs w:val="24"/>
          <w:highlight w:val="none"/>
          <w:u w:val="single"/>
        </w:rPr>
        <w:t xml:space="preserve">    </w:t>
      </w:r>
    </w:p>
    <w:p w14:paraId="11DCF8F9">
      <w:pPr>
        <w:spacing w:line="440" w:lineRule="exact"/>
        <w:ind w:firstLine="4800" w:firstLineChars="2000"/>
        <w:rPr>
          <w:rFonts w:cs="宋体" w:asciiTheme="minorEastAsia" w:hAnsiTheme="minorEastAsia" w:eastAsiaTheme="minorEastAsia"/>
          <w:b/>
          <w:bCs/>
          <w:color w:val="auto"/>
          <w:kern w:val="2"/>
          <w:sz w:val="24"/>
          <w:szCs w:val="24"/>
          <w:highlight w:val="none"/>
        </w:rPr>
      </w:pPr>
      <w:r>
        <w:rPr>
          <w:rFonts w:hint="eastAsia" w:cs="@仿宋_GB2312"/>
          <w:color w:val="auto"/>
          <w:kern w:val="2"/>
          <w:sz w:val="24"/>
          <w:szCs w:val="24"/>
          <w:highlight w:val="none"/>
        </w:rPr>
        <w:t xml:space="preserve">日     </w:t>
      </w:r>
      <w:r>
        <w:rPr>
          <w:rFonts w:cs="@仿宋_GB2312"/>
          <w:color w:val="auto"/>
          <w:kern w:val="2"/>
          <w:sz w:val="24"/>
          <w:szCs w:val="24"/>
          <w:highlight w:val="none"/>
        </w:rPr>
        <w:t xml:space="preserve">    </w:t>
      </w:r>
      <w:r>
        <w:rPr>
          <w:rFonts w:hint="eastAsia" w:cs="@仿宋_GB2312"/>
          <w:color w:val="auto"/>
          <w:kern w:val="2"/>
          <w:sz w:val="24"/>
          <w:szCs w:val="24"/>
          <w:highlight w:val="none"/>
        </w:rPr>
        <w:t xml:space="preserve"> 期：</w:t>
      </w:r>
      <w:r>
        <w:rPr>
          <w:rFonts w:hint="eastAsia" w:cs="@仿宋_GB2312"/>
          <w:color w:val="auto"/>
          <w:kern w:val="2"/>
          <w:sz w:val="24"/>
          <w:szCs w:val="24"/>
          <w:highlight w:val="none"/>
          <w:u w:val="single"/>
        </w:rPr>
        <w:t xml:space="preserve">             </w:t>
      </w:r>
    </w:p>
    <w:p w14:paraId="7B3CFF91">
      <w:pPr>
        <w:spacing w:line="360" w:lineRule="auto"/>
        <w:jc w:val="left"/>
        <w:rPr>
          <w:rFonts w:hint="eastAsia"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注：</w:t>
      </w:r>
    </w:p>
    <w:p w14:paraId="15EFA4F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bCs/>
          <w:color w:val="auto"/>
          <w:sz w:val="24"/>
          <w:highlight w:val="none"/>
        </w:rPr>
      </w:pPr>
      <w:r>
        <w:rPr>
          <w:rFonts w:hint="eastAsia" w:cs="宋体" w:asciiTheme="minorEastAsia" w:hAnsiTheme="minorEastAsia" w:eastAsiaTheme="minorEastAsia"/>
          <w:b/>
          <w:bCs/>
          <w:color w:val="auto"/>
          <w:kern w:val="2"/>
          <w:sz w:val="24"/>
          <w:szCs w:val="24"/>
          <w:highlight w:val="none"/>
          <w:lang w:val="en-US" w:eastAsia="zh-CN"/>
        </w:rPr>
        <w:t>1.</w:t>
      </w:r>
      <w:r>
        <w:rPr>
          <w:rFonts w:hint="eastAsia" w:cs="@仿宋_GB2312"/>
          <w:b/>
          <w:bCs/>
          <w:color w:val="auto"/>
          <w:kern w:val="2"/>
          <w:sz w:val="24"/>
          <w:highlight w:val="none"/>
        </w:rPr>
        <w:t>本页《报价表》由供应商在接到报价通知后依据磋商情况填写,并在规定时间内提交。</w:t>
      </w:r>
      <w:r>
        <w:rPr>
          <w:rFonts w:hint="eastAsia" w:cs="宋体" w:asciiTheme="minorEastAsia" w:hAnsiTheme="minorEastAsia" w:eastAsiaTheme="minorEastAsia"/>
          <w:color w:val="auto"/>
          <w:kern w:val="2"/>
          <w:sz w:val="24"/>
          <w:szCs w:val="24"/>
          <w:highlight w:val="none"/>
        </w:rPr>
        <w:t>考虑磋商报价的方便，供应商在填写最后承诺报价后，（第一次报价-最后承诺报价）除以第一次报价后得出的优惠率视同为清单中全部分项工程量的优惠浮动值（特定分项优惠除外），而不考虑措施项目清单和规费税金清单的金额改变。</w:t>
      </w:r>
      <w:r>
        <w:rPr>
          <w:rFonts w:hint="eastAsia" w:cs="宋体" w:asciiTheme="minorEastAsia" w:hAnsiTheme="minorEastAsia" w:eastAsiaTheme="minorEastAsia"/>
          <w:bCs/>
          <w:color w:val="auto"/>
          <w:kern w:val="2"/>
          <w:sz w:val="24"/>
          <w:szCs w:val="24"/>
          <w:highlight w:val="none"/>
        </w:rPr>
        <w:t>此优惠率调整原则适用于合同内价格的计算及项目增减、变更时价格的计算。</w:t>
      </w:r>
    </w:p>
    <w:p w14:paraId="19643858">
      <w:pPr>
        <w:adjustRightInd w:val="0"/>
        <w:snapToGrid w:val="0"/>
        <w:spacing w:line="360" w:lineRule="auto"/>
        <w:ind w:firstLine="482" w:firstLineChars="200"/>
        <w:rPr>
          <w:rFonts w:hint="default" w:ascii="宋体" w:hAnsi="宋体" w:eastAsia="宋体"/>
          <w:b/>
          <w:bCs/>
          <w:color w:val="auto"/>
          <w:sz w:val="24"/>
          <w:szCs w:val="28"/>
          <w:highlight w:val="none"/>
          <w:lang w:val="en-US" w:eastAsia="zh-CN"/>
        </w:rPr>
      </w:pPr>
      <w:r>
        <w:rPr>
          <w:rFonts w:hint="eastAsia" w:ascii="宋体" w:hAnsi="宋体" w:eastAsia="宋体"/>
          <w:b/>
          <w:bCs/>
          <w:color w:val="auto"/>
          <w:sz w:val="24"/>
          <w:szCs w:val="28"/>
          <w:highlight w:val="none"/>
          <w:lang w:val="en-US" w:eastAsia="zh-CN"/>
        </w:rPr>
        <w:t>2</w:t>
      </w:r>
      <w:r>
        <w:rPr>
          <w:rFonts w:hint="eastAsia" w:ascii="宋体" w:hAnsi="宋体" w:eastAsia="宋体"/>
          <w:b/>
          <w:bCs/>
          <w:color w:val="auto"/>
          <w:sz w:val="24"/>
          <w:szCs w:val="28"/>
          <w:highlight w:val="none"/>
        </w:rPr>
        <w:t>.表中大写金额与小写金额不一致的，以大写金额为准。</w:t>
      </w:r>
    </w:p>
    <w:p w14:paraId="78BBD8D6">
      <w:pPr>
        <w:widowControl/>
        <w:jc w:val="left"/>
        <w:rPr>
          <w:bCs/>
          <w:color w:val="auto"/>
          <w:sz w:val="24"/>
          <w:highlight w:val="none"/>
        </w:rPr>
      </w:pPr>
    </w:p>
    <w:p w14:paraId="1E4501B7">
      <w:pPr>
        <w:keepNext/>
        <w:keepLines/>
        <w:spacing w:before="260" w:after="260" w:line="416" w:lineRule="auto"/>
        <w:jc w:val="center"/>
        <w:outlineLvl w:val="1"/>
        <w:rPr>
          <w:rFonts w:cs="@仿宋_GB2312" w:asciiTheme="minorEastAsia" w:hAnsiTheme="minorEastAsia" w:eastAsiaTheme="minorEastAsia"/>
          <w:b/>
          <w:bCs/>
          <w:color w:val="auto"/>
          <w:kern w:val="2"/>
          <w:sz w:val="24"/>
          <w:szCs w:val="24"/>
          <w:highlight w:val="none"/>
        </w:rPr>
      </w:pPr>
      <w:bookmarkStart w:id="673" w:name="_Toc22429"/>
      <w:bookmarkStart w:id="674" w:name="_Toc7943"/>
      <w:bookmarkStart w:id="675" w:name="_Toc520983591"/>
      <w:r>
        <w:rPr>
          <w:rFonts w:hint="eastAsia" w:cs="@仿宋_GB2312" w:asciiTheme="minorEastAsia" w:hAnsiTheme="minorEastAsia" w:eastAsiaTheme="minorEastAsia"/>
          <w:b/>
          <w:bCs/>
          <w:color w:val="auto"/>
          <w:kern w:val="2"/>
          <w:sz w:val="24"/>
          <w:szCs w:val="24"/>
          <w:highlight w:val="none"/>
        </w:rPr>
        <w:t>三、供应商综合情况简介</w:t>
      </w:r>
      <w:bookmarkEnd w:id="673"/>
      <w:bookmarkEnd w:id="674"/>
    </w:p>
    <w:p w14:paraId="4F032F06">
      <w:pPr>
        <w:spacing w:before="156" w:beforeLines="50" w:after="156" w:afterLines="50" w:line="360" w:lineRule="auto"/>
        <w:ind w:firstLine="235" w:firstLineChars="98"/>
        <w:jc w:val="center"/>
        <w:rPr>
          <w:color w:val="auto"/>
          <w:sz w:val="24"/>
          <w:szCs w:val="28"/>
          <w:highlight w:val="none"/>
        </w:rPr>
      </w:pPr>
      <w:r>
        <w:rPr>
          <w:rFonts w:hint="eastAsia"/>
          <w:color w:val="auto"/>
          <w:sz w:val="24"/>
          <w:szCs w:val="28"/>
          <w:highlight w:val="none"/>
        </w:rPr>
        <w:t>（供应商可自行制作格式）</w:t>
      </w:r>
    </w:p>
    <w:p w14:paraId="78731CBB">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14:paraId="19E0A720">
      <w:pPr>
        <w:spacing w:line="360" w:lineRule="auto"/>
        <w:jc w:val="center"/>
        <w:outlineLvl w:val="1"/>
        <w:rPr>
          <w:rFonts w:asciiTheme="minorEastAsia" w:hAnsiTheme="minorEastAsia" w:eastAsiaTheme="minorEastAsia"/>
          <w:b/>
          <w:color w:val="auto"/>
          <w:sz w:val="24"/>
          <w:highlight w:val="none"/>
        </w:rPr>
      </w:pPr>
      <w:bookmarkStart w:id="676" w:name="_Toc28160"/>
      <w:bookmarkStart w:id="677" w:name="_Toc8006"/>
      <w:r>
        <w:rPr>
          <w:rFonts w:hint="eastAsia" w:asciiTheme="minorEastAsia" w:hAnsiTheme="minorEastAsia" w:eastAsiaTheme="minorEastAsia"/>
          <w:b/>
          <w:color w:val="auto"/>
          <w:sz w:val="24"/>
          <w:highlight w:val="none"/>
        </w:rPr>
        <w:t>四、磋商响应函</w:t>
      </w:r>
      <w:bookmarkEnd w:id="675"/>
      <w:bookmarkEnd w:id="676"/>
      <w:bookmarkEnd w:id="677"/>
    </w:p>
    <w:p w14:paraId="182AF00A">
      <w:pPr>
        <w:spacing w:line="360" w:lineRule="auto"/>
        <w:rPr>
          <w:rFonts w:hint="eastAsia" w:cs="宋体" w:asciiTheme="minorEastAsia" w:hAnsiTheme="minorEastAsia" w:eastAsiaTheme="minorEastAsia"/>
          <w:b/>
          <w:color w:val="auto"/>
          <w:kern w:val="2"/>
          <w:sz w:val="24"/>
          <w:szCs w:val="24"/>
          <w:highlight w:val="none"/>
          <w:u w:val="single"/>
          <w:lang w:eastAsia="zh-CN"/>
        </w:rPr>
      </w:pPr>
      <w:r>
        <w:rPr>
          <w:rFonts w:hint="eastAsia" w:cs="宋体" w:asciiTheme="minorEastAsia" w:hAnsiTheme="minorEastAsia" w:eastAsiaTheme="minorEastAsia"/>
          <w:b/>
          <w:color w:val="auto"/>
          <w:kern w:val="2"/>
          <w:sz w:val="24"/>
          <w:szCs w:val="24"/>
          <w:highlight w:val="none"/>
        </w:rPr>
        <w:t>致：</w:t>
      </w:r>
      <w:r>
        <w:rPr>
          <w:rFonts w:hint="eastAsia" w:cs="宋体" w:asciiTheme="minorEastAsia" w:hAnsiTheme="minorEastAsia" w:eastAsiaTheme="minorEastAsia"/>
          <w:b/>
          <w:color w:val="auto"/>
          <w:kern w:val="2"/>
          <w:sz w:val="24"/>
          <w:szCs w:val="24"/>
          <w:highlight w:val="none"/>
          <w:u w:val="single"/>
          <w:lang w:eastAsia="zh-CN"/>
        </w:rPr>
        <w:t>采购人</w:t>
      </w:r>
    </w:p>
    <w:p w14:paraId="5BEA3385">
      <w:pPr>
        <w:spacing w:line="360" w:lineRule="auto"/>
        <w:ind w:firstLine="480" w:firstLineChars="200"/>
        <w:rPr>
          <w:rFonts w:cs="宋体" w:asciiTheme="minorEastAsia" w:hAnsiTheme="minorEastAsia" w:eastAsiaTheme="minorEastAsia"/>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根据贵方的竞争性磋商公告和磋商邀请，我方兹宣布同意如下：</w:t>
      </w:r>
    </w:p>
    <w:p w14:paraId="16AA8E16">
      <w:pPr>
        <w:spacing w:line="360" w:lineRule="auto"/>
        <w:ind w:firstLine="480" w:firstLineChars="200"/>
        <w:rPr>
          <w:rFonts w:cs="宋体" w:asciiTheme="minorEastAsia" w:hAnsiTheme="minorEastAsia" w:eastAsiaTheme="minorEastAsia"/>
          <w:color w:val="auto"/>
          <w:kern w:val="2"/>
          <w:sz w:val="24"/>
          <w:szCs w:val="24"/>
          <w:highlight w:val="none"/>
          <w:u w:val="single"/>
        </w:rPr>
      </w:pPr>
      <w:r>
        <w:rPr>
          <w:rFonts w:hint="eastAsia" w:cs="宋体" w:asciiTheme="minorEastAsia" w:hAnsiTheme="minorEastAsia" w:eastAsiaTheme="minorEastAsia"/>
          <w:color w:val="auto"/>
          <w:kern w:val="2"/>
          <w:sz w:val="24"/>
          <w:szCs w:val="24"/>
          <w:highlight w:val="none"/>
        </w:rPr>
        <w:t>1.经踏勘项目现场和研究上述磋商文件的磋商须知、合同条款、图纸和工程建设技术标准及其他有关文件后，我方接受上述文件要求，并对工程量清单及最高投标限价无异议。我方</w:t>
      </w:r>
      <w:r>
        <w:rPr>
          <w:rFonts w:hint="eastAsia" w:cs="宋体" w:asciiTheme="minorEastAsia" w:hAnsiTheme="minorEastAsia" w:eastAsiaTheme="minorEastAsia"/>
          <w:bCs/>
          <w:color w:val="auto"/>
          <w:kern w:val="2"/>
          <w:sz w:val="24"/>
          <w:szCs w:val="24"/>
          <w:highlight w:val="none"/>
        </w:rPr>
        <w:t>承诺按本磋商文件、施工图纸、合同条款和工程建设技术标准的条件、</w:t>
      </w:r>
      <w:r>
        <w:rPr>
          <w:rFonts w:hint="eastAsia" w:cs="宋体" w:asciiTheme="minorEastAsia" w:hAnsiTheme="minorEastAsia" w:eastAsiaTheme="minorEastAsia"/>
          <w:color w:val="auto"/>
          <w:kern w:val="2"/>
          <w:sz w:val="24"/>
          <w:szCs w:val="24"/>
          <w:highlight w:val="none"/>
        </w:rPr>
        <w:t>承担</w:t>
      </w:r>
      <w:r>
        <w:rPr>
          <w:rFonts w:hint="eastAsia" w:cs="宋体" w:asciiTheme="minorEastAsia" w:hAnsiTheme="minorEastAsia" w:eastAsiaTheme="minorEastAsia"/>
          <w:bCs/>
          <w:color w:val="auto"/>
          <w:kern w:val="2"/>
          <w:sz w:val="24"/>
          <w:szCs w:val="24"/>
          <w:highlight w:val="none"/>
        </w:rPr>
        <w:t>上述工程的施工、竣工，并承担任何质量缺陷保修责任。</w:t>
      </w:r>
    </w:p>
    <w:p w14:paraId="2B498C7C">
      <w:pPr>
        <w:spacing w:line="360" w:lineRule="auto"/>
        <w:ind w:firstLine="480" w:firstLineChars="200"/>
        <w:rPr>
          <w:rFonts w:cs="宋体" w:asciiTheme="minorEastAsia" w:hAnsiTheme="minorEastAsia" w:eastAsiaTheme="minorEastAsia"/>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2.我方已详细审核并确认全部磋商文件及有关附件，充分理解磋商价格不得低于企业个别成本有关规定。我方经成本核算，所填报的磋商报价不低于企业个别成本。</w:t>
      </w:r>
    </w:p>
    <w:p w14:paraId="4A3CA3BF">
      <w:pPr>
        <w:spacing w:line="360" w:lineRule="auto"/>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w:t>
      </w:r>
      <w:r>
        <w:rPr>
          <w:rFonts w:hint="eastAsia" w:ascii="宋体" w:hAnsi="宋体" w:eastAsia="宋体" w:cs="宋体"/>
          <w:color w:val="auto"/>
          <w:sz w:val="24"/>
          <w:szCs w:val="24"/>
          <w:highlight w:val="none"/>
        </w:rPr>
        <w:t>我方保证按磋商文件约定的工期和磋商文件或业主开工令的要求如期开工、工程质量达到合格标准、如期竣工并移交整个工程。</w:t>
      </w:r>
    </w:p>
    <w:p w14:paraId="6A7AD88E">
      <w:pPr>
        <w:spacing w:line="360" w:lineRule="auto"/>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4</w:t>
      </w:r>
      <w:r>
        <w:rPr>
          <w:rFonts w:hint="eastAsia" w:ascii="宋体" w:hAnsi="宋体" w:eastAsia="宋体" w:cs="宋体"/>
          <w:color w:val="auto"/>
          <w:kern w:val="2"/>
          <w:sz w:val="24"/>
          <w:szCs w:val="24"/>
          <w:highlight w:val="none"/>
        </w:rPr>
        <w:t>.我方同意所提交的响应文件在磋商文件规定的磋商有效期内有效，在此期间内如果成交，我方将受此约束。</w:t>
      </w:r>
    </w:p>
    <w:p w14:paraId="220BCFC8">
      <w:pPr>
        <w:spacing w:line="360" w:lineRule="auto"/>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5</w:t>
      </w:r>
      <w:r>
        <w:rPr>
          <w:rFonts w:hint="eastAsia" w:ascii="宋体" w:hAnsi="宋体" w:eastAsia="宋体" w:cs="宋体"/>
          <w:color w:val="auto"/>
          <w:kern w:val="2"/>
          <w:sz w:val="24"/>
          <w:szCs w:val="24"/>
          <w:highlight w:val="none"/>
        </w:rPr>
        <w:t>.除非另外达成协议并生效，你方的成交通知书和本响应文件以及磋商文件、磋商文件澄清、修改、补充将成为约束双方的合同文件的组成部分。</w:t>
      </w:r>
    </w:p>
    <w:p w14:paraId="210C7CF3">
      <w:pPr>
        <w:spacing w:line="360" w:lineRule="auto"/>
        <w:ind w:firstLine="480" w:firstLineChars="200"/>
        <w:rPr>
          <w:rFonts w:cs="宋体" w:asciiTheme="minorEastAsia" w:hAnsiTheme="minorEastAsia" w:eastAsiaTheme="minorEastAsia"/>
          <w:color w:val="auto"/>
          <w:kern w:val="2"/>
          <w:sz w:val="24"/>
          <w:szCs w:val="24"/>
          <w:highlight w:val="none"/>
          <w:u w:val="single"/>
        </w:rPr>
      </w:pPr>
      <w:r>
        <w:rPr>
          <w:rFonts w:hint="eastAsia" w:cs="宋体"/>
          <w:color w:val="auto"/>
          <w:kern w:val="2"/>
          <w:sz w:val="24"/>
          <w:szCs w:val="24"/>
          <w:highlight w:val="none"/>
          <w:lang w:val="en-US" w:eastAsia="zh-CN"/>
        </w:rPr>
        <w:t>6</w:t>
      </w:r>
      <w:r>
        <w:rPr>
          <w:rFonts w:hint="eastAsia" w:ascii="宋体" w:hAnsi="宋体" w:eastAsia="宋体" w:cs="宋体"/>
          <w:color w:val="auto"/>
          <w:kern w:val="2"/>
          <w:sz w:val="24"/>
          <w:szCs w:val="24"/>
          <w:highlight w:val="none"/>
        </w:rPr>
        <w:t>.其他补充说明</w:t>
      </w:r>
      <w:r>
        <w:rPr>
          <w:rFonts w:hint="eastAsia" w:cs="宋体" w:asciiTheme="minorEastAsia" w:hAnsiTheme="minorEastAsia" w:eastAsiaTheme="minorEastAsia"/>
          <w:color w:val="auto"/>
          <w:kern w:val="2"/>
          <w:sz w:val="24"/>
          <w:szCs w:val="24"/>
          <w:highlight w:val="none"/>
        </w:rPr>
        <w:t>：</w:t>
      </w:r>
      <w:r>
        <w:rPr>
          <w:rFonts w:hint="eastAsia" w:cs="宋体" w:asciiTheme="minorEastAsia" w:hAnsiTheme="minorEastAsia" w:eastAsiaTheme="minorEastAsia"/>
          <w:color w:val="auto"/>
          <w:kern w:val="2"/>
          <w:sz w:val="24"/>
          <w:szCs w:val="24"/>
          <w:highlight w:val="none"/>
          <w:u w:val="single"/>
        </w:rPr>
        <w:t xml:space="preserve">  （</w:t>
      </w:r>
      <w:r>
        <w:rPr>
          <w:rFonts w:hint="eastAsia" w:cs="宋体" w:asciiTheme="minorEastAsia" w:hAnsiTheme="minorEastAsia" w:eastAsiaTheme="minorEastAsia"/>
          <w:i/>
          <w:iCs/>
          <w:color w:val="auto"/>
          <w:kern w:val="2"/>
          <w:sz w:val="24"/>
          <w:szCs w:val="24"/>
          <w:highlight w:val="none"/>
          <w:u w:val="single"/>
        </w:rPr>
        <w:t>如有</w:t>
      </w:r>
      <w:r>
        <w:rPr>
          <w:rFonts w:hint="eastAsia" w:cs="宋体" w:asciiTheme="minorEastAsia" w:hAnsiTheme="minorEastAsia" w:eastAsiaTheme="minorEastAsia"/>
          <w:color w:val="auto"/>
          <w:kern w:val="2"/>
          <w:sz w:val="24"/>
          <w:szCs w:val="24"/>
          <w:highlight w:val="none"/>
          <w:u w:val="single"/>
        </w:rPr>
        <w:t xml:space="preserve">）       </w:t>
      </w:r>
    </w:p>
    <w:p w14:paraId="3FF44EF5">
      <w:pPr>
        <w:pStyle w:val="53"/>
        <w:ind w:firstLine="200"/>
        <w:rPr>
          <w:color w:val="auto"/>
          <w:highlight w:val="none"/>
          <w:lang w:val="en-US"/>
        </w:rPr>
      </w:pPr>
    </w:p>
    <w:p w14:paraId="205849E8">
      <w:pPr>
        <w:spacing w:line="360" w:lineRule="auto"/>
        <w:ind w:firstLine="4800" w:firstLineChars="2000"/>
        <w:rPr>
          <w:rFonts w:cs="@仿宋_GB2312"/>
          <w:color w:val="auto"/>
          <w:kern w:val="2"/>
          <w:sz w:val="24"/>
          <w:highlight w:val="none"/>
        </w:rPr>
      </w:pPr>
      <w:r>
        <w:rPr>
          <w:rFonts w:hint="eastAsia" w:cs="@仿宋_GB2312"/>
          <w:color w:val="auto"/>
          <w:kern w:val="2"/>
          <w:sz w:val="24"/>
          <w:highlight w:val="none"/>
        </w:rPr>
        <w:t>供应商电子签章：</w:t>
      </w:r>
      <w:r>
        <w:rPr>
          <w:rFonts w:hint="eastAsia" w:cs="@仿宋_GB2312"/>
          <w:color w:val="auto"/>
          <w:kern w:val="2"/>
          <w:sz w:val="24"/>
          <w:highlight w:val="none"/>
          <w:u w:val="single"/>
        </w:rPr>
        <w:t xml:space="preserve">             </w:t>
      </w:r>
    </w:p>
    <w:p w14:paraId="46225DF5">
      <w:pPr>
        <w:spacing w:line="360" w:lineRule="auto"/>
        <w:ind w:firstLine="4800" w:firstLineChars="2000"/>
        <w:rPr>
          <w:rFonts w:cs="@仿宋_GB2312"/>
          <w:color w:val="auto"/>
          <w:kern w:val="2"/>
          <w:sz w:val="24"/>
          <w:highlight w:val="none"/>
          <w:u w:val="single"/>
        </w:rPr>
      </w:pPr>
      <w:r>
        <w:rPr>
          <w:rFonts w:hint="eastAsia" w:cs="@仿宋_GB2312"/>
          <w:color w:val="auto"/>
          <w:kern w:val="2"/>
          <w:sz w:val="24"/>
          <w:highlight w:val="none"/>
        </w:rPr>
        <w:t>日          期：</w:t>
      </w:r>
      <w:r>
        <w:rPr>
          <w:rFonts w:hint="eastAsia" w:cs="@仿宋_GB2312"/>
          <w:color w:val="auto"/>
          <w:kern w:val="2"/>
          <w:sz w:val="24"/>
          <w:highlight w:val="none"/>
          <w:u w:val="single"/>
        </w:rPr>
        <w:t xml:space="preserve">             </w:t>
      </w:r>
    </w:p>
    <w:p w14:paraId="2F5DAE4C">
      <w:pPr>
        <w:widowControl/>
        <w:jc w:val="left"/>
        <w:rPr>
          <w:color w:val="auto"/>
          <w:sz w:val="24"/>
          <w:highlight w:val="none"/>
        </w:rPr>
      </w:pPr>
      <w:r>
        <w:rPr>
          <w:color w:val="auto"/>
          <w:sz w:val="24"/>
          <w:highlight w:val="none"/>
        </w:rPr>
        <w:br w:type="page"/>
      </w:r>
    </w:p>
    <w:p w14:paraId="41391272">
      <w:pPr>
        <w:spacing w:line="360" w:lineRule="auto"/>
        <w:jc w:val="center"/>
        <w:outlineLvl w:val="1"/>
        <w:rPr>
          <w:b/>
          <w:i/>
          <w:color w:val="auto"/>
          <w:sz w:val="24"/>
          <w:highlight w:val="none"/>
        </w:rPr>
      </w:pPr>
      <w:bookmarkStart w:id="678" w:name="_Toc2947"/>
      <w:bookmarkStart w:id="679" w:name="_Toc20728"/>
      <w:r>
        <w:rPr>
          <w:rFonts w:hint="eastAsia" w:asciiTheme="minorEastAsia" w:hAnsiTheme="minorEastAsia" w:eastAsiaTheme="minorEastAsia"/>
          <w:b/>
          <w:color w:val="auto"/>
          <w:sz w:val="24"/>
          <w:highlight w:val="none"/>
        </w:rPr>
        <w:t>五、</w:t>
      </w:r>
      <w:bookmarkEnd w:id="678"/>
      <w:bookmarkStart w:id="680" w:name="_Toc8658"/>
      <w:r>
        <w:rPr>
          <w:rFonts w:hint="eastAsia" w:asciiTheme="minorEastAsia" w:hAnsiTheme="minorEastAsia" w:eastAsiaTheme="minorEastAsia"/>
          <w:b/>
          <w:color w:val="auto"/>
          <w:sz w:val="24"/>
          <w:highlight w:val="none"/>
          <w:lang w:val="en-US" w:eastAsia="zh-CN"/>
        </w:rPr>
        <w:t>供应商资格声明书</w:t>
      </w:r>
      <w:bookmarkEnd w:id="679"/>
      <w:r>
        <w:rPr>
          <w:rFonts w:hint="eastAsia" w:asciiTheme="minorEastAsia" w:hAnsiTheme="minorEastAsia" w:eastAsiaTheme="minorEastAsia"/>
          <w:b/>
          <w:color w:val="auto"/>
          <w:sz w:val="24"/>
          <w:highlight w:val="none"/>
          <w:lang w:val="en-US" w:eastAsia="zh-CN"/>
        </w:rPr>
        <w:t xml:space="preserve"> </w:t>
      </w:r>
    </w:p>
    <w:p w14:paraId="7B0B3723">
      <w:pPr>
        <w:pStyle w:val="30"/>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14:paraId="2502207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在参与本次项目磋商中，我单位承诺：</w:t>
      </w:r>
    </w:p>
    <w:p w14:paraId="215F1EC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14:paraId="5E3E902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14:paraId="227B198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14:paraId="67773F4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420D6EC7">
      <w:pPr>
        <w:spacing w:line="360" w:lineRule="auto"/>
        <w:rPr>
          <w:rFonts w:hint="eastAsia" w:ascii="宋体" w:hAnsi="宋体" w:eastAsia="宋体" w:cs="宋体"/>
          <w:color w:val="auto"/>
          <w:kern w:val="2"/>
          <w:sz w:val="24"/>
          <w:szCs w:val="24"/>
          <w:highlight w:val="none"/>
        </w:rPr>
      </w:pP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五</w:t>
      </w: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我单位</w:t>
      </w:r>
      <w:r>
        <w:rPr>
          <w:rFonts w:hint="eastAsia" w:ascii="宋体" w:hAnsi="宋体" w:eastAsia="宋体" w:cs="宋体"/>
          <w:color w:val="auto"/>
          <w:kern w:val="2"/>
          <w:sz w:val="24"/>
          <w:szCs w:val="24"/>
          <w:highlight w:val="none"/>
        </w:rPr>
        <w:t>近三年内，未发生重大质量事故和重大安全事故（以有关行政管理部门的行政处罚决定或司法机关出具的有关法律文书为准），前述行政处罚已完成信用修复的，但自行政处罚作出机关或信用修复主管部门同意修复之日起满一年的，不受三年期限限制；</w:t>
      </w:r>
    </w:p>
    <w:p w14:paraId="71A71663">
      <w:pPr>
        <w:spacing w:line="360" w:lineRule="auto"/>
        <w:rPr>
          <w:rFonts w:hint="eastAsia" w:ascii="宋体" w:hAnsi="宋体" w:eastAsia="宋体" w:cs="宋体"/>
          <w:color w:val="auto"/>
          <w:kern w:val="2"/>
          <w:sz w:val="24"/>
          <w:szCs w:val="24"/>
          <w:highlight w:val="none"/>
        </w:rPr>
      </w:pP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六</w:t>
      </w: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我单位</w:t>
      </w:r>
      <w:r>
        <w:rPr>
          <w:rFonts w:hint="eastAsia" w:ascii="宋体" w:hAnsi="宋体" w:eastAsia="宋体" w:cs="宋体"/>
          <w:color w:val="auto"/>
          <w:kern w:val="2"/>
          <w:sz w:val="24"/>
          <w:szCs w:val="24"/>
          <w:highlight w:val="none"/>
        </w:rPr>
        <w:t>在本项目</w:t>
      </w:r>
      <w:r>
        <w:rPr>
          <w:rFonts w:hint="eastAsia" w:cs="宋体"/>
          <w:color w:val="auto"/>
          <w:kern w:val="2"/>
          <w:sz w:val="24"/>
          <w:szCs w:val="24"/>
          <w:highlight w:val="none"/>
          <w:lang w:val="en-US" w:eastAsia="zh-CN"/>
        </w:rPr>
        <w:t>磋商</w:t>
      </w:r>
      <w:r>
        <w:rPr>
          <w:rFonts w:hint="eastAsia" w:ascii="宋体" w:hAnsi="宋体" w:eastAsia="宋体" w:cs="宋体"/>
          <w:color w:val="auto"/>
          <w:kern w:val="2"/>
          <w:sz w:val="24"/>
          <w:szCs w:val="24"/>
          <w:highlight w:val="none"/>
        </w:rPr>
        <w:t>有效期内，在本项目所在区域未存在因质量事故、安全事故等被限期承包工程或市场不良行为等被限制磋商资格行为，且处于处罚期内的情况；</w:t>
      </w:r>
    </w:p>
    <w:p w14:paraId="62A8166A">
      <w:pPr>
        <w:spacing w:line="360" w:lineRule="auto"/>
        <w:rPr>
          <w:rFonts w:hint="eastAsia"/>
          <w:highlight w:val="none"/>
        </w:rPr>
      </w:pP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七</w:t>
      </w: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我单位</w:t>
      </w:r>
      <w:r>
        <w:rPr>
          <w:rFonts w:hint="eastAsia" w:ascii="宋体" w:hAnsi="宋体" w:eastAsia="宋体" w:cs="宋体"/>
          <w:color w:val="auto"/>
          <w:sz w:val="24"/>
          <w:szCs w:val="24"/>
          <w:highlight w:val="none"/>
        </w:rPr>
        <w:t>未被“信用中国”网站列入拖欠农民工工资失信联合惩戒对象名单</w:t>
      </w:r>
      <w:r>
        <w:rPr>
          <w:rFonts w:hint="eastAsia" w:ascii="宋体" w:hAnsi="宋体" w:eastAsia="宋体" w:cs="宋体"/>
          <w:color w:val="auto"/>
          <w:kern w:val="2"/>
          <w:sz w:val="24"/>
          <w:szCs w:val="24"/>
          <w:highlight w:val="none"/>
        </w:rPr>
        <w:t>；</w:t>
      </w:r>
    </w:p>
    <w:p w14:paraId="5251937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（八）我单位不存在为采购项目提供整体设计、规范编制或者项目管理、监理、检测等服务后，再参加该采购项目的其他采购活动的情形（单一来源采购项目除外）；</w:t>
      </w:r>
    </w:p>
    <w:p w14:paraId="547E3A0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（九）与我单位存在单位负责人为同一人或者存在直接控股、管理关系的其他法人单位信息如下（如有，不论其是否参加同一合同项下的政府采购活动均须填写）：</w:t>
      </w:r>
    </w:p>
    <w:tbl>
      <w:tblPr>
        <w:tblStyle w:val="5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14:paraId="21B62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40" w:type="dxa"/>
          </w:tcPr>
          <w:p w14:paraId="1AE1155C">
            <w:pPr>
              <w:keepNext w:val="0"/>
              <w:keepLines w:val="0"/>
              <w:pageBreakBefore w:val="0"/>
              <w:widowControl/>
              <w:suppressLineNumbers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2841" w:type="dxa"/>
          </w:tcPr>
          <w:p w14:paraId="6F02C71C">
            <w:pPr>
              <w:pStyle w:val="19"/>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2841" w:type="dxa"/>
          </w:tcPr>
          <w:p w14:paraId="767000FB">
            <w:pPr>
              <w:pStyle w:val="19"/>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14:paraId="24988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6D8FAC8C">
            <w:pPr>
              <w:pStyle w:val="19"/>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2841" w:type="dxa"/>
          </w:tcPr>
          <w:p w14:paraId="422727E1">
            <w:pPr>
              <w:pStyle w:val="19"/>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14:paraId="7FBA3A38">
            <w:pPr>
              <w:pStyle w:val="19"/>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14:paraId="3520A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7265036A">
            <w:pPr>
              <w:pStyle w:val="19"/>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2841" w:type="dxa"/>
          </w:tcPr>
          <w:p w14:paraId="3A5E8281">
            <w:pPr>
              <w:pStyle w:val="19"/>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14:paraId="14666905">
            <w:pPr>
              <w:pStyle w:val="19"/>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14:paraId="404ECA81">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14:paraId="1BDBC288">
      <w:pPr>
        <w:spacing w:line="360" w:lineRule="auto"/>
        <w:ind w:firstLine="4800" w:firstLineChars="2000"/>
        <w:rPr>
          <w:rFonts w:ascii="宋体" w:hAnsi="宋体" w:eastAsia="宋体"/>
          <w:color w:val="auto"/>
          <w:sz w:val="24"/>
          <w:highlight w:val="none"/>
          <w:u w:val="single"/>
        </w:rPr>
      </w:pPr>
      <w:r>
        <w:rPr>
          <w:rFonts w:hint="eastAsia"/>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14:paraId="68CE4BDA">
      <w:pPr>
        <w:spacing w:line="360" w:lineRule="auto"/>
        <w:jc w:val="center"/>
        <w:outlineLvl w:val="9"/>
        <w:rPr>
          <w:rFonts w:hint="eastAsia" w:asciiTheme="minorEastAsia" w:hAnsiTheme="minorEastAsia" w:eastAsiaTheme="minorEastAsia"/>
          <w:b/>
          <w:color w:val="auto"/>
          <w:sz w:val="24"/>
          <w:highlight w:val="none"/>
        </w:rPr>
        <w:sectPr>
          <w:headerReference r:id="rId5" w:type="default"/>
          <w:footerReference r:id="rId6" w:type="default"/>
          <w:pgSz w:w="11906" w:h="16838"/>
          <w:pgMar w:top="1440" w:right="1800" w:bottom="1440" w:left="1800" w:header="851" w:footer="992" w:gutter="0"/>
          <w:pgNumType w:start="1"/>
          <w:cols w:space="425" w:num="1"/>
          <w:docGrid w:type="lines" w:linePitch="312" w:charSpace="0"/>
        </w:sectPr>
      </w:pPr>
      <w:r>
        <w:rPr>
          <w:rFonts w:hint="eastAsia"/>
          <w:color w:val="auto"/>
          <w:sz w:val="24"/>
          <w:highlight w:val="none"/>
          <w:lang w:val="en-US" w:eastAsia="zh-CN"/>
        </w:rPr>
        <w:t xml:space="preserve">                           </w:t>
      </w: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r>
        <w:rPr>
          <w:rFonts w:hint="eastAsia" w:ascii="宋体" w:hAnsi="宋体" w:eastAsia="宋体"/>
          <w:color w:val="auto"/>
          <w:sz w:val="24"/>
          <w:highlight w:val="none"/>
        </w:rPr>
        <w:t xml:space="preserve">         </w:t>
      </w:r>
      <w:bookmarkEnd w:id="680"/>
    </w:p>
    <w:p w14:paraId="7BFA9061">
      <w:pPr>
        <w:keepNext w:val="0"/>
        <w:keepLines w:val="0"/>
        <w:widowControl w:val="0"/>
        <w:suppressLineNumbers w:val="0"/>
        <w:spacing w:before="0" w:beforeAutospacing="0" w:after="0" w:afterAutospacing="0" w:line="360" w:lineRule="auto"/>
        <w:ind w:left="0" w:right="0"/>
        <w:jc w:val="center"/>
        <w:outlineLvl w:val="1"/>
        <w:rPr>
          <w:rFonts w:hint="eastAsia" w:ascii="宋体" w:hAnsi="宋体" w:eastAsia="宋体" w:cs="@仿宋_GB2312"/>
          <w:b/>
          <w:bCs w:val="0"/>
          <w:color w:val="auto"/>
          <w:kern w:val="2"/>
          <w:sz w:val="24"/>
          <w:szCs w:val="24"/>
          <w:highlight w:val="none"/>
        </w:rPr>
      </w:pPr>
      <w:bookmarkStart w:id="681" w:name="_Toc909"/>
      <w:bookmarkStart w:id="682" w:name="_Toc516969106"/>
      <w:bookmarkStart w:id="683" w:name="_Toc25503"/>
      <w:bookmarkStart w:id="684" w:name="_Toc204594911"/>
      <w:bookmarkStart w:id="685" w:name="_Toc121626298"/>
      <w:bookmarkStart w:id="686" w:name="_Toc520983594"/>
      <w:r>
        <w:rPr>
          <w:rFonts w:hint="eastAsia" w:ascii="宋体" w:hAnsi="宋体" w:eastAsia="宋体" w:cs="宋体"/>
          <w:b/>
          <w:bCs w:val="0"/>
          <w:color w:val="auto"/>
          <w:kern w:val="0"/>
          <w:sz w:val="24"/>
          <w:szCs w:val="24"/>
          <w:highlight w:val="none"/>
          <w:lang w:val="en-US" w:eastAsia="zh-CN" w:bidi="ar"/>
        </w:rPr>
        <w:t>六、</w:t>
      </w:r>
      <w:r>
        <w:rPr>
          <w:rFonts w:hint="eastAsia" w:ascii="宋体" w:hAnsi="宋体" w:eastAsia="宋体" w:cs="宋体"/>
          <w:b/>
          <w:bCs w:val="0"/>
          <w:color w:val="auto"/>
          <w:kern w:val="2"/>
          <w:sz w:val="24"/>
          <w:szCs w:val="24"/>
          <w:highlight w:val="none"/>
          <w:lang w:val="en-US" w:eastAsia="zh-CN" w:bidi="ar"/>
        </w:rPr>
        <w:t>诚信响应承诺书</w:t>
      </w:r>
    </w:p>
    <w:p w14:paraId="12812C4A">
      <w:pPr>
        <w:keepNext w:val="0"/>
        <w:keepLines w:val="0"/>
        <w:widowControl w:val="0"/>
        <w:suppressLineNumbers w:val="0"/>
        <w:spacing w:before="0" w:beforeAutospacing="0" w:after="0" w:afterAutospacing="0" w:line="500" w:lineRule="exact"/>
        <w:ind w:left="0" w:right="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本人以企业法定代表人的身份郑重承诺：</w:t>
      </w:r>
    </w:p>
    <w:p w14:paraId="301AB7AE">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一、将遵循公开、公正和诚实信用的原则自愿参加</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en-US" w:eastAsia="zh-CN" w:bidi="ar"/>
        </w:rPr>
        <w:t>项目的响应，所提供的一切材料都是真实、有效、合法的；</w:t>
      </w:r>
    </w:p>
    <w:p w14:paraId="0DCDAEDB">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二、本单位郑重声明，根据《中华人民共和国政府采购法》及《中华人民共和国政府采购法实施条例》的规定，我公司具有良好的商业信誉和健全的财务会计制度，具有履行合同所必需的设备和专业技术能力，有依法缴纳税收和社会保障资金的良好记录；参加政府采购活动前三年内，本单位在经营活动中没有重大违法记录，没有因违法经营受到刑事处罚或者责令停产停业、吊销许可证或者执照、较大数额罚款等行政处罚。</w:t>
      </w:r>
    </w:p>
    <w:p w14:paraId="7F7057DF">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三、不出借、转让资质证书，不让他人挂靠投标，不以他人名义投标或者以其他方式弄虚作假，骗取成交；</w:t>
      </w:r>
    </w:p>
    <w:p w14:paraId="0AC5AFBF">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四、不与其他供应商相互串通响应报价，不排挤其他供应商的公平竞争、损害采购人的合法权益；</w:t>
      </w:r>
    </w:p>
    <w:p w14:paraId="6FBDD35F">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五、不与采购人、采购代理机构或其他供应商串通响应，损害国家利益、社会公共利益或者他人的合法权益；</w:t>
      </w:r>
    </w:p>
    <w:p w14:paraId="65A3CE23">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六、</w:t>
      </w:r>
      <w:r>
        <w:rPr>
          <w:rFonts w:hint="eastAsia" w:ascii="宋体" w:hAnsi="宋体" w:eastAsia="宋体" w:cs="宋体"/>
          <w:color w:val="auto"/>
          <w:kern w:val="2"/>
          <w:sz w:val="21"/>
          <w:szCs w:val="21"/>
          <w:highlight w:val="none"/>
          <w:u w:val="single"/>
          <w:lang w:val="en-US" w:eastAsia="zh-CN" w:bidi="ar"/>
        </w:rPr>
        <w:t xml:space="preserve">       （企业名称）</w:t>
      </w:r>
      <w:r>
        <w:rPr>
          <w:rFonts w:hint="eastAsia" w:ascii="宋体" w:hAnsi="宋体" w:eastAsia="宋体" w:cs="宋体"/>
          <w:color w:val="auto"/>
          <w:kern w:val="2"/>
          <w:sz w:val="21"/>
          <w:szCs w:val="21"/>
          <w:highlight w:val="none"/>
          <w:lang w:val="en-US" w:eastAsia="zh-CN" w:bidi="ar"/>
        </w:rPr>
        <w:t>或</w:t>
      </w:r>
      <w:r>
        <w:rPr>
          <w:rFonts w:hint="eastAsia" w:ascii="宋体" w:hAnsi="宋体" w:eastAsia="宋体" w:cs="宋体"/>
          <w:color w:val="auto"/>
          <w:kern w:val="2"/>
          <w:sz w:val="21"/>
          <w:szCs w:val="21"/>
          <w:highlight w:val="none"/>
          <w:u w:val="single"/>
          <w:lang w:val="en-US" w:eastAsia="zh-CN" w:bidi="ar"/>
        </w:rPr>
        <w:t xml:space="preserve">       （企业名称）</w:t>
      </w:r>
      <w:r>
        <w:rPr>
          <w:rFonts w:hint="eastAsia" w:ascii="宋体" w:hAnsi="宋体" w:eastAsia="宋体" w:cs="宋体"/>
          <w:color w:val="auto"/>
          <w:kern w:val="2"/>
          <w:sz w:val="21"/>
          <w:szCs w:val="21"/>
          <w:highlight w:val="none"/>
          <w:lang w:val="en-US" w:eastAsia="zh-CN" w:bidi="ar"/>
        </w:rPr>
        <w:t>法定代表人或拟派项目经理（负责人）没有下列情形：①被列入“信用中国”网站“失信被执行人”的；②被列入“信用中国”网站“重大税收违法失信主体”的；③被列入“信用中国”网站 “严重失信主体名单”的；④在“信用中国”网站上披露的仍在公示期的严重失信行为(具体行为类别及判定依据见“信用中国”查询的严重失信行为类别及判定依据)的。⑤被列入国家企业信用信息公示系统网站“经营异常名录”或者“严重违法失信名单”的。⑥被列入中国政府采购网站“政府采购严重违法失信行为信息记录”的。⑦前三年有行贿犯罪行为的单位和个人。（若采购文件对投标人所属分公司、办事处等分支机构有上述1-7项信誉要求，在此一并承诺我公司所属分公司、办事处等分支机构没有上述1-7项情形）</w:t>
      </w:r>
    </w:p>
    <w:p w14:paraId="71241E99">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七、严格遵守会议现场纪律，服从监管人员管理；</w:t>
      </w:r>
    </w:p>
    <w:p w14:paraId="1B219BC9">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八、保证成交后不转包，若有分包征得采购人同意；</w:t>
      </w:r>
    </w:p>
    <w:p w14:paraId="02E42114">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九、保证成交之后，按照响应文件要求提供相关后续服务；</w:t>
      </w:r>
    </w:p>
    <w:p w14:paraId="05A79723">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十、保证企业及所属相关人员在本次响应中无行贿等犯罪行为；</w:t>
      </w:r>
    </w:p>
    <w:p w14:paraId="72CF119B">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十一、如在投标过程和公示期间发生投诉行为，保证按照相关规定要求进行。投诉内容符合要求，投诉材料加盖企业公章或由法定代表人授权委托人签字，并附有关身份证明复印件。不恶意投诉，对本公司提供的投诉线索的真实性负责，否则愿接受有关部门的处罚。</w:t>
      </w:r>
    </w:p>
    <w:p w14:paraId="7A5AE37B">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以上内容我已仔细阅读，本公司若有违反承诺内容的行为，自愿接受取消谈判或者中标（成交）资格、中标（成交）无效、记入不良行为记录等有关处理，愿意承担法律责任，给采购人造成损失的，依法承担赔偿责任。</w:t>
      </w:r>
    </w:p>
    <w:p w14:paraId="1EC26C3C">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 </w:t>
      </w:r>
    </w:p>
    <w:p w14:paraId="5D202A66">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 </w:t>
      </w:r>
    </w:p>
    <w:p w14:paraId="78D6FA26">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开户银行：                       基本账户：</w:t>
      </w:r>
    </w:p>
    <w:p w14:paraId="132D0DAF">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供应商（签章）：        </w:t>
      </w:r>
      <w:r>
        <w:rPr>
          <w:rFonts w:hint="eastAsia" w:cs="宋体"/>
          <w:color w:val="auto"/>
          <w:kern w:val="2"/>
          <w:sz w:val="21"/>
          <w:szCs w:val="21"/>
          <w:highlight w:val="none"/>
          <w:lang w:val="en-US" w:eastAsia="zh-CN" w:bidi="ar"/>
        </w:rPr>
        <w:t xml:space="preserve"> </w:t>
      </w:r>
      <w:r>
        <w:rPr>
          <w:rFonts w:hint="eastAsia" w:ascii="宋体" w:hAnsi="宋体" w:eastAsia="宋体" w:cs="宋体"/>
          <w:color w:val="auto"/>
          <w:kern w:val="2"/>
          <w:sz w:val="21"/>
          <w:szCs w:val="21"/>
          <w:highlight w:val="none"/>
          <w:lang w:val="en-US" w:eastAsia="zh-CN" w:bidi="ar"/>
        </w:rPr>
        <w:t xml:space="preserve">         法定代表人（签章）：</w:t>
      </w:r>
    </w:p>
    <w:p w14:paraId="41B9014E">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 </w:t>
      </w:r>
    </w:p>
    <w:p w14:paraId="01A81A32">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kern w:val="2"/>
          <w:sz w:val="32"/>
          <w:szCs w:val="32"/>
          <w:highlight w:val="none"/>
        </w:rPr>
      </w:pPr>
      <w:r>
        <w:rPr>
          <w:rFonts w:hint="eastAsia" w:ascii="宋体" w:hAnsi="宋体" w:eastAsia="宋体" w:cs="宋体"/>
          <w:color w:val="auto"/>
          <w:kern w:val="2"/>
          <w:sz w:val="21"/>
          <w:szCs w:val="21"/>
          <w:highlight w:val="none"/>
          <w:lang w:val="en-US" w:eastAsia="zh-CN" w:bidi="ar"/>
        </w:rPr>
        <w:t>日期：</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en-US" w:eastAsia="zh-CN" w:bidi="ar"/>
        </w:rPr>
        <w:t xml:space="preserve">年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en-US" w:eastAsia="zh-CN" w:bidi="ar"/>
        </w:rPr>
        <w:t xml:space="preserve">月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en-US" w:eastAsia="zh-CN" w:bidi="ar"/>
        </w:rPr>
        <w:t>日</w:t>
      </w:r>
    </w:p>
    <w:p w14:paraId="5327837E">
      <w:pPr>
        <w:rPr>
          <w:rFonts w:hint="eastAsia" w:asciiTheme="minorEastAsia" w:hAnsiTheme="minorEastAsia" w:eastAsiaTheme="minorEastAsia"/>
          <w:b/>
          <w:color w:val="auto"/>
          <w:sz w:val="24"/>
          <w:highlight w:val="none"/>
          <w:u w:val="none"/>
        </w:rPr>
      </w:pPr>
      <w:r>
        <w:rPr>
          <w:rFonts w:hint="eastAsia" w:asciiTheme="minorEastAsia" w:hAnsiTheme="minorEastAsia" w:eastAsiaTheme="minorEastAsia"/>
          <w:b/>
          <w:color w:val="auto"/>
          <w:sz w:val="24"/>
          <w:highlight w:val="none"/>
          <w:u w:val="none"/>
        </w:rPr>
        <w:br w:type="page"/>
      </w:r>
    </w:p>
    <w:p w14:paraId="7C50D398">
      <w:pPr>
        <w:widowControl/>
        <w:jc w:val="center"/>
        <w:outlineLvl w:val="1"/>
        <w:rPr>
          <w:rFonts w:asciiTheme="minorEastAsia" w:hAnsiTheme="minorEastAsia" w:eastAsiaTheme="minorEastAsia"/>
          <w:b/>
          <w:color w:val="auto"/>
          <w:sz w:val="24"/>
          <w:highlight w:val="none"/>
          <w:u w:val="none"/>
        </w:rPr>
      </w:pPr>
      <w:r>
        <w:rPr>
          <w:rFonts w:hint="eastAsia" w:asciiTheme="minorEastAsia" w:hAnsiTheme="minorEastAsia" w:eastAsiaTheme="minorEastAsia"/>
          <w:b/>
          <w:color w:val="auto"/>
          <w:sz w:val="24"/>
          <w:highlight w:val="none"/>
          <w:u w:val="none"/>
          <w:lang w:val="en-US" w:eastAsia="zh-CN"/>
        </w:rPr>
        <w:t>七</w:t>
      </w:r>
      <w:r>
        <w:rPr>
          <w:rFonts w:hint="eastAsia" w:asciiTheme="minorEastAsia" w:hAnsiTheme="minorEastAsia" w:eastAsiaTheme="minorEastAsia"/>
          <w:b/>
          <w:color w:val="auto"/>
          <w:sz w:val="24"/>
          <w:highlight w:val="none"/>
          <w:u w:val="none"/>
        </w:rPr>
        <w:t>、授权书</w:t>
      </w:r>
      <w:bookmarkEnd w:id="681"/>
      <w:bookmarkEnd w:id="682"/>
      <w:bookmarkEnd w:id="683"/>
      <w:bookmarkEnd w:id="684"/>
      <w:bookmarkEnd w:id="685"/>
      <w:bookmarkEnd w:id="686"/>
    </w:p>
    <w:p w14:paraId="10E3BC2A">
      <w:pPr>
        <w:spacing w:line="360" w:lineRule="auto"/>
        <w:jc w:val="center"/>
        <w:rPr>
          <w:rFonts w:asciiTheme="minorEastAsia" w:hAnsiTheme="minorEastAsia" w:eastAsiaTheme="minorEastAsia"/>
          <w:b/>
          <w:color w:val="auto"/>
          <w:sz w:val="24"/>
          <w:highlight w:val="none"/>
        </w:rPr>
      </w:pPr>
    </w:p>
    <w:p w14:paraId="18B209B0">
      <w:pPr>
        <w:pStyle w:val="28"/>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磋商过程的一切事宜，包括但不限于：提交响应文件、参与磋商、签约等。供应商授权代表在采购活动过程中所签署的一切文件和处理与之有关的一切事务，本公司均予以认可并对此承担责任。供应商授权代表无转委托权。特此授权。</w:t>
      </w:r>
    </w:p>
    <w:p w14:paraId="500437CD">
      <w:pPr>
        <w:pStyle w:val="28"/>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14:paraId="44455960">
      <w:pPr>
        <w:pStyle w:val="28"/>
        <w:snapToGrid w:val="0"/>
        <w:spacing w:line="360" w:lineRule="auto"/>
        <w:ind w:firstLine="480" w:firstLineChars="200"/>
        <w:jc w:val="left"/>
        <w:rPr>
          <w:rFonts w:hAnsi="宋体" w:eastAsia="宋体"/>
          <w:color w:val="auto"/>
          <w:sz w:val="24"/>
          <w:highlight w:val="none"/>
        </w:rPr>
      </w:pPr>
      <w:r>
        <w:rPr>
          <w:rFonts w:hint="eastAsia" w:hAnsi="宋体" w:eastAsia="宋体"/>
          <w:color w:val="auto"/>
          <w:sz w:val="24"/>
          <w:szCs w:val="28"/>
          <w:highlight w:val="none"/>
        </w:rPr>
        <w:t>授权代表</w:t>
      </w:r>
      <w:r>
        <w:rPr>
          <w:rFonts w:hint="eastAsia" w:hAnsi="宋体" w:eastAsia="宋体"/>
          <w:color w:val="auto"/>
          <w:sz w:val="24"/>
          <w:highlight w:val="none"/>
        </w:rPr>
        <w:t>身份证明扫描件：</w:t>
      </w:r>
    </w:p>
    <w:p w14:paraId="4EE95971">
      <w:pPr>
        <w:pStyle w:val="28"/>
        <w:snapToGrid w:val="0"/>
        <w:spacing w:line="360" w:lineRule="auto"/>
        <w:ind w:firstLine="480" w:firstLineChars="200"/>
        <w:jc w:val="left"/>
        <w:rPr>
          <w:rFonts w:hAnsi="宋体" w:eastAsia="宋体"/>
          <w:color w:val="auto"/>
          <w:sz w:val="24"/>
          <w:highlight w:val="none"/>
        </w:rPr>
      </w:pPr>
    </w:p>
    <w:p w14:paraId="4B586E3B">
      <w:pPr>
        <w:pStyle w:val="28"/>
        <w:snapToGrid w:val="0"/>
        <w:spacing w:line="360" w:lineRule="auto"/>
        <w:ind w:firstLine="480" w:firstLineChars="200"/>
        <w:jc w:val="left"/>
        <w:rPr>
          <w:rFonts w:hAnsi="宋体" w:eastAsia="宋体"/>
          <w:color w:val="auto"/>
          <w:sz w:val="24"/>
          <w:highlight w:val="none"/>
        </w:rPr>
      </w:pPr>
    </w:p>
    <w:p w14:paraId="7ED81DEA">
      <w:pPr>
        <w:pStyle w:val="28"/>
        <w:snapToGrid w:val="0"/>
        <w:spacing w:line="360" w:lineRule="auto"/>
        <w:ind w:firstLine="480" w:firstLineChars="200"/>
        <w:jc w:val="left"/>
        <w:rPr>
          <w:rFonts w:hAnsi="宋体" w:eastAsia="宋体"/>
          <w:color w:val="auto"/>
          <w:sz w:val="24"/>
          <w:highlight w:val="none"/>
        </w:rPr>
      </w:pPr>
    </w:p>
    <w:p w14:paraId="38559ABF">
      <w:pPr>
        <w:pStyle w:val="28"/>
        <w:snapToGrid w:val="0"/>
        <w:spacing w:line="360" w:lineRule="auto"/>
        <w:ind w:firstLine="480" w:firstLineChars="200"/>
        <w:jc w:val="left"/>
        <w:rPr>
          <w:rFonts w:hAnsi="宋体" w:eastAsia="宋体"/>
          <w:color w:val="auto"/>
          <w:sz w:val="24"/>
          <w:highlight w:val="none"/>
        </w:rPr>
      </w:pPr>
    </w:p>
    <w:p w14:paraId="141D8383">
      <w:pPr>
        <w:pStyle w:val="28"/>
        <w:snapToGrid w:val="0"/>
        <w:spacing w:line="360" w:lineRule="auto"/>
        <w:ind w:firstLine="480" w:firstLineChars="200"/>
        <w:jc w:val="left"/>
        <w:rPr>
          <w:rFonts w:hAnsi="宋体" w:eastAsia="宋体"/>
          <w:color w:val="auto"/>
          <w:sz w:val="24"/>
          <w:szCs w:val="28"/>
          <w:highlight w:val="none"/>
          <w:u w:val="single"/>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14:paraId="15E21542">
      <w:pPr>
        <w:pStyle w:val="28"/>
        <w:snapToGrid w:val="0"/>
        <w:spacing w:line="360" w:lineRule="auto"/>
        <w:ind w:firstLine="480" w:firstLineChars="200"/>
        <w:jc w:val="left"/>
        <w:rPr>
          <w:rFonts w:hAnsi="宋体" w:eastAsia="宋体"/>
          <w:color w:val="auto"/>
          <w:sz w:val="24"/>
          <w:szCs w:val="28"/>
          <w:highlight w:val="none"/>
        </w:rPr>
      </w:pPr>
    </w:p>
    <w:p w14:paraId="17391C52">
      <w:pPr>
        <w:spacing w:line="360" w:lineRule="auto"/>
        <w:ind w:firstLine="360" w:firstLineChars="150"/>
        <w:rPr>
          <w:color w:val="auto"/>
          <w:sz w:val="24"/>
          <w:szCs w:val="28"/>
          <w:highlight w:val="none"/>
        </w:rPr>
      </w:pPr>
      <w:r>
        <w:rPr>
          <w:rFonts w:hint="eastAsia"/>
          <w:color w:val="auto"/>
          <w:sz w:val="24"/>
          <w:szCs w:val="28"/>
          <w:highlight w:val="none"/>
        </w:rPr>
        <w:t>特此声明。</w:t>
      </w:r>
    </w:p>
    <w:p w14:paraId="0207B3C1">
      <w:pPr>
        <w:spacing w:line="360" w:lineRule="auto"/>
        <w:rPr>
          <w:color w:val="auto"/>
          <w:sz w:val="24"/>
          <w:szCs w:val="28"/>
          <w:highlight w:val="none"/>
        </w:rPr>
      </w:pPr>
    </w:p>
    <w:p w14:paraId="32CCDD06">
      <w:pPr>
        <w:spacing w:line="360" w:lineRule="auto"/>
        <w:jc w:val="center"/>
        <w:rPr>
          <w:bCs/>
          <w:color w:val="auto"/>
          <w:sz w:val="24"/>
          <w:szCs w:val="28"/>
          <w:highlight w:val="none"/>
        </w:rPr>
      </w:pPr>
      <w:r>
        <w:rPr>
          <w:rFonts w:hint="eastAsia"/>
          <w:bCs/>
          <w:color w:val="auto"/>
          <w:sz w:val="24"/>
          <w:szCs w:val="28"/>
          <w:highlight w:val="none"/>
          <w:lang w:val="en-US" w:eastAsia="zh-CN"/>
        </w:rPr>
        <w:t xml:space="preserve">                    </w:t>
      </w:r>
      <w:r>
        <w:rPr>
          <w:rFonts w:hint="eastAsia"/>
          <w:bCs/>
          <w:color w:val="auto"/>
          <w:sz w:val="24"/>
          <w:szCs w:val="28"/>
          <w:highlight w:val="none"/>
        </w:rPr>
        <w:t>供应商电子签章：</w:t>
      </w:r>
      <w:r>
        <w:rPr>
          <w:rFonts w:hint="eastAsia"/>
          <w:bCs/>
          <w:color w:val="auto"/>
          <w:sz w:val="24"/>
          <w:szCs w:val="28"/>
          <w:highlight w:val="none"/>
          <w:u w:val="single"/>
        </w:rPr>
        <w:t xml:space="preserve">                    </w:t>
      </w:r>
    </w:p>
    <w:p w14:paraId="27C1FE9B">
      <w:pPr>
        <w:spacing w:line="360" w:lineRule="auto"/>
        <w:rPr>
          <w:color w:val="auto"/>
          <w:sz w:val="24"/>
          <w:szCs w:val="28"/>
          <w:highlight w:val="none"/>
        </w:rPr>
      </w:pPr>
      <w:r>
        <w:rPr>
          <w:rFonts w:hint="eastAsia"/>
          <w:color w:val="auto"/>
          <w:sz w:val="24"/>
          <w:szCs w:val="28"/>
          <w:highlight w:val="none"/>
          <w:lang w:val="en-US" w:eastAsia="zh-CN"/>
        </w:rPr>
        <w:t xml:space="preserve">                                        </w:t>
      </w:r>
      <w:r>
        <w:rPr>
          <w:rFonts w:hint="eastAsia"/>
          <w:color w:val="auto"/>
          <w:sz w:val="24"/>
          <w:szCs w:val="28"/>
          <w:highlight w:val="none"/>
        </w:rPr>
        <w:t>日          期：</w:t>
      </w:r>
      <w:r>
        <w:rPr>
          <w:rFonts w:hint="eastAsia"/>
          <w:color w:val="auto"/>
          <w:sz w:val="24"/>
          <w:szCs w:val="28"/>
          <w:highlight w:val="none"/>
          <w:u w:val="single"/>
        </w:rPr>
        <w:t xml:space="preserve">                    </w:t>
      </w:r>
    </w:p>
    <w:p w14:paraId="708598DB">
      <w:pPr>
        <w:spacing w:line="360" w:lineRule="auto"/>
        <w:rPr>
          <w:color w:val="auto"/>
          <w:sz w:val="24"/>
          <w:szCs w:val="28"/>
          <w:highlight w:val="none"/>
        </w:rPr>
      </w:pPr>
    </w:p>
    <w:p w14:paraId="55949376">
      <w:pPr>
        <w:pStyle w:val="28"/>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注：</w:t>
      </w:r>
    </w:p>
    <w:p w14:paraId="248710A5">
      <w:pPr>
        <w:pStyle w:val="28"/>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1.本项目只允许有唯一的供应商授权代表，提供身份证明扫描件；</w:t>
      </w:r>
    </w:p>
    <w:p w14:paraId="137C5668">
      <w:pPr>
        <w:spacing w:line="360" w:lineRule="auto"/>
        <w:jc w:val="left"/>
        <w:rPr>
          <w:color w:val="auto"/>
          <w:sz w:val="24"/>
          <w:highlight w:val="none"/>
        </w:rPr>
      </w:pPr>
      <w:r>
        <w:rPr>
          <w:rFonts w:hint="eastAsia"/>
          <w:color w:val="auto"/>
          <w:sz w:val="24"/>
          <w:highlight w:val="none"/>
        </w:rPr>
        <w:t>2.法定代表人参加磋商的无需提供授权书，仅提供身份证明扫描件。</w:t>
      </w:r>
    </w:p>
    <w:p w14:paraId="61AE74CB">
      <w:pPr>
        <w:widowControl/>
        <w:jc w:val="left"/>
        <w:rPr>
          <w:color w:val="auto"/>
          <w:sz w:val="24"/>
          <w:highlight w:val="none"/>
        </w:rPr>
      </w:pPr>
      <w:r>
        <w:rPr>
          <w:color w:val="auto"/>
          <w:sz w:val="24"/>
          <w:highlight w:val="none"/>
        </w:rPr>
        <w:br w:type="page"/>
      </w:r>
    </w:p>
    <w:p w14:paraId="0F90EB7A">
      <w:pPr>
        <w:keepNext/>
        <w:keepLines/>
        <w:spacing w:before="260" w:after="260" w:line="416" w:lineRule="auto"/>
        <w:jc w:val="center"/>
        <w:outlineLvl w:val="1"/>
        <w:rPr>
          <w:rFonts w:cs="@仿宋_GB2312" w:asciiTheme="minorEastAsia" w:hAnsiTheme="minorEastAsia" w:eastAsiaTheme="minorEastAsia"/>
          <w:b/>
          <w:bCs/>
          <w:color w:val="auto"/>
          <w:kern w:val="2"/>
          <w:sz w:val="24"/>
          <w:szCs w:val="24"/>
          <w:highlight w:val="none"/>
        </w:rPr>
      </w:pPr>
      <w:bookmarkStart w:id="687" w:name="_Toc32351"/>
      <w:bookmarkStart w:id="688" w:name="_Toc12223"/>
      <w:r>
        <w:rPr>
          <w:rFonts w:hint="eastAsia" w:cs="@仿宋_GB2312" w:asciiTheme="minorEastAsia" w:hAnsiTheme="minorEastAsia" w:eastAsiaTheme="minorEastAsia"/>
          <w:b/>
          <w:bCs/>
          <w:color w:val="auto"/>
          <w:kern w:val="2"/>
          <w:sz w:val="24"/>
          <w:szCs w:val="24"/>
          <w:highlight w:val="none"/>
          <w:lang w:val="en-US" w:eastAsia="zh-CN"/>
        </w:rPr>
        <w:t>八</w:t>
      </w:r>
      <w:r>
        <w:rPr>
          <w:rFonts w:hint="eastAsia" w:cs="@仿宋_GB2312" w:asciiTheme="minorEastAsia" w:hAnsiTheme="minorEastAsia" w:eastAsiaTheme="minorEastAsia"/>
          <w:b/>
          <w:bCs/>
          <w:color w:val="auto"/>
          <w:kern w:val="2"/>
          <w:sz w:val="24"/>
          <w:szCs w:val="24"/>
          <w:highlight w:val="none"/>
        </w:rPr>
        <w:t>、法定代表人身份证明书</w:t>
      </w:r>
      <w:bookmarkEnd w:id="687"/>
      <w:bookmarkEnd w:id="688"/>
    </w:p>
    <w:p w14:paraId="358E8E73">
      <w:pPr>
        <w:autoSpaceDE w:val="0"/>
        <w:autoSpaceDN w:val="0"/>
        <w:adjustRightInd w:val="0"/>
        <w:spacing w:line="360" w:lineRule="auto"/>
        <w:jc w:val="center"/>
        <w:rPr>
          <w:rFonts w:ascii="@仿宋_GB2312" w:eastAsia="@仿宋_GB2312" w:cs="宋体"/>
          <w:b/>
          <w:color w:val="auto"/>
          <w:kern w:val="2"/>
          <w:sz w:val="21"/>
          <w:szCs w:val="24"/>
          <w:highlight w:val="none"/>
          <w:lang w:val="zh-CN"/>
        </w:rPr>
      </w:pPr>
    </w:p>
    <w:p w14:paraId="094D3B4B">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单位名称：</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14:paraId="33A42C7D">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单位性质：</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14:paraId="75748495">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地    址：</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14:paraId="1B423126">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成立时间：</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年</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月</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日</w:t>
      </w:r>
    </w:p>
    <w:p w14:paraId="138CBD7F">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经营期限：</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14:paraId="12C64DE8">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姓    名：</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 性 </w:t>
      </w:r>
      <w:r>
        <w:rPr>
          <w:rFonts w:ascii="Calibri" w:hAnsi="Calibri" w:cs="Times New Roman"/>
          <w:color w:val="auto"/>
          <w:kern w:val="2"/>
          <w:sz w:val="24"/>
          <w:szCs w:val="28"/>
          <w:highlight w:val="none"/>
        </w:rPr>
        <w:t xml:space="preserve">  </w:t>
      </w:r>
      <w:r>
        <w:rPr>
          <w:rFonts w:hint="eastAsia" w:ascii="Calibri" w:hAnsi="Calibri" w:cs="Times New Roman"/>
          <w:color w:val="auto"/>
          <w:kern w:val="2"/>
          <w:sz w:val="24"/>
          <w:szCs w:val="28"/>
          <w:highlight w:val="none"/>
        </w:rPr>
        <w:t xml:space="preserve"> 别：</w:t>
      </w:r>
      <w:r>
        <w:rPr>
          <w:rFonts w:hint="eastAsia" w:ascii="Calibri" w:hAnsi="Calibri" w:cs="Times New Roman"/>
          <w:color w:val="auto"/>
          <w:kern w:val="2"/>
          <w:sz w:val="24"/>
          <w:szCs w:val="28"/>
          <w:highlight w:val="none"/>
          <w:u w:val="single"/>
        </w:rPr>
        <w:t xml:space="preserve">             </w:t>
      </w:r>
    </w:p>
    <w:p w14:paraId="46F6689F">
      <w:pPr>
        <w:snapToGrid w:val="0"/>
        <w:spacing w:line="360" w:lineRule="auto"/>
        <w:ind w:firstLine="480" w:firstLineChars="200"/>
        <w:jc w:val="left"/>
        <w:rPr>
          <w:rFonts w:ascii="Calibri" w:hAnsi="Calibri" w:cs="Times New Roman"/>
          <w:color w:val="auto"/>
          <w:kern w:val="2"/>
          <w:sz w:val="24"/>
          <w:szCs w:val="28"/>
          <w:highlight w:val="none"/>
          <w:u w:val="single"/>
        </w:rPr>
      </w:pPr>
      <w:r>
        <w:rPr>
          <w:rFonts w:hint="eastAsia" w:ascii="Calibri" w:hAnsi="Calibri" w:cs="Times New Roman"/>
          <w:color w:val="auto"/>
          <w:kern w:val="2"/>
          <w:sz w:val="24"/>
          <w:szCs w:val="28"/>
          <w:highlight w:val="none"/>
        </w:rPr>
        <w:t>年    龄：</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 职    务：</w:t>
      </w:r>
      <w:r>
        <w:rPr>
          <w:rFonts w:hint="eastAsia" w:ascii="Calibri" w:hAnsi="Calibri" w:cs="Times New Roman"/>
          <w:color w:val="auto"/>
          <w:kern w:val="2"/>
          <w:sz w:val="24"/>
          <w:szCs w:val="28"/>
          <w:highlight w:val="none"/>
          <w:u w:val="single"/>
        </w:rPr>
        <w:t xml:space="preserve">             </w:t>
      </w:r>
    </w:p>
    <w:p w14:paraId="69095E89">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联系</w:t>
      </w:r>
      <w:r>
        <w:rPr>
          <w:rFonts w:ascii="Calibri" w:hAnsi="Calibri" w:cs="Times New Roman"/>
          <w:color w:val="auto"/>
          <w:kern w:val="2"/>
          <w:sz w:val="24"/>
          <w:szCs w:val="28"/>
          <w:highlight w:val="none"/>
        </w:rPr>
        <w:t>电话</w:t>
      </w:r>
      <w:r>
        <w:rPr>
          <w:rFonts w:hint="eastAsia" w:ascii="Calibri" w:hAnsi="Calibri" w:cs="Times New Roman"/>
          <w:color w:val="auto"/>
          <w:kern w:val="2"/>
          <w:sz w:val="24"/>
          <w:szCs w:val="28"/>
          <w:highlight w:val="none"/>
        </w:rPr>
        <w:t>：</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 手机号码：</w:t>
      </w:r>
      <w:r>
        <w:rPr>
          <w:rFonts w:hint="eastAsia" w:ascii="Calibri" w:hAnsi="Calibri" w:cs="Times New Roman"/>
          <w:color w:val="auto"/>
          <w:kern w:val="2"/>
          <w:sz w:val="24"/>
          <w:szCs w:val="28"/>
          <w:highlight w:val="none"/>
          <w:u w:val="single"/>
        </w:rPr>
        <w:t xml:space="preserve">             </w:t>
      </w:r>
    </w:p>
    <w:p w14:paraId="13507F6C">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系  </w:t>
      </w:r>
      <w:r>
        <w:rPr>
          <w:rFonts w:hint="eastAsia" w:ascii="Calibri" w:hAnsi="Calibri" w:cs="Times New Roman"/>
          <w:color w:val="auto"/>
          <w:kern w:val="2"/>
          <w:sz w:val="24"/>
          <w:szCs w:val="28"/>
          <w:highlight w:val="none"/>
          <w:u w:val="single"/>
        </w:rPr>
        <w:t xml:space="preserve">   （供应商单位名称）       </w:t>
      </w:r>
      <w:r>
        <w:rPr>
          <w:rFonts w:hint="eastAsia" w:ascii="Calibri" w:hAnsi="Calibri" w:cs="Times New Roman"/>
          <w:color w:val="auto"/>
          <w:kern w:val="2"/>
          <w:sz w:val="24"/>
          <w:szCs w:val="28"/>
          <w:highlight w:val="none"/>
        </w:rPr>
        <w:t>的法定代表人。</w:t>
      </w:r>
    </w:p>
    <w:p w14:paraId="76680251">
      <w:pPr>
        <w:spacing w:before="62" w:beforeLines="20" w:after="62" w:afterLines="20" w:line="540" w:lineRule="exact"/>
        <w:ind w:firstLine="610"/>
        <w:rPr>
          <w:rFonts w:ascii="@仿宋_GB2312" w:hAnsi="Calibri" w:eastAsia="@仿宋_GB2312" w:cs="宋体"/>
          <w:color w:val="auto"/>
          <w:kern w:val="2"/>
          <w:sz w:val="24"/>
          <w:szCs w:val="24"/>
          <w:highlight w:val="none"/>
        </w:rPr>
      </w:pPr>
    </w:p>
    <w:p w14:paraId="30615F6E">
      <w:pPr>
        <w:spacing w:before="62" w:beforeLines="20" w:after="62" w:afterLines="20" w:line="540" w:lineRule="exact"/>
        <w:ind w:left="400" w:leftChars="200" w:firstLine="240" w:firstLineChars="100"/>
        <w:rPr>
          <w:rFonts w:ascii="Calibri" w:hAnsi="Calibri" w:cs="宋体"/>
          <w:color w:val="auto"/>
          <w:kern w:val="2"/>
          <w:sz w:val="24"/>
          <w:szCs w:val="24"/>
          <w:highlight w:val="none"/>
        </w:rPr>
      </w:pPr>
      <w:r>
        <w:rPr>
          <w:rFonts w:hint="eastAsia" w:ascii="Calibri" w:hAnsi="Calibri" w:cs="宋体"/>
          <w:color w:val="auto"/>
          <w:kern w:val="2"/>
          <w:sz w:val="24"/>
          <w:szCs w:val="24"/>
          <w:highlight w:val="none"/>
        </w:rPr>
        <w:t>特此证明。</w:t>
      </w:r>
    </w:p>
    <w:p w14:paraId="4DB08E61">
      <w:pPr>
        <w:tabs>
          <w:tab w:val="left" w:pos="720"/>
          <w:tab w:val="left" w:pos="900"/>
        </w:tabs>
        <w:spacing w:before="62" w:beforeLines="20" w:after="62" w:afterLines="20" w:line="540" w:lineRule="exact"/>
        <w:ind w:firstLine="480" w:firstLineChars="200"/>
        <w:rPr>
          <w:rFonts w:ascii="Calibri" w:hAnsi="Calibri" w:cs="宋体"/>
          <w:color w:val="auto"/>
          <w:kern w:val="2"/>
          <w:sz w:val="24"/>
          <w:szCs w:val="24"/>
          <w:highlight w:val="none"/>
        </w:rPr>
      </w:pPr>
      <w:r>
        <w:rPr>
          <w:rFonts w:hint="eastAsia" w:ascii="Calibri" w:hAnsi="Calibri" w:cs="宋体"/>
          <w:color w:val="auto"/>
          <w:kern w:val="2"/>
          <w:sz w:val="24"/>
          <w:szCs w:val="24"/>
          <w:highlight w:val="none"/>
        </w:rPr>
        <w:t>附：法定代表人身份证扫描件</w:t>
      </w:r>
    </w:p>
    <w:p w14:paraId="44DE0FB4">
      <w:pPr>
        <w:tabs>
          <w:tab w:val="left" w:pos="720"/>
          <w:tab w:val="left" w:pos="900"/>
        </w:tabs>
        <w:spacing w:before="62" w:beforeLines="20" w:after="62" w:afterLines="20" w:line="540" w:lineRule="exact"/>
        <w:ind w:firstLine="480" w:firstLineChars="200"/>
        <w:rPr>
          <w:rFonts w:ascii="@仿宋_GB2312" w:hAnsi="Calibri" w:eastAsia="@仿宋_GB2312" w:cs="宋体"/>
          <w:color w:val="auto"/>
          <w:kern w:val="2"/>
          <w:sz w:val="24"/>
          <w:szCs w:val="24"/>
          <w:highlight w:val="none"/>
        </w:rPr>
      </w:pPr>
    </w:p>
    <w:p w14:paraId="30CAB6A7">
      <w:pPr>
        <w:tabs>
          <w:tab w:val="left" w:pos="720"/>
          <w:tab w:val="left" w:pos="900"/>
        </w:tabs>
        <w:spacing w:before="62" w:beforeLines="20" w:after="62" w:afterLines="20" w:line="540" w:lineRule="exact"/>
        <w:ind w:firstLine="4560" w:firstLineChars="1900"/>
        <w:rPr>
          <w:rFonts w:ascii="@仿宋_GB2312" w:hAnsi="Calibri" w:eastAsia="@仿宋_GB2312" w:cs="宋体"/>
          <w:color w:val="auto"/>
          <w:kern w:val="2"/>
          <w:sz w:val="24"/>
          <w:szCs w:val="24"/>
          <w:highlight w:val="none"/>
        </w:rPr>
      </w:pPr>
    </w:p>
    <w:p w14:paraId="105A589B">
      <w:pPr>
        <w:spacing w:line="360" w:lineRule="auto"/>
        <w:ind w:firstLine="3840" w:firstLineChars="1600"/>
        <w:rPr>
          <w:rFonts w:cs="宋体"/>
          <w:color w:val="auto"/>
          <w:kern w:val="2"/>
          <w:sz w:val="24"/>
          <w:szCs w:val="24"/>
          <w:highlight w:val="none"/>
        </w:rPr>
      </w:pPr>
      <w:r>
        <w:rPr>
          <w:rFonts w:hint="eastAsia" w:cs="宋体"/>
          <w:color w:val="auto"/>
          <w:kern w:val="2"/>
          <w:sz w:val="24"/>
          <w:szCs w:val="24"/>
          <w:highlight w:val="none"/>
        </w:rPr>
        <w:t>供应商电子签章：</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p>
    <w:p w14:paraId="72108502">
      <w:pPr>
        <w:spacing w:line="360" w:lineRule="auto"/>
        <w:ind w:firstLine="3840" w:firstLineChars="1600"/>
        <w:rPr>
          <w:rFonts w:cs="宋体"/>
          <w:color w:val="auto"/>
          <w:kern w:val="2"/>
          <w:sz w:val="24"/>
          <w:szCs w:val="24"/>
          <w:highlight w:val="none"/>
        </w:rPr>
      </w:pPr>
      <w:r>
        <w:rPr>
          <w:rFonts w:hint="eastAsia" w:cs="宋体"/>
          <w:color w:val="auto"/>
          <w:kern w:val="2"/>
          <w:sz w:val="24"/>
          <w:szCs w:val="24"/>
          <w:highlight w:val="none"/>
        </w:rPr>
        <w:t>日</w:t>
      </w:r>
      <w:r>
        <w:rPr>
          <w:rFonts w:cs="宋体"/>
          <w:color w:val="auto"/>
          <w:kern w:val="2"/>
          <w:sz w:val="24"/>
          <w:szCs w:val="24"/>
          <w:highlight w:val="none"/>
        </w:rPr>
        <w:t xml:space="preserve">   </w:t>
      </w:r>
      <w:r>
        <w:rPr>
          <w:rFonts w:hint="eastAsia" w:cs="宋体"/>
          <w:color w:val="auto"/>
          <w:kern w:val="2"/>
          <w:sz w:val="24"/>
          <w:szCs w:val="24"/>
          <w:highlight w:val="none"/>
        </w:rPr>
        <w:t xml:space="preserve">    </w:t>
      </w:r>
      <w:r>
        <w:rPr>
          <w:rFonts w:cs="宋体"/>
          <w:color w:val="auto"/>
          <w:kern w:val="2"/>
          <w:sz w:val="24"/>
          <w:szCs w:val="24"/>
          <w:highlight w:val="none"/>
        </w:rPr>
        <w:t xml:space="preserve">   </w:t>
      </w:r>
      <w:r>
        <w:rPr>
          <w:rFonts w:hint="eastAsia" w:cs="宋体"/>
          <w:color w:val="auto"/>
          <w:kern w:val="2"/>
          <w:sz w:val="24"/>
          <w:szCs w:val="24"/>
          <w:highlight w:val="none"/>
        </w:rPr>
        <w:t>期：</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p>
    <w:p w14:paraId="6E352CF7">
      <w:pPr>
        <w:widowControl/>
        <w:jc w:val="left"/>
        <w:rPr>
          <w:rFonts w:cs="@仿宋_GB2312" w:asciiTheme="minorEastAsia" w:hAnsiTheme="minorEastAsia" w:eastAsiaTheme="minorEastAsia"/>
          <w:b/>
          <w:bCs/>
          <w:color w:val="auto"/>
          <w:kern w:val="2"/>
          <w:sz w:val="24"/>
          <w:szCs w:val="24"/>
          <w:highlight w:val="none"/>
        </w:rPr>
      </w:pPr>
      <w:r>
        <w:rPr>
          <w:rFonts w:cs="@仿宋_GB2312" w:asciiTheme="minorEastAsia" w:hAnsiTheme="minorEastAsia" w:eastAsiaTheme="minorEastAsia"/>
          <w:color w:val="auto"/>
          <w:kern w:val="2"/>
          <w:sz w:val="24"/>
          <w:szCs w:val="24"/>
          <w:highlight w:val="none"/>
        </w:rPr>
        <w:br w:type="page"/>
      </w:r>
    </w:p>
    <w:p w14:paraId="164BBABD">
      <w:pPr>
        <w:keepNext/>
        <w:keepLines/>
        <w:spacing w:before="260" w:after="260" w:line="416" w:lineRule="auto"/>
        <w:jc w:val="center"/>
        <w:outlineLvl w:val="1"/>
        <w:rPr>
          <w:rFonts w:hint="eastAsia" w:cs="@仿宋_GB2312" w:asciiTheme="minorEastAsia" w:hAnsiTheme="minorEastAsia" w:eastAsiaTheme="minorEastAsia"/>
          <w:b/>
          <w:bCs/>
          <w:color w:val="auto"/>
          <w:kern w:val="2"/>
          <w:sz w:val="24"/>
          <w:szCs w:val="24"/>
          <w:highlight w:val="none"/>
        </w:rPr>
      </w:pPr>
      <w:bookmarkStart w:id="689" w:name="_Toc4373"/>
      <w:bookmarkStart w:id="690" w:name="_Toc20099"/>
      <w:r>
        <w:rPr>
          <w:rFonts w:hint="eastAsia" w:cs="@仿宋_GB2312" w:asciiTheme="minorEastAsia" w:hAnsiTheme="minorEastAsia" w:eastAsiaTheme="minorEastAsia"/>
          <w:b/>
          <w:bCs/>
          <w:color w:val="auto"/>
          <w:kern w:val="2"/>
          <w:sz w:val="24"/>
          <w:szCs w:val="24"/>
          <w:highlight w:val="none"/>
          <w:lang w:val="en-US" w:eastAsia="zh-CN"/>
        </w:rPr>
        <w:t>九</w:t>
      </w:r>
      <w:r>
        <w:rPr>
          <w:rFonts w:hint="eastAsia" w:cs="@仿宋_GB2312" w:asciiTheme="minorEastAsia" w:hAnsiTheme="minorEastAsia" w:eastAsiaTheme="minorEastAsia"/>
          <w:b/>
          <w:bCs/>
          <w:color w:val="auto"/>
          <w:kern w:val="2"/>
          <w:sz w:val="24"/>
          <w:szCs w:val="24"/>
          <w:highlight w:val="none"/>
        </w:rPr>
        <w:t>、项目经理承诺书</w:t>
      </w:r>
      <w:bookmarkEnd w:id="689"/>
      <w:bookmarkEnd w:id="690"/>
    </w:p>
    <w:p w14:paraId="6AC8B780">
      <w:pPr>
        <w:spacing w:line="360" w:lineRule="auto"/>
        <w:rPr>
          <w:rFonts w:hint="eastAsia" w:cs="宋体" w:asciiTheme="minorEastAsia" w:hAnsiTheme="minorEastAsia" w:eastAsiaTheme="minorEastAsia"/>
          <w:color w:val="auto"/>
          <w:kern w:val="2"/>
          <w:sz w:val="24"/>
          <w:szCs w:val="24"/>
          <w:highlight w:val="none"/>
          <w:lang w:eastAsia="zh-CN"/>
        </w:rPr>
      </w:pPr>
      <w:r>
        <w:rPr>
          <w:rFonts w:hint="eastAsia" w:cs="宋体" w:asciiTheme="minorEastAsia" w:hAnsiTheme="minorEastAsia" w:eastAsiaTheme="minorEastAsia"/>
          <w:b/>
          <w:color w:val="auto"/>
          <w:kern w:val="2"/>
          <w:sz w:val="24"/>
          <w:szCs w:val="24"/>
          <w:highlight w:val="none"/>
        </w:rPr>
        <w:t>致：</w:t>
      </w:r>
      <w:r>
        <w:rPr>
          <w:rFonts w:hint="eastAsia" w:cs="宋体" w:asciiTheme="minorEastAsia" w:hAnsiTheme="minorEastAsia" w:eastAsiaTheme="minorEastAsia"/>
          <w:b/>
          <w:color w:val="auto"/>
          <w:kern w:val="2"/>
          <w:sz w:val="24"/>
          <w:szCs w:val="24"/>
          <w:highlight w:val="none"/>
          <w:u w:val="none"/>
          <w:lang w:eastAsia="zh-CN"/>
        </w:rPr>
        <w:t>采购人</w:t>
      </w:r>
    </w:p>
    <w:p w14:paraId="6FDD71E6">
      <w:pPr>
        <w:spacing w:line="360" w:lineRule="auto"/>
        <w:ind w:firstLine="480" w:firstLineChars="200"/>
        <w:rPr>
          <w:rFonts w:cs="宋体"/>
          <w:color w:val="auto"/>
          <w:kern w:val="2"/>
          <w:sz w:val="24"/>
          <w:szCs w:val="24"/>
          <w:highlight w:val="none"/>
        </w:rPr>
      </w:pPr>
      <w:r>
        <w:rPr>
          <w:rFonts w:hint="eastAsia" w:cs="宋体"/>
          <w:color w:val="auto"/>
          <w:kern w:val="2"/>
          <w:sz w:val="24"/>
          <w:szCs w:val="24"/>
          <w:highlight w:val="none"/>
        </w:rPr>
        <w:t>本人作为我单位在本项目磋商担任的项目经理，郑重承诺：</w:t>
      </w:r>
    </w:p>
    <w:p w14:paraId="50F8CB07">
      <w:pPr>
        <w:spacing w:line="360" w:lineRule="auto"/>
        <w:ind w:firstLine="480" w:firstLineChars="200"/>
        <w:rPr>
          <w:rFonts w:cs="宋体"/>
          <w:color w:val="auto"/>
          <w:kern w:val="2"/>
          <w:sz w:val="24"/>
          <w:szCs w:val="24"/>
          <w:highlight w:val="none"/>
        </w:rPr>
      </w:pPr>
      <w:r>
        <w:rPr>
          <w:rFonts w:hint="eastAsia" w:cs="宋体"/>
          <w:color w:val="auto"/>
          <w:kern w:val="2"/>
          <w:sz w:val="24"/>
          <w:szCs w:val="24"/>
          <w:highlight w:val="none"/>
        </w:rPr>
        <w:t>一、本项目提供的项目经理业绩已经本人核实，工程实施过程中项目经理确为本人，合同（或竣工相关资料证明）的本人签字均为该工程实施时段所签，真实无误，不存在虚假和挂靠现象，也不存在为磋商而造假的行为。</w:t>
      </w:r>
    </w:p>
    <w:p w14:paraId="5D99E5C1">
      <w:pPr>
        <w:spacing w:line="360" w:lineRule="auto"/>
        <w:ind w:firstLine="480" w:firstLineChars="200"/>
        <w:rPr>
          <w:rFonts w:cs="宋体"/>
          <w:color w:val="auto"/>
          <w:kern w:val="2"/>
          <w:sz w:val="24"/>
          <w:szCs w:val="24"/>
          <w:highlight w:val="none"/>
        </w:rPr>
      </w:pPr>
      <w:r>
        <w:rPr>
          <w:rFonts w:hint="eastAsia" w:cs="宋体"/>
          <w:color w:val="auto"/>
          <w:kern w:val="2"/>
          <w:sz w:val="24"/>
          <w:szCs w:val="24"/>
          <w:highlight w:val="none"/>
          <w:lang w:val="en-US" w:eastAsia="zh-CN"/>
        </w:rPr>
        <w:t>二</w:t>
      </w:r>
      <w:r>
        <w:rPr>
          <w:rFonts w:hint="eastAsia" w:cs="宋体"/>
          <w:color w:val="auto"/>
          <w:kern w:val="2"/>
          <w:sz w:val="24"/>
          <w:szCs w:val="24"/>
          <w:highlight w:val="none"/>
        </w:rPr>
        <w:t>、本人承诺，一旦成交，将严格按照磋商文件规定履约。</w:t>
      </w:r>
    </w:p>
    <w:p w14:paraId="346EAAE6">
      <w:pPr>
        <w:spacing w:line="360" w:lineRule="auto"/>
        <w:ind w:firstLine="480" w:firstLineChars="200"/>
        <w:rPr>
          <w:rFonts w:hint="eastAsia" w:cs="宋体"/>
          <w:color w:val="auto"/>
          <w:kern w:val="2"/>
          <w:sz w:val="24"/>
          <w:szCs w:val="24"/>
          <w:highlight w:val="none"/>
        </w:rPr>
      </w:pPr>
      <w:r>
        <w:rPr>
          <w:rFonts w:hint="eastAsia" w:cs="宋体"/>
          <w:color w:val="auto"/>
          <w:kern w:val="2"/>
          <w:sz w:val="24"/>
          <w:szCs w:val="24"/>
          <w:highlight w:val="none"/>
          <w:lang w:val="en-US" w:eastAsia="zh-CN"/>
        </w:rPr>
        <w:t>三</w:t>
      </w:r>
      <w:r>
        <w:rPr>
          <w:rFonts w:hint="eastAsia" w:cs="宋体"/>
          <w:color w:val="auto"/>
          <w:kern w:val="2"/>
          <w:sz w:val="24"/>
          <w:szCs w:val="24"/>
          <w:highlight w:val="none"/>
        </w:rPr>
        <w:t>、本人声明，对以上承诺，一旦发现虚假现象，本人愿意承担相应法律责任，并随时无条件配合监管部门调查取证。</w:t>
      </w:r>
    </w:p>
    <w:p w14:paraId="59B4E7FD">
      <w:pPr>
        <w:spacing w:line="360" w:lineRule="auto"/>
        <w:ind w:firstLine="480" w:firstLineChars="200"/>
        <w:rPr>
          <w:rFonts w:hint="eastAsia" w:cs="宋体"/>
          <w:color w:val="auto"/>
          <w:kern w:val="2"/>
          <w:sz w:val="24"/>
          <w:szCs w:val="24"/>
          <w:highlight w:val="none"/>
          <w:lang w:val="en-US" w:eastAsia="zh-CN"/>
        </w:rPr>
      </w:pPr>
      <w:r>
        <w:rPr>
          <w:rFonts w:hint="eastAsia" w:cs="宋体"/>
          <w:color w:val="auto"/>
          <w:kern w:val="2"/>
          <w:sz w:val="24"/>
          <w:szCs w:val="24"/>
          <w:highlight w:val="none"/>
          <w:lang w:val="en-US" w:eastAsia="zh-CN"/>
        </w:rPr>
        <w:t>四、</w:t>
      </w:r>
      <w:r>
        <w:rPr>
          <w:rFonts w:hint="eastAsia" w:cs="宋体"/>
          <w:color w:val="auto"/>
          <w:kern w:val="2"/>
          <w:sz w:val="24"/>
          <w:szCs w:val="24"/>
          <w:highlight w:val="none"/>
          <w:u w:val="single"/>
        </w:rPr>
        <w:t xml:space="preserve">                   </w:t>
      </w:r>
    </w:p>
    <w:p w14:paraId="58DA26E3">
      <w:pPr>
        <w:spacing w:line="360" w:lineRule="auto"/>
        <w:ind w:firstLine="480" w:firstLineChars="200"/>
        <w:rPr>
          <w:rFonts w:cs="宋体"/>
          <w:color w:val="auto"/>
          <w:kern w:val="2"/>
          <w:sz w:val="24"/>
          <w:szCs w:val="24"/>
          <w:highlight w:val="none"/>
        </w:rPr>
      </w:pPr>
    </w:p>
    <w:p w14:paraId="7F3B0F58">
      <w:pPr>
        <w:spacing w:line="360" w:lineRule="auto"/>
        <w:ind w:firstLine="4200" w:firstLineChars="1750"/>
        <w:rPr>
          <w:rFonts w:cs="宋体"/>
          <w:color w:val="auto"/>
          <w:kern w:val="2"/>
          <w:sz w:val="24"/>
          <w:szCs w:val="24"/>
          <w:highlight w:val="none"/>
        </w:rPr>
      </w:pPr>
      <w:r>
        <w:rPr>
          <w:rFonts w:hint="eastAsia" w:cs="宋体"/>
          <w:color w:val="auto"/>
          <w:kern w:val="2"/>
          <w:sz w:val="24"/>
          <w:szCs w:val="24"/>
          <w:highlight w:val="none"/>
        </w:rPr>
        <w:t>项目经理签字：</w:t>
      </w:r>
      <w:r>
        <w:rPr>
          <w:rFonts w:hint="eastAsia" w:cs="宋体"/>
          <w:color w:val="auto"/>
          <w:kern w:val="2"/>
          <w:sz w:val="24"/>
          <w:szCs w:val="24"/>
          <w:highlight w:val="none"/>
          <w:u w:val="single"/>
        </w:rPr>
        <w:t xml:space="preserve">                   </w:t>
      </w:r>
    </w:p>
    <w:p w14:paraId="67EB0254">
      <w:pPr>
        <w:spacing w:line="360" w:lineRule="auto"/>
        <w:ind w:firstLine="4200" w:firstLineChars="1750"/>
        <w:rPr>
          <w:rFonts w:cs="宋体"/>
          <w:color w:val="auto"/>
          <w:kern w:val="2"/>
          <w:sz w:val="24"/>
          <w:szCs w:val="24"/>
          <w:highlight w:val="none"/>
        </w:rPr>
      </w:pPr>
      <w:r>
        <w:rPr>
          <w:rFonts w:hint="eastAsia" w:cs="宋体"/>
          <w:color w:val="auto"/>
          <w:kern w:val="2"/>
          <w:sz w:val="24"/>
          <w:szCs w:val="24"/>
          <w:highlight w:val="none"/>
        </w:rPr>
        <w:t>身份证号：</w:t>
      </w:r>
      <w:r>
        <w:rPr>
          <w:rFonts w:hint="eastAsia" w:cs="宋体"/>
          <w:color w:val="auto"/>
          <w:kern w:val="2"/>
          <w:sz w:val="24"/>
          <w:szCs w:val="24"/>
          <w:highlight w:val="none"/>
          <w:u w:val="single"/>
        </w:rPr>
        <w:t xml:space="preserve">                       </w:t>
      </w:r>
    </w:p>
    <w:p w14:paraId="68E7DF33">
      <w:pPr>
        <w:spacing w:line="360" w:lineRule="auto"/>
        <w:ind w:firstLine="4200" w:firstLineChars="1750"/>
        <w:rPr>
          <w:rFonts w:cs="宋体"/>
          <w:color w:val="auto"/>
          <w:kern w:val="2"/>
          <w:sz w:val="24"/>
          <w:szCs w:val="24"/>
          <w:highlight w:val="none"/>
        </w:rPr>
      </w:pPr>
      <w:r>
        <w:rPr>
          <w:rFonts w:hint="eastAsia" w:cs="宋体"/>
          <w:color w:val="auto"/>
          <w:kern w:val="2"/>
          <w:sz w:val="24"/>
          <w:szCs w:val="24"/>
          <w:highlight w:val="none"/>
        </w:rPr>
        <w:t>日    期：</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p>
    <w:p w14:paraId="744CB598">
      <w:pPr>
        <w:spacing w:line="360" w:lineRule="auto"/>
        <w:ind w:firstLine="480" w:firstLineChars="200"/>
        <w:rPr>
          <w:rFonts w:cs="宋体"/>
          <w:color w:val="auto"/>
          <w:kern w:val="2"/>
          <w:sz w:val="24"/>
          <w:szCs w:val="24"/>
          <w:highlight w:val="none"/>
        </w:rPr>
      </w:pPr>
    </w:p>
    <w:p w14:paraId="62781F4C">
      <w:pPr>
        <w:spacing w:line="360" w:lineRule="auto"/>
        <w:ind w:firstLine="480" w:firstLineChars="200"/>
        <w:rPr>
          <w:rFonts w:cs="宋体" w:asciiTheme="minorEastAsia" w:hAnsiTheme="minorEastAsia" w:eastAsiaTheme="minorEastAsia"/>
          <w:color w:val="auto"/>
          <w:kern w:val="2"/>
          <w:sz w:val="24"/>
          <w:szCs w:val="24"/>
          <w:highlight w:val="none"/>
        </w:rPr>
      </w:pPr>
      <w:r>
        <w:rPr>
          <w:rFonts w:hint="eastAsia" w:cs="宋体"/>
          <w:color w:val="auto"/>
          <w:kern w:val="2"/>
          <w:sz w:val="24"/>
          <w:szCs w:val="24"/>
          <w:highlight w:val="none"/>
        </w:rPr>
        <w:t>注：本页后附项目经理身份证明扫描件。</w:t>
      </w:r>
    </w:p>
    <w:p w14:paraId="545A20D6">
      <w:pPr>
        <w:autoSpaceDE w:val="0"/>
        <w:autoSpaceDN w:val="0"/>
        <w:adjustRightInd w:val="0"/>
        <w:spacing w:line="360" w:lineRule="auto"/>
        <w:jc w:val="both"/>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14:paraId="23E4189E">
      <w:pPr>
        <w:spacing w:line="360" w:lineRule="auto"/>
        <w:jc w:val="center"/>
        <w:outlineLvl w:val="1"/>
        <w:rPr>
          <w:rFonts w:asciiTheme="minorEastAsia" w:hAnsiTheme="minorEastAsia" w:eastAsiaTheme="minorEastAsia"/>
          <w:b/>
          <w:color w:val="auto"/>
          <w:sz w:val="24"/>
          <w:highlight w:val="none"/>
        </w:rPr>
      </w:pPr>
      <w:bookmarkStart w:id="691" w:name="_Toc31589"/>
      <w:bookmarkStart w:id="692" w:name="_Toc28359"/>
      <w:r>
        <w:rPr>
          <w:rFonts w:hint="eastAsia" w:asciiTheme="minorEastAsia" w:hAnsiTheme="minorEastAsia" w:eastAsiaTheme="minorEastAsia"/>
          <w:b/>
          <w:color w:val="auto"/>
          <w:sz w:val="24"/>
          <w:highlight w:val="none"/>
        </w:rPr>
        <w:t>十、中小企业声明函</w:t>
      </w:r>
      <w:bookmarkEnd w:id="691"/>
      <w:bookmarkEnd w:id="692"/>
    </w:p>
    <w:p w14:paraId="1CC42BDE">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本公司（联合体）郑重声明，根据《政府采购促进中小企业发展管理办法》（财库﹝2020﹞46号）的规定，本公司（联合体）参加</w:t>
      </w:r>
      <w:r>
        <w:rPr>
          <w:rFonts w:hint="eastAsia" w:cs="@仿宋_GB2312"/>
          <w:color w:val="auto"/>
          <w:kern w:val="2"/>
          <w:sz w:val="24"/>
          <w:szCs w:val="24"/>
          <w:highlight w:val="none"/>
          <w:u w:val="single"/>
          <w:lang w:val="zh-CN"/>
        </w:rPr>
        <w:t>（单位</w:t>
      </w:r>
      <w:r>
        <w:rPr>
          <w:rFonts w:hint="eastAsia" w:cs="@仿宋_GB2312"/>
          <w:color w:val="auto"/>
          <w:kern w:val="2"/>
          <w:sz w:val="24"/>
          <w:szCs w:val="24"/>
          <w:highlight w:val="none"/>
          <w:u w:val="single"/>
          <w:lang w:val="en-US" w:eastAsia="zh-CN"/>
        </w:rPr>
        <w:t>名称</w:t>
      </w:r>
      <w:r>
        <w:rPr>
          <w:rFonts w:hint="eastAsia" w:cs="@仿宋_GB2312"/>
          <w:color w:val="auto"/>
          <w:kern w:val="2"/>
          <w:sz w:val="24"/>
          <w:szCs w:val="24"/>
          <w:highlight w:val="none"/>
          <w:u w:val="single"/>
          <w:lang w:val="zh-CN"/>
        </w:rPr>
        <w:t>）</w:t>
      </w:r>
      <w:r>
        <w:rPr>
          <w:rFonts w:hint="eastAsia" w:cs="@仿宋_GB2312"/>
          <w:color w:val="auto"/>
          <w:kern w:val="2"/>
          <w:sz w:val="24"/>
          <w:szCs w:val="24"/>
          <w:highlight w:val="none"/>
          <w:lang w:val="zh-CN"/>
        </w:rPr>
        <w:t>的</w:t>
      </w:r>
      <w:r>
        <w:rPr>
          <w:rFonts w:hint="eastAsia" w:cs="@仿宋_GB2312"/>
          <w:color w:val="auto"/>
          <w:kern w:val="2"/>
          <w:sz w:val="24"/>
          <w:szCs w:val="24"/>
          <w:highlight w:val="none"/>
          <w:u w:val="single"/>
          <w:lang w:val="zh-CN"/>
        </w:rPr>
        <w:t>（项目</w:t>
      </w:r>
      <w:r>
        <w:rPr>
          <w:rFonts w:hint="eastAsia" w:cs="@仿宋_GB2312"/>
          <w:color w:val="auto"/>
          <w:kern w:val="2"/>
          <w:sz w:val="24"/>
          <w:szCs w:val="24"/>
          <w:highlight w:val="none"/>
          <w:u w:val="single"/>
          <w:lang w:val="en-US" w:eastAsia="zh-CN"/>
        </w:rPr>
        <w:t>名称</w:t>
      </w:r>
      <w:r>
        <w:rPr>
          <w:rFonts w:hint="eastAsia" w:cs="@仿宋_GB2312"/>
          <w:color w:val="auto"/>
          <w:kern w:val="2"/>
          <w:sz w:val="24"/>
          <w:szCs w:val="24"/>
          <w:highlight w:val="none"/>
          <w:u w:val="single"/>
          <w:lang w:val="zh-CN"/>
        </w:rPr>
        <w:t>）</w:t>
      </w:r>
      <w:r>
        <w:rPr>
          <w:rFonts w:hint="eastAsia" w:cs="@仿宋_GB2312"/>
          <w:color w:val="auto"/>
          <w:kern w:val="2"/>
          <w:sz w:val="24"/>
          <w:szCs w:val="24"/>
          <w:highlight w:val="none"/>
          <w:lang w:val="zh-CN"/>
        </w:rPr>
        <w:t xml:space="preserve">采购活动，工程的施工单位全部为符合政策要求的中小企业。相关企业（含联合体中的中小企业、签订分包意向协议的中小企业）的具体情况如下： </w:t>
      </w:r>
    </w:p>
    <w:p w14:paraId="67AD8C04">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1.</w:t>
      </w:r>
      <w:r>
        <w:rPr>
          <w:rFonts w:hint="eastAsia" w:cs="@仿宋_GB2312"/>
          <w:color w:val="auto"/>
          <w:kern w:val="2"/>
          <w:sz w:val="24"/>
          <w:szCs w:val="24"/>
          <w:highlight w:val="none"/>
          <w:u w:val="single"/>
          <w:lang w:val="zh-CN"/>
        </w:rPr>
        <w:t xml:space="preserve"> （标的名称） </w:t>
      </w:r>
      <w:r>
        <w:rPr>
          <w:rFonts w:hint="eastAsia" w:cs="@仿宋_GB2312"/>
          <w:color w:val="auto"/>
          <w:kern w:val="2"/>
          <w:sz w:val="24"/>
          <w:szCs w:val="24"/>
          <w:highlight w:val="none"/>
          <w:lang w:val="zh-CN"/>
        </w:rPr>
        <w:t>，属于</w:t>
      </w:r>
      <w:r>
        <w:rPr>
          <w:rFonts w:hint="eastAsia" w:cs="@仿宋_GB2312"/>
          <w:color w:val="auto"/>
          <w:kern w:val="2"/>
          <w:sz w:val="24"/>
          <w:szCs w:val="24"/>
          <w:highlight w:val="none"/>
          <w:u w:val="single"/>
          <w:lang w:val="zh-CN"/>
        </w:rPr>
        <w:t>（采购文件中明确的所属行业）</w:t>
      </w:r>
      <w:r>
        <w:rPr>
          <w:rFonts w:hint="eastAsia" w:cs="@仿宋_GB2312"/>
          <w:color w:val="auto"/>
          <w:kern w:val="2"/>
          <w:sz w:val="24"/>
          <w:szCs w:val="24"/>
          <w:highlight w:val="none"/>
          <w:lang w:val="zh-CN"/>
        </w:rPr>
        <w:t>行业；承建企业为</w:t>
      </w:r>
      <w:r>
        <w:rPr>
          <w:rFonts w:hint="eastAsia" w:cs="@仿宋_GB2312"/>
          <w:color w:val="auto"/>
          <w:kern w:val="2"/>
          <w:sz w:val="24"/>
          <w:szCs w:val="24"/>
          <w:highlight w:val="none"/>
          <w:u w:val="single"/>
          <w:lang w:val="zh-CN"/>
        </w:rPr>
        <w:t>（企业名称）</w:t>
      </w:r>
      <w:r>
        <w:rPr>
          <w:rFonts w:hint="eastAsia" w:cs="@仿宋_GB2312"/>
          <w:color w:val="auto"/>
          <w:kern w:val="2"/>
          <w:sz w:val="24"/>
          <w:szCs w:val="24"/>
          <w:highlight w:val="none"/>
          <w:lang w:val="zh-CN"/>
        </w:rPr>
        <w:t>，从业人员</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人，营业收入为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万元，资产总额为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万元，属于</w:t>
      </w:r>
      <w:r>
        <w:rPr>
          <w:rFonts w:hint="eastAsia" w:cs="@仿宋_GB2312"/>
          <w:color w:val="auto"/>
          <w:kern w:val="2"/>
          <w:sz w:val="24"/>
          <w:szCs w:val="24"/>
          <w:highlight w:val="none"/>
          <w:u w:val="single"/>
          <w:lang w:val="zh-CN"/>
        </w:rPr>
        <w:t>（中型企业、小型企业、微型企业）</w:t>
      </w:r>
      <w:r>
        <w:rPr>
          <w:rFonts w:hint="eastAsia" w:cs="@仿宋_GB2312"/>
          <w:color w:val="auto"/>
          <w:kern w:val="2"/>
          <w:sz w:val="24"/>
          <w:szCs w:val="24"/>
          <w:highlight w:val="none"/>
          <w:lang w:val="zh-CN"/>
        </w:rPr>
        <w:t xml:space="preserve">； </w:t>
      </w:r>
    </w:p>
    <w:p w14:paraId="26283759">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2.</w:t>
      </w:r>
      <w:r>
        <w:rPr>
          <w:rFonts w:hint="eastAsia" w:cs="@仿宋_GB2312"/>
          <w:color w:val="auto"/>
          <w:kern w:val="2"/>
          <w:sz w:val="24"/>
          <w:szCs w:val="24"/>
          <w:highlight w:val="none"/>
          <w:u w:val="single"/>
          <w:lang w:val="zh-CN"/>
        </w:rPr>
        <w:t xml:space="preserve"> （标的名称） </w:t>
      </w:r>
      <w:r>
        <w:rPr>
          <w:rFonts w:hint="eastAsia" w:cs="@仿宋_GB2312"/>
          <w:color w:val="auto"/>
          <w:kern w:val="2"/>
          <w:sz w:val="24"/>
          <w:szCs w:val="24"/>
          <w:highlight w:val="none"/>
          <w:lang w:val="zh-CN"/>
        </w:rPr>
        <w:t>，属于</w:t>
      </w:r>
      <w:r>
        <w:rPr>
          <w:rFonts w:hint="eastAsia" w:cs="@仿宋_GB2312"/>
          <w:color w:val="auto"/>
          <w:kern w:val="2"/>
          <w:sz w:val="24"/>
          <w:szCs w:val="24"/>
          <w:highlight w:val="none"/>
          <w:u w:val="single"/>
          <w:lang w:val="zh-CN"/>
        </w:rPr>
        <w:t>（采购文件中明确的所属行业）</w:t>
      </w:r>
      <w:r>
        <w:rPr>
          <w:rFonts w:hint="eastAsia" w:cs="@仿宋_GB2312"/>
          <w:color w:val="auto"/>
          <w:kern w:val="2"/>
          <w:sz w:val="24"/>
          <w:szCs w:val="24"/>
          <w:highlight w:val="none"/>
          <w:lang w:val="zh-CN"/>
        </w:rPr>
        <w:t>行业；承建企业为</w:t>
      </w:r>
      <w:r>
        <w:rPr>
          <w:rFonts w:hint="eastAsia" w:cs="@仿宋_GB2312"/>
          <w:color w:val="auto"/>
          <w:kern w:val="2"/>
          <w:sz w:val="24"/>
          <w:szCs w:val="24"/>
          <w:highlight w:val="none"/>
          <w:u w:val="single"/>
          <w:lang w:val="zh-CN"/>
        </w:rPr>
        <w:t>（企业名称）</w:t>
      </w:r>
      <w:r>
        <w:rPr>
          <w:rFonts w:hint="eastAsia" w:cs="@仿宋_GB2312"/>
          <w:color w:val="auto"/>
          <w:kern w:val="2"/>
          <w:sz w:val="24"/>
          <w:szCs w:val="24"/>
          <w:highlight w:val="none"/>
          <w:lang w:val="zh-CN"/>
        </w:rPr>
        <w:t>，从业人员</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人，营业收入为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万元，资产总额为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万元，属于</w:t>
      </w:r>
      <w:r>
        <w:rPr>
          <w:rFonts w:hint="eastAsia" w:cs="@仿宋_GB2312"/>
          <w:color w:val="auto"/>
          <w:kern w:val="2"/>
          <w:sz w:val="24"/>
          <w:szCs w:val="24"/>
          <w:highlight w:val="none"/>
          <w:u w:val="single"/>
          <w:lang w:val="zh-CN"/>
        </w:rPr>
        <w:t>（中型企业、小型企业、微型企业）</w:t>
      </w:r>
      <w:r>
        <w:rPr>
          <w:rFonts w:hint="eastAsia" w:cs="@仿宋_GB2312"/>
          <w:color w:val="auto"/>
          <w:kern w:val="2"/>
          <w:sz w:val="24"/>
          <w:szCs w:val="24"/>
          <w:highlight w:val="none"/>
          <w:lang w:val="zh-CN"/>
        </w:rPr>
        <w:t xml:space="preserve">； </w:t>
      </w:r>
    </w:p>
    <w:p w14:paraId="79490320">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以上企业，不属于大企业的分支机构，不存在控股股东为大企业的情形，也不存在与大企业的负责人为同一人的情形。</w:t>
      </w:r>
    </w:p>
    <w:p w14:paraId="36652A2E">
      <w:pPr>
        <w:spacing w:line="360" w:lineRule="auto"/>
        <w:ind w:firstLine="435"/>
        <w:rPr>
          <w:rFonts w:cs="@仿宋_GB2312" w:asciiTheme="minorEastAsia" w:hAnsiTheme="minorEastAsia" w:eastAsiaTheme="minorEastAsia"/>
          <w:color w:val="auto"/>
          <w:kern w:val="2"/>
          <w:sz w:val="24"/>
          <w:szCs w:val="24"/>
          <w:highlight w:val="none"/>
        </w:rPr>
      </w:pPr>
      <w:r>
        <w:rPr>
          <w:rFonts w:hint="eastAsia" w:cs="@仿宋_GB2312"/>
          <w:color w:val="auto"/>
          <w:kern w:val="2"/>
          <w:sz w:val="24"/>
          <w:szCs w:val="24"/>
          <w:highlight w:val="none"/>
          <w:lang w:val="zh-CN"/>
        </w:rPr>
        <w:t xml:space="preserve">本企业对上述声明内容的真实性负责。如有虚假，将依法承担相应责任。 </w:t>
      </w:r>
    </w:p>
    <w:p w14:paraId="4EB6E418">
      <w:pPr>
        <w:spacing w:line="360" w:lineRule="auto"/>
        <w:ind w:firstLine="4228" w:firstLineChars="1762"/>
        <w:rPr>
          <w:rFonts w:cs="@仿宋_GB2312" w:asciiTheme="minorEastAsia" w:hAnsiTheme="minorEastAsia" w:eastAsiaTheme="minorEastAsia"/>
          <w:color w:val="auto"/>
          <w:kern w:val="2"/>
          <w:sz w:val="24"/>
          <w:szCs w:val="24"/>
          <w:highlight w:val="none"/>
          <w:u w:val="single"/>
        </w:rPr>
      </w:pPr>
      <w:r>
        <w:rPr>
          <w:rFonts w:hint="eastAsia" w:cs="@仿宋_GB2312" w:asciiTheme="minorEastAsia" w:hAnsiTheme="minorEastAsia" w:eastAsiaTheme="minorEastAsia"/>
          <w:color w:val="auto"/>
          <w:kern w:val="2"/>
          <w:sz w:val="24"/>
          <w:szCs w:val="24"/>
          <w:highlight w:val="none"/>
        </w:rPr>
        <w:t>供应商</w:t>
      </w:r>
      <w:r>
        <w:rPr>
          <w:rFonts w:cs="@仿宋_GB2312" w:asciiTheme="minorEastAsia" w:hAnsiTheme="minorEastAsia" w:eastAsiaTheme="minorEastAsia"/>
          <w:color w:val="auto"/>
          <w:kern w:val="2"/>
          <w:sz w:val="24"/>
          <w:szCs w:val="24"/>
          <w:highlight w:val="none"/>
        </w:rPr>
        <w:t>电子签章</w:t>
      </w:r>
      <w:r>
        <w:rPr>
          <w:rFonts w:hint="eastAsia" w:cs="@仿宋_GB2312" w:asciiTheme="minorEastAsia" w:hAnsiTheme="minorEastAsia" w:eastAsiaTheme="minorEastAsia"/>
          <w:color w:val="auto"/>
          <w:kern w:val="2"/>
          <w:sz w:val="24"/>
          <w:szCs w:val="24"/>
          <w:highlight w:val="none"/>
        </w:rPr>
        <w:t>：</w:t>
      </w:r>
      <w:r>
        <w:rPr>
          <w:rFonts w:cs="@仿宋_GB2312" w:asciiTheme="minorEastAsia" w:hAnsiTheme="minorEastAsia" w:eastAsiaTheme="minorEastAsia"/>
          <w:color w:val="auto"/>
          <w:kern w:val="2"/>
          <w:sz w:val="24"/>
          <w:szCs w:val="24"/>
          <w:highlight w:val="none"/>
          <w:u w:val="single"/>
        </w:rPr>
        <w:t xml:space="preserve">             </w:t>
      </w:r>
    </w:p>
    <w:p w14:paraId="271B7730">
      <w:pPr>
        <w:tabs>
          <w:tab w:val="left" w:pos="4620"/>
        </w:tabs>
        <w:spacing w:line="360" w:lineRule="auto"/>
        <w:ind w:firstLine="4252" w:firstLineChars="1772"/>
        <w:rPr>
          <w:rFonts w:cs="@仿宋_GB2312" w:asciiTheme="minorEastAsia" w:hAnsiTheme="minorEastAsia" w:eastAsiaTheme="minorEastAsia"/>
          <w:color w:val="auto"/>
          <w:kern w:val="2"/>
          <w:sz w:val="24"/>
          <w:szCs w:val="24"/>
          <w:highlight w:val="none"/>
          <w:u w:val="single"/>
        </w:rPr>
      </w:pPr>
      <w:r>
        <w:rPr>
          <w:rFonts w:hint="eastAsia" w:cs="@仿宋_GB2312" w:asciiTheme="minorEastAsia" w:hAnsiTheme="minorEastAsia" w:eastAsiaTheme="minorEastAsia"/>
          <w:color w:val="auto"/>
          <w:kern w:val="2"/>
          <w:sz w:val="24"/>
          <w:szCs w:val="24"/>
          <w:highlight w:val="none"/>
        </w:rPr>
        <w:t>日</w:t>
      </w:r>
      <w:r>
        <w:rPr>
          <w:rFonts w:cs="@仿宋_GB2312" w:asciiTheme="minorEastAsia" w:hAnsiTheme="minorEastAsia" w:eastAsiaTheme="minorEastAsia"/>
          <w:color w:val="auto"/>
          <w:kern w:val="2"/>
          <w:sz w:val="24"/>
          <w:szCs w:val="24"/>
          <w:highlight w:val="none"/>
        </w:rPr>
        <w:t xml:space="preserve">      </w:t>
      </w:r>
      <w:r>
        <w:rPr>
          <w:rFonts w:hint="eastAsia" w:cs="@仿宋_GB2312" w:asciiTheme="minorEastAsia" w:hAnsiTheme="minorEastAsia" w:eastAsiaTheme="minorEastAsia"/>
          <w:color w:val="auto"/>
          <w:kern w:val="2"/>
          <w:sz w:val="24"/>
          <w:szCs w:val="24"/>
          <w:highlight w:val="none"/>
        </w:rPr>
        <w:t xml:space="preserve">    期：</w:t>
      </w:r>
      <w:r>
        <w:rPr>
          <w:rFonts w:cs="@仿宋_GB2312" w:asciiTheme="minorEastAsia" w:hAnsiTheme="minorEastAsia" w:eastAsiaTheme="minorEastAsia"/>
          <w:color w:val="auto"/>
          <w:kern w:val="2"/>
          <w:sz w:val="24"/>
          <w:szCs w:val="24"/>
          <w:highlight w:val="none"/>
          <w:u w:val="single"/>
        </w:rPr>
        <w:t xml:space="preserve">             </w:t>
      </w:r>
    </w:p>
    <w:p w14:paraId="36A25496">
      <w:pPr>
        <w:tabs>
          <w:tab w:val="left" w:pos="4620"/>
        </w:tabs>
        <w:spacing w:line="360" w:lineRule="auto"/>
        <w:jc w:val="left"/>
        <w:rPr>
          <w:rFonts w:hint="eastAsia" w:cs="@仿宋_GB2312" w:asciiTheme="minorEastAsia" w:hAnsiTheme="minorEastAsia" w:eastAsiaTheme="minorEastAsia"/>
          <w:b/>
          <w:color w:val="auto"/>
          <w:kern w:val="2"/>
          <w:sz w:val="21"/>
          <w:szCs w:val="24"/>
          <w:highlight w:val="none"/>
          <w:lang w:eastAsia="zh-CN"/>
        </w:rPr>
      </w:pPr>
      <w:r>
        <w:rPr>
          <w:rFonts w:hint="eastAsia" w:cs="@仿宋_GB2312" w:asciiTheme="minorEastAsia" w:hAnsiTheme="minorEastAsia" w:eastAsiaTheme="minorEastAsia"/>
          <w:b/>
          <w:color w:val="auto"/>
          <w:kern w:val="2"/>
          <w:sz w:val="21"/>
          <w:szCs w:val="24"/>
          <w:highlight w:val="none"/>
          <w:lang w:eastAsia="zh-CN"/>
        </w:rPr>
        <w:t>注：</w:t>
      </w:r>
    </w:p>
    <w:p w14:paraId="25ED1E3A">
      <w:pPr>
        <w:tabs>
          <w:tab w:val="left" w:pos="4620"/>
        </w:tabs>
        <w:spacing w:line="360" w:lineRule="auto"/>
        <w:jc w:val="left"/>
        <w:rPr>
          <w:rFonts w:cs="@仿宋_GB2312" w:asciiTheme="minorEastAsia" w:hAnsiTheme="minorEastAsia" w:eastAsiaTheme="minorEastAsia"/>
          <w:color w:val="auto"/>
          <w:kern w:val="2"/>
          <w:sz w:val="21"/>
          <w:szCs w:val="24"/>
          <w:highlight w:val="none"/>
        </w:rPr>
      </w:pPr>
      <w:r>
        <w:rPr>
          <w:rFonts w:cs="@仿宋_GB2312" w:asciiTheme="minorEastAsia" w:hAnsiTheme="minorEastAsia" w:eastAsiaTheme="minorEastAsia"/>
          <w:color w:val="auto"/>
          <w:kern w:val="2"/>
          <w:sz w:val="21"/>
          <w:szCs w:val="24"/>
          <w:highlight w:val="none"/>
        </w:rPr>
        <w:t>1.从业人员、营业收入、资产总额填报上一年数据，无上一年数据的新成立企业可不填报。</w:t>
      </w:r>
    </w:p>
    <w:p w14:paraId="22FD5DC5">
      <w:pPr>
        <w:tabs>
          <w:tab w:val="left" w:pos="4620"/>
        </w:tabs>
        <w:spacing w:line="360" w:lineRule="auto"/>
        <w:jc w:val="left"/>
        <w:rPr>
          <w:rFonts w:cs="宋体"/>
          <w:b/>
          <w:bCs/>
          <w:color w:val="auto"/>
          <w:kern w:val="2"/>
          <w:sz w:val="21"/>
          <w:szCs w:val="21"/>
          <w:highlight w:val="none"/>
        </w:rPr>
      </w:pPr>
      <w:r>
        <w:rPr>
          <w:rFonts w:hint="eastAsia" w:cs="宋体"/>
          <w:b/>
          <w:bCs/>
          <w:color w:val="auto"/>
          <w:sz w:val="21"/>
          <w:szCs w:val="21"/>
          <w:highlight w:val="none"/>
        </w:rPr>
        <w:t>2.</w:t>
      </w:r>
      <w:r>
        <w:rPr>
          <w:rFonts w:hint="eastAsia" w:cs="宋体"/>
          <w:b/>
          <w:bCs/>
          <w:color w:val="auto"/>
          <w:kern w:val="2"/>
          <w:sz w:val="21"/>
          <w:szCs w:val="21"/>
          <w:highlight w:val="none"/>
        </w:rPr>
        <w:t>供应商应根据《政府采购促进中小企业发展管理办法》（财库﹝2020﹞46号）和《关于印发中小企业划型标准规定的通知》(工信部联企业〔2011〕300号)相关规定，如实填写中小企业声明函。</w:t>
      </w:r>
      <w:r>
        <w:rPr>
          <w:rFonts w:hint="eastAsia" w:cs="宋体"/>
          <w:b/>
          <w:bCs/>
          <w:color w:val="auto"/>
          <w:kern w:val="2"/>
          <w:sz w:val="21"/>
          <w:szCs w:val="21"/>
          <w:highlight w:val="none"/>
          <w:lang w:val="zh-CN"/>
        </w:rPr>
        <w:t>如有虚假，将依法承担相应责任。</w:t>
      </w:r>
      <w:r>
        <w:rPr>
          <w:rFonts w:hint="eastAsia" w:cs="宋体"/>
          <w:b/>
          <w:bCs/>
          <w:color w:val="auto"/>
          <w:kern w:val="2"/>
          <w:sz w:val="21"/>
          <w:szCs w:val="21"/>
          <w:highlight w:val="none"/>
        </w:rPr>
        <w:t>供应商自行登录工业和信息化部官网进行中小企业规模类型自测（查询网址https://www.miit.gov.cn/）。</w:t>
      </w:r>
    </w:p>
    <w:p w14:paraId="3453B4B6">
      <w:pPr>
        <w:tabs>
          <w:tab w:val="left" w:pos="4620"/>
        </w:tabs>
        <w:spacing w:line="360" w:lineRule="auto"/>
        <w:jc w:val="left"/>
        <w:rPr>
          <w:rFonts w:cs="宋体"/>
          <w:b/>
          <w:bCs/>
          <w:color w:val="auto"/>
          <w:kern w:val="2"/>
          <w:sz w:val="21"/>
          <w:szCs w:val="21"/>
          <w:highlight w:val="none"/>
        </w:rPr>
      </w:pPr>
      <w:r>
        <w:rPr>
          <w:rFonts w:hint="eastAsia" w:cs="宋体"/>
          <w:b/>
          <w:bCs/>
          <w:color w:val="auto"/>
          <w:kern w:val="2"/>
          <w:sz w:val="21"/>
          <w:szCs w:val="21"/>
          <w:highlight w:val="none"/>
        </w:rPr>
        <w:t>3.上述“</w:t>
      </w:r>
      <w:r>
        <w:rPr>
          <w:rFonts w:hint="eastAsia" w:cs="宋体"/>
          <w:b/>
          <w:bCs/>
          <w:color w:val="auto"/>
          <w:kern w:val="2"/>
          <w:sz w:val="21"/>
          <w:szCs w:val="21"/>
          <w:highlight w:val="none"/>
          <w:u w:val="single"/>
          <w:lang w:val="zh-CN"/>
        </w:rPr>
        <w:t>标的名称</w:t>
      </w:r>
      <w:r>
        <w:rPr>
          <w:rFonts w:hint="eastAsia" w:cs="宋体"/>
          <w:b/>
          <w:bCs/>
          <w:color w:val="auto"/>
          <w:kern w:val="2"/>
          <w:sz w:val="21"/>
          <w:szCs w:val="21"/>
          <w:highlight w:val="none"/>
        </w:rPr>
        <w:t>”，详见第三章采购需求前附表中明确的“标的名称”。</w:t>
      </w:r>
    </w:p>
    <w:p w14:paraId="2F71DE7E">
      <w:pPr>
        <w:tabs>
          <w:tab w:val="left" w:pos="4620"/>
        </w:tabs>
        <w:spacing w:line="360" w:lineRule="auto"/>
        <w:jc w:val="left"/>
        <w:rPr>
          <w:rFonts w:cs="宋体"/>
          <w:b/>
          <w:bCs/>
          <w:color w:val="auto"/>
          <w:kern w:val="2"/>
          <w:sz w:val="21"/>
          <w:szCs w:val="21"/>
          <w:highlight w:val="none"/>
        </w:rPr>
      </w:pPr>
      <w:r>
        <w:rPr>
          <w:rFonts w:hint="eastAsia" w:cs="宋体"/>
          <w:b/>
          <w:bCs/>
          <w:color w:val="auto"/>
          <w:kern w:val="2"/>
          <w:sz w:val="21"/>
          <w:szCs w:val="21"/>
          <w:highlight w:val="none"/>
        </w:rPr>
        <w:t>4.上述“</w:t>
      </w:r>
      <w:r>
        <w:rPr>
          <w:rFonts w:hint="eastAsia" w:cs="宋体"/>
          <w:b/>
          <w:bCs/>
          <w:color w:val="auto"/>
          <w:kern w:val="2"/>
          <w:sz w:val="21"/>
          <w:szCs w:val="21"/>
          <w:highlight w:val="none"/>
          <w:u w:val="single"/>
        </w:rPr>
        <w:t>采购文件中明确的所属行业</w:t>
      </w:r>
      <w:r>
        <w:rPr>
          <w:rFonts w:hint="eastAsia" w:cs="宋体"/>
          <w:b/>
          <w:bCs/>
          <w:color w:val="auto"/>
          <w:kern w:val="2"/>
          <w:sz w:val="21"/>
          <w:szCs w:val="21"/>
          <w:highlight w:val="none"/>
        </w:rPr>
        <w:t>”，详见第三章采购需求前附表中明确的“所属行业”。</w:t>
      </w:r>
    </w:p>
    <w:p w14:paraId="3449C614">
      <w:pPr>
        <w:tabs>
          <w:tab w:val="left" w:pos="4620"/>
        </w:tabs>
        <w:spacing w:line="360" w:lineRule="auto"/>
        <w:jc w:val="left"/>
        <w:rPr>
          <w:rFonts w:cs="宋体"/>
          <w:b/>
          <w:bCs/>
          <w:color w:val="auto"/>
          <w:kern w:val="2"/>
          <w:sz w:val="21"/>
          <w:szCs w:val="21"/>
          <w:highlight w:val="none"/>
        </w:rPr>
      </w:pPr>
      <w:r>
        <w:rPr>
          <w:rFonts w:hint="eastAsia" w:cs="宋体"/>
          <w:b/>
          <w:bCs/>
          <w:color w:val="auto"/>
          <w:kern w:val="2"/>
          <w:sz w:val="21"/>
          <w:szCs w:val="21"/>
          <w:highlight w:val="none"/>
        </w:rPr>
        <w:t>5．</w:t>
      </w:r>
      <w:r>
        <w:rPr>
          <w:rFonts w:hint="eastAsia" w:cs="宋体"/>
          <w:b/>
          <w:bCs/>
          <w:color w:val="auto"/>
          <w:szCs w:val="21"/>
          <w:highlight w:val="none"/>
        </w:rPr>
        <w:t>填写示例：</w:t>
      </w:r>
      <w:r>
        <w:rPr>
          <w:rFonts w:hint="eastAsia" w:cs="宋体"/>
          <w:b/>
          <w:bCs/>
          <w:color w:val="auto"/>
          <w:szCs w:val="21"/>
          <w:highlight w:val="none"/>
          <w:u w:val="single"/>
        </w:rPr>
        <w:t>某标的名称</w:t>
      </w:r>
      <w:r>
        <w:rPr>
          <w:rFonts w:hint="eastAsia" w:cs="宋体"/>
          <w:b/>
          <w:bCs/>
          <w:color w:val="auto"/>
          <w:szCs w:val="21"/>
          <w:highlight w:val="none"/>
        </w:rPr>
        <w:t>（</w:t>
      </w:r>
      <w:r>
        <w:rPr>
          <w:rFonts w:hint="eastAsia" w:cs="宋体"/>
          <w:b/>
          <w:bCs/>
          <w:color w:val="auto"/>
          <w:szCs w:val="21"/>
          <w:highlight w:val="none"/>
          <w:u w:val="single"/>
        </w:rPr>
        <w:t>填写第三章采购需求前附表中明确的“标的名称”</w:t>
      </w:r>
      <w:r>
        <w:rPr>
          <w:rFonts w:hint="eastAsia" w:cs="宋体"/>
          <w:b/>
          <w:bCs/>
          <w:color w:val="auto"/>
          <w:szCs w:val="21"/>
          <w:highlight w:val="none"/>
        </w:rPr>
        <w:t>），属于</w:t>
      </w:r>
      <w:r>
        <w:rPr>
          <w:rFonts w:hint="eastAsia" w:cs="宋体"/>
          <w:b/>
          <w:bCs/>
          <w:color w:val="auto"/>
          <w:szCs w:val="21"/>
          <w:highlight w:val="none"/>
          <w:u w:val="single"/>
        </w:rPr>
        <w:t>（填写第三章采购需求前附表中明确的“所属行业”，如建筑业）</w:t>
      </w:r>
      <w:r>
        <w:rPr>
          <w:rFonts w:hint="eastAsia" w:cs="宋体"/>
          <w:b/>
          <w:bCs/>
          <w:color w:val="auto"/>
          <w:szCs w:val="21"/>
          <w:highlight w:val="none"/>
        </w:rPr>
        <w:t>行业；</w:t>
      </w:r>
      <w:r>
        <w:rPr>
          <w:rFonts w:hint="eastAsia" w:cs="宋体"/>
          <w:b/>
          <w:bCs/>
          <w:color w:val="auto"/>
          <w:szCs w:val="21"/>
          <w:highlight w:val="none"/>
          <w:lang w:eastAsia="zh-CN"/>
        </w:rPr>
        <w:t>承建</w:t>
      </w:r>
      <w:r>
        <w:rPr>
          <w:rFonts w:hint="eastAsia" w:cs="宋体"/>
          <w:b/>
          <w:bCs/>
          <w:color w:val="auto"/>
          <w:szCs w:val="21"/>
          <w:highlight w:val="none"/>
        </w:rPr>
        <w:t>企业为</w:t>
      </w:r>
      <w:r>
        <w:rPr>
          <w:rFonts w:hint="eastAsia" w:cs="宋体"/>
          <w:b/>
          <w:bCs/>
          <w:color w:val="auto"/>
          <w:szCs w:val="21"/>
          <w:highlight w:val="none"/>
          <w:u w:val="single"/>
          <w:lang w:val="zh-CN"/>
        </w:rPr>
        <w:t>某公司</w:t>
      </w:r>
      <w:r>
        <w:rPr>
          <w:rFonts w:hint="eastAsia" w:cs="宋体"/>
          <w:b/>
          <w:bCs/>
          <w:color w:val="auto"/>
          <w:szCs w:val="21"/>
          <w:highlight w:val="none"/>
        </w:rPr>
        <w:t>，</w:t>
      </w:r>
      <w:r>
        <w:rPr>
          <w:rFonts w:hint="eastAsia" w:cs="宋体"/>
          <w:b/>
          <w:bCs/>
          <w:color w:val="auto"/>
          <w:szCs w:val="21"/>
          <w:highlight w:val="none"/>
          <w:lang w:val="zh-CN"/>
        </w:rPr>
        <w:t>从业人员</w:t>
      </w:r>
      <w:r>
        <w:rPr>
          <w:rFonts w:hint="eastAsia" w:cs="宋体"/>
          <w:b/>
          <w:bCs/>
          <w:color w:val="auto"/>
          <w:szCs w:val="21"/>
          <w:highlight w:val="none"/>
          <w:u w:val="single"/>
        </w:rPr>
        <w:t>100</w:t>
      </w:r>
      <w:r>
        <w:rPr>
          <w:rFonts w:hint="eastAsia" w:cs="宋体"/>
          <w:b/>
          <w:bCs/>
          <w:color w:val="auto"/>
          <w:szCs w:val="21"/>
          <w:highlight w:val="none"/>
          <w:lang w:val="zh-CN"/>
        </w:rPr>
        <w:t>人</w:t>
      </w:r>
      <w:r>
        <w:rPr>
          <w:rFonts w:hint="eastAsia" w:cs="宋体"/>
          <w:b/>
          <w:bCs/>
          <w:color w:val="auto"/>
          <w:szCs w:val="21"/>
          <w:highlight w:val="none"/>
        </w:rPr>
        <w:t>，</w:t>
      </w:r>
      <w:r>
        <w:rPr>
          <w:rFonts w:hint="eastAsia" w:cs="宋体"/>
          <w:b/>
          <w:bCs/>
          <w:color w:val="auto"/>
          <w:szCs w:val="21"/>
          <w:highlight w:val="none"/>
          <w:lang w:val="zh-CN"/>
        </w:rPr>
        <w:t>营业收入为</w:t>
      </w:r>
      <w:r>
        <w:rPr>
          <w:rFonts w:hint="eastAsia" w:cs="宋体"/>
          <w:b/>
          <w:bCs/>
          <w:color w:val="auto"/>
          <w:szCs w:val="21"/>
          <w:highlight w:val="none"/>
          <w:u w:val="single"/>
        </w:rPr>
        <w:t>10000</w:t>
      </w:r>
      <w:r>
        <w:rPr>
          <w:rFonts w:hint="eastAsia" w:cs="宋体"/>
          <w:b/>
          <w:bCs/>
          <w:color w:val="auto"/>
          <w:szCs w:val="21"/>
          <w:highlight w:val="none"/>
          <w:lang w:val="zh-CN"/>
        </w:rPr>
        <w:t>万元</w:t>
      </w:r>
      <w:r>
        <w:rPr>
          <w:rFonts w:hint="eastAsia" w:cs="宋体"/>
          <w:b/>
          <w:bCs/>
          <w:color w:val="auto"/>
          <w:szCs w:val="21"/>
          <w:highlight w:val="none"/>
        </w:rPr>
        <w:t>，</w:t>
      </w:r>
      <w:r>
        <w:rPr>
          <w:rFonts w:hint="eastAsia" w:cs="宋体"/>
          <w:b/>
          <w:bCs/>
          <w:color w:val="auto"/>
          <w:szCs w:val="21"/>
          <w:highlight w:val="none"/>
          <w:lang w:val="zh-CN"/>
        </w:rPr>
        <w:t>资产总额为</w:t>
      </w:r>
      <w:r>
        <w:rPr>
          <w:rFonts w:hint="eastAsia" w:cs="宋体"/>
          <w:b/>
          <w:bCs/>
          <w:color w:val="auto"/>
          <w:szCs w:val="21"/>
          <w:highlight w:val="none"/>
          <w:u w:val="single"/>
        </w:rPr>
        <w:t>5000</w:t>
      </w:r>
      <w:r>
        <w:rPr>
          <w:rFonts w:hint="eastAsia" w:cs="宋体"/>
          <w:b/>
          <w:bCs/>
          <w:color w:val="auto"/>
          <w:szCs w:val="21"/>
          <w:highlight w:val="none"/>
          <w:lang w:val="zh-CN"/>
        </w:rPr>
        <w:t>万元</w:t>
      </w:r>
      <w:r>
        <w:rPr>
          <w:rFonts w:hint="eastAsia" w:cs="宋体"/>
          <w:b/>
          <w:bCs/>
          <w:color w:val="auto"/>
          <w:szCs w:val="21"/>
          <w:highlight w:val="none"/>
        </w:rPr>
        <w:t>，</w:t>
      </w:r>
      <w:r>
        <w:rPr>
          <w:rFonts w:hint="eastAsia" w:cs="宋体"/>
          <w:b/>
          <w:bCs/>
          <w:color w:val="auto"/>
          <w:szCs w:val="21"/>
          <w:highlight w:val="none"/>
          <w:lang w:val="zh-CN"/>
        </w:rPr>
        <w:t>属于</w:t>
      </w:r>
      <w:r>
        <w:rPr>
          <w:rFonts w:hint="eastAsia" w:cs="宋体"/>
          <w:b/>
          <w:bCs/>
          <w:color w:val="auto"/>
          <w:szCs w:val="21"/>
          <w:highlight w:val="none"/>
        </w:rPr>
        <w:t>中</w:t>
      </w:r>
      <w:r>
        <w:rPr>
          <w:rFonts w:hint="eastAsia" w:cs="宋体"/>
          <w:b/>
          <w:bCs/>
          <w:color w:val="auto"/>
          <w:szCs w:val="21"/>
          <w:highlight w:val="none"/>
          <w:u w:val="single"/>
          <w:lang w:val="zh-CN"/>
        </w:rPr>
        <w:t>型</w:t>
      </w:r>
      <w:r>
        <w:rPr>
          <w:rFonts w:hint="eastAsia" w:cs="宋体"/>
          <w:b/>
          <w:bCs/>
          <w:color w:val="auto"/>
          <w:szCs w:val="21"/>
          <w:highlight w:val="none"/>
          <w:lang w:val="zh-CN"/>
        </w:rPr>
        <w:t>企业</w:t>
      </w:r>
      <w:r>
        <w:rPr>
          <w:rFonts w:hint="eastAsia" w:cs="宋体"/>
          <w:b/>
          <w:bCs/>
          <w:color w:val="auto"/>
          <w:szCs w:val="21"/>
          <w:highlight w:val="none"/>
        </w:rPr>
        <w:t>[供应商自行登录工业和信息化部官网进行中小企业规模类型自测（查询网址https://www.miit.gov.cn/）]</w:t>
      </w:r>
      <w:r>
        <w:rPr>
          <w:rFonts w:hint="eastAsia" w:cs="宋体"/>
          <w:b/>
          <w:bCs/>
          <w:color w:val="auto"/>
          <w:kern w:val="2"/>
          <w:sz w:val="21"/>
          <w:szCs w:val="21"/>
          <w:highlight w:val="none"/>
          <w:lang w:val="zh-CN"/>
        </w:rPr>
        <w:t>。</w:t>
      </w:r>
    </w:p>
    <w:p w14:paraId="0490C347">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14:paraId="030EA11A">
      <w:pPr>
        <w:spacing w:line="360" w:lineRule="auto"/>
        <w:jc w:val="center"/>
        <w:outlineLvl w:val="1"/>
        <w:rPr>
          <w:rFonts w:asciiTheme="minorEastAsia" w:hAnsiTheme="minorEastAsia" w:eastAsiaTheme="minorEastAsia"/>
          <w:b/>
          <w:color w:val="auto"/>
          <w:sz w:val="24"/>
          <w:highlight w:val="none"/>
        </w:rPr>
      </w:pPr>
      <w:bookmarkStart w:id="693" w:name="_Toc17154"/>
      <w:bookmarkStart w:id="694" w:name="_Toc17813"/>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一</w:t>
      </w:r>
      <w:r>
        <w:rPr>
          <w:rFonts w:hint="eastAsia" w:asciiTheme="minorEastAsia" w:hAnsiTheme="minorEastAsia" w:eastAsiaTheme="minorEastAsia"/>
          <w:b/>
          <w:color w:val="auto"/>
          <w:sz w:val="24"/>
          <w:highlight w:val="none"/>
        </w:rPr>
        <w:t>、残疾人福利性单位声明函</w:t>
      </w:r>
      <w:bookmarkEnd w:id="693"/>
      <w:bookmarkEnd w:id="694"/>
    </w:p>
    <w:p w14:paraId="2640A097">
      <w:pPr>
        <w:pStyle w:val="19"/>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（非残疾人福利性单位磋商，请删去“残疾人福利性单位声明函”）</w:t>
      </w:r>
    </w:p>
    <w:p w14:paraId="712A4814">
      <w:pPr>
        <w:spacing w:line="360" w:lineRule="auto"/>
        <w:ind w:firstLine="435"/>
        <w:rPr>
          <w:rFonts w:cs="Times New Roman"/>
          <w:color w:val="auto"/>
          <w:spacing w:val="6"/>
          <w:kern w:val="2"/>
          <w:sz w:val="24"/>
          <w:szCs w:val="24"/>
          <w:highlight w:val="none"/>
        </w:rPr>
      </w:pPr>
      <w:r>
        <w:rPr>
          <w:rFonts w:hint="eastAsia" w:cs="Times New Roman"/>
          <w:color w:val="auto"/>
          <w:spacing w:val="6"/>
          <w:kern w:val="2"/>
          <w:sz w:val="24"/>
          <w:szCs w:val="24"/>
          <w:highlight w:val="none"/>
        </w:rPr>
        <w:t>本单位</w:t>
      </w:r>
      <w:r>
        <w:rPr>
          <w:rFonts w:hint="eastAsia" w:cs="Times New Roman"/>
          <w:color w:val="auto"/>
          <w:kern w:val="2"/>
          <w:sz w:val="24"/>
          <w:szCs w:val="22"/>
          <w:highlight w:val="none"/>
        </w:rPr>
        <w:t>郑重</w:t>
      </w:r>
      <w:r>
        <w:rPr>
          <w:rFonts w:hint="eastAsia" w:cs="Times New Roman"/>
          <w:color w:val="auto"/>
          <w:spacing w:val="6"/>
          <w:kern w:val="2"/>
          <w:sz w:val="24"/>
          <w:szCs w:val="24"/>
          <w:highlight w:val="none"/>
        </w:rPr>
        <w:t>声明，根据《财政部 民政部 中国残疾人联合会关于促进残疾人就业政府采购政策的通知》（财库</w:t>
      </w:r>
      <w:r>
        <w:rPr>
          <w:rFonts w:hint="eastAsia" w:cs="Times New Roman"/>
          <w:color w:val="auto"/>
          <w:kern w:val="2"/>
          <w:sz w:val="24"/>
          <w:szCs w:val="24"/>
          <w:highlight w:val="none"/>
        </w:rPr>
        <w:t>〔2017〕141</w:t>
      </w:r>
      <w:r>
        <w:rPr>
          <w:rFonts w:hint="eastAsia" w:cs="Times New Roman"/>
          <w:color w:val="auto"/>
          <w:spacing w:val="6"/>
          <w:kern w:val="2"/>
          <w:sz w:val="24"/>
          <w:szCs w:val="24"/>
          <w:highlight w:val="none"/>
        </w:rPr>
        <w:t>号）的规定，</w:t>
      </w:r>
      <w:r>
        <w:rPr>
          <w:rFonts w:hint="eastAsia" w:asciiTheme="minorEastAsia" w:hAnsiTheme="minorEastAsia" w:eastAsiaTheme="minorEastAsia"/>
          <w:color w:val="auto"/>
          <w:spacing w:val="6"/>
          <w:sz w:val="24"/>
          <w:szCs w:val="24"/>
          <w:highlight w:val="none"/>
        </w:rPr>
        <w:t>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14:paraId="0836386A">
      <w:pPr>
        <w:spacing w:line="360" w:lineRule="auto"/>
        <w:ind w:firstLine="435"/>
        <w:rPr>
          <w:rFonts w:cs="Times New Roman"/>
          <w:color w:val="auto"/>
          <w:spacing w:val="6"/>
          <w:kern w:val="2"/>
          <w:sz w:val="24"/>
          <w:szCs w:val="24"/>
          <w:highlight w:val="none"/>
        </w:rPr>
      </w:pPr>
      <w:r>
        <w:rPr>
          <w:rFonts w:hint="eastAsia" w:cs="Times New Roman"/>
          <w:color w:val="auto"/>
          <w:spacing w:val="6"/>
          <w:kern w:val="2"/>
          <w:sz w:val="24"/>
          <w:szCs w:val="24"/>
          <w:highlight w:val="none"/>
        </w:rPr>
        <w:t>本单位对上述声明的真实性负责。如有虚假，将依法承担相应责任。</w:t>
      </w:r>
    </w:p>
    <w:p w14:paraId="3B58BAF2">
      <w:pPr>
        <w:spacing w:line="360" w:lineRule="auto"/>
        <w:ind w:firstLine="4228" w:firstLineChars="1762"/>
        <w:rPr>
          <w:rFonts w:cs="Times New Roman"/>
          <w:color w:val="auto"/>
          <w:kern w:val="2"/>
          <w:sz w:val="24"/>
          <w:szCs w:val="24"/>
          <w:highlight w:val="none"/>
        </w:rPr>
      </w:pPr>
    </w:p>
    <w:p w14:paraId="2871079A">
      <w:pPr>
        <w:spacing w:line="360" w:lineRule="auto"/>
        <w:ind w:firstLine="4228" w:firstLineChars="1762"/>
        <w:rPr>
          <w:rFonts w:cs="Times New Roman"/>
          <w:color w:val="auto"/>
          <w:kern w:val="2"/>
          <w:sz w:val="24"/>
          <w:szCs w:val="24"/>
          <w:highlight w:val="none"/>
        </w:rPr>
      </w:pPr>
    </w:p>
    <w:p w14:paraId="0CE0DB17">
      <w:pPr>
        <w:spacing w:line="360" w:lineRule="auto"/>
        <w:ind w:firstLine="4228" w:firstLineChars="1762"/>
        <w:rPr>
          <w:rFonts w:cs="Times New Roman"/>
          <w:color w:val="auto"/>
          <w:kern w:val="2"/>
          <w:sz w:val="24"/>
          <w:szCs w:val="24"/>
          <w:highlight w:val="none"/>
          <w:u w:val="single"/>
        </w:rPr>
      </w:pPr>
      <w:r>
        <w:rPr>
          <w:rFonts w:hint="eastAsia" w:cs="Times New Roman"/>
          <w:color w:val="auto"/>
          <w:kern w:val="2"/>
          <w:sz w:val="24"/>
          <w:szCs w:val="24"/>
          <w:highlight w:val="none"/>
        </w:rPr>
        <w:t>供应商</w:t>
      </w:r>
      <w:r>
        <w:rPr>
          <w:rFonts w:cs="Times New Roman"/>
          <w:color w:val="auto"/>
          <w:kern w:val="2"/>
          <w:sz w:val="24"/>
          <w:szCs w:val="24"/>
          <w:highlight w:val="none"/>
        </w:rPr>
        <w:t>电子签章</w:t>
      </w:r>
      <w:r>
        <w:rPr>
          <w:rFonts w:hint="eastAsia" w:cs="Times New Roman"/>
          <w:color w:val="auto"/>
          <w:kern w:val="2"/>
          <w:sz w:val="24"/>
          <w:szCs w:val="24"/>
          <w:highlight w:val="none"/>
        </w:rPr>
        <w:t>：</w:t>
      </w:r>
      <w:r>
        <w:rPr>
          <w:rFonts w:cs="Times New Roman"/>
          <w:color w:val="auto"/>
          <w:kern w:val="2"/>
          <w:sz w:val="24"/>
          <w:szCs w:val="24"/>
          <w:highlight w:val="none"/>
          <w:u w:val="single"/>
        </w:rPr>
        <w:t xml:space="preserve">             </w:t>
      </w:r>
    </w:p>
    <w:p w14:paraId="1D74EB3E">
      <w:pPr>
        <w:tabs>
          <w:tab w:val="left" w:pos="4620"/>
        </w:tabs>
        <w:spacing w:line="360" w:lineRule="auto"/>
        <w:ind w:firstLine="4252" w:firstLineChars="1772"/>
        <w:rPr>
          <w:rFonts w:cs="Times New Roman"/>
          <w:color w:val="auto"/>
          <w:kern w:val="2"/>
          <w:sz w:val="24"/>
          <w:szCs w:val="24"/>
          <w:highlight w:val="none"/>
          <w:u w:val="single"/>
        </w:rPr>
      </w:pPr>
      <w:r>
        <w:rPr>
          <w:rFonts w:hint="eastAsia" w:cs="Times New Roman"/>
          <w:color w:val="auto"/>
          <w:kern w:val="2"/>
          <w:sz w:val="24"/>
          <w:szCs w:val="24"/>
          <w:highlight w:val="none"/>
        </w:rPr>
        <w:t>日</w:t>
      </w:r>
      <w:r>
        <w:rPr>
          <w:rFonts w:cs="Times New Roman"/>
          <w:color w:val="auto"/>
          <w:kern w:val="2"/>
          <w:sz w:val="24"/>
          <w:szCs w:val="24"/>
          <w:highlight w:val="none"/>
        </w:rPr>
        <w:t xml:space="preserve">      </w:t>
      </w:r>
      <w:r>
        <w:rPr>
          <w:rFonts w:hint="eastAsia" w:cs="Times New Roman"/>
          <w:color w:val="auto"/>
          <w:kern w:val="2"/>
          <w:sz w:val="24"/>
          <w:szCs w:val="24"/>
          <w:highlight w:val="none"/>
        </w:rPr>
        <w:t xml:space="preserve">    期：</w:t>
      </w:r>
      <w:r>
        <w:rPr>
          <w:rFonts w:cs="Times New Roman"/>
          <w:color w:val="auto"/>
          <w:kern w:val="2"/>
          <w:sz w:val="24"/>
          <w:szCs w:val="24"/>
          <w:highlight w:val="none"/>
          <w:u w:val="single"/>
        </w:rPr>
        <w:t xml:space="preserve">             </w:t>
      </w:r>
    </w:p>
    <w:p w14:paraId="6C31B8FA">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14:paraId="34B11BFD">
      <w:pPr>
        <w:spacing w:line="360" w:lineRule="auto"/>
        <w:jc w:val="center"/>
        <w:outlineLvl w:val="1"/>
        <w:rPr>
          <w:rFonts w:asciiTheme="minorEastAsia" w:hAnsiTheme="minorEastAsia" w:eastAsiaTheme="minorEastAsia"/>
          <w:b/>
          <w:color w:val="auto"/>
          <w:sz w:val="24"/>
          <w:highlight w:val="none"/>
        </w:rPr>
      </w:pPr>
      <w:bookmarkStart w:id="695" w:name="_Toc26894"/>
      <w:bookmarkStart w:id="696" w:name="_Toc17768"/>
      <w:bookmarkStart w:id="697" w:name="_Hlk44283088"/>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二</w:t>
      </w:r>
      <w:r>
        <w:rPr>
          <w:rFonts w:hint="eastAsia" w:asciiTheme="minorEastAsia" w:hAnsiTheme="minorEastAsia" w:eastAsiaTheme="minorEastAsia"/>
          <w:b/>
          <w:color w:val="auto"/>
          <w:sz w:val="24"/>
          <w:highlight w:val="none"/>
        </w:rPr>
        <w:t>、诚信履约承诺函</w:t>
      </w:r>
      <w:bookmarkEnd w:id="695"/>
      <w:bookmarkEnd w:id="696"/>
    </w:p>
    <w:p w14:paraId="371FF6A0">
      <w:pPr>
        <w:spacing w:line="360" w:lineRule="auto"/>
        <w:rPr>
          <w:rFonts w:cs="@仿宋_GB2312" w:asciiTheme="minorEastAsia" w:hAnsiTheme="minorEastAsia" w:eastAsiaTheme="minorEastAsia"/>
          <w:b/>
          <w:bCs/>
          <w:color w:val="auto"/>
          <w:kern w:val="2"/>
          <w:sz w:val="24"/>
          <w:highlight w:val="none"/>
        </w:rPr>
      </w:pPr>
    </w:p>
    <w:p w14:paraId="6BAA9A86">
      <w:pPr>
        <w:spacing w:line="360" w:lineRule="auto"/>
        <w:rPr>
          <w:rFonts w:hint="eastAsia" w:cs="@仿宋_GB2312" w:asciiTheme="minorEastAsia" w:hAnsiTheme="minorEastAsia" w:eastAsiaTheme="minorEastAsia"/>
          <w:b/>
          <w:bCs/>
          <w:color w:val="auto"/>
          <w:kern w:val="2"/>
          <w:sz w:val="24"/>
          <w:highlight w:val="none"/>
          <w:u w:val="single"/>
          <w:lang w:eastAsia="zh-CN"/>
        </w:rPr>
      </w:pPr>
      <w:r>
        <w:rPr>
          <w:rFonts w:hint="eastAsia" w:cs="@仿宋_GB2312" w:asciiTheme="minorEastAsia" w:hAnsiTheme="minorEastAsia" w:eastAsiaTheme="minorEastAsia"/>
          <w:b/>
          <w:bCs/>
          <w:color w:val="auto"/>
          <w:kern w:val="2"/>
          <w:sz w:val="24"/>
          <w:highlight w:val="none"/>
        </w:rPr>
        <w:t>致：</w:t>
      </w:r>
      <w:r>
        <w:rPr>
          <w:rFonts w:hint="eastAsia" w:cs="@仿宋_GB2312" w:asciiTheme="minorEastAsia" w:hAnsiTheme="minorEastAsia" w:eastAsiaTheme="minorEastAsia"/>
          <w:b/>
          <w:bCs/>
          <w:color w:val="auto"/>
          <w:kern w:val="2"/>
          <w:sz w:val="24"/>
          <w:highlight w:val="none"/>
          <w:u w:val="none"/>
          <w:lang w:eastAsia="zh-CN"/>
        </w:rPr>
        <w:t>采购人</w:t>
      </w:r>
    </w:p>
    <w:p w14:paraId="61C295CE">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14:paraId="33143220">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（1）中标或者成交后无正当理由拒不与采购人签订政府采购合同；</w:t>
      </w:r>
    </w:p>
    <w:p w14:paraId="7577DCA5">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（2）未按照采购文件确定的事项签订政府采购合同；</w:t>
      </w:r>
    </w:p>
    <w:p w14:paraId="3B1F75DF">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（3）将政府采购合同转包；</w:t>
      </w:r>
    </w:p>
    <w:p w14:paraId="1F1EBDE1">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（4）提供假冒伪劣产品；</w:t>
      </w:r>
    </w:p>
    <w:p w14:paraId="65CDBBC5">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（5）擅自变更、中止或者终止政府采购合同。</w:t>
      </w:r>
    </w:p>
    <w:p w14:paraId="6B7F418B">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5DC9DB0B">
      <w:pPr>
        <w:spacing w:line="360" w:lineRule="auto"/>
        <w:rPr>
          <w:rFonts w:cs="@仿宋_GB2312" w:asciiTheme="minorEastAsia" w:hAnsiTheme="minorEastAsia" w:eastAsiaTheme="minorEastAsia"/>
          <w:bCs/>
          <w:color w:val="auto"/>
          <w:kern w:val="2"/>
          <w:sz w:val="24"/>
          <w:highlight w:val="none"/>
        </w:rPr>
      </w:pPr>
    </w:p>
    <w:p w14:paraId="1B3AB3CE">
      <w:pPr>
        <w:spacing w:line="360" w:lineRule="auto"/>
        <w:rPr>
          <w:rFonts w:cs="@仿宋_GB2312" w:asciiTheme="minorEastAsia" w:hAnsiTheme="minorEastAsia" w:eastAsiaTheme="minorEastAsia"/>
          <w:bCs/>
          <w:color w:val="auto"/>
          <w:kern w:val="2"/>
          <w:sz w:val="24"/>
          <w:highlight w:val="none"/>
        </w:rPr>
      </w:pPr>
    </w:p>
    <w:p w14:paraId="389D941F">
      <w:pPr>
        <w:spacing w:line="360" w:lineRule="auto"/>
        <w:ind w:firstLine="4320" w:firstLineChars="1800"/>
        <w:rPr>
          <w:rFonts w:cs="@仿宋_GB2312" w:asciiTheme="minorEastAsia" w:hAnsiTheme="minorEastAsia" w:eastAsiaTheme="minorEastAsia"/>
          <w:bCs/>
          <w:color w:val="auto"/>
          <w:kern w:val="2"/>
          <w:sz w:val="24"/>
          <w:highlight w:val="none"/>
          <w:u w:val="single"/>
        </w:rPr>
      </w:pPr>
      <w:r>
        <w:rPr>
          <w:rFonts w:hint="eastAsia" w:cs="@仿宋_GB2312" w:asciiTheme="minorEastAsia" w:hAnsiTheme="minorEastAsia" w:eastAsiaTheme="minorEastAsia"/>
          <w:bCs/>
          <w:color w:val="auto"/>
          <w:kern w:val="2"/>
          <w:sz w:val="24"/>
          <w:highlight w:val="none"/>
        </w:rPr>
        <w:t>供应商电子签章：</w:t>
      </w:r>
      <w:r>
        <w:rPr>
          <w:rFonts w:hint="eastAsia" w:cs="@仿宋_GB2312" w:asciiTheme="minorEastAsia" w:hAnsiTheme="minorEastAsia" w:eastAsiaTheme="minorEastAsia"/>
          <w:bCs/>
          <w:color w:val="auto"/>
          <w:kern w:val="2"/>
          <w:sz w:val="24"/>
          <w:highlight w:val="none"/>
          <w:u w:val="single"/>
        </w:rPr>
        <w:t xml:space="preserve">     </w:t>
      </w:r>
      <w:r>
        <w:rPr>
          <w:rFonts w:cs="@仿宋_GB2312" w:asciiTheme="minorEastAsia" w:hAnsiTheme="minorEastAsia" w:eastAsiaTheme="minorEastAsia"/>
          <w:bCs/>
          <w:color w:val="auto"/>
          <w:kern w:val="2"/>
          <w:sz w:val="24"/>
          <w:highlight w:val="none"/>
          <w:u w:val="single"/>
        </w:rPr>
        <w:t xml:space="preserve">    </w:t>
      </w:r>
      <w:r>
        <w:rPr>
          <w:rFonts w:hint="eastAsia" w:cs="@仿宋_GB2312" w:asciiTheme="minorEastAsia" w:hAnsiTheme="minorEastAsia" w:eastAsiaTheme="minorEastAsia"/>
          <w:bCs/>
          <w:color w:val="auto"/>
          <w:kern w:val="2"/>
          <w:sz w:val="24"/>
          <w:highlight w:val="none"/>
          <w:u w:val="single"/>
        </w:rPr>
        <w:t xml:space="preserve">    </w:t>
      </w:r>
    </w:p>
    <w:p w14:paraId="460D8131">
      <w:pPr>
        <w:spacing w:line="360" w:lineRule="auto"/>
        <w:ind w:firstLine="4320" w:firstLineChars="18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日          期：</w:t>
      </w:r>
      <w:r>
        <w:rPr>
          <w:rFonts w:hint="eastAsia" w:cs="@仿宋_GB2312" w:asciiTheme="minorEastAsia" w:hAnsiTheme="minorEastAsia" w:eastAsiaTheme="minorEastAsia"/>
          <w:bCs/>
          <w:color w:val="auto"/>
          <w:kern w:val="2"/>
          <w:sz w:val="24"/>
          <w:highlight w:val="none"/>
          <w:u w:val="single"/>
        </w:rPr>
        <w:t xml:space="preserve">             </w:t>
      </w:r>
    </w:p>
    <w:p w14:paraId="655E42E8">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bookmarkEnd w:id="697"/>
    <w:p w14:paraId="01C2ACEF">
      <w:pPr>
        <w:spacing w:line="360" w:lineRule="auto"/>
        <w:jc w:val="center"/>
        <w:outlineLvl w:val="1"/>
        <w:rPr>
          <w:rFonts w:asciiTheme="minorEastAsia" w:hAnsiTheme="minorEastAsia" w:eastAsiaTheme="minorEastAsia"/>
          <w:b/>
          <w:color w:val="auto"/>
          <w:sz w:val="24"/>
          <w:highlight w:val="none"/>
        </w:rPr>
      </w:pPr>
      <w:bookmarkStart w:id="698" w:name="_Toc8176"/>
      <w:bookmarkStart w:id="699" w:name="_Toc28645"/>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三</w:t>
      </w:r>
      <w:r>
        <w:rPr>
          <w:rFonts w:hint="eastAsia" w:asciiTheme="minorEastAsia" w:hAnsiTheme="minorEastAsia" w:eastAsiaTheme="minorEastAsia"/>
          <w:b/>
          <w:color w:val="auto"/>
          <w:sz w:val="24"/>
          <w:highlight w:val="none"/>
        </w:rPr>
        <w:t>、其他相关证明材料</w:t>
      </w:r>
      <w:bookmarkEnd w:id="698"/>
      <w:bookmarkEnd w:id="699"/>
    </w:p>
    <w:p w14:paraId="5A808E7C">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提供符合</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邀请、采购需求及评标方法和标准规定的相关证明文件。</w:t>
      </w:r>
    </w:p>
    <w:p w14:paraId="1FA16931">
      <w:pPr>
        <w:spacing w:line="360" w:lineRule="auto"/>
        <w:ind w:firstLine="480" w:firstLineChars="200"/>
        <w:rPr>
          <w:rFonts w:asciiTheme="minorEastAsia" w:hAnsiTheme="minorEastAsia" w:eastAsiaTheme="minorEastAsia"/>
          <w:color w:val="auto"/>
          <w:sz w:val="24"/>
          <w:highlight w:val="none"/>
        </w:rPr>
      </w:pPr>
    </w:p>
    <w:p w14:paraId="586C9C1B">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14:paraId="6F35D38F">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供应商在响应文件制作时可在此栏内上传磋商文件</w:t>
      </w:r>
      <w:r>
        <w:rPr>
          <w:rFonts w:asciiTheme="minorEastAsia" w:hAnsiTheme="minorEastAsia" w:eastAsiaTheme="minorEastAsia"/>
          <w:color w:val="auto"/>
          <w:sz w:val="24"/>
          <w:highlight w:val="none"/>
        </w:rPr>
        <w:t>要求上传的证明资料</w:t>
      </w:r>
      <w:r>
        <w:rPr>
          <w:rFonts w:hint="eastAsia" w:asciiTheme="minorEastAsia" w:hAnsiTheme="minorEastAsia" w:eastAsiaTheme="minorEastAsia"/>
          <w:color w:val="auto"/>
          <w:sz w:val="24"/>
          <w:highlight w:val="none"/>
        </w:rPr>
        <w:t>，如营业执照、证书</w:t>
      </w:r>
      <w:r>
        <w:rPr>
          <w:rFonts w:asciiTheme="minorEastAsia" w:hAnsiTheme="minorEastAsia" w:eastAsiaTheme="minorEastAsia"/>
          <w:color w:val="auto"/>
          <w:sz w:val="24"/>
          <w:highlight w:val="none"/>
        </w:rPr>
        <w:t>等，应将上述证明材料制作成扫描件上传。</w:t>
      </w:r>
    </w:p>
    <w:p w14:paraId="1340B5D3">
      <w:pPr>
        <w:pStyle w:val="50"/>
        <w:spacing w:before="0" w:beforeAutospacing="0" w:after="0" w:afterAutospacing="0" w:line="360" w:lineRule="auto"/>
        <w:ind w:firstLine="640"/>
        <w:jc w:val="both"/>
        <w:rPr>
          <w:color w:val="auto"/>
          <w:highlight w:val="none"/>
        </w:rPr>
      </w:pPr>
      <w:r>
        <w:rPr>
          <w:rFonts w:asciiTheme="minorEastAsia" w:hAnsiTheme="minorEastAsia" w:eastAsiaTheme="minorEastAsia"/>
          <w:color w:val="auto"/>
          <w:sz w:val="24"/>
          <w:highlight w:val="none"/>
        </w:rPr>
        <w:br w:type="page"/>
      </w:r>
    </w:p>
    <w:p w14:paraId="73A68081">
      <w:pPr>
        <w:keepNext w:val="0"/>
        <w:keepLines w:val="0"/>
        <w:widowControl w:val="0"/>
        <w:suppressLineNumbers w:val="0"/>
        <w:spacing w:before="0" w:beforeAutospacing="0" w:after="0" w:afterAutospacing="0"/>
        <w:ind w:left="0" w:right="0"/>
        <w:jc w:val="both"/>
        <w:rPr>
          <w:rFonts w:hint="eastAsia" w:ascii="宋体" w:hAnsi="宋体" w:eastAsia="宋体" w:cs="宋体"/>
          <w:sz w:val="28"/>
          <w:szCs w:val="28"/>
          <w:highlight w:val="none"/>
        </w:rPr>
      </w:pPr>
      <w:bookmarkStart w:id="700" w:name="_Toc24879"/>
      <w:r>
        <w:rPr>
          <w:rFonts w:hint="eastAsia" w:ascii="宋体" w:hAnsi="宋体" w:eastAsia="宋体" w:cs="宋体"/>
          <w:b/>
          <w:bCs w:val="0"/>
          <w:kern w:val="0"/>
          <w:sz w:val="28"/>
          <w:szCs w:val="28"/>
          <w:highlight w:val="none"/>
          <w:lang w:val="en-US" w:eastAsia="zh-CN" w:bidi="ar"/>
        </w:rPr>
        <w:t>附件</w:t>
      </w:r>
      <w:r>
        <w:rPr>
          <w:rFonts w:hint="default" w:ascii="Times New Roman" w:hAnsi="Times New Roman" w:eastAsia="宋体" w:cs="Times New Roman"/>
          <w:b/>
          <w:bCs w:val="0"/>
          <w:kern w:val="0"/>
          <w:sz w:val="28"/>
          <w:szCs w:val="28"/>
          <w:highlight w:val="none"/>
          <w:lang w:val="en-US" w:eastAsia="zh-CN" w:bidi="ar"/>
        </w:rPr>
        <w:t>1</w:t>
      </w:r>
    </w:p>
    <w:p w14:paraId="640D487B">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 w:val="28"/>
          <w:szCs w:val="28"/>
          <w:highlight w:val="none"/>
        </w:rPr>
      </w:pPr>
      <w:r>
        <w:rPr>
          <w:rFonts w:hint="eastAsia" w:ascii="宋体" w:hAnsi="宋体" w:eastAsia="宋体" w:cs="宋体"/>
          <w:b/>
          <w:bCs w:val="0"/>
          <w:kern w:val="0"/>
          <w:sz w:val="28"/>
          <w:szCs w:val="28"/>
          <w:highlight w:val="none"/>
          <w:lang w:val="en-US" w:eastAsia="zh-CN" w:bidi="ar"/>
        </w:rPr>
        <w:t>关于联合惩戒失信行为加强信用查询管理的通知</w:t>
      </w:r>
    </w:p>
    <w:p w14:paraId="50B9C452">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一、失信行为联合惩戒的范围和查询渠道</w:t>
      </w:r>
    </w:p>
    <w:p w14:paraId="5CDC287D">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在我市公共资源交易活动中对存在下列失信行为的投标人、法定代表人及其项目经理（建造师）实施联合惩戒，禁止参与我市公共资源交易活动。</w:t>
      </w:r>
    </w:p>
    <w:p w14:paraId="6347A048">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（一）工程建设项目</w:t>
      </w:r>
    </w:p>
    <w:p w14:paraId="785BE19E">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1、“信用中国”网站（www.creditchina.gov.cn）查询投标人、法定代表人及其项目经理(建造师)以下失信行为：</w:t>
      </w:r>
    </w:p>
    <w:p w14:paraId="080E0998">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①被列入“失信被执行人”的;</w:t>
      </w:r>
    </w:p>
    <w:p w14:paraId="207F5F5A">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②被列入“重大税收违法失信主体”的；</w:t>
      </w:r>
    </w:p>
    <w:p w14:paraId="2E112E1B">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③被列入“拖欠农民工工资失信联合惩戒对象名单”的；</w:t>
      </w:r>
    </w:p>
    <w:p w14:paraId="1A55B461">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④被列入 “严重失信主体名单”的；</w:t>
      </w:r>
    </w:p>
    <w:p w14:paraId="157D1682">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kern w:val="0"/>
          <w:sz w:val="24"/>
          <w:szCs w:val="24"/>
          <w:highlight w:val="none"/>
          <w:lang w:val="en-US" w:eastAsia="zh-CN" w:bidi="ar"/>
        </w:rPr>
        <w:t>⑤在“信用中国”网站上披露的仍在公示期的严重失信行为(具体行为类别</w:t>
      </w:r>
      <w:r>
        <w:rPr>
          <w:rFonts w:hint="eastAsia" w:ascii="宋体" w:hAnsi="宋体" w:eastAsia="宋体" w:cs="宋体"/>
          <w:color w:val="auto"/>
          <w:kern w:val="0"/>
          <w:sz w:val="24"/>
          <w:szCs w:val="24"/>
          <w:highlight w:val="none"/>
          <w:lang w:val="en-US" w:eastAsia="zh-CN" w:bidi="ar"/>
        </w:rPr>
        <w:t>及判定依据见附件2)的。</w:t>
      </w:r>
    </w:p>
    <w:p w14:paraId="57EBD4AA">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2、国家企业信用信息公示系统网站（</w:t>
      </w:r>
      <w:r>
        <w:rPr>
          <w:rFonts w:hint="eastAsia" w:ascii="宋体" w:hAnsi="宋体" w:eastAsia="宋体" w:cs="Times New Roman"/>
          <w:color w:val="auto"/>
          <w:kern w:val="0"/>
          <w:sz w:val="24"/>
          <w:szCs w:val="24"/>
          <w:highlight w:val="none"/>
          <w:lang w:val="en-US" w:eastAsia="zh-CN" w:bidi="ar"/>
        </w:rPr>
        <w:fldChar w:fldCharType="begin"/>
      </w:r>
      <w:r>
        <w:rPr>
          <w:rFonts w:hint="eastAsia" w:ascii="宋体" w:hAnsi="宋体" w:eastAsia="宋体" w:cs="Times New Roman"/>
          <w:color w:val="auto"/>
          <w:kern w:val="0"/>
          <w:sz w:val="24"/>
          <w:szCs w:val="24"/>
          <w:highlight w:val="none"/>
          <w:lang w:val="en-US" w:eastAsia="zh-CN" w:bidi="ar"/>
        </w:rPr>
        <w:instrText xml:space="preserve"> HYPERLINK "http://www.gsxt.gov.cn）查询" </w:instrText>
      </w:r>
      <w:r>
        <w:rPr>
          <w:rFonts w:hint="eastAsia" w:ascii="宋体" w:hAnsi="宋体" w:eastAsia="宋体" w:cs="Times New Roman"/>
          <w:color w:val="auto"/>
          <w:kern w:val="0"/>
          <w:sz w:val="24"/>
          <w:szCs w:val="24"/>
          <w:highlight w:val="none"/>
          <w:lang w:val="en-US" w:eastAsia="zh-CN" w:bidi="ar"/>
        </w:rPr>
        <w:fldChar w:fldCharType="separate"/>
      </w:r>
      <w:r>
        <w:rPr>
          <w:rStyle w:val="66"/>
          <w:rFonts w:hint="eastAsia" w:ascii="宋体" w:hAnsi="宋体" w:eastAsia="宋体" w:cs="宋体"/>
          <w:color w:val="auto"/>
          <w:sz w:val="24"/>
          <w:szCs w:val="24"/>
          <w:highlight w:val="none"/>
          <w:u w:val="single"/>
        </w:rPr>
        <w:t>www.gsxt.gov.cn）</w:t>
      </w:r>
      <w:r>
        <w:rPr>
          <w:rFonts w:hint="eastAsia" w:ascii="宋体" w:hAnsi="宋体" w:eastAsia="宋体" w:cs="Times New Roman"/>
          <w:color w:val="auto"/>
          <w:kern w:val="0"/>
          <w:sz w:val="24"/>
          <w:szCs w:val="24"/>
          <w:highlight w:val="none"/>
          <w:lang w:val="en-US" w:eastAsia="zh-CN" w:bidi="ar"/>
        </w:rPr>
        <w:fldChar w:fldCharType="end"/>
      </w:r>
      <w:r>
        <w:rPr>
          <w:rFonts w:hint="eastAsia" w:ascii="宋体" w:hAnsi="宋体" w:eastAsia="宋体" w:cs="宋体"/>
          <w:color w:val="auto"/>
          <w:kern w:val="0"/>
          <w:sz w:val="24"/>
          <w:szCs w:val="24"/>
          <w:highlight w:val="none"/>
          <w:lang w:val="en-US" w:eastAsia="zh-CN" w:bidi="ar"/>
        </w:rPr>
        <w:t>查询投标人以下失信行为：</w:t>
      </w:r>
    </w:p>
    <w:p w14:paraId="27943D82">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①被列入“经营异常名录”或者“严重违法失信名单”的。</w:t>
      </w:r>
    </w:p>
    <w:p w14:paraId="0041DE06">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3、由投标人、法定代表人及其项目经理(建造师)进行承诺，不进行现场网上信用查询的失信行为：</w:t>
      </w:r>
    </w:p>
    <w:p w14:paraId="0AB59558">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①前三年有行贿犯罪行为的单位和个人；</w:t>
      </w:r>
    </w:p>
    <w:p w14:paraId="6156DFB4">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②被滁州市县两级公管部门取消在一定期限内的投标资格且在取消期限内的；</w:t>
      </w:r>
    </w:p>
    <w:p w14:paraId="68CE1695">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③被滁州市县两级各行业主管部门取消在一定期限内的投标资格且在取消期限内的；</w:t>
      </w:r>
    </w:p>
    <w:p w14:paraId="5B93E0C1">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④因拖欠农民工工资被县级及以上有关行政主管部门限制投标资格且在限制期限内的；</w:t>
      </w:r>
    </w:p>
    <w:p w14:paraId="45C5FB18">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⑤被列入省级、市级农民工工资支付异常名录的施工企业，在限制其参加全市范围内房建和市政工程建设项目投标的期限内的；列入县级异常名录的施工企业，在限制其参加本行政区域内房建和市政建设项目投标的期限内的。</w:t>
      </w:r>
    </w:p>
    <w:p w14:paraId="5E623AEB">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color w:val="auto"/>
          <w:sz w:val="24"/>
          <w:szCs w:val="24"/>
          <w:highlight w:val="none"/>
        </w:rPr>
      </w:pPr>
      <w:r>
        <w:rPr>
          <w:rFonts w:hint="eastAsia" w:ascii="宋体" w:hAnsi="宋体" w:eastAsia="宋体" w:cs="宋体"/>
          <w:b/>
          <w:bCs w:val="0"/>
          <w:color w:val="auto"/>
          <w:kern w:val="0"/>
          <w:sz w:val="24"/>
          <w:szCs w:val="24"/>
          <w:highlight w:val="none"/>
          <w:lang w:val="en-US" w:eastAsia="zh-CN" w:bidi="ar"/>
        </w:rPr>
        <w:t>（二）政府采购项目</w:t>
      </w:r>
    </w:p>
    <w:p w14:paraId="09124820">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1、“信用中国”网站（</w:t>
      </w:r>
      <w:r>
        <w:rPr>
          <w:rStyle w:val="278"/>
          <w:rFonts w:hint="eastAsia" w:ascii="宋体" w:hAnsi="宋体" w:eastAsia="宋体" w:cs="宋体"/>
          <w:color w:val="auto"/>
          <w:sz w:val="24"/>
          <w:szCs w:val="24"/>
          <w:highlight w:val="none"/>
          <w:u w:val="single"/>
          <w:lang w:val="en-US" w:eastAsia="zh-CN" w:bidi="ar"/>
        </w:rPr>
        <w:t>www.creditchina.gov.cn</w:t>
      </w:r>
      <w:r>
        <w:rPr>
          <w:rFonts w:hint="eastAsia" w:ascii="宋体" w:hAnsi="宋体" w:eastAsia="宋体" w:cs="宋体"/>
          <w:color w:val="auto"/>
          <w:kern w:val="0"/>
          <w:sz w:val="24"/>
          <w:szCs w:val="24"/>
          <w:highlight w:val="none"/>
          <w:lang w:val="en-US" w:eastAsia="zh-CN" w:bidi="ar"/>
        </w:rPr>
        <w:t>）查询供应商、法定代表人及其项目负责人以下失信行为：</w:t>
      </w:r>
    </w:p>
    <w:p w14:paraId="5156FC14">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①被列入“失信被执行人”的;</w:t>
      </w:r>
    </w:p>
    <w:p w14:paraId="3196CAD7">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②被列入“重大税收违法失信主体”的；</w:t>
      </w:r>
    </w:p>
    <w:p w14:paraId="36E24298">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③被列入 “严重失信主体名单”的；</w:t>
      </w:r>
    </w:p>
    <w:p w14:paraId="577BFB0A">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④在“信用中国”网站上披露的仍在公示期的严重失信行为(具体行为类别及判定依据见附件2)的。</w:t>
      </w:r>
    </w:p>
    <w:p w14:paraId="2A07C5EC">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2、国家企业信用信息公示系统网站（</w:t>
      </w:r>
      <w:r>
        <w:rPr>
          <w:rFonts w:hint="eastAsia" w:ascii="宋体" w:hAnsi="宋体" w:eastAsia="宋体" w:cs="宋体"/>
          <w:color w:val="auto"/>
          <w:sz w:val="24"/>
          <w:szCs w:val="24"/>
          <w:highlight w:val="none"/>
          <w:u w:val="none"/>
        </w:rPr>
        <w:t>www.gsxt.gov.cn）</w:t>
      </w:r>
      <w:r>
        <w:rPr>
          <w:rFonts w:hint="eastAsia" w:ascii="宋体" w:hAnsi="宋体" w:eastAsia="宋体" w:cs="宋体"/>
          <w:color w:val="auto"/>
          <w:kern w:val="0"/>
          <w:sz w:val="24"/>
          <w:szCs w:val="24"/>
          <w:highlight w:val="none"/>
          <w:lang w:val="en-US" w:eastAsia="zh-CN" w:bidi="ar"/>
        </w:rPr>
        <w:t>查询供应商以下失信行为：</w:t>
      </w:r>
    </w:p>
    <w:p w14:paraId="2A288482">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①被列入“经营异常名录”或者“严重违法失信名单”的。</w:t>
      </w:r>
    </w:p>
    <w:p w14:paraId="75F2F612">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3、中国政府采购网站（</w:t>
      </w:r>
      <w:r>
        <w:rPr>
          <w:rFonts w:hint="eastAsia" w:ascii="宋体" w:hAnsi="宋体" w:eastAsia="宋体" w:cs="宋体"/>
          <w:color w:val="auto"/>
          <w:sz w:val="24"/>
          <w:szCs w:val="24"/>
          <w:highlight w:val="none"/>
          <w:u w:val="none"/>
        </w:rPr>
        <w:t>www.ccgp.gov.cn</w:t>
      </w:r>
      <w:r>
        <w:rPr>
          <w:rFonts w:hint="eastAsia" w:ascii="宋体" w:hAnsi="宋体" w:eastAsia="宋体" w:cs="宋体"/>
          <w:color w:val="auto"/>
          <w:kern w:val="0"/>
          <w:sz w:val="24"/>
          <w:szCs w:val="24"/>
          <w:highlight w:val="none"/>
          <w:lang w:val="en-US" w:eastAsia="zh-CN" w:bidi="ar"/>
        </w:rPr>
        <w:t>）查询以下失信行为：</w:t>
      </w:r>
    </w:p>
    <w:p w14:paraId="5BB56341">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①被列入“政府采购严重违法失信行为信息记录”的。</w:t>
      </w:r>
    </w:p>
    <w:p w14:paraId="3BB7898A">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4、由竞争主体进行承诺，不进行现场网上信用查询的失信行为：</w:t>
      </w:r>
    </w:p>
    <w:p w14:paraId="55A15CC8">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①前三年有行贿犯罪行为的单位和个人。</w:t>
      </w:r>
    </w:p>
    <w:p w14:paraId="2962BB91">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二、在开评标活动中的查询程序</w:t>
      </w:r>
    </w:p>
    <w:p w14:paraId="5B94D8E2">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1、实行有限数量制资格审查的项目，由项目单位（代理机构）对入围的投标人、法定代表人及其项目经理（建造师）是否存在上述要求查询的失信行为进行网上核查；若核查结果与投标人承诺不一致，则提交评标委员会取消其入围资格，依次进行替补，并对替补单位进行核查。评审结论以核查后入围的结果重新计算最终评标基准价。</w:t>
      </w:r>
    </w:p>
    <w:p w14:paraId="3CF8AC35">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2、不实行有限数量制资格审查的项目，由项目单位（代理机构）对预中标候选人、法定代表人及其项目经理（建造师）是否存在上述要求查询的失信行为进行网上核查后，提交网站截图等查询记录给评标委员会复核。若核查结果不符合招标文件规定的投标人资格条件信誉要求，由评标委员会取消其预中标候选人资格，并依次替补，再次对替补单位进行核查。如评标现场未发现问题但标后质疑（异议）、投诉发现中标候选人存在信誉问题，则组织评标委员会重新启动复核程序。核查结果不改变原评标基准价。</w:t>
      </w:r>
    </w:p>
    <w:p w14:paraId="0E74FDE7">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3、项目单位及其委托的代理机构应当做好信用查询结果截图和记录留存。</w:t>
      </w:r>
    </w:p>
    <w:p w14:paraId="311D0009">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三、相关要求</w:t>
      </w:r>
    </w:p>
    <w:p w14:paraId="5CBC33E0">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1、参与公共资源交易活动的竞争主体根据上述范围查询的内容进行自查并承诺，出具《诚信投标承诺书》（诚信投标承诺书包括但不限于上述自查并承诺内容）并注明承诺日期（投标截止时间前5日内）。</w:t>
      </w:r>
    </w:p>
    <w:p w14:paraId="21229BF8">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经核查，竞争主体在承诺日期之前（没有承诺日期的以资格审查日或开标日之前）有上述失信行为进行虚假承诺的，将视作不诚信行为，资格审查委员会或评标委员会及代理机构应当及时报告公共资源监管部门，依法依规予以处理。</w:t>
      </w:r>
    </w:p>
    <w:p w14:paraId="49B1E5C3">
      <w:pPr>
        <w:keepNext w:val="0"/>
        <w:keepLines w:val="0"/>
        <w:widowControl w:val="0"/>
        <w:suppressLineNumbers w:val="0"/>
        <w:wordWrap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注册地在安徽省内且未在安徽省外开展业务、省外无违法违规行为的企业可通过安徽政务服务网开具由安徽省公共信用信息服务中心出具的《公共信用信息报告（无违法违规证明版或核查版）》代替《诚信投标承诺书》。《公共信用信息报告（无违法违规证明版或核查版）》可通过 “信用中国(安徽)”网站信用报告核验系统 ( https://credit.ah.gov.cn/xinyong-fuwu/xvbahv/index.html)进行核验。核验不一致或提交《公共信用信息报告（无违法违规证明版或核查版）》的企业在省外有失信行为的将视作不诚信行为，资格审查委员会或评标委员会及代理机构应当及时报告公共资源监管部门，依法依规予以处理。</w:t>
      </w:r>
    </w:p>
    <w:p w14:paraId="15F6EF2D">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2、“信用中国”查询的严重失信行为判定依据为各行业主管部门下发的联合惩戒文件中规定的行为（按附件2执行）。</w:t>
      </w:r>
    </w:p>
    <w:p w14:paraId="78DF927C">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bidi="ar"/>
        </w:rPr>
        <w:t xml:space="preserve">3、资格预审的项目以递交资格预审申请文件截止时间查询为准；资格后审的项目以递交投标文件截止时间查询为准。 </w:t>
      </w:r>
    </w:p>
    <w:p w14:paraId="7CB93D1C">
      <w:pPr>
        <w:pStyle w:val="50"/>
        <w:keepNext w:val="0"/>
        <w:keepLines w:val="0"/>
        <w:widowControl w:val="0"/>
        <w:suppressLineNumbers w:val="0"/>
        <w:spacing w:before="0" w:beforeAutospacing="1" w:after="120" w:afterAutospacing="0" w:line="360" w:lineRule="auto"/>
        <w:ind w:left="400" w:leftChars="200" w:right="0" w:firstLine="420" w:firstLineChars="200"/>
        <w:jc w:val="both"/>
        <w:rPr>
          <w:rFonts w:hint="eastAsia" w:ascii="宋体" w:hAnsi="Calibri" w:eastAsia="宋体" w:cs="Times New Roman"/>
          <w:kern w:val="2"/>
          <w:sz w:val="21"/>
          <w:szCs w:val="21"/>
          <w:highlight w:val="none"/>
        </w:rPr>
      </w:pPr>
      <w:r>
        <w:rPr>
          <w:rFonts w:hint="eastAsia" w:ascii="宋体" w:hAnsi="Calibri" w:eastAsia="宋体" w:cs="Times New Roman"/>
          <w:color w:val="0066CC"/>
          <w:kern w:val="2"/>
          <w:sz w:val="21"/>
          <w:szCs w:val="21"/>
          <w:highlight w:val="none"/>
          <w:lang w:val="en-US" w:eastAsia="zh-CN" w:bidi="ar"/>
        </w:rPr>
        <w:t xml:space="preserve"> </w:t>
      </w:r>
    </w:p>
    <w:p w14:paraId="146D0212">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br w:type="page"/>
      </w:r>
      <w:r>
        <w:rPr>
          <w:rFonts w:hint="eastAsia" w:ascii="宋体" w:hAnsi="宋体" w:eastAsia="宋体" w:cs="宋体"/>
          <w:b/>
          <w:bCs w:val="0"/>
          <w:kern w:val="0"/>
          <w:sz w:val="24"/>
          <w:szCs w:val="24"/>
          <w:highlight w:val="none"/>
          <w:lang w:val="en-US" w:eastAsia="zh-CN" w:bidi="ar"/>
        </w:rPr>
        <w:t>附件</w:t>
      </w:r>
      <w:r>
        <w:rPr>
          <w:rFonts w:hint="default" w:ascii="Times New Roman" w:hAnsi="Times New Roman" w:eastAsia="宋体" w:cs="Times New Roman"/>
          <w:b/>
          <w:bCs w:val="0"/>
          <w:kern w:val="0"/>
          <w:sz w:val="24"/>
          <w:szCs w:val="24"/>
          <w:highlight w:val="none"/>
          <w:lang w:val="en-US" w:eastAsia="zh-CN" w:bidi="ar"/>
        </w:rPr>
        <w:t>2</w:t>
      </w:r>
    </w:p>
    <w:p w14:paraId="280CFCFF">
      <w:pPr>
        <w:keepNext w:val="0"/>
        <w:keepLines w:val="0"/>
        <w:widowControl w:val="0"/>
        <w:suppressLineNumbers w:val="0"/>
        <w:adjustRightInd w:val="0"/>
        <w:snapToGrid w:val="0"/>
        <w:spacing w:before="0" w:beforeAutospacing="0" w:after="0" w:afterAutospacing="0" w:line="560" w:lineRule="exact"/>
        <w:ind w:left="0" w:right="0" w:firstLine="645"/>
        <w:jc w:val="center"/>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“信用中国”查询的严重失信行为类别及判定依据</w:t>
      </w:r>
    </w:p>
    <w:p w14:paraId="70A35D34">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“信用中国”查询的严重失信行为判定依据为各行业主管部门下发的联合惩戒文件中规定的行为。下面将部分类别的严重失信行为列举如下：</w:t>
      </w:r>
    </w:p>
    <w:p w14:paraId="3E0D6124">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一、安全生产领域严重失信行为：</w:t>
      </w:r>
    </w:p>
    <w:p w14:paraId="27C1C030">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（一）下列发生生产安全事故的生产经营单位及其有关人员应当列入严重失信主体名单：</w:t>
      </w:r>
    </w:p>
    <w:p w14:paraId="085F408A">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1、发生特别重大、重大生产安全事故的生产经营单位及其主要负责人，以及经调查认定对该事故发生负有责任，应当列入名单的其他单位和人员；</w:t>
      </w:r>
    </w:p>
    <w:p w14:paraId="56ADC6EB">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2、12个月内累计发生2起以上较大生产安全事故的生产经营单位及其主要负责人；</w:t>
      </w:r>
    </w:p>
    <w:p w14:paraId="7442A94C">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3、发生生产安全事故，情节特别严重、影响特别恶劣，依照《中华人民共和国安全生产法》第一百一十四条的规定被处以罚款数额2倍以上5倍以下罚款的生产经营单位及其主要负责人；</w:t>
      </w:r>
    </w:p>
    <w:p w14:paraId="7BEBE7E7">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4、瞒报、谎报生产安全事故的生产经营单位及其有关责任人员；</w:t>
      </w:r>
    </w:p>
    <w:p w14:paraId="04BD3CF8">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5、发生生产安全事故后，不立即组织抢救或者在事故调查处理期间擅离职守或者逃匿的生产经营单位主要负责人。</w:t>
      </w:r>
    </w:p>
    <w:p w14:paraId="43BF08E4">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（二）下列未发生生产安全事故，但因安全生产违法行为，受到行政处罚的生产经营单位或者机构及其有关人员，应当列入严重失信主体名单：</w:t>
      </w:r>
    </w:p>
    <w:p w14:paraId="5F22934C">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1、未依法取得安全生产相关许可或者许可被暂扣、吊销期间从事相关生产经营活动的生产经营单位及其主要负责人；</w:t>
      </w:r>
    </w:p>
    <w:p w14:paraId="01BF9FC4">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2、承担安全评价、认证、检测、检验职责的机构及其直接责任人员租借资质、挂靠、出具虚假报告或者证书的；</w:t>
      </w:r>
    </w:p>
    <w:p w14:paraId="7EAA8347">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3、在应急管理部门作出行政处罚后，有执行能力拒不执行或者逃避执行的生产经营单位及其主要负责人；</w:t>
      </w:r>
    </w:p>
    <w:p w14:paraId="6294D252">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4、其他违反安全生产法律法规受到行政处罚，且性质恶劣、情节严重的。</w:t>
      </w:r>
    </w:p>
    <w:p w14:paraId="34A91D27">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依据：《安全生产严重失信主体名单管理办法》（2023年8月8日应急管理部令第11号）</w:t>
      </w:r>
    </w:p>
    <w:p w14:paraId="3239FA92">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二、环境保护领域严重失信行为：</w:t>
      </w:r>
    </w:p>
    <w:p w14:paraId="39B7E88B">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（一）因为环境违法构成环境犯罪的；</w:t>
      </w:r>
    </w:p>
    <w:p w14:paraId="58169336">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（二）建设项目环境影响评价文件未按规定通过审批，擅自开工建设的；</w:t>
      </w:r>
    </w:p>
    <w:p w14:paraId="43ADAB92">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（三）建设项目环保设施未建成、环保措施未落实、未通过竣工环保验收或者验收不合格，主体工程正式投入生产或者使用的；</w:t>
      </w:r>
    </w:p>
    <w:p w14:paraId="389D92DA">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（四）建设项目性质、规模、地点、采用的生产工艺或者防治污染、防止生态破坏的措施发生重大变动，未重新报批环境影响评价文件，擅自投入生产或者使用的；</w:t>
      </w:r>
    </w:p>
    <w:p w14:paraId="3FF44D2B">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（五）主要污染物排放总量超过控制指标的；</w:t>
      </w:r>
    </w:p>
    <w:p w14:paraId="7E74B62C">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（六）私设暗管或者利用渗井、渗坑、裂隙、溶洞等排放、倾倒、处置水污染物，或者通过私设旁路排放大气污染物的；</w:t>
      </w:r>
    </w:p>
    <w:p w14:paraId="4FB0452E">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（七）非法排放、倾倒、处置危险废物，或者向无经营许可证或者超出经营许可范围的单位或个人提供或者委托其收集、贮存、利用、处置危险废物的；</w:t>
      </w:r>
    </w:p>
    <w:p w14:paraId="61113803">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（八）环境违法行为造成集中式生活饮用水水源取水中断的；</w:t>
      </w:r>
    </w:p>
    <w:p w14:paraId="1EB24922">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（九）环境违法行为对生活饮用水水源保护区、自然保护区、国家重点生态功能区、风景名胜区、居住功能区、基本农田保护区等环境敏感区造成重大不利影响的；</w:t>
      </w:r>
    </w:p>
    <w:p w14:paraId="0BFCFBB6">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（十）违法从事自然资源开发、交通基础设施建设，以及其他开发建设活动，造成严重生态破坏的；</w:t>
      </w:r>
    </w:p>
    <w:p w14:paraId="0883F131">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（十一）发生较大及以上突发环境事件的；</w:t>
      </w:r>
    </w:p>
    <w:p w14:paraId="288B9A07">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（十二）被环保部门挂牌督办，整改逾期未完成的；</w:t>
      </w:r>
    </w:p>
    <w:p w14:paraId="6E0AA492">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（十三）以暴力、威胁等方式拒绝、阻挠环保部门工作人员现场检查的；</w:t>
      </w:r>
    </w:p>
    <w:p w14:paraId="793ECE44">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（十四）违反重污染天气应急预案有关规定，对重污染天气响应不力的。</w:t>
      </w:r>
    </w:p>
    <w:p w14:paraId="66715658">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依据：《关于对环境保护领域失信生产经营单位及其有关人员开展联合惩戒的合作备忘录》、《企业环境信用评价办法（试行）》（环发〔2013〕150号）</w:t>
      </w:r>
    </w:p>
    <w:p w14:paraId="56789F0E">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三、</w:t>
      </w:r>
      <w:r>
        <w:rPr>
          <w:rFonts w:hint="eastAsia" w:ascii="宋体" w:hAnsi="宋体" w:eastAsia="宋体" w:cs="宋体"/>
          <w:b/>
          <w:bCs/>
          <w:kern w:val="0"/>
          <w:sz w:val="24"/>
          <w:szCs w:val="24"/>
          <w:highlight w:val="none"/>
          <w:lang w:val="en-US" w:eastAsia="zh-CN" w:bidi="ar"/>
        </w:rPr>
        <w:t>公共资源交易领域严重失信行为</w:t>
      </w:r>
    </w:p>
    <w:p w14:paraId="6A5F8A68">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（一）违反法律规定，必须进行招标的项目而不招标的，将必须进行招标的项目化整为零或者以其他任何方式规避招标的； </w:t>
      </w:r>
    </w:p>
    <w:p w14:paraId="7C18F56B">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（二）招标代理机构违反法律规定，泄露应当保密的与招标投标活动有关的情况和资料的，或者与招标人、投标人串通损害 国家利益、社会公共利益或者他人合法权益的；</w:t>
      </w:r>
    </w:p>
    <w:p w14:paraId="6C82972B">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（三）招标人以不合理的条件限制或者排斥潜在投标人的，对潜在投标人实行歧视待遇的，强制要求投标人组成联合体共同 投标的，或者限制投标人之间竞争的；</w:t>
      </w:r>
    </w:p>
    <w:p w14:paraId="666102E5">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（四）依法必须进行招标的项目的招标人向他人透露已获取招标文件的潜在投标人的名称、数量或者可能影响公平竞争的有 关招标投标的其他情况的，或者泄露标底的；</w:t>
      </w:r>
    </w:p>
    <w:p w14:paraId="61B1D16F">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（五）投标人相互串通投标或者与招标人串通投标的，投标人以向招标人或者评标委员会成员行贿的手段谋取中标的； </w:t>
      </w:r>
    </w:p>
    <w:p w14:paraId="5619CAC8">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（六）投标人以他人名义投标或者以其他方式弄虚作假，骗取中标的；</w:t>
      </w:r>
    </w:p>
    <w:p w14:paraId="40EA2E43">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（七）依法必须进行招标的项目，招标人违反法律规定，与投标人就投标价格、投标方案等实质性内容进行谈判的；</w:t>
      </w:r>
    </w:p>
    <w:p w14:paraId="3C6BEA23">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（八）评标委员会成员收受投标人的财物或者其他好处的，评标委员会成员或者参加评标的有关工作人员向他人透露对投 标文件的评审和比较、中标候选人的推荐以及与评标有关的其他 情况的； </w:t>
      </w:r>
    </w:p>
    <w:p w14:paraId="4EFD8655">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（九）招标人在评标委员会依法推荐的中标候选人以外确定中标人的，依法必须进行招标的项目在所有投标被评标委员会否 决后自行确定中标人的； </w:t>
      </w:r>
    </w:p>
    <w:p w14:paraId="1650C416">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（十）中标人将中标项目转让给他人的，将中标项目肢解后分别转让给他人的，违反法律规定将中标项目的部分主体、关键 性工作分包给他人的，或者分包人再次分包的； </w:t>
      </w:r>
    </w:p>
    <w:p w14:paraId="70A5AB02">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（十一）招标人与中标人不按照招标文件和中标人的投标文件订立合同的，或者招标人、中标人订立背离合同实质性内容的 协议的； </w:t>
      </w:r>
    </w:p>
    <w:p w14:paraId="335B38A3">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（十二）中标人不按照与招标人订立的合同履行义务，情节严重的； </w:t>
      </w:r>
    </w:p>
    <w:p w14:paraId="2E28FDC3">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（十三）采购人、采购代理机构存在应当采用公开招标方式而擅自采用其他方式采购，擅自提高采购标准，以不合理的条件 对供应商实行差别待遇或者歧视待遇，在招标采购过程中与投标 人进行协商谈判，中标、成交通知书发出后不与中标、成交供应商签订采购合同，或者拒绝有关部门依法实施监督检查等情形的；</w:t>
      </w:r>
    </w:p>
    <w:p w14:paraId="07891F8A">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 （十四）采购人、采购代理机构及其工作人员存在与供应商 或者采购代理机构恶意串通，在采购过程中接受贿赂或者获取其 他不正当利益，在有关部门依法实施的监督检查中提供虚假情况， 或者开标前泄露标底等情形的；</w:t>
      </w:r>
    </w:p>
    <w:p w14:paraId="4AC6C60F">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（十五）采购人对应当实行集中采购的政府采购项目，不委托集中采购机构实行集中采购的； </w:t>
      </w:r>
    </w:p>
    <w:p w14:paraId="2367F803">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（十六）采购人、采购代理机构违反法律规定隐匿、销毁应当保存的采购文件或者伪造、变造采购文件的； </w:t>
      </w:r>
    </w:p>
    <w:p w14:paraId="5FD85B05">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（十七）供应商存在提供虚假材料谋取中标、成交，采取不 正当手段诋毁、排挤其他供应商，与采购人、其他供应商或者采 购代理机构恶意串通，向采购人、采购代理机构行贿或者提供其 他不正当利益，在招标采购过程中与采购人进行协商谈判，或拒 绝有关部门监督检查或者提供虚假情况等情形的； </w:t>
      </w:r>
    </w:p>
    <w:p w14:paraId="730E4465">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（十八）疫苗生产企业向县级疾病预防控制机构以外的单位或者个人销售第二类疫苗的； </w:t>
      </w:r>
    </w:p>
    <w:p w14:paraId="4426A62E">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（十九）存在其他违反公共资源交易法律法规行为的。</w:t>
      </w:r>
    </w:p>
    <w:p w14:paraId="1DEE0973">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sz w:val="24"/>
          <w:szCs w:val="24"/>
          <w:highlight w:val="none"/>
        </w:rPr>
      </w:pPr>
      <w:r>
        <w:rPr>
          <w:rFonts w:hint="eastAsia" w:ascii="宋体" w:hAnsi="宋体" w:eastAsia="宋体" w:cs="宋体"/>
          <w:b/>
          <w:bCs w:val="0"/>
          <w:kern w:val="0"/>
          <w:sz w:val="24"/>
          <w:szCs w:val="24"/>
          <w:highlight w:val="none"/>
          <w:lang w:val="en-US" w:eastAsia="zh-CN" w:bidi="ar"/>
        </w:rPr>
        <w:t>依据：《关于对公共资源交易领域严重失信主体开展联合惩戒的备忘录》（发改法规〔2018〕457号）</w:t>
      </w:r>
    </w:p>
    <w:p w14:paraId="1E899A36">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sz w:val="24"/>
          <w:szCs w:val="24"/>
          <w:highlight w:val="none"/>
        </w:rPr>
      </w:pPr>
      <w:r>
        <w:rPr>
          <w:rFonts w:hint="eastAsia" w:ascii="宋体" w:hAnsi="宋体" w:eastAsia="宋体" w:cs="宋体"/>
          <w:b/>
          <w:bCs w:val="0"/>
          <w:kern w:val="0"/>
          <w:sz w:val="24"/>
          <w:szCs w:val="24"/>
          <w:highlight w:val="none"/>
          <w:lang w:val="en-US" w:eastAsia="zh-CN" w:bidi="ar"/>
        </w:rPr>
        <w:t>四、</w:t>
      </w:r>
      <w:r>
        <w:rPr>
          <w:rFonts w:hint="eastAsia" w:ascii="宋体" w:hAnsi="宋体" w:eastAsia="宋体" w:cs="宋体"/>
          <w:b/>
          <w:bCs/>
          <w:kern w:val="0"/>
          <w:sz w:val="24"/>
          <w:szCs w:val="24"/>
          <w:highlight w:val="none"/>
          <w:lang w:val="en-US" w:eastAsia="zh-CN" w:bidi="ar"/>
        </w:rPr>
        <w:t>社会保险领域严重失信行为</w:t>
      </w:r>
    </w:p>
    <w:p w14:paraId="5C2FD778">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（一）用人单位未按相关规定参加社会保险且拒不整改的； </w:t>
      </w:r>
    </w:p>
    <w:p w14:paraId="67E458E1">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（二）用人单位未如实申报社会保险缴费基数且拒不整改的； </w:t>
      </w:r>
    </w:p>
    <w:p w14:paraId="5910A5F9">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（三）应缴纳社会保险费却拒不缴纳的； </w:t>
      </w:r>
    </w:p>
    <w:p w14:paraId="0B0DC465">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（四）隐匿、转移、侵占、挪用社会保险费款、基金或者违规投资运营的；</w:t>
      </w:r>
    </w:p>
    <w:p w14:paraId="025DD8FD">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（五）以欺诈、伪造证明材料或者其他手段参加、申报社会保险和骗取社会保险基金支出或社会保险待遇的； </w:t>
      </w:r>
    </w:p>
    <w:p w14:paraId="2E714C29">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（六）非法获取、出售或变相交易社会保险个人权益数据的； </w:t>
      </w:r>
    </w:p>
    <w:p w14:paraId="44D37940">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（七）社会保险服务机构违反服务协议或相关规定的； </w:t>
      </w:r>
    </w:p>
    <w:p w14:paraId="2377077E">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（八）拒绝协助社会保险行政部门、经办机构对事故和问题进 行调查核实的；拒绝接受或协助税务部门对社会保险实施监督检查， 不如实提供与社会保险相关各项资料的； </w:t>
      </w:r>
    </w:p>
    <w:p w14:paraId="165CE1D7">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（九）其他违反法律法规规定的。</w:t>
      </w:r>
    </w:p>
    <w:p w14:paraId="56743DCC">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sz w:val="24"/>
          <w:szCs w:val="24"/>
          <w:highlight w:val="none"/>
        </w:rPr>
      </w:pPr>
      <w:r>
        <w:rPr>
          <w:rFonts w:hint="eastAsia" w:ascii="宋体" w:hAnsi="宋体" w:eastAsia="宋体" w:cs="宋体"/>
          <w:b/>
          <w:bCs w:val="0"/>
          <w:kern w:val="0"/>
          <w:sz w:val="24"/>
          <w:szCs w:val="24"/>
          <w:highlight w:val="none"/>
          <w:lang w:val="en-US" w:eastAsia="zh-CN" w:bidi="ar"/>
        </w:rPr>
        <w:t>依据：《关于对社会保险领域严重失信企业及其有关人员实施联合惩戒的合作备忘录》（发改财金〔2018〕1704号）</w:t>
      </w:r>
    </w:p>
    <w:p w14:paraId="74119124">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sz w:val="24"/>
          <w:szCs w:val="24"/>
          <w:highlight w:val="none"/>
        </w:rPr>
      </w:pPr>
      <w:r>
        <w:rPr>
          <w:rFonts w:hint="eastAsia" w:ascii="宋体" w:hAnsi="宋体" w:eastAsia="宋体" w:cs="宋体"/>
          <w:b/>
          <w:bCs w:val="0"/>
          <w:kern w:val="0"/>
          <w:sz w:val="24"/>
          <w:szCs w:val="24"/>
          <w:highlight w:val="none"/>
          <w:lang w:val="en-US" w:eastAsia="zh-CN" w:bidi="ar"/>
        </w:rPr>
        <w:t>五、建筑市场领域</w:t>
      </w:r>
      <w:r>
        <w:rPr>
          <w:rFonts w:hint="eastAsia" w:ascii="宋体" w:hAnsi="宋体" w:eastAsia="宋体" w:cs="宋体"/>
          <w:b/>
          <w:bCs/>
          <w:kern w:val="0"/>
          <w:sz w:val="24"/>
          <w:szCs w:val="24"/>
          <w:highlight w:val="none"/>
          <w:lang w:val="en-US" w:eastAsia="zh-CN" w:bidi="ar"/>
        </w:rPr>
        <w:t>严重失信行为</w:t>
      </w:r>
    </w:p>
    <w:p w14:paraId="5ED88CB6">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（一）利用虚假材料、以欺骗手段取得企业资质的；</w:t>
      </w:r>
    </w:p>
    <w:p w14:paraId="7B148F80">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（二）发生转包、出借资质，受到行政处罚的；</w:t>
      </w:r>
    </w:p>
    <w:p w14:paraId="600EFF16">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（三）发生重大及以上工程质量安全事故，或1年内累计发生2次及以上较大工程质量安全事故，或发生性质恶劣、危害性严重、社会影响大的较大工程质量安全事故，受到行政处罚的；</w:t>
      </w:r>
    </w:p>
    <w:p w14:paraId="590B7D12">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（四）经法院判决或仲裁机构裁决，认定为拖欠工程款,且拒不履行生效法律文书确定的义务的。</w:t>
      </w:r>
    </w:p>
    <w:p w14:paraId="67A30081">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各级住房城乡建设主管部门应当参照建筑市场主体“黑名单”，对被人力资源社会保障行政部门列入拖欠农民工工资“黑名单”的建筑市场各方主体加强监管。</w:t>
      </w:r>
    </w:p>
    <w:p w14:paraId="51F61AF5">
      <w:pPr>
        <w:keepNext w:val="0"/>
        <w:keepLines w:val="0"/>
        <w:widowControl w:val="0"/>
        <w:suppressLineNumbers w:val="0"/>
        <w:autoSpaceDE w:val="0"/>
        <w:autoSpaceDN/>
        <w:spacing w:before="0" w:beforeAutospacing="0" w:after="0" w:afterAutospacing="0"/>
        <w:ind w:left="0" w:right="0" w:firstLine="482" w:firstLineChars="200"/>
        <w:jc w:val="left"/>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依据：《建筑市场信用管理暂行办法》（建市〔2017〕241号）</w:t>
      </w:r>
    </w:p>
    <w:p w14:paraId="3C7282D6">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六、政府采购严重失信行为</w:t>
      </w:r>
    </w:p>
    <w:p w14:paraId="46AE3474">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供应商、采购代理机构在三年内受到财政部门作出下列情形之一的行政处罚，列入政府采购严重违法失信行为记录名单。</w:t>
      </w:r>
      <w:r>
        <w:rPr>
          <w:rFonts w:hint="eastAsia" w:ascii="宋体" w:hAnsi="宋体" w:eastAsia="宋体" w:cs="宋体"/>
          <w:kern w:val="0"/>
          <w:sz w:val="24"/>
          <w:szCs w:val="24"/>
          <w:highlight w:val="none"/>
          <w:lang w:val="en-US" w:eastAsia="zh-CN" w:bidi="ar"/>
        </w:rPr>
        <w:br w:type="textWrapping"/>
      </w:r>
      <w:r>
        <w:rPr>
          <w:rFonts w:hint="eastAsia" w:ascii="宋体" w:hAnsi="宋体" w:eastAsia="宋体" w:cs="宋体"/>
          <w:kern w:val="0"/>
          <w:sz w:val="24"/>
          <w:szCs w:val="24"/>
          <w:highlight w:val="none"/>
          <w:lang w:val="en-US" w:eastAsia="zh-CN" w:bidi="ar"/>
        </w:rPr>
        <w:t>（一）三万元以上罚款；</w:t>
      </w:r>
      <w:r>
        <w:rPr>
          <w:rFonts w:hint="eastAsia" w:ascii="宋体" w:hAnsi="宋体" w:eastAsia="宋体" w:cs="宋体"/>
          <w:kern w:val="0"/>
          <w:sz w:val="24"/>
          <w:szCs w:val="24"/>
          <w:highlight w:val="none"/>
          <w:lang w:val="en-US" w:eastAsia="zh-CN" w:bidi="ar"/>
        </w:rPr>
        <w:br w:type="textWrapping"/>
      </w:r>
      <w:r>
        <w:rPr>
          <w:rFonts w:hint="eastAsia" w:ascii="宋体" w:hAnsi="宋体" w:eastAsia="宋体" w:cs="宋体"/>
          <w:kern w:val="0"/>
          <w:sz w:val="24"/>
          <w:szCs w:val="24"/>
          <w:highlight w:val="none"/>
          <w:lang w:val="en-US" w:eastAsia="zh-CN" w:bidi="ar"/>
        </w:rPr>
        <w:t>（二）在一至三年内禁止参加政府采购活动（处罚期限届满的除外）；</w:t>
      </w:r>
      <w:r>
        <w:rPr>
          <w:rFonts w:hint="eastAsia" w:ascii="宋体" w:hAnsi="宋体" w:eastAsia="宋体" w:cs="宋体"/>
          <w:kern w:val="0"/>
          <w:sz w:val="24"/>
          <w:szCs w:val="24"/>
          <w:highlight w:val="none"/>
          <w:lang w:val="en-US" w:eastAsia="zh-CN" w:bidi="ar"/>
        </w:rPr>
        <w:br w:type="textWrapping"/>
      </w:r>
      <w:r>
        <w:rPr>
          <w:rFonts w:hint="eastAsia" w:ascii="宋体" w:hAnsi="宋体" w:eastAsia="宋体" w:cs="宋体"/>
          <w:kern w:val="0"/>
          <w:sz w:val="24"/>
          <w:szCs w:val="24"/>
          <w:highlight w:val="none"/>
          <w:lang w:val="en-US" w:eastAsia="zh-CN" w:bidi="ar"/>
        </w:rPr>
        <w:t>（三）在一至三年内禁止代理政府采购业务（处罚期限届满的除外）；</w:t>
      </w:r>
      <w:r>
        <w:rPr>
          <w:rFonts w:hint="eastAsia" w:ascii="宋体" w:hAnsi="宋体" w:eastAsia="宋体" w:cs="宋体"/>
          <w:kern w:val="0"/>
          <w:sz w:val="24"/>
          <w:szCs w:val="24"/>
          <w:highlight w:val="none"/>
          <w:lang w:val="en-US" w:eastAsia="zh-CN" w:bidi="ar"/>
        </w:rPr>
        <w:br w:type="textWrapping"/>
      </w:r>
      <w:r>
        <w:rPr>
          <w:rFonts w:hint="eastAsia" w:ascii="宋体" w:hAnsi="宋体" w:eastAsia="宋体" w:cs="宋体"/>
          <w:kern w:val="0"/>
          <w:sz w:val="24"/>
          <w:szCs w:val="24"/>
          <w:highlight w:val="none"/>
          <w:lang w:val="en-US" w:eastAsia="zh-CN" w:bidi="ar"/>
        </w:rPr>
        <w:t>（四）撤销政府采购代理机构资格（仅针对《政府采购法》第78条修改前作出的处罚决定）。</w:t>
      </w:r>
    </w:p>
    <w:p w14:paraId="1E1D272A">
      <w:pPr>
        <w:keepNext w:val="0"/>
        <w:keepLines w:val="0"/>
        <w:widowControl w:val="0"/>
        <w:suppressLineNumbers w:val="0"/>
        <w:autoSpaceDE w:val="0"/>
        <w:autoSpaceDN/>
        <w:spacing w:before="0" w:beforeAutospacing="0" w:after="0" w:afterAutospacing="0"/>
        <w:ind w:left="0" w:right="0" w:firstLine="482" w:firstLineChars="200"/>
        <w:jc w:val="left"/>
        <w:rPr>
          <w:rFonts w:hint="eastAsia" w:ascii="宋体" w:hAnsi="宋体" w:eastAsia="宋体" w:cs="宋体"/>
          <w:b/>
          <w:bCs w:val="0"/>
          <w:kern w:val="0"/>
          <w:sz w:val="24"/>
          <w:szCs w:val="24"/>
          <w:highlight w:val="none"/>
          <w:lang w:val="en-US" w:eastAsia="zh-CN" w:bidi="ar"/>
        </w:rPr>
      </w:pPr>
      <w:r>
        <w:rPr>
          <w:rFonts w:hint="eastAsia" w:ascii="宋体" w:hAnsi="宋体" w:eastAsia="宋体" w:cs="宋体"/>
          <w:b/>
          <w:bCs w:val="0"/>
          <w:kern w:val="0"/>
          <w:sz w:val="24"/>
          <w:szCs w:val="24"/>
          <w:highlight w:val="none"/>
          <w:lang w:val="en-US" w:eastAsia="zh-CN" w:bidi="ar"/>
        </w:rPr>
        <w:t>依据：《关于报送政府采购严重违法失信行为信息记录的通知》（财办库〔2014〕526号）</w:t>
      </w:r>
    </w:p>
    <w:p w14:paraId="0FEF42FA">
      <w:pPr>
        <w:keepNext w:val="0"/>
        <w:keepLines w:val="0"/>
        <w:widowControl w:val="0"/>
        <w:suppressLineNumbers w:val="0"/>
        <w:autoSpaceDE w:val="0"/>
        <w:autoSpaceDN/>
        <w:spacing w:before="0" w:beforeAutospacing="0" w:after="0" w:afterAutospacing="0"/>
        <w:ind w:left="0" w:right="0" w:firstLine="482" w:firstLineChars="200"/>
        <w:jc w:val="left"/>
        <w:rPr>
          <w:rFonts w:hint="eastAsia" w:ascii="宋体" w:hAnsi="宋体" w:eastAsia="宋体" w:cs="宋体"/>
          <w:b/>
          <w:bCs w:val="0"/>
          <w:kern w:val="0"/>
          <w:sz w:val="24"/>
          <w:szCs w:val="24"/>
          <w:highlight w:val="none"/>
          <w:lang w:val="en-US" w:eastAsia="zh-CN" w:bidi="ar"/>
        </w:rPr>
      </w:pPr>
      <w:r>
        <w:rPr>
          <w:rFonts w:hint="eastAsia" w:ascii="宋体" w:hAnsi="宋体" w:eastAsia="宋体" w:cs="宋体"/>
          <w:b/>
          <w:bCs w:val="0"/>
          <w:kern w:val="0"/>
          <w:sz w:val="24"/>
          <w:szCs w:val="24"/>
          <w:highlight w:val="none"/>
          <w:lang w:val="en-US" w:eastAsia="zh-CN" w:bidi="ar"/>
        </w:rPr>
        <w:t>未列出的其他类别严重失信行为，由招标人（代理机构）根据各类别行业主管部门下发的联合惩戒文件进行判断。</w:t>
      </w:r>
    </w:p>
    <w:p w14:paraId="51D3D4CC">
      <w:pPr>
        <w:jc w:val="left"/>
        <w:rPr>
          <w:rFonts w:hint="eastAsia" w:ascii="宋体" w:hAnsi="宋体" w:eastAsia="宋体" w:cs="宋体"/>
          <w:b/>
          <w:bCs w:val="0"/>
          <w:kern w:val="0"/>
          <w:sz w:val="24"/>
          <w:szCs w:val="24"/>
          <w:highlight w:val="none"/>
          <w:lang w:val="en-US" w:eastAsia="zh-CN" w:bidi="ar"/>
        </w:rPr>
      </w:pPr>
      <w:r>
        <w:rPr>
          <w:rFonts w:hint="eastAsia" w:ascii="宋体" w:hAnsi="宋体" w:eastAsia="宋体" w:cs="宋体"/>
          <w:b/>
          <w:bCs w:val="0"/>
          <w:kern w:val="0"/>
          <w:sz w:val="24"/>
          <w:szCs w:val="24"/>
          <w:highlight w:val="none"/>
          <w:lang w:val="en-US" w:eastAsia="zh-CN" w:bidi="ar"/>
        </w:rPr>
        <w:br w:type="page"/>
      </w:r>
    </w:p>
    <w:p w14:paraId="2972461A">
      <w:pPr>
        <w:widowControl/>
        <w:jc w:val="center"/>
        <w:outlineLvl w:val="0"/>
        <w:rPr>
          <w:b/>
          <w:bCs/>
          <w:color w:val="auto"/>
          <w:sz w:val="28"/>
          <w:highlight w:val="none"/>
        </w:rPr>
      </w:pPr>
      <w:r>
        <w:rPr>
          <w:rFonts w:hint="eastAsia"/>
          <w:b/>
          <w:bCs/>
          <w:color w:val="auto"/>
          <w:sz w:val="28"/>
          <w:highlight w:val="none"/>
        </w:rPr>
        <w:t>第</w:t>
      </w:r>
      <w:r>
        <w:rPr>
          <w:rFonts w:hint="eastAsia"/>
          <w:b/>
          <w:bCs/>
          <w:color w:val="auto"/>
          <w:sz w:val="28"/>
          <w:highlight w:val="none"/>
          <w:lang w:val="en-US" w:eastAsia="zh-CN"/>
        </w:rPr>
        <w:t>七</w:t>
      </w:r>
      <w:r>
        <w:rPr>
          <w:rFonts w:hint="eastAsia"/>
          <w:b/>
          <w:bCs/>
          <w:color w:val="auto"/>
          <w:sz w:val="28"/>
          <w:highlight w:val="none"/>
        </w:rPr>
        <w:t>章  政府采购</w:t>
      </w:r>
      <w:r>
        <w:rPr>
          <w:rFonts w:hint="eastAsia" w:asciiTheme="minorEastAsia" w:hAnsiTheme="minorEastAsia" w:eastAsiaTheme="minorEastAsia"/>
          <w:b/>
          <w:color w:val="auto"/>
          <w:sz w:val="28"/>
          <w:highlight w:val="none"/>
        </w:rPr>
        <w:t>供应</w:t>
      </w:r>
      <w:r>
        <w:rPr>
          <w:rFonts w:hint="eastAsia"/>
          <w:b/>
          <w:bCs/>
          <w:color w:val="auto"/>
          <w:sz w:val="28"/>
          <w:highlight w:val="none"/>
        </w:rPr>
        <w:t>商询问函和质疑函范本</w:t>
      </w:r>
      <w:bookmarkEnd w:id="700"/>
    </w:p>
    <w:p w14:paraId="654860BF">
      <w:pPr>
        <w:spacing w:line="360" w:lineRule="auto"/>
        <w:jc w:val="center"/>
        <w:outlineLvl w:val="1"/>
        <w:rPr>
          <w:rFonts w:ascii="仿宋" w:hAnsi="仿宋" w:eastAsia="仿宋" w:cs="仿宋"/>
          <w:b/>
          <w:bCs/>
          <w:color w:val="auto"/>
          <w:sz w:val="32"/>
          <w:szCs w:val="44"/>
          <w:highlight w:val="none"/>
        </w:rPr>
      </w:pPr>
      <w:bookmarkStart w:id="701" w:name="_Toc26448"/>
      <w:bookmarkStart w:id="702" w:name="_Toc2290"/>
      <w:r>
        <w:rPr>
          <w:rFonts w:hint="eastAsia" w:ascii="仿宋" w:hAnsi="仿宋" w:eastAsia="仿宋" w:cs="仿宋"/>
          <w:b/>
          <w:bCs/>
          <w:color w:val="auto"/>
          <w:sz w:val="32"/>
          <w:szCs w:val="44"/>
          <w:highlight w:val="none"/>
        </w:rPr>
        <w:t>询问函范本</w:t>
      </w:r>
      <w:bookmarkEnd w:id="701"/>
      <w:bookmarkEnd w:id="702"/>
    </w:p>
    <w:p w14:paraId="4E908021">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14:paraId="091EEC07">
      <w:pPr>
        <w:adjustRightInd w:val="0"/>
        <w:snapToGrid w:val="0"/>
        <w:spacing w:line="360" w:lineRule="auto"/>
        <w:rPr>
          <w:rFonts w:hint="eastAsia" w:cs="仿宋" w:asciiTheme="minorEastAsia" w:hAnsiTheme="minorEastAsia" w:eastAsiaTheme="minorEastAsia"/>
          <w:color w:val="auto"/>
          <w:sz w:val="24"/>
          <w:szCs w:val="24"/>
          <w:highlight w:val="none"/>
          <w:lang w:eastAsia="zh-CN"/>
        </w:rPr>
      </w:pPr>
      <w:r>
        <w:rPr>
          <w:rFonts w:hint="eastAsia" w:cs="仿宋" w:asciiTheme="minorEastAsia" w:hAnsiTheme="minorEastAsia" w:eastAsiaTheme="minorEastAsia"/>
          <w:color w:val="auto"/>
          <w:sz w:val="24"/>
          <w:szCs w:val="24"/>
          <w:highlight w:val="none"/>
          <w:lang w:val="en-US" w:eastAsia="zh-CN"/>
        </w:rPr>
        <w:t>致：</w:t>
      </w:r>
      <w:r>
        <w:rPr>
          <w:rFonts w:hint="eastAsia" w:cs="仿宋" w:asciiTheme="minorEastAsia" w:hAnsiTheme="minorEastAsia" w:eastAsiaTheme="minorEastAsia"/>
          <w:color w:val="auto"/>
          <w:sz w:val="24"/>
          <w:szCs w:val="24"/>
          <w:highlight w:val="none"/>
          <w:lang w:eastAsia="zh-CN"/>
        </w:rPr>
        <w:t>采购人</w:t>
      </w:r>
    </w:p>
    <w:p w14:paraId="168FB3FE">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我单位拟参与</w:t>
      </w:r>
      <w:r>
        <w:rPr>
          <w:rFonts w:hint="eastAsia" w:cs="仿宋" w:asciiTheme="minorEastAsia" w:hAnsiTheme="minorEastAsia" w:eastAsiaTheme="minorEastAsia"/>
          <w:color w:val="auto"/>
          <w:sz w:val="24"/>
          <w:szCs w:val="24"/>
          <w:highlight w:val="none"/>
          <w:u w:val="single"/>
          <w:lang w:val="en-US" w:eastAsia="zh-CN"/>
        </w:rPr>
        <w:t xml:space="preserve">           </w:t>
      </w:r>
      <w:r>
        <w:rPr>
          <w:rFonts w:hint="eastAsia" w:cs="仿宋" w:asciiTheme="minorEastAsia" w:hAnsiTheme="minorEastAsia" w:eastAsiaTheme="minorEastAsia"/>
          <w:color w:val="auto"/>
          <w:sz w:val="24"/>
          <w:szCs w:val="24"/>
          <w:highlight w:val="none"/>
          <w:u w:val="none"/>
          <w:lang w:val="en-US" w:eastAsia="zh-CN"/>
        </w:rPr>
        <w:t>（</w:t>
      </w:r>
      <w:r>
        <w:rPr>
          <w:rFonts w:hint="eastAsia" w:cs="仿宋" w:asciiTheme="minorEastAsia" w:hAnsiTheme="minorEastAsia" w:eastAsiaTheme="minorEastAsia"/>
          <w:i/>
          <w:iCs/>
          <w:color w:val="auto"/>
          <w:sz w:val="24"/>
          <w:szCs w:val="24"/>
          <w:highlight w:val="none"/>
          <w:u w:val="none"/>
          <w:lang w:val="en-US" w:eastAsia="zh-CN"/>
        </w:rPr>
        <w:t>项目名称、编号</w:t>
      </w:r>
      <w:r>
        <w:rPr>
          <w:rFonts w:hint="eastAsia" w:cs="仿宋" w:asciiTheme="minorEastAsia" w:hAnsiTheme="minorEastAsia" w:eastAsiaTheme="minorEastAsia"/>
          <w:color w:val="auto"/>
          <w:sz w:val="24"/>
          <w:szCs w:val="24"/>
          <w:highlight w:val="none"/>
          <w:u w:val="none"/>
          <w:lang w:val="en-US" w:eastAsia="zh-CN"/>
        </w:rPr>
        <w:t>）</w:t>
      </w:r>
      <w:r>
        <w:rPr>
          <w:rFonts w:hint="eastAsia" w:cs="仿宋" w:asciiTheme="minorEastAsia" w:hAnsiTheme="minorEastAsia" w:eastAsiaTheme="minorEastAsia"/>
          <w:color w:val="auto"/>
          <w:sz w:val="24"/>
          <w:szCs w:val="24"/>
          <w:highlight w:val="none"/>
        </w:rPr>
        <w:t>的采购活动，现有以下内容(或条款)存在疑问(或无法理解)，特提出询问。</w:t>
      </w:r>
    </w:p>
    <w:p w14:paraId="59CD291C">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703" w:name="_Toc32070"/>
      <w:bookmarkStart w:id="704" w:name="_Toc14234"/>
      <w:r>
        <w:rPr>
          <w:rFonts w:hint="eastAsia" w:cs="仿宋" w:asciiTheme="minorEastAsia" w:hAnsiTheme="minorEastAsia" w:eastAsiaTheme="minorEastAsia"/>
          <w:color w:val="auto"/>
          <w:sz w:val="24"/>
          <w:szCs w:val="24"/>
          <w:highlight w:val="none"/>
        </w:rPr>
        <w:t>一、(事项一)</w:t>
      </w:r>
      <w:bookmarkEnd w:id="703"/>
      <w:bookmarkEnd w:id="704"/>
    </w:p>
    <w:p w14:paraId="7DD15127">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14:paraId="0D7E6977">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14:paraId="406E0AA2">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14:paraId="0FCAB4B1">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705" w:name="_Toc16507"/>
      <w:bookmarkStart w:id="706" w:name="_Toc6489"/>
      <w:r>
        <w:rPr>
          <w:rFonts w:hint="eastAsia" w:cs="仿宋" w:asciiTheme="minorEastAsia" w:hAnsiTheme="minorEastAsia" w:eastAsiaTheme="minorEastAsia"/>
          <w:color w:val="auto"/>
          <w:sz w:val="24"/>
          <w:szCs w:val="24"/>
          <w:highlight w:val="none"/>
        </w:rPr>
        <w:t>二、(事项二)</w:t>
      </w:r>
      <w:bookmarkEnd w:id="705"/>
      <w:bookmarkEnd w:id="706"/>
    </w:p>
    <w:p w14:paraId="79C8C96E">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14:paraId="6E96FAC6">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14:paraId="5087D88B">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14:paraId="21ABE7B9">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14:paraId="13C163D4">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14:paraId="533ECFC8">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14:paraId="0E151F3E">
      <w:pPr>
        <w:jc w:val="center"/>
        <w:outlineLvl w:val="1"/>
        <w:rPr>
          <w:rFonts w:ascii="仿宋" w:hAnsi="仿宋" w:eastAsia="仿宋" w:cs="仿宋"/>
          <w:b/>
          <w:bCs/>
          <w:color w:val="auto"/>
          <w:sz w:val="32"/>
          <w:szCs w:val="44"/>
          <w:highlight w:val="none"/>
        </w:rPr>
      </w:pPr>
      <w:bookmarkStart w:id="707" w:name="_Toc26224"/>
      <w:bookmarkStart w:id="708" w:name="_Toc4923"/>
      <w:r>
        <w:rPr>
          <w:rFonts w:hint="eastAsia" w:ascii="仿宋" w:hAnsi="仿宋" w:eastAsia="仿宋" w:cs="仿宋"/>
          <w:b/>
          <w:bCs/>
          <w:color w:val="auto"/>
          <w:sz w:val="32"/>
          <w:szCs w:val="44"/>
          <w:highlight w:val="none"/>
        </w:rPr>
        <w:t>质疑函范本</w:t>
      </w:r>
      <w:bookmarkEnd w:id="707"/>
      <w:bookmarkEnd w:id="708"/>
    </w:p>
    <w:p w14:paraId="3E071D2A">
      <w:pPr>
        <w:adjustRightInd w:val="0"/>
        <w:snapToGrid w:val="0"/>
        <w:spacing w:before="312" w:beforeLines="100" w:line="360" w:lineRule="auto"/>
        <w:outlineLvl w:val="1"/>
        <w:rPr>
          <w:rFonts w:cs="仿宋" w:asciiTheme="minorEastAsia" w:hAnsiTheme="minorEastAsia" w:eastAsiaTheme="minorEastAsia"/>
          <w:b/>
          <w:bCs/>
          <w:color w:val="auto"/>
          <w:sz w:val="24"/>
          <w:szCs w:val="24"/>
          <w:highlight w:val="none"/>
        </w:rPr>
      </w:pPr>
      <w:bookmarkStart w:id="709" w:name="_Toc3847"/>
      <w:bookmarkStart w:id="710" w:name="_Toc10663"/>
      <w:r>
        <w:rPr>
          <w:rFonts w:hint="eastAsia" w:cs="仿宋" w:asciiTheme="minorEastAsia" w:hAnsiTheme="minorEastAsia" w:eastAsiaTheme="minorEastAsia"/>
          <w:b/>
          <w:bCs/>
          <w:color w:val="auto"/>
          <w:sz w:val="24"/>
          <w:szCs w:val="24"/>
          <w:highlight w:val="none"/>
        </w:rPr>
        <w:t>一、质疑供应商基本信息</w:t>
      </w:r>
      <w:bookmarkEnd w:id="709"/>
      <w:bookmarkEnd w:id="710"/>
    </w:p>
    <w:p w14:paraId="429BC2FB">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14:paraId="4446DF99">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14:paraId="1E0E00A8">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14:paraId="0D9A0176">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14:paraId="4D1E1D79">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14:paraId="56F07FAE">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14:paraId="6C4A3F76">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711" w:name="_Toc30012"/>
      <w:bookmarkStart w:id="712" w:name="_Toc19182"/>
      <w:r>
        <w:rPr>
          <w:rFonts w:hint="eastAsia" w:cs="仿宋" w:asciiTheme="minorEastAsia" w:hAnsiTheme="minorEastAsia" w:eastAsiaTheme="minorEastAsia"/>
          <w:b/>
          <w:bCs/>
          <w:color w:val="auto"/>
          <w:sz w:val="24"/>
          <w:szCs w:val="24"/>
          <w:highlight w:val="none"/>
        </w:rPr>
        <w:t>二、质疑项目基本情况</w:t>
      </w:r>
      <w:bookmarkEnd w:id="711"/>
      <w:bookmarkEnd w:id="712"/>
    </w:p>
    <w:p w14:paraId="27094D2F">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14:paraId="485B43FA">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14:paraId="3C7DE534">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14:paraId="6BE80E31">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14:paraId="4A89B453">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713" w:name="_Toc21700"/>
      <w:bookmarkStart w:id="714" w:name="_Toc9989"/>
      <w:r>
        <w:rPr>
          <w:rFonts w:hint="eastAsia" w:cs="仿宋" w:asciiTheme="minorEastAsia" w:hAnsiTheme="minorEastAsia" w:eastAsiaTheme="minorEastAsia"/>
          <w:b/>
          <w:bCs/>
          <w:color w:val="auto"/>
          <w:sz w:val="24"/>
          <w:szCs w:val="24"/>
          <w:highlight w:val="none"/>
        </w:rPr>
        <w:t>三、质疑事项具体内容</w:t>
      </w:r>
      <w:bookmarkEnd w:id="713"/>
      <w:bookmarkEnd w:id="714"/>
    </w:p>
    <w:p w14:paraId="4C504602">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14:paraId="785D475E">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14:paraId="64982693">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14:paraId="379823F1">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14:paraId="3E2C10BF">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14:paraId="77FF3C48">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14:paraId="16EEC538">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14:paraId="03EBAA70">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715" w:name="_Toc10625"/>
      <w:bookmarkStart w:id="716" w:name="_Toc19016"/>
      <w:r>
        <w:rPr>
          <w:rFonts w:hint="eastAsia" w:cs="仿宋" w:asciiTheme="minorEastAsia" w:hAnsiTheme="minorEastAsia" w:eastAsiaTheme="minorEastAsia"/>
          <w:b/>
          <w:bCs/>
          <w:color w:val="auto"/>
          <w:sz w:val="24"/>
          <w:szCs w:val="24"/>
          <w:highlight w:val="none"/>
        </w:rPr>
        <w:t>四、与质疑事项相关的质疑请求</w:t>
      </w:r>
      <w:bookmarkEnd w:id="715"/>
      <w:bookmarkEnd w:id="716"/>
    </w:p>
    <w:p w14:paraId="4708FAB9">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14:paraId="07BD8BE4">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14:paraId="2314E539">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14:paraId="0C2E7BA5">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14:paraId="50A2F2B5">
      <w:pPr>
        <w:outlineLvl w:val="0"/>
        <w:rPr>
          <w:rFonts w:asciiTheme="minorEastAsia" w:hAnsiTheme="minorEastAsia" w:eastAsiaTheme="minorEastAsia"/>
          <w:b/>
          <w:color w:val="auto"/>
          <w:sz w:val="28"/>
          <w:szCs w:val="32"/>
          <w:highlight w:val="none"/>
        </w:rPr>
      </w:pPr>
      <w:bookmarkStart w:id="717" w:name="_Toc25274"/>
      <w:bookmarkStart w:id="718" w:name="_Toc17684"/>
      <w:r>
        <w:rPr>
          <w:rFonts w:hint="eastAsia" w:asciiTheme="minorEastAsia" w:hAnsiTheme="minorEastAsia" w:eastAsiaTheme="minorEastAsia"/>
          <w:b/>
          <w:color w:val="auto"/>
          <w:sz w:val="28"/>
          <w:szCs w:val="32"/>
          <w:highlight w:val="none"/>
        </w:rPr>
        <w:t>质疑函制作说明：</w:t>
      </w:r>
      <w:bookmarkEnd w:id="717"/>
      <w:bookmarkEnd w:id="718"/>
    </w:p>
    <w:p w14:paraId="7642396C">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14:paraId="381CC29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495C8EF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14:paraId="2C842D3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14:paraId="10023A16">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14:paraId="1928B8F9">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简标宋">
    <w:altName w:val="@宋体"/>
    <w:panose1 w:val="00000000000000000000"/>
    <w:charset w:val="86"/>
    <w:family w:val="auto"/>
    <w:pitch w:val="default"/>
    <w:sig w:usb0="00000000" w:usb1="00000000" w:usb2="00000010" w:usb3="00000000" w:csb0="00040000" w:csb1="00000000"/>
  </w:font>
  <w:font w:name="@宋体">
    <w:panose1 w:val="02010600030101010101"/>
    <w:charset w:val="86"/>
    <w:family w:val="auto"/>
    <w:pitch w:val="default"/>
    <w:sig w:usb0="00000003" w:usb1="288F0000" w:usb2="00000006" w:usb3="00000000" w:csb0="00040001" w:csb1="00000000"/>
  </w:font>
  <w:font w:name="MS Sans Serif">
    <w:altName w:val="Arial"/>
    <w:panose1 w:val="020B0500000000000000"/>
    <w:charset w:val="00"/>
    <w:family w:val="swiss"/>
    <w:pitch w:val="default"/>
    <w:sig w:usb0="00000000" w:usb1="00000000" w:usb2="00000000" w:usb3="00000000" w:csb0="0000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ctionIcon ! important">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 w:name="创艺简黑体">
    <w:altName w:val="黑体"/>
    <w:panose1 w:val="00000000000000000000"/>
    <w:charset w:val="7A"/>
    <w:family w:val="auto"/>
    <w:pitch w:val="default"/>
    <w:sig w:usb0="00000000" w:usb1="00000000" w:usb2="00000010" w:usb3="00000000" w:csb0="0004000A"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ModIcon">
    <w:altName w:val="Segoe Print"/>
    <w:panose1 w:val="00000000000000000000"/>
    <w:charset w:val="00"/>
    <w:family w:val="auto"/>
    <w:pitch w:val="default"/>
    <w:sig w:usb0="00000000" w:usb1="00000000" w:usb2="00000000" w:usb3="00000000" w:csb0="00000000" w:csb1="00000000"/>
  </w:font>
  <w:font w:name="ActionIcon">
    <w:altName w:val="Segoe Print"/>
    <w:panose1 w:val="00000000000000000000"/>
    <w:charset w:val="00"/>
    <w:family w:val="auto"/>
    <w:pitch w:val="default"/>
    <w:sig w:usb0="00000000" w:usb1="00000000" w:usb2="00000000" w:usb3="00000000" w:csb0="00000000" w:csb1="00000000"/>
  </w:font>
  <w:font w:name="SourceHanSansCN-Regular">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B9AE0">
    <w:pPr>
      <w:pStyle w:val="3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szCs w:val="21"/>
      </w:rPr>
      <w:id w:val="-1000811171"/>
    </w:sdtPr>
    <w:sdtEndPr>
      <w:rPr>
        <w:rFonts w:asciiTheme="minorEastAsia" w:hAnsiTheme="minorEastAsia" w:eastAsiaTheme="minorEastAsia"/>
        <w:sz w:val="21"/>
        <w:szCs w:val="21"/>
      </w:rPr>
    </w:sdtEndPr>
    <w:sdtContent>
      <w:sdt>
        <w:sdtPr>
          <w:rPr>
            <w:sz w:val="21"/>
            <w:szCs w:val="21"/>
          </w:rPr>
          <w:id w:val="-1669238322"/>
        </w:sdtPr>
        <w:sdtEndPr>
          <w:rPr>
            <w:rFonts w:asciiTheme="minorEastAsia" w:hAnsiTheme="minorEastAsia" w:eastAsiaTheme="minorEastAsia"/>
            <w:sz w:val="21"/>
            <w:szCs w:val="21"/>
          </w:rPr>
        </w:sdtEndPr>
        <w:sdtContent>
          <w:p w14:paraId="7967C951">
            <w:pPr>
              <w:pStyle w:val="33"/>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第</w:t>
            </w:r>
            <w:r>
              <w:rPr>
                <w:rFonts w:asciiTheme="minorEastAsia" w:hAnsiTheme="minorEastAsia" w:eastAsiaTheme="minorEastAsia"/>
                <w:sz w:val="21"/>
                <w:szCs w:val="21"/>
                <w:lang w:val="zh-CN"/>
              </w:rPr>
              <w:t xml:space="preserve">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PAGE</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94</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页/共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 </w:instrText>
            </w:r>
            <w:r>
              <w:rPr>
                <w:rFonts w:hint="eastAsia" w:asciiTheme="minorEastAsia" w:hAnsiTheme="minorEastAsia" w:eastAsiaTheme="minorEastAsia"/>
                <w:b/>
                <w:bCs/>
                <w:sz w:val="21"/>
                <w:szCs w:val="21"/>
              </w:rPr>
              <w:instrText xml:space="preserve">=</w:instrTex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NUMPAGES</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instrText xml:space="preserve">106</w:instrText>
            </w:r>
            <w:r>
              <w:rPr>
                <w:rFonts w:asciiTheme="minorEastAsia" w:hAnsiTheme="minorEastAsia" w:eastAsiaTheme="minorEastAsia"/>
                <w:b/>
                <w:bCs/>
                <w:sz w:val="21"/>
                <w:szCs w:val="21"/>
              </w:rPr>
              <w:fldChar w:fldCharType="end"/>
            </w:r>
            <w:r>
              <w:rPr>
                <w:rFonts w:hint="eastAsia" w:asciiTheme="minorEastAsia" w:hAnsiTheme="minorEastAsia" w:eastAsiaTheme="minorEastAsia"/>
                <w:b/>
                <w:bCs/>
                <w:sz w:val="21"/>
                <w:szCs w:val="21"/>
              </w:rPr>
              <w:instrText xml:space="preserve">-2</w:instrText>
            </w:r>
            <w:r>
              <w:rPr>
                <w:rFonts w:asciiTheme="minorEastAsia" w:hAnsiTheme="minorEastAsia" w:eastAsiaTheme="minorEastAsia"/>
                <w:b/>
                <w:bCs/>
                <w:sz w:val="21"/>
                <w:szCs w:val="21"/>
              </w:rPr>
              <w:instrText xml:space="preserve"> </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104</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szCs w:val="21"/>
      </w:rPr>
      <w:id w:val="147464276"/>
    </w:sdtPr>
    <w:sdtEndPr>
      <w:rPr>
        <w:rFonts w:asciiTheme="minorEastAsia" w:hAnsiTheme="minorEastAsia" w:eastAsiaTheme="minorEastAsia"/>
        <w:sz w:val="21"/>
        <w:szCs w:val="21"/>
      </w:rPr>
    </w:sdtEndPr>
    <w:sdtContent>
      <w:sdt>
        <w:sdtPr>
          <w:rPr>
            <w:sz w:val="21"/>
            <w:szCs w:val="21"/>
          </w:rPr>
          <w:id w:val="147470583"/>
        </w:sdtPr>
        <w:sdtEndPr>
          <w:rPr>
            <w:rFonts w:asciiTheme="minorEastAsia" w:hAnsiTheme="minorEastAsia" w:eastAsiaTheme="minorEastAsia"/>
            <w:sz w:val="21"/>
            <w:szCs w:val="21"/>
          </w:rPr>
        </w:sdtEndPr>
        <w:sdtContent>
          <w:p w14:paraId="5966EA09">
            <w:pPr>
              <w:pStyle w:val="33"/>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第</w:t>
            </w:r>
            <w:r>
              <w:rPr>
                <w:rFonts w:asciiTheme="minorEastAsia" w:hAnsiTheme="minorEastAsia" w:eastAsiaTheme="minorEastAsia"/>
                <w:sz w:val="21"/>
                <w:szCs w:val="21"/>
                <w:lang w:val="zh-CN"/>
              </w:rPr>
              <w:t xml:space="preserve">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PAGE</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101</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页/共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 </w:instrText>
            </w:r>
            <w:r>
              <w:rPr>
                <w:rFonts w:hint="eastAsia" w:asciiTheme="minorEastAsia" w:hAnsiTheme="minorEastAsia" w:eastAsiaTheme="minorEastAsia"/>
                <w:b/>
                <w:bCs/>
                <w:sz w:val="21"/>
                <w:szCs w:val="21"/>
              </w:rPr>
              <w:instrText xml:space="preserve">=</w:instrTex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NUMPAGES</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instrText xml:space="preserve">108</w:instrText>
            </w:r>
            <w:r>
              <w:rPr>
                <w:rFonts w:asciiTheme="minorEastAsia" w:hAnsiTheme="minorEastAsia" w:eastAsiaTheme="minorEastAsia"/>
                <w:b/>
                <w:bCs/>
                <w:sz w:val="21"/>
                <w:szCs w:val="21"/>
              </w:rPr>
              <w:fldChar w:fldCharType="end"/>
            </w:r>
            <w:r>
              <w:rPr>
                <w:rFonts w:hint="eastAsia" w:asciiTheme="minorEastAsia" w:hAnsiTheme="minorEastAsia" w:eastAsiaTheme="minorEastAsia"/>
                <w:b/>
                <w:bCs/>
                <w:sz w:val="21"/>
                <w:szCs w:val="21"/>
              </w:rPr>
              <w:instrText xml:space="preserve">-2</w:instrText>
            </w:r>
            <w:r>
              <w:rPr>
                <w:rFonts w:asciiTheme="minorEastAsia" w:hAnsiTheme="minorEastAsia" w:eastAsiaTheme="minorEastAsia"/>
                <w:b/>
                <w:bCs/>
                <w:sz w:val="21"/>
                <w:szCs w:val="21"/>
              </w:rPr>
              <w:instrText xml:space="preserve"> </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106</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w:t>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6F5C67">
    <w:pPr>
      <w:pStyle w:val="34"/>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竞争性磋商文件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工程类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6D31DD">
    <w:pPr>
      <w:pStyle w:val="34"/>
      <w:jc w:val="both"/>
    </w:pPr>
    <w:r>
      <w:rPr>
        <w:rFonts w:hint="eastAsia"/>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w:t>
    </w:r>
    <w:r>
      <w:rPr>
        <w:rFonts w:hint="eastAsia"/>
        <w:lang w:val="en-US" w:eastAsia="zh-CN"/>
      </w:rPr>
      <w:t>磋商</w:t>
    </w:r>
    <w:r>
      <w:rPr>
        <w:rFonts w:hint="eastAsia" w:ascii="宋体" w:hAnsi="宋体" w:eastAsia="宋体"/>
      </w:rPr>
      <w:t>文件</w:t>
    </w:r>
    <w:r>
      <w:rPr>
        <w:rFonts w:hint="eastAsia" w:ascii="宋体" w:hAnsi="宋体" w:eastAsia="宋体"/>
        <w:lang w:eastAsia="zh-CN"/>
      </w:rPr>
      <w:t>示范文本（</w:t>
    </w:r>
    <w:r>
      <w:rPr>
        <w:rFonts w:hint="eastAsia" w:asciiTheme="minorEastAsia" w:hAnsiTheme="minorEastAsia" w:eastAsiaTheme="minorEastAsia"/>
      </w:rPr>
      <w:t>工程类</w:t>
    </w:r>
    <w:r>
      <w:rPr>
        <w:rFonts w:hint="eastAsia" w:ascii="宋体" w:hAnsi="宋体" w:eastAsia="宋体"/>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C34C2">
    <w:pPr>
      <w:pStyle w:val="34"/>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竞争性磋商文件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工程类</w:t>
    </w:r>
    <w:r>
      <w:rPr>
        <w:rFonts w:hint="eastAsia" w:asciiTheme="minorEastAsia" w:hAnsiTheme="minorEastAsia" w:eastAsiaTheme="minorEastAsia"/>
        <w:lang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BF563F"/>
    <w:multiLevelType w:val="singleLevel"/>
    <w:tmpl w:val="97BF563F"/>
    <w:lvl w:ilvl="0" w:tentative="0">
      <w:start w:val="1"/>
      <w:numFmt w:val="decimal"/>
      <w:suff w:val="nothing"/>
      <w:lvlText w:val="（%1）"/>
      <w:lvlJc w:val="left"/>
    </w:lvl>
  </w:abstractNum>
  <w:abstractNum w:abstractNumId="1">
    <w:nsid w:val="B6CFDBBF"/>
    <w:multiLevelType w:val="singleLevel"/>
    <w:tmpl w:val="B6CFDBBF"/>
    <w:lvl w:ilvl="0" w:tentative="0">
      <w:start w:val="1"/>
      <w:numFmt w:val="decimal"/>
      <w:suff w:val="nothing"/>
      <w:lvlText w:val="（%1）"/>
      <w:lvlJc w:val="left"/>
    </w:lvl>
  </w:abstractNum>
  <w:abstractNum w:abstractNumId="2">
    <w:nsid w:val="D59201F4"/>
    <w:multiLevelType w:val="singleLevel"/>
    <w:tmpl w:val="D59201F4"/>
    <w:lvl w:ilvl="0" w:tentative="0">
      <w:start w:val="1"/>
      <w:numFmt w:val="decimal"/>
      <w:lvlText w:val="%1"/>
      <w:lvlJc w:val="left"/>
      <w:pPr>
        <w:tabs>
          <w:tab w:val="left" w:pos="420"/>
        </w:tabs>
        <w:ind w:left="425" w:hanging="425"/>
      </w:pPr>
      <w:rPr>
        <w:rFonts w:hint="default"/>
      </w:rPr>
    </w:lvl>
  </w:abstractNum>
  <w:abstractNum w:abstractNumId="3">
    <w:nsid w:val="467FD59E"/>
    <w:multiLevelType w:val="singleLevel"/>
    <w:tmpl w:val="467FD59E"/>
    <w:lvl w:ilvl="0" w:tentative="0">
      <w:start w:val="1"/>
      <w:numFmt w:val="decimal"/>
      <w:suff w:val="nothing"/>
      <w:lvlText w:val="（%1）"/>
      <w:lvlJc w:val="left"/>
    </w:lvl>
  </w:abstractNum>
  <w:abstractNum w:abstractNumId="4">
    <w:nsid w:val="7F7E5238"/>
    <w:multiLevelType w:val="multilevel"/>
    <w:tmpl w:val="7F7E5238"/>
    <w:lvl w:ilvl="0" w:tentative="0">
      <w:start w:val="1"/>
      <w:numFmt w:val="none"/>
      <w:pStyle w:val="177"/>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pStyle w:val="174"/>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179"/>
      <w:lvlText w:val="           "/>
      <w:lvlJc w:val="left"/>
      <w:pPr>
        <w:tabs>
          <w:tab w:val="left" w:pos="1440"/>
        </w:tabs>
        <w:ind w:left="1152" w:hanging="1152"/>
      </w:pPr>
      <w:rPr>
        <w:rFonts w:hint="eastAsia"/>
      </w:rPr>
    </w:lvl>
    <w:lvl w:ilvl="6" w:tentative="0">
      <w:start w:val="1"/>
      <w:numFmt w:val="decimal"/>
      <w:pStyle w:val="181"/>
      <w:lvlText w:val="%1.%2.%3.%4.%5.%6.%7"/>
      <w:lvlJc w:val="left"/>
      <w:pPr>
        <w:tabs>
          <w:tab w:val="left" w:pos="2520"/>
        </w:tabs>
        <w:ind w:left="1296" w:hanging="1296"/>
      </w:pPr>
      <w:rPr>
        <w:rFonts w:hint="eastAsia"/>
      </w:rPr>
    </w:lvl>
    <w:lvl w:ilvl="7" w:tentative="0">
      <w:start w:val="1"/>
      <w:numFmt w:val="decimal"/>
      <w:pStyle w:val="183"/>
      <w:lvlText w:val="%1.%2.%3.%4.%5.%6.%7.%8"/>
      <w:lvlJc w:val="left"/>
      <w:pPr>
        <w:tabs>
          <w:tab w:val="left" w:pos="1440"/>
        </w:tabs>
        <w:ind w:left="1440" w:hanging="1440"/>
      </w:pPr>
      <w:rPr>
        <w:rFonts w:hint="eastAsia"/>
      </w:rPr>
    </w:lvl>
    <w:lvl w:ilvl="8" w:tentative="0">
      <w:start w:val="1"/>
      <w:numFmt w:val="decimal"/>
      <w:pStyle w:val="185"/>
      <w:lvlText w:val="%1.%2.%3.%4.%5.%6.%7.%8.%9"/>
      <w:lvlJc w:val="left"/>
      <w:pPr>
        <w:tabs>
          <w:tab w:val="left" w:pos="1584"/>
        </w:tabs>
        <w:ind w:left="1584" w:hanging="1584"/>
      </w:pPr>
      <w:rPr>
        <w:rFonts w:hint="eastAsia"/>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YjQzMDhiYzA3NWZlODA5OTkxMDRiNDU3ZjExNjEifQ=="/>
  </w:docVars>
  <w:rsids>
    <w:rsidRoot w:val="00276BA1"/>
    <w:rsid w:val="0000043F"/>
    <w:rsid w:val="000037F9"/>
    <w:rsid w:val="000049DA"/>
    <w:rsid w:val="000056B7"/>
    <w:rsid w:val="00005914"/>
    <w:rsid w:val="00007D87"/>
    <w:rsid w:val="000131F7"/>
    <w:rsid w:val="00014039"/>
    <w:rsid w:val="00016B6C"/>
    <w:rsid w:val="00020B57"/>
    <w:rsid w:val="00020B6D"/>
    <w:rsid w:val="00022976"/>
    <w:rsid w:val="000323E2"/>
    <w:rsid w:val="00040C25"/>
    <w:rsid w:val="00042139"/>
    <w:rsid w:val="00042B14"/>
    <w:rsid w:val="00044F49"/>
    <w:rsid w:val="000450C3"/>
    <w:rsid w:val="0005061B"/>
    <w:rsid w:val="00050A3F"/>
    <w:rsid w:val="00054AA3"/>
    <w:rsid w:val="00056ECB"/>
    <w:rsid w:val="00057B40"/>
    <w:rsid w:val="000623EA"/>
    <w:rsid w:val="000648D2"/>
    <w:rsid w:val="00066AD7"/>
    <w:rsid w:val="00070E0E"/>
    <w:rsid w:val="0007146E"/>
    <w:rsid w:val="00076DB7"/>
    <w:rsid w:val="00080FEB"/>
    <w:rsid w:val="00084047"/>
    <w:rsid w:val="00094D41"/>
    <w:rsid w:val="00097CB9"/>
    <w:rsid w:val="000A0161"/>
    <w:rsid w:val="000A10A9"/>
    <w:rsid w:val="000A2DA0"/>
    <w:rsid w:val="000A6693"/>
    <w:rsid w:val="000A7403"/>
    <w:rsid w:val="000A7970"/>
    <w:rsid w:val="000A7D94"/>
    <w:rsid w:val="000B1511"/>
    <w:rsid w:val="000B6249"/>
    <w:rsid w:val="000B6562"/>
    <w:rsid w:val="000C1DB1"/>
    <w:rsid w:val="000C6302"/>
    <w:rsid w:val="000D3F37"/>
    <w:rsid w:val="000E3C74"/>
    <w:rsid w:val="000E3F9B"/>
    <w:rsid w:val="000E478E"/>
    <w:rsid w:val="000E6689"/>
    <w:rsid w:val="000E69B9"/>
    <w:rsid w:val="000F0EBF"/>
    <w:rsid w:val="000F172B"/>
    <w:rsid w:val="000F2198"/>
    <w:rsid w:val="000F39B6"/>
    <w:rsid w:val="000F3A94"/>
    <w:rsid w:val="000F6B7B"/>
    <w:rsid w:val="000F6F95"/>
    <w:rsid w:val="0010021F"/>
    <w:rsid w:val="00100B0F"/>
    <w:rsid w:val="0010187C"/>
    <w:rsid w:val="0010219C"/>
    <w:rsid w:val="001037E3"/>
    <w:rsid w:val="00107022"/>
    <w:rsid w:val="0011660B"/>
    <w:rsid w:val="0012143A"/>
    <w:rsid w:val="0012203E"/>
    <w:rsid w:val="001258BA"/>
    <w:rsid w:val="0012753E"/>
    <w:rsid w:val="00130601"/>
    <w:rsid w:val="00130690"/>
    <w:rsid w:val="00130CD3"/>
    <w:rsid w:val="00132F4D"/>
    <w:rsid w:val="00133EA0"/>
    <w:rsid w:val="00140687"/>
    <w:rsid w:val="0014543C"/>
    <w:rsid w:val="00146421"/>
    <w:rsid w:val="00153B20"/>
    <w:rsid w:val="00153DC0"/>
    <w:rsid w:val="00155F64"/>
    <w:rsid w:val="001571EE"/>
    <w:rsid w:val="00157856"/>
    <w:rsid w:val="00157B7B"/>
    <w:rsid w:val="00160729"/>
    <w:rsid w:val="00162F2F"/>
    <w:rsid w:val="0016455F"/>
    <w:rsid w:val="00165398"/>
    <w:rsid w:val="00166794"/>
    <w:rsid w:val="00166ED8"/>
    <w:rsid w:val="001714C9"/>
    <w:rsid w:val="00171515"/>
    <w:rsid w:val="00172B93"/>
    <w:rsid w:val="001776E1"/>
    <w:rsid w:val="0018119B"/>
    <w:rsid w:val="001844AB"/>
    <w:rsid w:val="001853C7"/>
    <w:rsid w:val="001903BA"/>
    <w:rsid w:val="00192879"/>
    <w:rsid w:val="001944B8"/>
    <w:rsid w:val="00196DA3"/>
    <w:rsid w:val="001971E5"/>
    <w:rsid w:val="001974FD"/>
    <w:rsid w:val="001A0C0F"/>
    <w:rsid w:val="001A68E5"/>
    <w:rsid w:val="001B25BE"/>
    <w:rsid w:val="001B2A54"/>
    <w:rsid w:val="001B2BA4"/>
    <w:rsid w:val="001B5014"/>
    <w:rsid w:val="001B7327"/>
    <w:rsid w:val="001C1E34"/>
    <w:rsid w:val="001D22EA"/>
    <w:rsid w:val="001D487F"/>
    <w:rsid w:val="001D503E"/>
    <w:rsid w:val="001D53B4"/>
    <w:rsid w:val="001E1835"/>
    <w:rsid w:val="001E3498"/>
    <w:rsid w:val="001E6BA1"/>
    <w:rsid w:val="001F28D2"/>
    <w:rsid w:val="001F2F45"/>
    <w:rsid w:val="001F3023"/>
    <w:rsid w:val="001F35F6"/>
    <w:rsid w:val="001F4AAF"/>
    <w:rsid w:val="001F74CA"/>
    <w:rsid w:val="001F7590"/>
    <w:rsid w:val="002003B6"/>
    <w:rsid w:val="0020244A"/>
    <w:rsid w:val="002049B4"/>
    <w:rsid w:val="0020520B"/>
    <w:rsid w:val="002076AD"/>
    <w:rsid w:val="00213C55"/>
    <w:rsid w:val="0021401C"/>
    <w:rsid w:val="00216DA5"/>
    <w:rsid w:val="00223CF4"/>
    <w:rsid w:val="00224B69"/>
    <w:rsid w:val="00224C4A"/>
    <w:rsid w:val="00231187"/>
    <w:rsid w:val="002329EB"/>
    <w:rsid w:val="0023407E"/>
    <w:rsid w:val="00240B40"/>
    <w:rsid w:val="00244182"/>
    <w:rsid w:val="002544A1"/>
    <w:rsid w:val="00257ECE"/>
    <w:rsid w:val="00260382"/>
    <w:rsid w:val="00260B94"/>
    <w:rsid w:val="00264F2E"/>
    <w:rsid w:val="00271245"/>
    <w:rsid w:val="00273F66"/>
    <w:rsid w:val="00274A9E"/>
    <w:rsid w:val="00276BA1"/>
    <w:rsid w:val="00280984"/>
    <w:rsid w:val="002832CF"/>
    <w:rsid w:val="002835E3"/>
    <w:rsid w:val="00284542"/>
    <w:rsid w:val="002A0EE7"/>
    <w:rsid w:val="002A14D1"/>
    <w:rsid w:val="002A1A1D"/>
    <w:rsid w:val="002A28AD"/>
    <w:rsid w:val="002B04FD"/>
    <w:rsid w:val="002B5318"/>
    <w:rsid w:val="002B6D27"/>
    <w:rsid w:val="002B7A09"/>
    <w:rsid w:val="002C00C4"/>
    <w:rsid w:val="002C060C"/>
    <w:rsid w:val="002C078A"/>
    <w:rsid w:val="002D05DD"/>
    <w:rsid w:val="002D0E4D"/>
    <w:rsid w:val="002D2965"/>
    <w:rsid w:val="002D3D02"/>
    <w:rsid w:val="002D4CB5"/>
    <w:rsid w:val="002D5900"/>
    <w:rsid w:val="002D684B"/>
    <w:rsid w:val="002E003E"/>
    <w:rsid w:val="002E05AB"/>
    <w:rsid w:val="002E2142"/>
    <w:rsid w:val="002E2D3A"/>
    <w:rsid w:val="002E3B26"/>
    <w:rsid w:val="002E4406"/>
    <w:rsid w:val="002E4AB8"/>
    <w:rsid w:val="002E7FC4"/>
    <w:rsid w:val="0030667B"/>
    <w:rsid w:val="00310070"/>
    <w:rsid w:val="0031081B"/>
    <w:rsid w:val="003110EC"/>
    <w:rsid w:val="00314289"/>
    <w:rsid w:val="003206A6"/>
    <w:rsid w:val="0032560D"/>
    <w:rsid w:val="00327C92"/>
    <w:rsid w:val="00333292"/>
    <w:rsid w:val="003344E7"/>
    <w:rsid w:val="0033580B"/>
    <w:rsid w:val="003365E7"/>
    <w:rsid w:val="003378D5"/>
    <w:rsid w:val="003473D7"/>
    <w:rsid w:val="00351AC8"/>
    <w:rsid w:val="00353075"/>
    <w:rsid w:val="00363E02"/>
    <w:rsid w:val="00363F8C"/>
    <w:rsid w:val="00370201"/>
    <w:rsid w:val="00373A37"/>
    <w:rsid w:val="00373A96"/>
    <w:rsid w:val="003826C2"/>
    <w:rsid w:val="00383728"/>
    <w:rsid w:val="00384E57"/>
    <w:rsid w:val="003903BB"/>
    <w:rsid w:val="0039195E"/>
    <w:rsid w:val="00392627"/>
    <w:rsid w:val="00394128"/>
    <w:rsid w:val="00394ADC"/>
    <w:rsid w:val="00395235"/>
    <w:rsid w:val="0039561A"/>
    <w:rsid w:val="00397C7D"/>
    <w:rsid w:val="003A004F"/>
    <w:rsid w:val="003A2158"/>
    <w:rsid w:val="003A3AC4"/>
    <w:rsid w:val="003A5521"/>
    <w:rsid w:val="003B25A5"/>
    <w:rsid w:val="003B4130"/>
    <w:rsid w:val="003B715B"/>
    <w:rsid w:val="003C2C62"/>
    <w:rsid w:val="003C5566"/>
    <w:rsid w:val="003C577A"/>
    <w:rsid w:val="003C7E43"/>
    <w:rsid w:val="003D1D14"/>
    <w:rsid w:val="003D6C7C"/>
    <w:rsid w:val="003D6EFB"/>
    <w:rsid w:val="003D7E52"/>
    <w:rsid w:val="003E259A"/>
    <w:rsid w:val="003E25C6"/>
    <w:rsid w:val="003E46E1"/>
    <w:rsid w:val="003F7528"/>
    <w:rsid w:val="004011AA"/>
    <w:rsid w:val="0040202C"/>
    <w:rsid w:val="00404A8F"/>
    <w:rsid w:val="00406508"/>
    <w:rsid w:val="004110F6"/>
    <w:rsid w:val="00412755"/>
    <w:rsid w:val="0041456E"/>
    <w:rsid w:val="004148E3"/>
    <w:rsid w:val="00414F7E"/>
    <w:rsid w:val="004164F8"/>
    <w:rsid w:val="00421164"/>
    <w:rsid w:val="00426F05"/>
    <w:rsid w:val="004328E1"/>
    <w:rsid w:val="004427B7"/>
    <w:rsid w:val="0044349F"/>
    <w:rsid w:val="00443AB7"/>
    <w:rsid w:val="0044541D"/>
    <w:rsid w:val="00445F1F"/>
    <w:rsid w:val="00447862"/>
    <w:rsid w:val="00451F60"/>
    <w:rsid w:val="00452BB2"/>
    <w:rsid w:val="00456054"/>
    <w:rsid w:val="0045656D"/>
    <w:rsid w:val="00462D98"/>
    <w:rsid w:val="00463E7D"/>
    <w:rsid w:val="00472498"/>
    <w:rsid w:val="00472A44"/>
    <w:rsid w:val="00473A89"/>
    <w:rsid w:val="00475899"/>
    <w:rsid w:val="00482C78"/>
    <w:rsid w:val="00483ABC"/>
    <w:rsid w:val="0048634A"/>
    <w:rsid w:val="004874AE"/>
    <w:rsid w:val="0049056F"/>
    <w:rsid w:val="0049106C"/>
    <w:rsid w:val="004916E7"/>
    <w:rsid w:val="00491FF7"/>
    <w:rsid w:val="00492217"/>
    <w:rsid w:val="00494D24"/>
    <w:rsid w:val="004951D1"/>
    <w:rsid w:val="004960BB"/>
    <w:rsid w:val="004A1BA3"/>
    <w:rsid w:val="004A27D0"/>
    <w:rsid w:val="004A4D67"/>
    <w:rsid w:val="004B7E79"/>
    <w:rsid w:val="004C13CB"/>
    <w:rsid w:val="004C5B90"/>
    <w:rsid w:val="004D3D4B"/>
    <w:rsid w:val="004D4557"/>
    <w:rsid w:val="004D5498"/>
    <w:rsid w:val="004D66A5"/>
    <w:rsid w:val="004D6B00"/>
    <w:rsid w:val="004E1D50"/>
    <w:rsid w:val="004E3266"/>
    <w:rsid w:val="004E38BA"/>
    <w:rsid w:val="004E3EB6"/>
    <w:rsid w:val="004E50CA"/>
    <w:rsid w:val="004F27A0"/>
    <w:rsid w:val="0050027D"/>
    <w:rsid w:val="00501382"/>
    <w:rsid w:val="005048FB"/>
    <w:rsid w:val="00510798"/>
    <w:rsid w:val="005119B5"/>
    <w:rsid w:val="005125F1"/>
    <w:rsid w:val="005150CC"/>
    <w:rsid w:val="0052451A"/>
    <w:rsid w:val="00524A11"/>
    <w:rsid w:val="00527768"/>
    <w:rsid w:val="00530EA4"/>
    <w:rsid w:val="005327FB"/>
    <w:rsid w:val="00533251"/>
    <w:rsid w:val="00533FCA"/>
    <w:rsid w:val="005346EF"/>
    <w:rsid w:val="005369F1"/>
    <w:rsid w:val="005470D4"/>
    <w:rsid w:val="00547BAB"/>
    <w:rsid w:val="0055705E"/>
    <w:rsid w:val="005616B5"/>
    <w:rsid w:val="00566690"/>
    <w:rsid w:val="005679A4"/>
    <w:rsid w:val="00574CE6"/>
    <w:rsid w:val="0059223D"/>
    <w:rsid w:val="0059365B"/>
    <w:rsid w:val="00593ABC"/>
    <w:rsid w:val="00597B15"/>
    <w:rsid w:val="005A044C"/>
    <w:rsid w:val="005A149F"/>
    <w:rsid w:val="005A3A32"/>
    <w:rsid w:val="005B2C9F"/>
    <w:rsid w:val="005B34C9"/>
    <w:rsid w:val="005B3C39"/>
    <w:rsid w:val="005B7D08"/>
    <w:rsid w:val="005C1D52"/>
    <w:rsid w:val="005D0200"/>
    <w:rsid w:val="005D44EF"/>
    <w:rsid w:val="005D5112"/>
    <w:rsid w:val="005D5D67"/>
    <w:rsid w:val="005F34CC"/>
    <w:rsid w:val="005F3914"/>
    <w:rsid w:val="005F3B5A"/>
    <w:rsid w:val="005F6AB4"/>
    <w:rsid w:val="00607471"/>
    <w:rsid w:val="00610A66"/>
    <w:rsid w:val="006119B8"/>
    <w:rsid w:val="00613177"/>
    <w:rsid w:val="00613F7C"/>
    <w:rsid w:val="00614BF2"/>
    <w:rsid w:val="0061557C"/>
    <w:rsid w:val="006208E4"/>
    <w:rsid w:val="00623DE2"/>
    <w:rsid w:val="00627601"/>
    <w:rsid w:val="006300D0"/>
    <w:rsid w:val="00632012"/>
    <w:rsid w:val="00634694"/>
    <w:rsid w:val="00634D55"/>
    <w:rsid w:val="00636517"/>
    <w:rsid w:val="00636EE7"/>
    <w:rsid w:val="00637690"/>
    <w:rsid w:val="00640E1E"/>
    <w:rsid w:val="00641BA3"/>
    <w:rsid w:val="0064389A"/>
    <w:rsid w:val="00645442"/>
    <w:rsid w:val="006525CD"/>
    <w:rsid w:val="00653F7F"/>
    <w:rsid w:val="006572DE"/>
    <w:rsid w:val="00662DCD"/>
    <w:rsid w:val="00662EE8"/>
    <w:rsid w:val="00663813"/>
    <w:rsid w:val="00664AFD"/>
    <w:rsid w:val="006665DC"/>
    <w:rsid w:val="00667567"/>
    <w:rsid w:val="0067391A"/>
    <w:rsid w:val="00674173"/>
    <w:rsid w:val="0067534F"/>
    <w:rsid w:val="00676A33"/>
    <w:rsid w:val="0067717E"/>
    <w:rsid w:val="00677D87"/>
    <w:rsid w:val="00690C2D"/>
    <w:rsid w:val="00690DB1"/>
    <w:rsid w:val="00693404"/>
    <w:rsid w:val="00693E5C"/>
    <w:rsid w:val="006953D9"/>
    <w:rsid w:val="006A1269"/>
    <w:rsid w:val="006A36E7"/>
    <w:rsid w:val="006A5803"/>
    <w:rsid w:val="006A65F3"/>
    <w:rsid w:val="006A69C3"/>
    <w:rsid w:val="006A7C15"/>
    <w:rsid w:val="006B1242"/>
    <w:rsid w:val="006B1DBC"/>
    <w:rsid w:val="006B1F84"/>
    <w:rsid w:val="006B3712"/>
    <w:rsid w:val="006B7D9A"/>
    <w:rsid w:val="006C06D9"/>
    <w:rsid w:val="006C3E22"/>
    <w:rsid w:val="006C5716"/>
    <w:rsid w:val="006C64B2"/>
    <w:rsid w:val="006C74A9"/>
    <w:rsid w:val="006D07DE"/>
    <w:rsid w:val="006D361A"/>
    <w:rsid w:val="006D5B6D"/>
    <w:rsid w:val="006D6A81"/>
    <w:rsid w:val="006D7213"/>
    <w:rsid w:val="006E06D9"/>
    <w:rsid w:val="006E1D40"/>
    <w:rsid w:val="006E2E1F"/>
    <w:rsid w:val="006E5059"/>
    <w:rsid w:val="006F4C5B"/>
    <w:rsid w:val="006F5F03"/>
    <w:rsid w:val="006F5FFF"/>
    <w:rsid w:val="006F7F4C"/>
    <w:rsid w:val="00701431"/>
    <w:rsid w:val="00710804"/>
    <w:rsid w:val="00711FC6"/>
    <w:rsid w:val="00712952"/>
    <w:rsid w:val="007130B1"/>
    <w:rsid w:val="00713487"/>
    <w:rsid w:val="00715071"/>
    <w:rsid w:val="007231E9"/>
    <w:rsid w:val="00723731"/>
    <w:rsid w:val="00724F0E"/>
    <w:rsid w:val="007270A6"/>
    <w:rsid w:val="00727C59"/>
    <w:rsid w:val="007328C6"/>
    <w:rsid w:val="00733730"/>
    <w:rsid w:val="00734E5D"/>
    <w:rsid w:val="0073514E"/>
    <w:rsid w:val="00736013"/>
    <w:rsid w:val="00737BF8"/>
    <w:rsid w:val="0074339B"/>
    <w:rsid w:val="007469DD"/>
    <w:rsid w:val="00750B60"/>
    <w:rsid w:val="00756245"/>
    <w:rsid w:val="00761662"/>
    <w:rsid w:val="00764043"/>
    <w:rsid w:val="00766A36"/>
    <w:rsid w:val="007757CF"/>
    <w:rsid w:val="007769F6"/>
    <w:rsid w:val="00780F9D"/>
    <w:rsid w:val="0078128F"/>
    <w:rsid w:val="007819D9"/>
    <w:rsid w:val="0078642F"/>
    <w:rsid w:val="0078683C"/>
    <w:rsid w:val="00790EDB"/>
    <w:rsid w:val="00791538"/>
    <w:rsid w:val="0079326E"/>
    <w:rsid w:val="00796E1C"/>
    <w:rsid w:val="00796EDE"/>
    <w:rsid w:val="007A5A58"/>
    <w:rsid w:val="007B1C56"/>
    <w:rsid w:val="007B29AB"/>
    <w:rsid w:val="007C1DD7"/>
    <w:rsid w:val="007C35D3"/>
    <w:rsid w:val="007C3CD5"/>
    <w:rsid w:val="007C4756"/>
    <w:rsid w:val="007C5E88"/>
    <w:rsid w:val="007C61EF"/>
    <w:rsid w:val="007D03DE"/>
    <w:rsid w:val="007D1C0D"/>
    <w:rsid w:val="007D2D23"/>
    <w:rsid w:val="007E27D6"/>
    <w:rsid w:val="007E2B06"/>
    <w:rsid w:val="007E3921"/>
    <w:rsid w:val="00801028"/>
    <w:rsid w:val="00803793"/>
    <w:rsid w:val="00804000"/>
    <w:rsid w:val="00805254"/>
    <w:rsid w:val="008101A2"/>
    <w:rsid w:val="00817A01"/>
    <w:rsid w:val="00820937"/>
    <w:rsid w:val="00823DDD"/>
    <w:rsid w:val="00825E35"/>
    <w:rsid w:val="00830A4E"/>
    <w:rsid w:val="008334F8"/>
    <w:rsid w:val="00834249"/>
    <w:rsid w:val="00835FFD"/>
    <w:rsid w:val="0084381F"/>
    <w:rsid w:val="00843E35"/>
    <w:rsid w:val="00845F72"/>
    <w:rsid w:val="00846020"/>
    <w:rsid w:val="0084791E"/>
    <w:rsid w:val="00850A91"/>
    <w:rsid w:val="008524CE"/>
    <w:rsid w:val="00856D9D"/>
    <w:rsid w:val="00857633"/>
    <w:rsid w:val="0086440C"/>
    <w:rsid w:val="008674ED"/>
    <w:rsid w:val="00874EE6"/>
    <w:rsid w:val="00876659"/>
    <w:rsid w:val="0087734C"/>
    <w:rsid w:val="00882141"/>
    <w:rsid w:val="00886BD4"/>
    <w:rsid w:val="00886CA2"/>
    <w:rsid w:val="008876EC"/>
    <w:rsid w:val="008922A8"/>
    <w:rsid w:val="00895BD5"/>
    <w:rsid w:val="008A16C4"/>
    <w:rsid w:val="008A4A27"/>
    <w:rsid w:val="008A649F"/>
    <w:rsid w:val="008A6FED"/>
    <w:rsid w:val="008B0945"/>
    <w:rsid w:val="008B39C5"/>
    <w:rsid w:val="008B51AA"/>
    <w:rsid w:val="008C67F2"/>
    <w:rsid w:val="008C7E63"/>
    <w:rsid w:val="008D064A"/>
    <w:rsid w:val="008D2537"/>
    <w:rsid w:val="008D2B0F"/>
    <w:rsid w:val="008D5EE5"/>
    <w:rsid w:val="008D633C"/>
    <w:rsid w:val="008D76DA"/>
    <w:rsid w:val="008D7DB2"/>
    <w:rsid w:val="008E449E"/>
    <w:rsid w:val="008E4BDD"/>
    <w:rsid w:val="008E5387"/>
    <w:rsid w:val="008E770C"/>
    <w:rsid w:val="008F00F4"/>
    <w:rsid w:val="008F187F"/>
    <w:rsid w:val="008F402F"/>
    <w:rsid w:val="008F76E8"/>
    <w:rsid w:val="00904508"/>
    <w:rsid w:val="009078A1"/>
    <w:rsid w:val="00911E9C"/>
    <w:rsid w:val="00917405"/>
    <w:rsid w:val="00920F7C"/>
    <w:rsid w:val="00922718"/>
    <w:rsid w:val="00924743"/>
    <w:rsid w:val="00932A87"/>
    <w:rsid w:val="00934CAE"/>
    <w:rsid w:val="0093560E"/>
    <w:rsid w:val="0094257D"/>
    <w:rsid w:val="009443B6"/>
    <w:rsid w:val="00946F68"/>
    <w:rsid w:val="0095467C"/>
    <w:rsid w:val="00954A61"/>
    <w:rsid w:val="00955C6F"/>
    <w:rsid w:val="00966C7B"/>
    <w:rsid w:val="009679A2"/>
    <w:rsid w:val="009701DC"/>
    <w:rsid w:val="009715D8"/>
    <w:rsid w:val="009811A8"/>
    <w:rsid w:val="00985C4F"/>
    <w:rsid w:val="00986E3C"/>
    <w:rsid w:val="00991460"/>
    <w:rsid w:val="009932CF"/>
    <w:rsid w:val="009941BF"/>
    <w:rsid w:val="00995BF9"/>
    <w:rsid w:val="009975CC"/>
    <w:rsid w:val="009A0CAF"/>
    <w:rsid w:val="009A2207"/>
    <w:rsid w:val="009B0EDA"/>
    <w:rsid w:val="009B6C42"/>
    <w:rsid w:val="009C3F38"/>
    <w:rsid w:val="009D2998"/>
    <w:rsid w:val="009D31F7"/>
    <w:rsid w:val="009D32C2"/>
    <w:rsid w:val="009D50DB"/>
    <w:rsid w:val="009E2932"/>
    <w:rsid w:val="009E2DFA"/>
    <w:rsid w:val="009E3A0A"/>
    <w:rsid w:val="009F1936"/>
    <w:rsid w:val="009F3E91"/>
    <w:rsid w:val="009F4E0E"/>
    <w:rsid w:val="00A008DA"/>
    <w:rsid w:val="00A00C93"/>
    <w:rsid w:val="00A0571E"/>
    <w:rsid w:val="00A1397D"/>
    <w:rsid w:val="00A13A27"/>
    <w:rsid w:val="00A1499B"/>
    <w:rsid w:val="00A170D8"/>
    <w:rsid w:val="00A26BC5"/>
    <w:rsid w:val="00A27D73"/>
    <w:rsid w:val="00A30A1B"/>
    <w:rsid w:val="00A314C2"/>
    <w:rsid w:val="00A40B71"/>
    <w:rsid w:val="00A501BF"/>
    <w:rsid w:val="00A519A0"/>
    <w:rsid w:val="00A6249F"/>
    <w:rsid w:val="00A62A2E"/>
    <w:rsid w:val="00A630B4"/>
    <w:rsid w:val="00A63E86"/>
    <w:rsid w:val="00A75185"/>
    <w:rsid w:val="00A754A0"/>
    <w:rsid w:val="00A757C3"/>
    <w:rsid w:val="00A75E5B"/>
    <w:rsid w:val="00A75F4B"/>
    <w:rsid w:val="00A7684A"/>
    <w:rsid w:val="00A80C58"/>
    <w:rsid w:val="00A83B69"/>
    <w:rsid w:val="00A86533"/>
    <w:rsid w:val="00A91CA2"/>
    <w:rsid w:val="00A9220A"/>
    <w:rsid w:val="00A92FB8"/>
    <w:rsid w:val="00A948F1"/>
    <w:rsid w:val="00AA0BE3"/>
    <w:rsid w:val="00AA18F9"/>
    <w:rsid w:val="00AA1D7D"/>
    <w:rsid w:val="00AA2790"/>
    <w:rsid w:val="00AA3806"/>
    <w:rsid w:val="00AB01AC"/>
    <w:rsid w:val="00AB139D"/>
    <w:rsid w:val="00AB2A35"/>
    <w:rsid w:val="00AB2D05"/>
    <w:rsid w:val="00AB348D"/>
    <w:rsid w:val="00AB3EFB"/>
    <w:rsid w:val="00AC0B05"/>
    <w:rsid w:val="00AC1962"/>
    <w:rsid w:val="00AC7F9D"/>
    <w:rsid w:val="00AD079A"/>
    <w:rsid w:val="00AD1890"/>
    <w:rsid w:val="00AD6588"/>
    <w:rsid w:val="00AD7CCB"/>
    <w:rsid w:val="00AE2149"/>
    <w:rsid w:val="00AE2BF3"/>
    <w:rsid w:val="00AE33AE"/>
    <w:rsid w:val="00AE3F91"/>
    <w:rsid w:val="00AF5B63"/>
    <w:rsid w:val="00B0053D"/>
    <w:rsid w:val="00B00FF1"/>
    <w:rsid w:val="00B039E3"/>
    <w:rsid w:val="00B06D36"/>
    <w:rsid w:val="00B12BC4"/>
    <w:rsid w:val="00B22838"/>
    <w:rsid w:val="00B33E8F"/>
    <w:rsid w:val="00B33E95"/>
    <w:rsid w:val="00B3720B"/>
    <w:rsid w:val="00B372DF"/>
    <w:rsid w:val="00B420C8"/>
    <w:rsid w:val="00B45D0B"/>
    <w:rsid w:val="00B5558A"/>
    <w:rsid w:val="00B56513"/>
    <w:rsid w:val="00B5736B"/>
    <w:rsid w:val="00B576F1"/>
    <w:rsid w:val="00B6167E"/>
    <w:rsid w:val="00B61B64"/>
    <w:rsid w:val="00B64376"/>
    <w:rsid w:val="00B6570C"/>
    <w:rsid w:val="00B7401F"/>
    <w:rsid w:val="00B748E5"/>
    <w:rsid w:val="00B769CF"/>
    <w:rsid w:val="00B806C3"/>
    <w:rsid w:val="00B80D6F"/>
    <w:rsid w:val="00B84FCA"/>
    <w:rsid w:val="00B9089F"/>
    <w:rsid w:val="00B91826"/>
    <w:rsid w:val="00B91AEE"/>
    <w:rsid w:val="00B93568"/>
    <w:rsid w:val="00B95F5A"/>
    <w:rsid w:val="00B96EAD"/>
    <w:rsid w:val="00BA4B7C"/>
    <w:rsid w:val="00BA79F5"/>
    <w:rsid w:val="00BA7EA7"/>
    <w:rsid w:val="00BB3AB6"/>
    <w:rsid w:val="00BB766D"/>
    <w:rsid w:val="00BC007B"/>
    <w:rsid w:val="00BC26BA"/>
    <w:rsid w:val="00BC35F8"/>
    <w:rsid w:val="00BC403F"/>
    <w:rsid w:val="00BC481B"/>
    <w:rsid w:val="00BC6EB9"/>
    <w:rsid w:val="00BD08DF"/>
    <w:rsid w:val="00BD2D29"/>
    <w:rsid w:val="00BD617C"/>
    <w:rsid w:val="00BE5974"/>
    <w:rsid w:val="00BE746B"/>
    <w:rsid w:val="00BE782C"/>
    <w:rsid w:val="00BF17B4"/>
    <w:rsid w:val="00BF376F"/>
    <w:rsid w:val="00BF426A"/>
    <w:rsid w:val="00BF46A6"/>
    <w:rsid w:val="00BF572F"/>
    <w:rsid w:val="00BF6CAD"/>
    <w:rsid w:val="00BF71FB"/>
    <w:rsid w:val="00C04DBF"/>
    <w:rsid w:val="00C05C07"/>
    <w:rsid w:val="00C05E4C"/>
    <w:rsid w:val="00C06545"/>
    <w:rsid w:val="00C11D8C"/>
    <w:rsid w:val="00C134AF"/>
    <w:rsid w:val="00C220FC"/>
    <w:rsid w:val="00C24DFA"/>
    <w:rsid w:val="00C24F9D"/>
    <w:rsid w:val="00C2521C"/>
    <w:rsid w:val="00C30182"/>
    <w:rsid w:val="00C31FC9"/>
    <w:rsid w:val="00C37A63"/>
    <w:rsid w:val="00C42248"/>
    <w:rsid w:val="00C46A36"/>
    <w:rsid w:val="00C47037"/>
    <w:rsid w:val="00C509E3"/>
    <w:rsid w:val="00C53625"/>
    <w:rsid w:val="00C548BA"/>
    <w:rsid w:val="00C5679D"/>
    <w:rsid w:val="00C57784"/>
    <w:rsid w:val="00C602C1"/>
    <w:rsid w:val="00C63FC0"/>
    <w:rsid w:val="00C66392"/>
    <w:rsid w:val="00C71B9E"/>
    <w:rsid w:val="00C73D09"/>
    <w:rsid w:val="00C74C5E"/>
    <w:rsid w:val="00C768B0"/>
    <w:rsid w:val="00C82558"/>
    <w:rsid w:val="00C827A2"/>
    <w:rsid w:val="00C82965"/>
    <w:rsid w:val="00C82B69"/>
    <w:rsid w:val="00C82C8E"/>
    <w:rsid w:val="00C82CB3"/>
    <w:rsid w:val="00C91B28"/>
    <w:rsid w:val="00C91F3A"/>
    <w:rsid w:val="00C92E1A"/>
    <w:rsid w:val="00C93590"/>
    <w:rsid w:val="00CA4C7F"/>
    <w:rsid w:val="00CA5446"/>
    <w:rsid w:val="00CB14E5"/>
    <w:rsid w:val="00CB15F8"/>
    <w:rsid w:val="00CB218D"/>
    <w:rsid w:val="00CB377B"/>
    <w:rsid w:val="00CB5625"/>
    <w:rsid w:val="00CB5797"/>
    <w:rsid w:val="00CC1400"/>
    <w:rsid w:val="00CC1C17"/>
    <w:rsid w:val="00CC4CD2"/>
    <w:rsid w:val="00CC4F7F"/>
    <w:rsid w:val="00CD09E1"/>
    <w:rsid w:val="00CD1BB5"/>
    <w:rsid w:val="00CE1780"/>
    <w:rsid w:val="00CE4913"/>
    <w:rsid w:val="00CE66BD"/>
    <w:rsid w:val="00CF0671"/>
    <w:rsid w:val="00CF247A"/>
    <w:rsid w:val="00CF44AD"/>
    <w:rsid w:val="00CF4D7C"/>
    <w:rsid w:val="00CF4FC0"/>
    <w:rsid w:val="00CF7486"/>
    <w:rsid w:val="00D1072F"/>
    <w:rsid w:val="00D108A5"/>
    <w:rsid w:val="00D14585"/>
    <w:rsid w:val="00D153C8"/>
    <w:rsid w:val="00D169F2"/>
    <w:rsid w:val="00D20EFF"/>
    <w:rsid w:val="00D236BB"/>
    <w:rsid w:val="00D3019D"/>
    <w:rsid w:val="00D31324"/>
    <w:rsid w:val="00D4386E"/>
    <w:rsid w:val="00D51432"/>
    <w:rsid w:val="00D53ED8"/>
    <w:rsid w:val="00D541A0"/>
    <w:rsid w:val="00D5697F"/>
    <w:rsid w:val="00D64857"/>
    <w:rsid w:val="00D6493A"/>
    <w:rsid w:val="00D649A5"/>
    <w:rsid w:val="00D660EA"/>
    <w:rsid w:val="00D66833"/>
    <w:rsid w:val="00D67875"/>
    <w:rsid w:val="00D71E86"/>
    <w:rsid w:val="00D72F0F"/>
    <w:rsid w:val="00D731C6"/>
    <w:rsid w:val="00D745C5"/>
    <w:rsid w:val="00D75327"/>
    <w:rsid w:val="00D77D6B"/>
    <w:rsid w:val="00D801FE"/>
    <w:rsid w:val="00D80C36"/>
    <w:rsid w:val="00D81A32"/>
    <w:rsid w:val="00D86EE1"/>
    <w:rsid w:val="00D945DC"/>
    <w:rsid w:val="00D95E90"/>
    <w:rsid w:val="00D96126"/>
    <w:rsid w:val="00DA090D"/>
    <w:rsid w:val="00DA0FCD"/>
    <w:rsid w:val="00DA2FD5"/>
    <w:rsid w:val="00DB0C86"/>
    <w:rsid w:val="00DB4B1C"/>
    <w:rsid w:val="00DB5085"/>
    <w:rsid w:val="00DB619F"/>
    <w:rsid w:val="00DB7211"/>
    <w:rsid w:val="00DC1062"/>
    <w:rsid w:val="00DC132C"/>
    <w:rsid w:val="00DC181A"/>
    <w:rsid w:val="00DC5727"/>
    <w:rsid w:val="00DD13B9"/>
    <w:rsid w:val="00DD149F"/>
    <w:rsid w:val="00DD43F0"/>
    <w:rsid w:val="00DD44DE"/>
    <w:rsid w:val="00DE09AB"/>
    <w:rsid w:val="00DE352F"/>
    <w:rsid w:val="00DE4A3F"/>
    <w:rsid w:val="00DE5A99"/>
    <w:rsid w:val="00DF2880"/>
    <w:rsid w:val="00DF4367"/>
    <w:rsid w:val="00DF7291"/>
    <w:rsid w:val="00E03FF0"/>
    <w:rsid w:val="00E055BF"/>
    <w:rsid w:val="00E0574A"/>
    <w:rsid w:val="00E1243D"/>
    <w:rsid w:val="00E12742"/>
    <w:rsid w:val="00E146D4"/>
    <w:rsid w:val="00E14815"/>
    <w:rsid w:val="00E21D37"/>
    <w:rsid w:val="00E220ED"/>
    <w:rsid w:val="00E22B44"/>
    <w:rsid w:val="00E233AD"/>
    <w:rsid w:val="00E26EB1"/>
    <w:rsid w:val="00E30ACD"/>
    <w:rsid w:val="00E32735"/>
    <w:rsid w:val="00E34236"/>
    <w:rsid w:val="00E44B88"/>
    <w:rsid w:val="00E50BFA"/>
    <w:rsid w:val="00E66E36"/>
    <w:rsid w:val="00E702ED"/>
    <w:rsid w:val="00E709A4"/>
    <w:rsid w:val="00E71D4A"/>
    <w:rsid w:val="00E75917"/>
    <w:rsid w:val="00E772DB"/>
    <w:rsid w:val="00E86012"/>
    <w:rsid w:val="00E860CA"/>
    <w:rsid w:val="00E86BAB"/>
    <w:rsid w:val="00E92962"/>
    <w:rsid w:val="00E94E10"/>
    <w:rsid w:val="00E96743"/>
    <w:rsid w:val="00E96A42"/>
    <w:rsid w:val="00E97497"/>
    <w:rsid w:val="00EA046F"/>
    <w:rsid w:val="00EA49C5"/>
    <w:rsid w:val="00EA6279"/>
    <w:rsid w:val="00EB402C"/>
    <w:rsid w:val="00EB5027"/>
    <w:rsid w:val="00EC1836"/>
    <w:rsid w:val="00EC3990"/>
    <w:rsid w:val="00EC484B"/>
    <w:rsid w:val="00EC7E58"/>
    <w:rsid w:val="00ED15FA"/>
    <w:rsid w:val="00ED5C9F"/>
    <w:rsid w:val="00EE050C"/>
    <w:rsid w:val="00EE2113"/>
    <w:rsid w:val="00EE5730"/>
    <w:rsid w:val="00EE6E9A"/>
    <w:rsid w:val="00EF2AC4"/>
    <w:rsid w:val="00EF397E"/>
    <w:rsid w:val="00EF762E"/>
    <w:rsid w:val="00F0340C"/>
    <w:rsid w:val="00F04CED"/>
    <w:rsid w:val="00F06F68"/>
    <w:rsid w:val="00F11241"/>
    <w:rsid w:val="00F11D35"/>
    <w:rsid w:val="00F15E9D"/>
    <w:rsid w:val="00F23FA7"/>
    <w:rsid w:val="00F24C2D"/>
    <w:rsid w:val="00F2717E"/>
    <w:rsid w:val="00F272C4"/>
    <w:rsid w:val="00F27D59"/>
    <w:rsid w:val="00F316E1"/>
    <w:rsid w:val="00F32155"/>
    <w:rsid w:val="00F32A81"/>
    <w:rsid w:val="00F40C82"/>
    <w:rsid w:val="00F4197F"/>
    <w:rsid w:val="00F438EE"/>
    <w:rsid w:val="00F44F2A"/>
    <w:rsid w:val="00F45367"/>
    <w:rsid w:val="00F46998"/>
    <w:rsid w:val="00F5093F"/>
    <w:rsid w:val="00F5382D"/>
    <w:rsid w:val="00F53D9C"/>
    <w:rsid w:val="00F5462B"/>
    <w:rsid w:val="00F54653"/>
    <w:rsid w:val="00F569DE"/>
    <w:rsid w:val="00F57205"/>
    <w:rsid w:val="00F634AD"/>
    <w:rsid w:val="00F63677"/>
    <w:rsid w:val="00F659DA"/>
    <w:rsid w:val="00F671CE"/>
    <w:rsid w:val="00F674DA"/>
    <w:rsid w:val="00F70658"/>
    <w:rsid w:val="00F74B50"/>
    <w:rsid w:val="00F75B81"/>
    <w:rsid w:val="00F761CA"/>
    <w:rsid w:val="00F804C4"/>
    <w:rsid w:val="00F80C7E"/>
    <w:rsid w:val="00F82F83"/>
    <w:rsid w:val="00F90C64"/>
    <w:rsid w:val="00F9210C"/>
    <w:rsid w:val="00F92B30"/>
    <w:rsid w:val="00F933B9"/>
    <w:rsid w:val="00F94674"/>
    <w:rsid w:val="00F94919"/>
    <w:rsid w:val="00F94A59"/>
    <w:rsid w:val="00FA25B6"/>
    <w:rsid w:val="00FA2FAF"/>
    <w:rsid w:val="00FA54F6"/>
    <w:rsid w:val="00FA64B1"/>
    <w:rsid w:val="00FA70F3"/>
    <w:rsid w:val="00FA71CD"/>
    <w:rsid w:val="00FA7C66"/>
    <w:rsid w:val="00FB0453"/>
    <w:rsid w:val="00FB0C07"/>
    <w:rsid w:val="00FB298D"/>
    <w:rsid w:val="00FB3171"/>
    <w:rsid w:val="00FB38B5"/>
    <w:rsid w:val="00FB444E"/>
    <w:rsid w:val="00FB5DC9"/>
    <w:rsid w:val="00FC1439"/>
    <w:rsid w:val="00FC3F65"/>
    <w:rsid w:val="00FC5007"/>
    <w:rsid w:val="00FC724B"/>
    <w:rsid w:val="00FC7910"/>
    <w:rsid w:val="00FD01E0"/>
    <w:rsid w:val="00FD50FC"/>
    <w:rsid w:val="00FE1627"/>
    <w:rsid w:val="00FE2D4E"/>
    <w:rsid w:val="00FF092F"/>
    <w:rsid w:val="00FF0DA7"/>
    <w:rsid w:val="00FF2DF6"/>
    <w:rsid w:val="00FF44E0"/>
    <w:rsid w:val="00FF6C72"/>
    <w:rsid w:val="01216A43"/>
    <w:rsid w:val="060D5ED0"/>
    <w:rsid w:val="06EE74DB"/>
    <w:rsid w:val="072015CC"/>
    <w:rsid w:val="08617CF0"/>
    <w:rsid w:val="093E5132"/>
    <w:rsid w:val="099C3247"/>
    <w:rsid w:val="0B34273F"/>
    <w:rsid w:val="0B5759D8"/>
    <w:rsid w:val="0B584B6B"/>
    <w:rsid w:val="0B9A6428"/>
    <w:rsid w:val="0BC76A6E"/>
    <w:rsid w:val="0BD069A1"/>
    <w:rsid w:val="0C0B76AE"/>
    <w:rsid w:val="0C695EBF"/>
    <w:rsid w:val="0C764D16"/>
    <w:rsid w:val="0C90002F"/>
    <w:rsid w:val="0D3E7892"/>
    <w:rsid w:val="0DB72352"/>
    <w:rsid w:val="0DFC12FE"/>
    <w:rsid w:val="0DFF1A91"/>
    <w:rsid w:val="0E30091C"/>
    <w:rsid w:val="0EB116DF"/>
    <w:rsid w:val="0EB9796D"/>
    <w:rsid w:val="0ED93BBF"/>
    <w:rsid w:val="0FC76BB7"/>
    <w:rsid w:val="0FCD35C4"/>
    <w:rsid w:val="10F935A7"/>
    <w:rsid w:val="11843FEF"/>
    <w:rsid w:val="12E83133"/>
    <w:rsid w:val="13607801"/>
    <w:rsid w:val="1375778E"/>
    <w:rsid w:val="14E43199"/>
    <w:rsid w:val="16F15C51"/>
    <w:rsid w:val="17146EEB"/>
    <w:rsid w:val="18A85F98"/>
    <w:rsid w:val="1A3302CA"/>
    <w:rsid w:val="1B291D20"/>
    <w:rsid w:val="1D015171"/>
    <w:rsid w:val="1D191BE5"/>
    <w:rsid w:val="1D3B78BE"/>
    <w:rsid w:val="1DEC70E9"/>
    <w:rsid w:val="1E0B00F8"/>
    <w:rsid w:val="1E112FC8"/>
    <w:rsid w:val="1F2E6A6D"/>
    <w:rsid w:val="206F5885"/>
    <w:rsid w:val="21326E5F"/>
    <w:rsid w:val="21A12912"/>
    <w:rsid w:val="237C1D35"/>
    <w:rsid w:val="241D3932"/>
    <w:rsid w:val="247E2DFD"/>
    <w:rsid w:val="265B0373"/>
    <w:rsid w:val="274D5052"/>
    <w:rsid w:val="27E85AF1"/>
    <w:rsid w:val="27F46626"/>
    <w:rsid w:val="288E11CC"/>
    <w:rsid w:val="28A96E2F"/>
    <w:rsid w:val="2A1534D2"/>
    <w:rsid w:val="2B5044AE"/>
    <w:rsid w:val="2B89414F"/>
    <w:rsid w:val="2D1633EB"/>
    <w:rsid w:val="2D611D48"/>
    <w:rsid w:val="2E992065"/>
    <w:rsid w:val="2EB60132"/>
    <w:rsid w:val="2F850E2A"/>
    <w:rsid w:val="2F8779B7"/>
    <w:rsid w:val="31966FB2"/>
    <w:rsid w:val="3215051D"/>
    <w:rsid w:val="34152599"/>
    <w:rsid w:val="3544508A"/>
    <w:rsid w:val="36AD04C3"/>
    <w:rsid w:val="36E71BB0"/>
    <w:rsid w:val="385414FE"/>
    <w:rsid w:val="38CD4FE1"/>
    <w:rsid w:val="3B5006E0"/>
    <w:rsid w:val="3C2546B9"/>
    <w:rsid w:val="3C9227B9"/>
    <w:rsid w:val="3E1715D2"/>
    <w:rsid w:val="40494A1B"/>
    <w:rsid w:val="408D59ED"/>
    <w:rsid w:val="40B54BA9"/>
    <w:rsid w:val="42781F97"/>
    <w:rsid w:val="43406525"/>
    <w:rsid w:val="44CC5046"/>
    <w:rsid w:val="44F243AD"/>
    <w:rsid w:val="45B649C6"/>
    <w:rsid w:val="46D629D1"/>
    <w:rsid w:val="47C27D6C"/>
    <w:rsid w:val="4838270D"/>
    <w:rsid w:val="486E253B"/>
    <w:rsid w:val="48EC3373"/>
    <w:rsid w:val="48F007C1"/>
    <w:rsid w:val="493B64BB"/>
    <w:rsid w:val="495E0E6D"/>
    <w:rsid w:val="49CD7090"/>
    <w:rsid w:val="49D55251"/>
    <w:rsid w:val="4BE87A98"/>
    <w:rsid w:val="4C1743E7"/>
    <w:rsid w:val="4C2E43AC"/>
    <w:rsid w:val="4E616C92"/>
    <w:rsid w:val="4E6F2E5D"/>
    <w:rsid w:val="4F9B25B3"/>
    <w:rsid w:val="502B1AD6"/>
    <w:rsid w:val="508A5A0C"/>
    <w:rsid w:val="50B13DEA"/>
    <w:rsid w:val="50B51734"/>
    <w:rsid w:val="5407371F"/>
    <w:rsid w:val="54572102"/>
    <w:rsid w:val="55076EDB"/>
    <w:rsid w:val="557F62EE"/>
    <w:rsid w:val="565019E7"/>
    <w:rsid w:val="56861129"/>
    <w:rsid w:val="569861B6"/>
    <w:rsid w:val="56B6493F"/>
    <w:rsid w:val="56D26221"/>
    <w:rsid w:val="5809250B"/>
    <w:rsid w:val="58946959"/>
    <w:rsid w:val="589E1721"/>
    <w:rsid w:val="58A83101"/>
    <w:rsid w:val="5A5113C2"/>
    <w:rsid w:val="5C8F7148"/>
    <w:rsid w:val="5D5B355A"/>
    <w:rsid w:val="5D8C4430"/>
    <w:rsid w:val="5F6103C2"/>
    <w:rsid w:val="5FCD130C"/>
    <w:rsid w:val="5FD07FE9"/>
    <w:rsid w:val="60613CC2"/>
    <w:rsid w:val="61463747"/>
    <w:rsid w:val="61737CE0"/>
    <w:rsid w:val="617A62BB"/>
    <w:rsid w:val="61FF434A"/>
    <w:rsid w:val="62450E0A"/>
    <w:rsid w:val="6270505E"/>
    <w:rsid w:val="62A2790D"/>
    <w:rsid w:val="62EB49FC"/>
    <w:rsid w:val="632B05B6"/>
    <w:rsid w:val="63D905AD"/>
    <w:rsid w:val="645F3309"/>
    <w:rsid w:val="647A03AB"/>
    <w:rsid w:val="652674EA"/>
    <w:rsid w:val="6539612E"/>
    <w:rsid w:val="65B46500"/>
    <w:rsid w:val="66E2747D"/>
    <w:rsid w:val="66F7550A"/>
    <w:rsid w:val="673047EC"/>
    <w:rsid w:val="6833421D"/>
    <w:rsid w:val="683B31A6"/>
    <w:rsid w:val="6A4B69A3"/>
    <w:rsid w:val="6A5128C6"/>
    <w:rsid w:val="6A9874AE"/>
    <w:rsid w:val="6AAD1A41"/>
    <w:rsid w:val="6B9C347D"/>
    <w:rsid w:val="6BAC18E9"/>
    <w:rsid w:val="6D2F1B21"/>
    <w:rsid w:val="6E4C0944"/>
    <w:rsid w:val="6E5F172B"/>
    <w:rsid w:val="6F5D0B2F"/>
    <w:rsid w:val="6F6117F5"/>
    <w:rsid w:val="6F84274A"/>
    <w:rsid w:val="6FBE314B"/>
    <w:rsid w:val="6FDC216E"/>
    <w:rsid w:val="70217AAF"/>
    <w:rsid w:val="70A0444C"/>
    <w:rsid w:val="71E7396A"/>
    <w:rsid w:val="74FC2405"/>
    <w:rsid w:val="777C5D46"/>
    <w:rsid w:val="78373BAC"/>
    <w:rsid w:val="78D4376C"/>
    <w:rsid w:val="79775D93"/>
    <w:rsid w:val="799037A5"/>
    <w:rsid w:val="799B26EC"/>
    <w:rsid w:val="79D17E24"/>
    <w:rsid w:val="79DA107C"/>
    <w:rsid w:val="7B853EC3"/>
    <w:rsid w:val="7CAE2B9E"/>
    <w:rsid w:val="7D18299B"/>
    <w:rsid w:val="7E2F5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0" w:semiHidden="0" w:name="heading 9"/>
    <w:lsdException w:qFormat="1" w:unhideWhenUsed="0" w:uiPriority="0" w:semiHidden="0"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iPriority="0" w:semiHidden="0" w:name="footnote text"/>
    <w:lsdException w:qFormat="1" w:unhideWhenUsed="0" w:uiPriority="0" w:semiHidden="0" w:name="annotation text"/>
    <w:lsdException w:qFormat="1" w:uiPriority="99" w:semiHidden="0" w:name="header"/>
    <w:lsdException w:qFormat="1"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qFormat="1" w:unhideWhenUsed="0" w:uiPriority="0" w:semiHidden="0" w:name="envelope return"/>
    <w:lsdException w:qFormat="1" w:uiPriority="0" w:semiHidden="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qFormat="1" w:unhideWhenUsed="0" w:uiPriority="0" w:semiHidden="0" w:name="List Continue"/>
    <w:lsdException w:qFormat="1" w:unhideWhenUsed="0" w:uiPriority="0" w:semiHidden="0" w:name="List Continue 2"/>
    <w:lsdException w:uiPriority="99" w:name="List Continue 3"/>
    <w:lsdException w:qFormat="1" w:unhideWhenUsed="0" w:uiPriority="0" w:semiHidden="0"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nhideWhenUsed="0" w:uiPriority="0" w:semiHidden="0" w:name="HTML Sample"/>
    <w:lsdException w:qFormat="1" w:uiPriority="99" w:name="HTML Typewriter"/>
    <w:lsdException w:qFormat="1"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heme="minorBidi"/>
      <w:lang w:val="en-US" w:eastAsia="zh-CN" w:bidi="ar-SA"/>
    </w:rPr>
  </w:style>
  <w:style w:type="paragraph" w:styleId="2">
    <w:name w:val="heading 1"/>
    <w:basedOn w:val="1"/>
    <w:next w:val="1"/>
    <w:link w:val="92"/>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05"/>
    <w:autoRedefine/>
    <w:unhideWhenUsed/>
    <w:qFormat/>
    <w:uiPriority w:val="0"/>
    <w:pPr>
      <w:keepNext/>
      <w:keepLines/>
      <w:spacing w:before="260" w:after="260" w:line="416" w:lineRule="auto"/>
      <w:outlineLvl w:val="1"/>
    </w:pPr>
    <w:rPr>
      <w:rFonts w:ascii="Cambria" w:hAnsi="Cambria" w:cs="Times New Roman"/>
      <w:b/>
      <w:bCs/>
      <w:kern w:val="2"/>
      <w:sz w:val="32"/>
      <w:szCs w:val="32"/>
      <w:lang w:val="zh-CN"/>
    </w:rPr>
  </w:style>
  <w:style w:type="paragraph" w:styleId="4">
    <w:name w:val="heading 3"/>
    <w:basedOn w:val="1"/>
    <w:next w:val="1"/>
    <w:link w:val="94"/>
    <w:autoRedefine/>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99"/>
    <w:autoRedefine/>
    <w:qFormat/>
    <w:uiPriority w:val="0"/>
    <w:pPr>
      <w:keepNext/>
      <w:keepLines/>
      <w:spacing w:before="280" w:after="290" w:line="376" w:lineRule="auto"/>
      <w:outlineLvl w:val="3"/>
    </w:pPr>
    <w:rPr>
      <w:b/>
      <w:bCs/>
      <w:sz w:val="28"/>
      <w:szCs w:val="28"/>
    </w:rPr>
  </w:style>
  <w:style w:type="paragraph" w:styleId="6">
    <w:name w:val="heading 5"/>
    <w:basedOn w:val="1"/>
    <w:next w:val="1"/>
    <w:link w:val="106"/>
    <w:autoRedefine/>
    <w:qFormat/>
    <w:uiPriority w:val="0"/>
    <w:pPr>
      <w:keepNext/>
      <w:keepLines/>
      <w:spacing w:before="280" w:after="290" w:line="376" w:lineRule="auto"/>
      <w:outlineLvl w:val="4"/>
    </w:pPr>
    <w:rPr>
      <w:rFonts w:ascii="Calibri" w:hAnsi="Calibri" w:cs="Times New Roman"/>
      <w:b/>
      <w:bCs/>
      <w:kern w:val="2"/>
      <w:sz w:val="28"/>
      <w:szCs w:val="28"/>
      <w:lang w:val="zh-CN"/>
    </w:rPr>
  </w:style>
  <w:style w:type="paragraph" w:styleId="7">
    <w:name w:val="heading 6"/>
    <w:basedOn w:val="6"/>
    <w:next w:val="1"/>
    <w:link w:val="107"/>
    <w:autoRedefine/>
    <w:qFormat/>
    <w:uiPriority w:val="0"/>
    <w:pPr>
      <w:tabs>
        <w:tab w:val="left" w:pos="1440"/>
      </w:tabs>
      <w:spacing w:before="260" w:after="260" w:line="360" w:lineRule="auto"/>
      <w:ind w:left="1134" w:hanging="1134"/>
      <w:outlineLvl w:val="5"/>
    </w:pPr>
    <w:rPr>
      <w:rFonts w:ascii="Times New Roman" w:hAnsi="Times New Roman"/>
      <w:sz w:val="30"/>
      <w:szCs w:val="18"/>
    </w:rPr>
  </w:style>
  <w:style w:type="paragraph" w:styleId="8">
    <w:name w:val="heading 7"/>
    <w:basedOn w:val="7"/>
    <w:next w:val="1"/>
    <w:link w:val="108"/>
    <w:autoRedefine/>
    <w:qFormat/>
    <w:uiPriority w:val="0"/>
    <w:pPr>
      <w:tabs>
        <w:tab w:val="left" w:pos="1800"/>
        <w:tab w:val="clear" w:pos="1440"/>
      </w:tabs>
      <w:ind w:left="1276" w:hanging="1276"/>
      <w:outlineLvl w:val="6"/>
    </w:pPr>
  </w:style>
  <w:style w:type="paragraph" w:styleId="9">
    <w:name w:val="heading 8"/>
    <w:basedOn w:val="1"/>
    <w:next w:val="1"/>
    <w:link w:val="109"/>
    <w:autoRedefine/>
    <w:qFormat/>
    <w:uiPriority w:val="0"/>
    <w:pPr>
      <w:keepNext/>
      <w:keepLines/>
      <w:spacing w:line="400" w:lineRule="exact"/>
      <w:jc w:val="center"/>
      <w:outlineLvl w:val="7"/>
    </w:pPr>
    <w:rPr>
      <w:rFonts w:eastAsia="黑体" w:cs="Times New Roman"/>
      <w:kern w:val="2"/>
      <w:sz w:val="32"/>
      <w:szCs w:val="32"/>
      <w:lang w:val="zh-CN"/>
    </w:rPr>
  </w:style>
  <w:style w:type="paragraph" w:styleId="10">
    <w:name w:val="heading 9"/>
    <w:basedOn w:val="1"/>
    <w:next w:val="1"/>
    <w:link w:val="110"/>
    <w:autoRedefine/>
    <w:unhideWhenUsed/>
    <w:qFormat/>
    <w:uiPriority w:val="0"/>
    <w:pPr>
      <w:keepNext/>
      <w:keepLines/>
      <w:spacing w:before="240" w:after="64" w:line="320" w:lineRule="auto"/>
      <w:outlineLvl w:val="8"/>
    </w:pPr>
    <w:rPr>
      <w:rFonts w:ascii="Cambria" w:hAnsi="Cambria" w:cs="Times New Roman"/>
      <w:kern w:val="2"/>
      <w:sz w:val="21"/>
      <w:szCs w:val="21"/>
      <w:lang w:val="zh-CN"/>
    </w:rPr>
  </w:style>
  <w:style w:type="character" w:default="1" w:styleId="57">
    <w:name w:val="Default Paragraph Font"/>
    <w:autoRedefine/>
    <w:semiHidden/>
    <w:unhideWhenUsed/>
    <w:qFormat/>
    <w:uiPriority w:val="1"/>
  </w:style>
  <w:style w:type="table" w:default="1" w:styleId="55">
    <w:name w:val="Normal Table"/>
    <w:autoRedefine/>
    <w:semiHidden/>
    <w:unhideWhenUsed/>
    <w:qFormat/>
    <w:uiPriority w:val="99"/>
    <w:tblPr>
      <w:tblCellMar>
        <w:top w:w="0" w:type="dxa"/>
        <w:left w:w="108" w:type="dxa"/>
        <w:bottom w:w="0" w:type="dxa"/>
        <w:right w:w="108" w:type="dxa"/>
      </w:tblCellMar>
    </w:tblPr>
  </w:style>
  <w:style w:type="paragraph" w:styleId="11">
    <w:name w:val="List 3"/>
    <w:basedOn w:val="1"/>
    <w:autoRedefine/>
    <w:qFormat/>
    <w:uiPriority w:val="0"/>
    <w:pPr>
      <w:ind w:left="100" w:leftChars="400" w:hanging="200" w:hangingChars="200"/>
    </w:pPr>
    <w:rPr>
      <w:rFonts w:ascii="Calibri" w:hAnsi="Calibri" w:cs="Times New Roman"/>
      <w:kern w:val="2"/>
      <w:sz w:val="21"/>
      <w:szCs w:val="22"/>
    </w:rPr>
  </w:style>
  <w:style w:type="paragraph" w:styleId="12">
    <w:name w:val="toc 7"/>
    <w:basedOn w:val="1"/>
    <w:next w:val="1"/>
    <w:autoRedefine/>
    <w:unhideWhenUsed/>
    <w:qFormat/>
    <w:uiPriority w:val="39"/>
    <w:pPr>
      <w:ind w:left="1260"/>
      <w:jc w:val="left"/>
    </w:pPr>
    <w:rPr>
      <w:rFonts w:ascii="Calibri" w:hAnsi="Calibri" w:cs="Calibri"/>
      <w:kern w:val="2"/>
      <w:sz w:val="18"/>
      <w:szCs w:val="18"/>
    </w:rPr>
  </w:style>
  <w:style w:type="paragraph" w:styleId="13">
    <w:name w:val="Normal Indent"/>
    <w:basedOn w:val="1"/>
    <w:autoRedefine/>
    <w:qFormat/>
    <w:uiPriority w:val="0"/>
    <w:pPr>
      <w:autoSpaceDE w:val="0"/>
      <w:autoSpaceDN w:val="0"/>
      <w:adjustRightInd w:val="0"/>
      <w:ind w:firstLine="420"/>
      <w:jc w:val="left"/>
    </w:pPr>
    <w:rPr>
      <w:rFonts w:hAnsi="Times New Roman" w:cs="Times New Roman"/>
      <w:sz w:val="24"/>
    </w:rPr>
  </w:style>
  <w:style w:type="paragraph" w:styleId="14">
    <w:name w:val="caption"/>
    <w:basedOn w:val="1"/>
    <w:next w:val="1"/>
    <w:autoRedefine/>
    <w:qFormat/>
    <w:uiPriority w:val="0"/>
    <w:pPr>
      <w:spacing w:before="152" w:after="160"/>
    </w:pPr>
    <w:rPr>
      <w:rFonts w:ascii="Arial" w:hAnsi="Arial" w:eastAsia="黑体" w:cs="Arial"/>
      <w:kern w:val="2"/>
    </w:rPr>
  </w:style>
  <w:style w:type="paragraph" w:styleId="15">
    <w:name w:val="Document Map"/>
    <w:basedOn w:val="1"/>
    <w:link w:val="154"/>
    <w:autoRedefine/>
    <w:qFormat/>
    <w:uiPriority w:val="0"/>
    <w:pPr>
      <w:shd w:val="clear" w:color="auto" w:fill="000080"/>
    </w:pPr>
    <w:rPr>
      <w:rFonts w:ascii="Calibri" w:hAnsi="Calibri" w:cs="Times New Roman"/>
      <w:bCs/>
      <w:kern w:val="2"/>
      <w:sz w:val="21"/>
      <w:szCs w:val="32"/>
      <w:lang w:val="zh-CN"/>
    </w:rPr>
  </w:style>
  <w:style w:type="paragraph" w:styleId="16">
    <w:name w:val="annotation text"/>
    <w:basedOn w:val="1"/>
    <w:link w:val="91"/>
    <w:autoRedefine/>
    <w:qFormat/>
    <w:uiPriority w:val="0"/>
    <w:pPr>
      <w:jc w:val="left"/>
    </w:pPr>
    <w:rPr>
      <w:rFonts w:ascii="Arial" w:hAnsi="Arial" w:eastAsia="黑体" w:cs="Arial"/>
    </w:rPr>
  </w:style>
  <w:style w:type="paragraph" w:styleId="17">
    <w:name w:val="Salutation"/>
    <w:basedOn w:val="1"/>
    <w:next w:val="1"/>
    <w:link w:val="121"/>
    <w:autoRedefine/>
    <w:qFormat/>
    <w:uiPriority w:val="0"/>
    <w:rPr>
      <w:rFonts w:ascii="仿宋_GB2312" w:hAnsi="Times New Roman" w:eastAsia="仿宋_GB2312" w:cs="Times New Roman"/>
      <w:kern w:val="2"/>
      <w:sz w:val="28"/>
      <w:lang w:val="zh-CN"/>
    </w:rPr>
  </w:style>
  <w:style w:type="paragraph" w:styleId="18">
    <w:name w:val="Body Text 3"/>
    <w:basedOn w:val="1"/>
    <w:link w:val="140"/>
    <w:autoRedefine/>
    <w:qFormat/>
    <w:uiPriority w:val="0"/>
    <w:pPr>
      <w:adjustRightInd w:val="0"/>
      <w:snapToGrid w:val="0"/>
    </w:pPr>
    <w:rPr>
      <w:rFonts w:ascii="仿宋_GB2312" w:eastAsia="仿宋_GB2312" w:cs="Times New Roman"/>
      <w:bCs/>
      <w:color w:val="000000"/>
      <w:kern w:val="2"/>
      <w:sz w:val="24"/>
      <w:szCs w:val="32"/>
      <w:lang w:val="zh-CN"/>
    </w:rPr>
  </w:style>
  <w:style w:type="paragraph" w:styleId="19">
    <w:name w:val="Body Text"/>
    <w:basedOn w:val="1"/>
    <w:link w:val="100"/>
    <w:autoRedefine/>
    <w:qFormat/>
    <w:uiPriority w:val="0"/>
    <w:pPr>
      <w:spacing w:after="120"/>
    </w:pPr>
    <w:rPr>
      <w:rFonts w:ascii="@微软简标宋" w:hAnsi="@微软简标宋" w:eastAsia="@微软简标宋" w:cs="@微软简标宋"/>
      <w:szCs w:val="24"/>
      <w:lang w:val="zh-CN"/>
    </w:rPr>
  </w:style>
  <w:style w:type="paragraph" w:styleId="20">
    <w:name w:val="Body Text Indent"/>
    <w:basedOn w:val="1"/>
    <w:next w:val="21"/>
    <w:link w:val="115"/>
    <w:autoRedefine/>
    <w:unhideWhenUsed/>
    <w:qFormat/>
    <w:uiPriority w:val="0"/>
    <w:pPr>
      <w:spacing w:after="120"/>
      <w:ind w:left="420" w:leftChars="200"/>
    </w:pPr>
    <w:rPr>
      <w:rFonts w:asciiTheme="minorHAnsi" w:hAnsiTheme="minorHAnsi"/>
      <w:kern w:val="2"/>
      <w:sz w:val="21"/>
      <w:szCs w:val="22"/>
    </w:rPr>
  </w:style>
  <w:style w:type="paragraph" w:styleId="21">
    <w:name w:val="envelope return"/>
    <w:basedOn w:val="1"/>
    <w:qFormat/>
    <w:uiPriority w:val="0"/>
    <w:pPr>
      <w:snapToGrid w:val="0"/>
    </w:pPr>
    <w:rPr>
      <w:rFonts w:ascii="Arial" w:hAnsi="Arial"/>
    </w:rPr>
  </w:style>
  <w:style w:type="paragraph" w:styleId="22">
    <w:name w:val="List 2"/>
    <w:basedOn w:val="1"/>
    <w:autoRedefine/>
    <w:qFormat/>
    <w:uiPriority w:val="0"/>
    <w:pPr>
      <w:ind w:left="100" w:leftChars="200" w:hanging="200" w:hangingChars="200"/>
    </w:pPr>
    <w:rPr>
      <w:rFonts w:ascii="Calibri" w:hAnsi="Calibri" w:cs="Times New Roman"/>
      <w:kern w:val="2"/>
      <w:sz w:val="21"/>
      <w:szCs w:val="22"/>
    </w:rPr>
  </w:style>
  <w:style w:type="paragraph" w:styleId="23">
    <w:name w:val="List Continue"/>
    <w:basedOn w:val="1"/>
    <w:autoRedefine/>
    <w:qFormat/>
    <w:uiPriority w:val="0"/>
    <w:pPr>
      <w:spacing w:after="120"/>
      <w:ind w:left="420" w:leftChars="200"/>
    </w:pPr>
    <w:rPr>
      <w:rFonts w:ascii="Calibri" w:hAnsi="Calibri" w:cs="Times New Roman"/>
      <w:kern w:val="2"/>
      <w:sz w:val="21"/>
      <w:szCs w:val="22"/>
    </w:rPr>
  </w:style>
  <w:style w:type="paragraph" w:styleId="24">
    <w:name w:val="Block Text"/>
    <w:basedOn w:val="1"/>
    <w:autoRedefine/>
    <w:qFormat/>
    <w:uiPriority w:val="0"/>
    <w:pPr>
      <w:autoSpaceDE w:val="0"/>
      <w:autoSpaceDN w:val="0"/>
      <w:adjustRightInd w:val="0"/>
      <w:spacing w:line="1270" w:lineRule="exact"/>
      <w:ind w:left="2160" w:right="-20" w:hanging="2160" w:hangingChars="300"/>
      <w:jc w:val="left"/>
    </w:pPr>
    <w:rPr>
      <w:rFonts w:ascii="Calibri" w:hAnsi="Calibri" w:eastAsia="仿宋_GB2312" w:cs="Times New Roman"/>
      <w:kern w:val="2"/>
      <w:sz w:val="72"/>
    </w:rPr>
  </w:style>
  <w:style w:type="paragraph" w:styleId="25">
    <w:name w:val="index 4"/>
    <w:basedOn w:val="1"/>
    <w:next w:val="1"/>
    <w:autoRedefine/>
    <w:qFormat/>
    <w:uiPriority w:val="0"/>
    <w:pPr>
      <w:ind w:left="600" w:leftChars="600"/>
    </w:pPr>
    <w:rPr>
      <w:rFonts w:ascii="Times New Roman" w:hAnsi="Times New Roman" w:cs="Times New Roman"/>
      <w:kern w:val="2"/>
      <w:sz w:val="21"/>
      <w:szCs w:val="24"/>
    </w:rPr>
  </w:style>
  <w:style w:type="paragraph" w:styleId="26">
    <w:name w:val="toc 5"/>
    <w:basedOn w:val="1"/>
    <w:next w:val="1"/>
    <w:autoRedefine/>
    <w:unhideWhenUsed/>
    <w:qFormat/>
    <w:uiPriority w:val="39"/>
    <w:pPr>
      <w:ind w:left="840"/>
      <w:jc w:val="left"/>
    </w:pPr>
    <w:rPr>
      <w:rFonts w:ascii="Calibri" w:hAnsi="Calibri" w:cs="Calibri"/>
      <w:kern w:val="2"/>
      <w:sz w:val="18"/>
      <w:szCs w:val="18"/>
    </w:rPr>
  </w:style>
  <w:style w:type="paragraph" w:styleId="27">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sz w:val="22"/>
      <w:szCs w:val="22"/>
    </w:rPr>
  </w:style>
  <w:style w:type="paragraph" w:styleId="28">
    <w:name w:val="Plain Text"/>
    <w:basedOn w:val="1"/>
    <w:link w:val="80"/>
    <w:autoRedefine/>
    <w:qFormat/>
    <w:uiPriority w:val="0"/>
    <w:rPr>
      <w:rFonts w:hAnsi="Courier New" w:eastAsiaTheme="minorEastAsia"/>
      <w:szCs w:val="22"/>
    </w:rPr>
  </w:style>
  <w:style w:type="paragraph" w:styleId="29">
    <w:name w:val="toc 8"/>
    <w:basedOn w:val="1"/>
    <w:next w:val="1"/>
    <w:autoRedefine/>
    <w:unhideWhenUsed/>
    <w:qFormat/>
    <w:uiPriority w:val="39"/>
    <w:pPr>
      <w:ind w:left="1470"/>
      <w:jc w:val="left"/>
    </w:pPr>
    <w:rPr>
      <w:rFonts w:ascii="Calibri" w:hAnsi="Calibri" w:cs="Calibri"/>
      <w:kern w:val="2"/>
      <w:sz w:val="18"/>
      <w:szCs w:val="18"/>
    </w:rPr>
  </w:style>
  <w:style w:type="paragraph" w:styleId="30">
    <w:name w:val="Date"/>
    <w:basedOn w:val="1"/>
    <w:next w:val="1"/>
    <w:link w:val="87"/>
    <w:autoRedefine/>
    <w:qFormat/>
    <w:uiPriority w:val="0"/>
    <w:rPr>
      <w:rFonts w:ascii="Arial" w:hAnsi="Arial" w:cs="Arial"/>
      <w:b/>
      <w:sz w:val="28"/>
    </w:rPr>
  </w:style>
  <w:style w:type="paragraph" w:styleId="31">
    <w:name w:val="Body Text Indent 2"/>
    <w:basedOn w:val="1"/>
    <w:link w:val="136"/>
    <w:autoRedefine/>
    <w:qFormat/>
    <w:uiPriority w:val="0"/>
    <w:pPr>
      <w:widowControl/>
      <w:overflowPunct w:val="0"/>
      <w:autoSpaceDE w:val="0"/>
      <w:autoSpaceDN w:val="0"/>
      <w:adjustRightInd w:val="0"/>
      <w:spacing w:line="360" w:lineRule="auto"/>
      <w:ind w:firstLine="555"/>
      <w:textAlignment w:val="baseline"/>
    </w:pPr>
    <w:rPr>
      <w:rFonts w:hAnsi="MS Sans Serif" w:cs="Times New Roman"/>
      <w:bCs/>
      <w:spacing w:val="12"/>
      <w:sz w:val="24"/>
      <w:lang w:val="zh-CN"/>
    </w:rPr>
  </w:style>
  <w:style w:type="paragraph" w:styleId="32">
    <w:name w:val="Balloon Text"/>
    <w:basedOn w:val="1"/>
    <w:link w:val="74"/>
    <w:autoRedefine/>
    <w:unhideWhenUsed/>
    <w:qFormat/>
    <w:uiPriority w:val="0"/>
    <w:rPr>
      <w:sz w:val="18"/>
      <w:szCs w:val="18"/>
    </w:rPr>
  </w:style>
  <w:style w:type="paragraph" w:styleId="33">
    <w:name w:val="footer"/>
    <w:basedOn w:val="1"/>
    <w:link w:val="79"/>
    <w:autoRedefine/>
    <w:unhideWhenUsed/>
    <w:qFormat/>
    <w:uiPriority w:val="99"/>
    <w:pPr>
      <w:tabs>
        <w:tab w:val="center" w:pos="4153"/>
        <w:tab w:val="right" w:pos="8306"/>
      </w:tabs>
      <w:snapToGrid w:val="0"/>
      <w:jc w:val="left"/>
    </w:pPr>
    <w:rPr>
      <w:sz w:val="18"/>
      <w:szCs w:val="18"/>
    </w:rPr>
  </w:style>
  <w:style w:type="paragraph" w:styleId="34">
    <w:name w:val="header"/>
    <w:basedOn w:val="1"/>
    <w:link w:val="7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35">
    <w:name w:val="toc 1"/>
    <w:basedOn w:val="1"/>
    <w:next w:val="1"/>
    <w:autoRedefine/>
    <w:unhideWhenUsed/>
    <w:qFormat/>
    <w:uiPriority w:val="39"/>
    <w:pPr>
      <w:widowControl/>
      <w:spacing w:after="100" w:line="276" w:lineRule="auto"/>
      <w:jc w:val="left"/>
    </w:pPr>
    <w:rPr>
      <w:rFonts w:asciiTheme="minorHAnsi" w:hAnsiTheme="minorHAnsi" w:eastAsiaTheme="minorEastAsia"/>
      <w:sz w:val="22"/>
      <w:szCs w:val="22"/>
    </w:rPr>
  </w:style>
  <w:style w:type="paragraph" w:styleId="36">
    <w:name w:val="List Continue 4"/>
    <w:basedOn w:val="1"/>
    <w:autoRedefine/>
    <w:qFormat/>
    <w:uiPriority w:val="0"/>
    <w:pPr>
      <w:spacing w:after="120"/>
      <w:ind w:left="1680" w:leftChars="800"/>
    </w:pPr>
    <w:rPr>
      <w:rFonts w:ascii="Calibri" w:hAnsi="Calibri" w:cs="Times New Roman"/>
      <w:kern w:val="2"/>
      <w:sz w:val="21"/>
      <w:szCs w:val="22"/>
    </w:rPr>
  </w:style>
  <w:style w:type="paragraph" w:styleId="37">
    <w:name w:val="toc 4"/>
    <w:basedOn w:val="1"/>
    <w:next w:val="1"/>
    <w:autoRedefine/>
    <w:unhideWhenUsed/>
    <w:qFormat/>
    <w:uiPriority w:val="39"/>
    <w:pPr>
      <w:ind w:left="630"/>
      <w:jc w:val="left"/>
    </w:pPr>
    <w:rPr>
      <w:rFonts w:ascii="Calibri" w:hAnsi="Calibri" w:cs="Calibri"/>
      <w:kern w:val="2"/>
      <w:sz w:val="18"/>
      <w:szCs w:val="18"/>
    </w:rPr>
  </w:style>
  <w:style w:type="paragraph" w:styleId="38">
    <w:name w:val="index heading"/>
    <w:basedOn w:val="1"/>
    <w:next w:val="39"/>
    <w:autoRedefine/>
    <w:semiHidden/>
    <w:qFormat/>
    <w:uiPriority w:val="0"/>
    <w:rPr>
      <w:rFonts w:ascii="Times New Roman" w:hAnsi="Times New Roman" w:cs="Times New Roman"/>
      <w:kern w:val="2"/>
      <w:sz w:val="21"/>
      <w:szCs w:val="24"/>
    </w:rPr>
  </w:style>
  <w:style w:type="paragraph" w:styleId="39">
    <w:name w:val="index 1"/>
    <w:basedOn w:val="1"/>
    <w:next w:val="1"/>
    <w:autoRedefine/>
    <w:qFormat/>
    <w:uiPriority w:val="0"/>
    <w:pPr>
      <w:jc w:val="center"/>
    </w:pPr>
    <w:rPr>
      <w:rFonts w:ascii="Arial" w:hAnsi="Arial" w:eastAsia="Arial" w:cs="Arial"/>
      <w:b/>
      <w:bCs/>
      <w:sz w:val="28"/>
    </w:rPr>
  </w:style>
  <w:style w:type="paragraph" w:styleId="40">
    <w:name w:val="Subtitle"/>
    <w:basedOn w:val="1"/>
    <w:link w:val="228"/>
    <w:autoRedefine/>
    <w:qFormat/>
    <w:uiPriority w:val="0"/>
    <w:pPr>
      <w:spacing w:before="240" w:after="60" w:line="312" w:lineRule="auto"/>
      <w:jc w:val="center"/>
      <w:outlineLvl w:val="1"/>
    </w:pPr>
    <w:rPr>
      <w:rFonts w:ascii="Arial" w:hAnsi="Arial" w:cs="Times New Roman"/>
      <w:b/>
      <w:bCs/>
      <w:kern w:val="28"/>
      <w:sz w:val="32"/>
      <w:szCs w:val="32"/>
      <w:lang w:val="zh-CN"/>
    </w:rPr>
  </w:style>
  <w:style w:type="paragraph" w:styleId="41">
    <w:name w:val="List"/>
    <w:basedOn w:val="1"/>
    <w:autoRedefine/>
    <w:qFormat/>
    <w:uiPriority w:val="0"/>
    <w:pPr>
      <w:ind w:left="200" w:hanging="200" w:hangingChars="200"/>
    </w:pPr>
    <w:rPr>
      <w:rFonts w:ascii="Calibri" w:hAnsi="Calibri" w:cs="Times New Roman"/>
      <w:kern w:val="2"/>
      <w:sz w:val="21"/>
      <w:szCs w:val="22"/>
    </w:rPr>
  </w:style>
  <w:style w:type="paragraph" w:styleId="42">
    <w:name w:val="footnote text"/>
    <w:basedOn w:val="1"/>
    <w:link w:val="117"/>
    <w:autoRedefine/>
    <w:unhideWhenUsed/>
    <w:qFormat/>
    <w:uiPriority w:val="0"/>
    <w:pPr>
      <w:snapToGrid w:val="0"/>
      <w:jc w:val="left"/>
    </w:pPr>
    <w:rPr>
      <w:rFonts w:ascii="Times New Roman" w:hAnsi="Times New Roman" w:cs="Times New Roman"/>
      <w:kern w:val="2"/>
      <w:sz w:val="18"/>
      <w:szCs w:val="18"/>
      <w:lang w:val="zh-CN"/>
    </w:rPr>
  </w:style>
  <w:style w:type="paragraph" w:styleId="43">
    <w:name w:val="toc 6"/>
    <w:basedOn w:val="1"/>
    <w:next w:val="1"/>
    <w:autoRedefine/>
    <w:unhideWhenUsed/>
    <w:qFormat/>
    <w:uiPriority w:val="39"/>
    <w:pPr>
      <w:ind w:left="1050"/>
      <w:jc w:val="left"/>
    </w:pPr>
    <w:rPr>
      <w:rFonts w:ascii="Calibri" w:hAnsi="Calibri" w:cs="Calibri"/>
      <w:kern w:val="2"/>
      <w:sz w:val="18"/>
      <w:szCs w:val="18"/>
    </w:rPr>
  </w:style>
  <w:style w:type="paragraph" w:styleId="44">
    <w:name w:val="Body Text Indent 3"/>
    <w:basedOn w:val="1"/>
    <w:link w:val="135"/>
    <w:autoRedefine/>
    <w:qFormat/>
    <w:uiPriority w:val="0"/>
    <w:pPr>
      <w:widowControl/>
      <w:overflowPunct w:val="0"/>
      <w:autoSpaceDE w:val="0"/>
      <w:autoSpaceDN w:val="0"/>
      <w:adjustRightInd w:val="0"/>
      <w:spacing w:line="360" w:lineRule="auto"/>
      <w:ind w:firstLine="540"/>
      <w:textAlignment w:val="baseline"/>
    </w:pPr>
    <w:rPr>
      <w:rFonts w:hAnsi="MS Sans Serif" w:cs="Times New Roman"/>
      <w:bCs/>
      <w:color w:val="000000"/>
      <w:sz w:val="24"/>
      <w:lang w:val="zh-CN"/>
    </w:rPr>
  </w:style>
  <w:style w:type="paragraph" w:styleId="45">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sz w:val="22"/>
      <w:szCs w:val="22"/>
    </w:rPr>
  </w:style>
  <w:style w:type="paragraph" w:styleId="46">
    <w:name w:val="toc 9"/>
    <w:basedOn w:val="1"/>
    <w:next w:val="1"/>
    <w:autoRedefine/>
    <w:unhideWhenUsed/>
    <w:qFormat/>
    <w:uiPriority w:val="39"/>
    <w:pPr>
      <w:ind w:left="1680"/>
      <w:jc w:val="left"/>
    </w:pPr>
    <w:rPr>
      <w:rFonts w:ascii="Calibri" w:hAnsi="Calibri" w:cs="Calibri"/>
      <w:kern w:val="2"/>
      <w:sz w:val="18"/>
      <w:szCs w:val="18"/>
    </w:rPr>
  </w:style>
  <w:style w:type="paragraph" w:styleId="47">
    <w:name w:val="Body Text 2"/>
    <w:basedOn w:val="1"/>
    <w:link w:val="139"/>
    <w:autoRedefine/>
    <w:qFormat/>
    <w:uiPriority w:val="0"/>
    <w:pPr>
      <w:spacing w:line="360" w:lineRule="auto"/>
    </w:pPr>
    <w:rPr>
      <w:rFonts w:hAnsi="Times New Roman" w:cs="Times New Roman"/>
      <w:spacing w:val="-20"/>
      <w:kern w:val="2"/>
      <w:sz w:val="28"/>
      <w:lang w:val="zh-CN"/>
    </w:rPr>
  </w:style>
  <w:style w:type="paragraph" w:styleId="48">
    <w:name w:val="List 4"/>
    <w:basedOn w:val="1"/>
    <w:autoRedefine/>
    <w:qFormat/>
    <w:uiPriority w:val="0"/>
    <w:pPr>
      <w:ind w:left="100" w:leftChars="600" w:hanging="200" w:hangingChars="200"/>
    </w:pPr>
    <w:rPr>
      <w:rFonts w:ascii="Calibri" w:hAnsi="Calibri" w:cs="Times New Roman"/>
      <w:kern w:val="2"/>
      <w:sz w:val="21"/>
      <w:szCs w:val="22"/>
    </w:rPr>
  </w:style>
  <w:style w:type="paragraph" w:styleId="49">
    <w:name w:val="List Continue 2"/>
    <w:basedOn w:val="1"/>
    <w:autoRedefine/>
    <w:qFormat/>
    <w:uiPriority w:val="0"/>
    <w:pPr>
      <w:spacing w:after="120"/>
      <w:ind w:left="840" w:leftChars="400"/>
    </w:pPr>
    <w:rPr>
      <w:rFonts w:ascii="Calibri" w:hAnsi="Calibri" w:cs="Times New Roman"/>
      <w:kern w:val="2"/>
      <w:sz w:val="21"/>
      <w:szCs w:val="22"/>
    </w:rPr>
  </w:style>
  <w:style w:type="paragraph" w:styleId="50">
    <w:name w:val="Normal (Web)"/>
    <w:basedOn w:val="1"/>
    <w:autoRedefine/>
    <w:qFormat/>
    <w:uiPriority w:val="0"/>
    <w:pPr>
      <w:widowControl/>
      <w:spacing w:before="100" w:beforeAutospacing="1" w:after="100" w:afterAutospacing="1"/>
      <w:jc w:val="left"/>
    </w:pPr>
    <w:rPr>
      <w:rFonts w:cs="宋体"/>
      <w:color w:val="0066CC"/>
      <w:sz w:val="24"/>
      <w:szCs w:val="24"/>
    </w:rPr>
  </w:style>
  <w:style w:type="paragraph" w:styleId="51">
    <w:name w:val="Title"/>
    <w:basedOn w:val="3"/>
    <w:next w:val="1"/>
    <w:link w:val="143"/>
    <w:autoRedefine/>
    <w:qFormat/>
    <w:uiPriority w:val="0"/>
    <w:pPr>
      <w:spacing w:before="0" w:after="0" w:line="360" w:lineRule="auto"/>
      <w:jc w:val="center"/>
    </w:pPr>
    <w:rPr>
      <w:rFonts w:ascii="宋体" w:hAnsi="宋体" w:eastAsia="黑体"/>
      <w:bCs w:val="0"/>
      <w:smallCaps/>
      <w:snapToGrid w:val="0"/>
      <w:sz w:val="44"/>
      <w:szCs w:val="24"/>
    </w:rPr>
  </w:style>
  <w:style w:type="paragraph" w:styleId="52">
    <w:name w:val="annotation subject"/>
    <w:basedOn w:val="16"/>
    <w:next w:val="16"/>
    <w:link w:val="102"/>
    <w:autoRedefine/>
    <w:unhideWhenUsed/>
    <w:qFormat/>
    <w:uiPriority w:val="0"/>
    <w:rPr>
      <w:rFonts w:ascii="宋体" w:hAnsi="宋体" w:eastAsia="宋体" w:cstheme="minorBidi"/>
      <w:b/>
      <w:bCs/>
    </w:rPr>
  </w:style>
  <w:style w:type="paragraph" w:styleId="53">
    <w:name w:val="Body Text First Indent"/>
    <w:basedOn w:val="19"/>
    <w:autoRedefine/>
    <w:semiHidden/>
    <w:unhideWhenUsed/>
    <w:qFormat/>
    <w:uiPriority w:val="99"/>
    <w:pPr>
      <w:ind w:firstLine="420" w:firstLineChars="100"/>
    </w:pPr>
  </w:style>
  <w:style w:type="paragraph" w:styleId="54">
    <w:name w:val="Body Text First Indent 2"/>
    <w:basedOn w:val="20"/>
    <w:next w:val="1"/>
    <w:qFormat/>
    <w:uiPriority w:val="0"/>
    <w:pPr>
      <w:spacing w:line="360" w:lineRule="auto"/>
      <w:ind w:firstLine="200"/>
    </w:pPr>
    <w:rPr>
      <w:sz w:val="21"/>
    </w:rPr>
  </w:style>
  <w:style w:type="table" w:styleId="56">
    <w:name w:val="Table Grid"/>
    <w:basedOn w:val="55"/>
    <w:autoRedefine/>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8">
    <w:name w:val="Strong"/>
    <w:autoRedefine/>
    <w:qFormat/>
    <w:uiPriority w:val="0"/>
    <w:rPr>
      <w:b/>
      <w:bCs/>
    </w:rPr>
  </w:style>
  <w:style w:type="character" w:styleId="59">
    <w:name w:val="page number"/>
    <w:basedOn w:val="57"/>
    <w:autoRedefine/>
    <w:qFormat/>
    <w:uiPriority w:val="0"/>
  </w:style>
  <w:style w:type="character" w:styleId="60">
    <w:name w:val="FollowedHyperlink"/>
    <w:basedOn w:val="57"/>
    <w:autoRedefine/>
    <w:semiHidden/>
    <w:unhideWhenUsed/>
    <w:qFormat/>
    <w:uiPriority w:val="99"/>
    <w:rPr>
      <w:color w:val="800080" w:themeColor="followedHyperlink"/>
      <w:u w:val="single"/>
      <w14:textFill>
        <w14:solidFill>
          <w14:schemeClr w14:val="folHlink"/>
        </w14:solidFill>
      </w14:textFill>
    </w:rPr>
  </w:style>
  <w:style w:type="character" w:styleId="61">
    <w:name w:val="Emphasis"/>
    <w:autoRedefine/>
    <w:qFormat/>
    <w:uiPriority w:val="0"/>
    <w:rPr>
      <w:color w:val="CC0033"/>
    </w:rPr>
  </w:style>
  <w:style w:type="character" w:styleId="62">
    <w:name w:val="HTML Definition"/>
    <w:basedOn w:val="57"/>
    <w:semiHidden/>
    <w:unhideWhenUsed/>
    <w:qFormat/>
    <w:uiPriority w:val="99"/>
  </w:style>
  <w:style w:type="character" w:styleId="63">
    <w:name w:val="HTML Typewriter"/>
    <w:basedOn w:val="57"/>
    <w:semiHidden/>
    <w:unhideWhenUsed/>
    <w:qFormat/>
    <w:uiPriority w:val="99"/>
    <w:rPr>
      <w:rFonts w:hint="default" w:ascii="monospace" w:hAnsi="monospace" w:eastAsia="monospace" w:cs="monospace"/>
      <w:sz w:val="20"/>
    </w:rPr>
  </w:style>
  <w:style w:type="character" w:styleId="64">
    <w:name w:val="HTML Acronym"/>
    <w:basedOn w:val="57"/>
    <w:semiHidden/>
    <w:unhideWhenUsed/>
    <w:qFormat/>
    <w:uiPriority w:val="99"/>
    <w:rPr>
      <w:rFonts w:ascii="ActionIcon ! important" w:hAnsi="ActionIcon ! important" w:eastAsia="ActionIcon ! important" w:cs="ActionIcon ! important"/>
      <w:vanish/>
    </w:rPr>
  </w:style>
  <w:style w:type="character" w:styleId="65">
    <w:name w:val="HTML Variable"/>
    <w:basedOn w:val="57"/>
    <w:semiHidden/>
    <w:unhideWhenUsed/>
    <w:qFormat/>
    <w:uiPriority w:val="99"/>
    <w:rPr>
      <w:vanish/>
    </w:rPr>
  </w:style>
  <w:style w:type="character" w:styleId="66">
    <w:name w:val="Hyperlink"/>
    <w:basedOn w:val="57"/>
    <w:autoRedefine/>
    <w:unhideWhenUsed/>
    <w:qFormat/>
    <w:uiPriority w:val="99"/>
    <w:rPr>
      <w:color w:val="0000FF" w:themeColor="hyperlink"/>
      <w:u w:val="single"/>
      <w14:textFill>
        <w14:solidFill>
          <w14:schemeClr w14:val="hlink"/>
        </w14:solidFill>
      </w14:textFill>
    </w:rPr>
  </w:style>
  <w:style w:type="character" w:styleId="67">
    <w:name w:val="HTML Code"/>
    <w:basedOn w:val="57"/>
    <w:semiHidden/>
    <w:unhideWhenUsed/>
    <w:qFormat/>
    <w:uiPriority w:val="99"/>
    <w:rPr>
      <w:rFonts w:ascii="monospace" w:hAnsi="monospace" w:eastAsia="monospace" w:cs="monospace"/>
      <w:sz w:val="20"/>
    </w:rPr>
  </w:style>
  <w:style w:type="character" w:styleId="68">
    <w:name w:val="annotation reference"/>
    <w:basedOn w:val="57"/>
    <w:autoRedefine/>
    <w:unhideWhenUsed/>
    <w:qFormat/>
    <w:uiPriority w:val="0"/>
    <w:rPr>
      <w:sz w:val="21"/>
      <w:szCs w:val="21"/>
    </w:rPr>
  </w:style>
  <w:style w:type="character" w:styleId="69">
    <w:name w:val="HTML Cite"/>
    <w:basedOn w:val="57"/>
    <w:semiHidden/>
    <w:unhideWhenUsed/>
    <w:qFormat/>
    <w:uiPriority w:val="99"/>
  </w:style>
  <w:style w:type="character" w:styleId="70">
    <w:name w:val="footnote reference"/>
    <w:autoRedefine/>
    <w:unhideWhenUsed/>
    <w:qFormat/>
    <w:uiPriority w:val="0"/>
    <w:rPr>
      <w:vertAlign w:val="superscript"/>
    </w:rPr>
  </w:style>
  <w:style w:type="character" w:styleId="71">
    <w:name w:val="HTML Keyboard"/>
    <w:basedOn w:val="57"/>
    <w:semiHidden/>
    <w:unhideWhenUsed/>
    <w:qFormat/>
    <w:uiPriority w:val="99"/>
    <w:rPr>
      <w:rFonts w:hint="default" w:ascii="monospace" w:hAnsi="monospace" w:eastAsia="monospace" w:cs="monospace"/>
      <w:sz w:val="20"/>
    </w:rPr>
  </w:style>
  <w:style w:type="character" w:styleId="72">
    <w:name w:val="HTML Sample"/>
    <w:autoRedefine/>
    <w:qFormat/>
    <w:uiPriority w:val="0"/>
    <w:rPr>
      <w:rFonts w:hint="default" w:ascii="monospace" w:hAnsi="monospace" w:eastAsia="monospace" w:cs="monospace"/>
      <w:sz w:val="21"/>
      <w:szCs w:val="21"/>
    </w:rPr>
  </w:style>
  <w:style w:type="paragraph" w:customStyle="1" w:styleId="73">
    <w:name w:val="样式1"/>
    <w:basedOn w:val="1"/>
    <w:next w:val="5"/>
    <w:autoRedefine/>
    <w:qFormat/>
    <w:uiPriority w:val="0"/>
    <w:pPr>
      <w:spacing w:line="360" w:lineRule="auto"/>
      <w:ind w:firstLine="420" w:firstLineChars="200"/>
    </w:pPr>
    <w:rPr>
      <w:rFonts w:cs="Times New Roman"/>
      <w:kern w:val="2"/>
      <w:sz w:val="21"/>
      <w:szCs w:val="21"/>
    </w:rPr>
  </w:style>
  <w:style w:type="character" w:customStyle="1" w:styleId="74">
    <w:name w:val="批注框文本 Char"/>
    <w:basedOn w:val="57"/>
    <w:link w:val="32"/>
    <w:autoRedefine/>
    <w:qFormat/>
    <w:uiPriority w:val="0"/>
    <w:rPr>
      <w:rFonts w:ascii="@仿宋_GB2312" w:hAnsi="@仿宋_GB2312" w:eastAsia="@仿宋_GB2312" w:cs="@仿宋_GB2312"/>
      <w:sz w:val="18"/>
      <w:szCs w:val="18"/>
    </w:rPr>
  </w:style>
  <w:style w:type="paragraph" w:customStyle="1" w:styleId="75">
    <w:name w:val="正文（缩进）"/>
    <w:basedOn w:val="1"/>
    <w:autoRedefine/>
    <w:qFormat/>
    <w:uiPriority w:val="0"/>
    <w:pPr>
      <w:widowControl/>
      <w:spacing w:before="156" w:after="156"/>
      <w:ind w:firstLine="480" w:firstLineChars="200"/>
      <w:jc w:val="left"/>
    </w:pPr>
    <w:rPr>
      <w:sz w:val="24"/>
      <w:szCs w:val="24"/>
    </w:rPr>
  </w:style>
  <w:style w:type="paragraph" w:customStyle="1" w:styleId="76">
    <w:name w:val="xl31"/>
    <w:basedOn w:val="1"/>
    <w:autoRedefine/>
    <w:qFormat/>
    <w:uiPriority w:val="0"/>
    <w:pPr>
      <w:widowControl/>
      <w:spacing w:before="100" w:beforeAutospacing="1" w:after="100" w:afterAutospacing="1"/>
      <w:jc w:val="center"/>
    </w:pPr>
    <w:rPr>
      <w:b/>
      <w:bCs/>
      <w:sz w:val="28"/>
      <w:szCs w:val="28"/>
    </w:rPr>
  </w:style>
  <w:style w:type="paragraph" w:customStyle="1" w:styleId="77">
    <w:name w:val="D&amp;L"/>
    <w:basedOn w:val="34"/>
    <w:autoRedefine/>
    <w:qFormat/>
    <w:uiPriority w:val="0"/>
    <w:pPr>
      <w:pBdr>
        <w:bottom w:val="thinThickSmallGap" w:color="auto" w:sz="18" w:space="1"/>
      </w:pBdr>
      <w:adjustRightInd w:val="0"/>
      <w:snapToGrid/>
      <w:spacing w:line="240" w:lineRule="atLeast"/>
      <w:textAlignment w:val="baseline"/>
    </w:pPr>
    <w:rPr>
      <w:sz w:val="24"/>
      <w:szCs w:val="20"/>
    </w:rPr>
  </w:style>
  <w:style w:type="character" w:customStyle="1" w:styleId="78">
    <w:name w:val="页眉 Char"/>
    <w:basedOn w:val="57"/>
    <w:link w:val="34"/>
    <w:autoRedefine/>
    <w:qFormat/>
    <w:uiPriority w:val="99"/>
    <w:rPr>
      <w:rFonts w:ascii="@仿宋_GB2312" w:hAnsi="@仿宋_GB2312" w:eastAsia="@仿宋_GB2312" w:cs="@仿宋_GB2312"/>
      <w:sz w:val="18"/>
      <w:szCs w:val="18"/>
    </w:rPr>
  </w:style>
  <w:style w:type="character" w:customStyle="1" w:styleId="79">
    <w:name w:val="页脚 Char"/>
    <w:basedOn w:val="57"/>
    <w:link w:val="33"/>
    <w:autoRedefine/>
    <w:qFormat/>
    <w:uiPriority w:val="99"/>
    <w:rPr>
      <w:rFonts w:ascii="@仿宋_GB2312" w:hAnsi="@仿宋_GB2312" w:eastAsia="@仿宋_GB2312" w:cs="@仿宋_GB2312"/>
      <w:sz w:val="18"/>
      <w:szCs w:val="18"/>
    </w:rPr>
  </w:style>
  <w:style w:type="character" w:customStyle="1" w:styleId="80">
    <w:name w:val="纯文本 Char"/>
    <w:link w:val="28"/>
    <w:autoRedefine/>
    <w:qFormat/>
    <w:uiPriority w:val="0"/>
    <w:rPr>
      <w:rFonts w:ascii="宋体" w:hAnsi="Courier New"/>
    </w:rPr>
  </w:style>
  <w:style w:type="character" w:customStyle="1" w:styleId="81">
    <w:name w:val="纯文本 字符1"/>
    <w:basedOn w:val="57"/>
    <w:autoRedefine/>
    <w:semiHidden/>
    <w:qFormat/>
    <w:uiPriority w:val="99"/>
    <w:rPr>
      <w:rFonts w:hAnsi="Courier New" w:cs="Courier New" w:asciiTheme="minorEastAsia"/>
      <w:szCs w:val="20"/>
    </w:rPr>
  </w:style>
  <w:style w:type="character" w:customStyle="1" w:styleId="82">
    <w:name w:val="未处理的提及1"/>
    <w:basedOn w:val="57"/>
    <w:autoRedefine/>
    <w:semiHidden/>
    <w:unhideWhenUsed/>
    <w:qFormat/>
    <w:uiPriority w:val="99"/>
    <w:rPr>
      <w:color w:val="605E5C"/>
      <w:shd w:val="clear" w:color="auto" w:fill="E1DFDD"/>
    </w:rPr>
  </w:style>
  <w:style w:type="paragraph" w:styleId="83">
    <w:name w:val="List Paragraph"/>
    <w:basedOn w:val="1"/>
    <w:autoRedefine/>
    <w:qFormat/>
    <w:uiPriority w:val="34"/>
    <w:pPr>
      <w:ind w:firstLine="420" w:firstLineChars="200"/>
    </w:pPr>
  </w:style>
  <w:style w:type="paragraph" w:customStyle="1" w:styleId="84">
    <w:name w:val="Char Char Char Char Char Char Char1 Char"/>
    <w:basedOn w:val="1"/>
    <w:autoRedefine/>
    <w:qFormat/>
    <w:uiPriority w:val="0"/>
    <w:rPr>
      <w:rFonts w:ascii="Arial" w:hAnsi="Arial" w:cs="Arial"/>
      <w:sz w:val="24"/>
    </w:rPr>
  </w:style>
  <w:style w:type="table" w:customStyle="1" w:styleId="85">
    <w:name w:val="网格表 1 浅色1"/>
    <w:basedOn w:val="55"/>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86">
    <w:name w:val="日期 字符"/>
    <w:basedOn w:val="57"/>
    <w:autoRedefine/>
    <w:semiHidden/>
    <w:qFormat/>
    <w:uiPriority w:val="99"/>
    <w:rPr>
      <w:rFonts w:ascii="@仿宋_GB2312" w:hAnsi="@仿宋_GB2312" w:eastAsia="@仿宋_GB2312" w:cs="@仿宋_GB2312"/>
      <w:szCs w:val="20"/>
    </w:rPr>
  </w:style>
  <w:style w:type="character" w:customStyle="1" w:styleId="87">
    <w:name w:val="日期 Char"/>
    <w:link w:val="30"/>
    <w:autoRedefine/>
    <w:qFormat/>
    <w:uiPriority w:val="0"/>
    <w:rPr>
      <w:rFonts w:ascii="Arial" w:hAnsi="Arial" w:eastAsia="宋体" w:cs="Arial"/>
      <w:b/>
      <w:sz w:val="28"/>
      <w:szCs w:val="20"/>
    </w:rPr>
  </w:style>
  <w:style w:type="character" w:customStyle="1" w:styleId="88">
    <w:name w:val="纯文本 Char1"/>
    <w:link w:val="89"/>
    <w:autoRedefine/>
    <w:qFormat/>
    <w:locked/>
    <w:uiPriority w:val="99"/>
    <w:rPr>
      <w:rFonts w:ascii="Arial" w:hAnsi="Arial" w:eastAsia="Arial"/>
      <w:kern w:val="2"/>
      <w:sz w:val="21"/>
      <w:lang w:val="en-US" w:eastAsia="zh-CN" w:bidi="ar-SA"/>
    </w:rPr>
  </w:style>
  <w:style w:type="paragraph" w:customStyle="1" w:styleId="89">
    <w:name w:val="纯文本1"/>
    <w:basedOn w:val="1"/>
    <w:link w:val="88"/>
    <w:autoRedefine/>
    <w:qFormat/>
    <w:uiPriority w:val="0"/>
    <w:rPr>
      <w:rFonts w:ascii="Arial" w:hAnsi="Arial" w:eastAsia="Arial"/>
    </w:rPr>
  </w:style>
  <w:style w:type="character" w:customStyle="1" w:styleId="90">
    <w:name w:val="批注文字 Char"/>
    <w:basedOn w:val="57"/>
    <w:autoRedefine/>
    <w:qFormat/>
    <w:uiPriority w:val="0"/>
    <w:rPr>
      <w:rFonts w:ascii="@仿宋_GB2312" w:hAnsi="@仿宋_GB2312" w:eastAsia="@仿宋_GB2312" w:cs="@仿宋_GB2312"/>
      <w:szCs w:val="20"/>
    </w:rPr>
  </w:style>
  <w:style w:type="character" w:customStyle="1" w:styleId="91">
    <w:name w:val="批注文字 Char1"/>
    <w:link w:val="16"/>
    <w:autoRedefine/>
    <w:qFormat/>
    <w:uiPriority w:val="99"/>
    <w:rPr>
      <w:rFonts w:ascii="Arial" w:hAnsi="Arial" w:eastAsia="黑体" w:cs="Arial"/>
      <w:szCs w:val="20"/>
    </w:rPr>
  </w:style>
  <w:style w:type="character" w:customStyle="1" w:styleId="92">
    <w:name w:val="标题 1 Char"/>
    <w:basedOn w:val="57"/>
    <w:link w:val="2"/>
    <w:autoRedefine/>
    <w:qFormat/>
    <w:uiPriority w:val="0"/>
    <w:rPr>
      <w:rFonts w:ascii="@仿宋_GB2312" w:hAnsi="@仿宋_GB2312" w:eastAsia="@仿宋_GB2312" w:cs="@仿宋_GB2312"/>
      <w:b/>
      <w:bCs/>
      <w:kern w:val="44"/>
      <w:sz w:val="44"/>
      <w:szCs w:val="44"/>
    </w:rPr>
  </w:style>
  <w:style w:type="paragraph" w:customStyle="1" w:styleId="93">
    <w:name w:val="TOC 标题1"/>
    <w:basedOn w:val="2"/>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94">
    <w:name w:val="标题 3 Char"/>
    <w:basedOn w:val="57"/>
    <w:link w:val="4"/>
    <w:autoRedefine/>
    <w:qFormat/>
    <w:uiPriority w:val="0"/>
    <w:rPr>
      <w:rFonts w:ascii="@仿宋_GB2312" w:hAnsi="@仿宋_GB2312" w:eastAsia="@仿宋_GB2312" w:cs="@仿宋_GB2312"/>
      <w:b/>
      <w:bCs/>
      <w:sz w:val="32"/>
      <w:szCs w:val="32"/>
    </w:rPr>
  </w:style>
  <w:style w:type="character" w:customStyle="1" w:styleId="95">
    <w:name w:val="fontstyle01"/>
    <w:basedOn w:val="57"/>
    <w:autoRedefine/>
    <w:qFormat/>
    <w:uiPriority w:val="0"/>
    <w:rPr>
      <w:rFonts w:hint="eastAsia" w:ascii="宋体" w:hAnsi="宋体" w:eastAsia="宋体"/>
      <w:color w:val="000000"/>
      <w:sz w:val="22"/>
      <w:szCs w:val="22"/>
    </w:rPr>
  </w:style>
  <w:style w:type="character" w:customStyle="1" w:styleId="96">
    <w:name w:val="fontstyle21"/>
    <w:basedOn w:val="57"/>
    <w:autoRedefine/>
    <w:qFormat/>
    <w:uiPriority w:val="0"/>
    <w:rPr>
      <w:rFonts w:hint="default" w:ascii="TimesNewRomanPSMT" w:hAnsi="TimesNewRomanPSMT"/>
      <w:color w:val="000000"/>
      <w:sz w:val="22"/>
      <w:szCs w:val="22"/>
    </w:rPr>
  </w:style>
  <w:style w:type="character" w:customStyle="1" w:styleId="97">
    <w:name w:val="正文文本 (2) + Sylfaen2"/>
    <w:autoRedefine/>
    <w:qFormat/>
    <w:uiPriority w:val="99"/>
    <w:rPr>
      <w:rFonts w:ascii="Sylfaen" w:hAnsi="Sylfaen" w:eastAsia="MingLiU" w:cs="Sylfaen"/>
      <w:spacing w:val="0"/>
      <w:sz w:val="23"/>
      <w:szCs w:val="23"/>
      <w:shd w:val="clear" w:color="auto" w:fill="FFFFFF"/>
      <w:lang w:val="en-US" w:eastAsia="en-US"/>
    </w:rPr>
  </w:style>
  <w:style w:type="character" w:customStyle="1" w:styleId="98">
    <w:name w:val="标题 4 字符"/>
    <w:basedOn w:val="57"/>
    <w:autoRedefine/>
    <w:semiHidden/>
    <w:qFormat/>
    <w:uiPriority w:val="9"/>
    <w:rPr>
      <w:rFonts w:asciiTheme="majorHAnsi" w:hAnsiTheme="majorHAnsi" w:eastAsiaTheme="majorEastAsia" w:cstheme="majorBidi"/>
      <w:b/>
      <w:bCs/>
      <w:sz w:val="28"/>
      <w:szCs w:val="28"/>
    </w:rPr>
  </w:style>
  <w:style w:type="character" w:customStyle="1" w:styleId="99">
    <w:name w:val="标题 4 Char"/>
    <w:link w:val="5"/>
    <w:autoRedefine/>
    <w:qFormat/>
    <w:uiPriority w:val="0"/>
    <w:rPr>
      <w:rFonts w:ascii="@仿宋_GB2312" w:hAnsi="@仿宋_GB2312" w:eastAsia="@仿宋_GB2312" w:cs="@仿宋_GB2312"/>
      <w:b/>
      <w:bCs/>
      <w:sz w:val="28"/>
      <w:szCs w:val="28"/>
    </w:rPr>
  </w:style>
  <w:style w:type="character" w:customStyle="1" w:styleId="100">
    <w:name w:val="正文文本 Char"/>
    <w:basedOn w:val="57"/>
    <w:link w:val="19"/>
    <w:autoRedefine/>
    <w:qFormat/>
    <w:uiPriority w:val="0"/>
    <w:rPr>
      <w:rFonts w:ascii="@微软简标宋" w:hAnsi="@微软简标宋" w:eastAsia="@微软简标宋" w:cs="@微软简标宋"/>
      <w:szCs w:val="24"/>
      <w:lang w:val="zh-CN" w:eastAsia="zh-CN"/>
    </w:rPr>
  </w:style>
  <w:style w:type="table" w:customStyle="1" w:styleId="101">
    <w:name w:val="网格型1"/>
    <w:basedOn w:val="55"/>
    <w:autoRedefine/>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2">
    <w:name w:val="批注主题 Char"/>
    <w:basedOn w:val="91"/>
    <w:link w:val="52"/>
    <w:autoRedefine/>
    <w:qFormat/>
    <w:uiPriority w:val="0"/>
    <w:rPr>
      <w:rFonts w:ascii="Arial" w:hAnsi="Arial" w:eastAsia="黑体" w:cs="Arial"/>
      <w:b/>
      <w:bCs/>
      <w:szCs w:val="20"/>
    </w:rPr>
  </w:style>
  <w:style w:type="paragraph" w:customStyle="1" w:styleId="103">
    <w:name w:val="普通 (Web)"/>
    <w:basedOn w:val="1"/>
    <w:autoRedefine/>
    <w:qFormat/>
    <w:uiPriority w:val="0"/>
    <w:pPr>
      <w:widowControl/>
      <w:spacing w:before="100" w:beforeAutospacing="1" w:after="100" w:afterAutospacing="1"/>
      <w:jc w:val="left"/>
    </w:pPr>
    <w:rPr>
      <w:rFonts w:cs="Times New Roman"/>
      <w:sz w:val="24"/>
      <w:szCs w:val="24"/>
    </w:rPr>
  </w:style>
  <w:style w:type="table" w:customStyle="1" w:styleId="104">
    <w:name w:val="网格型2"/>
    <w:basedOn w:val="55"/>
    <w:autoRedefine/>
    <w:unhideWhenUsed/>
    <w:qFormat/>
    <w:uiPriority w:val="59"/>
    <w:rPr>
      <w:rFonts w:asciiTheme="minorHAnsi" w:hAnsiTheme="minorHAnsi" w:eastAsiaTheme="minorEastAsia"/>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5">
    <w:name w:val="标题 2 Char"/>
    <w:basedOn w:val="57"/>
    <w:link w:val="3"/>
    <w:autoRedefine/>
    <w:qFormat/>
    <w:uiPriority w:val="0"/>
    <w:rPr>
      <w:rFonts w:ascii="Cambria" w:hAnsi="Cambria" w:cs="Times New Roman"/>
      <w:b/>
      <w:bCs/>
      <w:kern w:val="2"/>
      <w:sz w:val="32"/>
      <w:szCs w:val="32"/>
      <w:lang w:val="zh-CN" w:eastAsia="zh-CN"/>
    </w:rPr>
  </w:style>
  <w:style w:type="character" w:customStyle="1" w:styleId="106">
    <w:name w:val="标题 5 Char"/>
    <w:basedOn w:val="57"/>
    <w:link w:val="6"/>
    <w:autoRedefine/>
    <w:qFormat/>
    <w:uiPriority w:val="0"/>
    <w:rPr>
      <w:rFonts w:ascii="Calibri" w:hAnsi="Calibri" w:cs="Times New Roman"/>
      <w:b/>
      <w:bCs/>
      <w:kern w:val="2"/>
      <w:sz w:val="28"/>
      <w:szCs w:val="28"/>
      <w:lang w:val="zh-CN" w:eastAsia="zh-CN"/>
    </w:rPr>
  </w:style>
  <w:style w:type="character" w:customStyle="1" w:styleId="107">
    <w:name w:val="标题 6 Char"/>
    <w:basedOn w:val="57"/>
    <w:link w:val="7"/>
    <w:autoRedefine/>
    <w:qFormat/>
    <w:uiPriority w:val="0"/>
    <w:rPr>
      <w:rFonts w:ascii="Times New Roman" w:hAnsi="Times New Roman" w:cs="Times New Roman"/>
      <w:b/>
      <w:bCs/>
      <w:kern w:val="2"/>
      <w:sz w:val="30"/>
      <w:szCs w:val="18"/>
      <w:lang w:val="zh-CN" w:eastAsia="zh-CN"/>
    </w:rPr>
  </w:style>
  <w:style w:type="character" w:customStyle="1" w:styleId="108">
    <w:name w:val="标题 7 Char"/>
    <w:basedOn w:val="57"/>
    <w:link w:val="8"/>
    <w:autoRedefine/>
    <w:qFormat/>
    <w:uiPriority w:val="0"/>
    <w:rPr>
      <w:rFonts w:ascii="Times New Roman" w:hAnsi="Times New Roman" w:cs="Times New Roman"/>
      <w:b/>
      <w:bCs/>
      <w:kern w:val="2"/>
      <w:sz w:val="30"/>
      <w:szCs w:val="18"/>
      <w:lang w:val="zh-CN" w:eastAsia="zh-CN"/>
    </w:rPr>
  </w:style>
  <w:style w:type="character" w:customStyle="1" w:styleId="109">
    <w:name w:val="标题 8 Char"/>
    <w:basedOn w:val="57"/>
    <w:link w:val="9"/>
    <w:autoRedefine/>
    <w:qFormat/>
    <w:uiPriority w:val="0"/>
    <w:rPr>
      <w:rFonts w:eastAsia="黑体" w:cs="Times New Roman"/>
      <w:kern w:val="2"/>
      <w:sz w:val="32"/>
      <w:szCs w:val="32"/>
      <w:lang w:val="zh-CN" w:eastAsia="zh-CN"/>
    </w:rPr>
  </w:style>
  <w:style w:type="character" w:customStyle="1" w:styleId="110">
    <w:name w:val="标题 9 Char"/>
    <w:basedOn w:val="57"/>
    <w:link w:val="10"/>
    <w:autoRedefine/>
    <w:qFormat/>
    <w:uiPriority w:val="0"/>
    <w:rPr>
      <w:rFonts w:ascii="Cambria" w:hAnsi="Cambria" w:cs="Times New Roman"/>
      <w:kern w:val="2"/>
      <w:sz w:val="21"/>
      <w:szCs w:val="21"/>
      <w:lang w:val="zh-CN" w:eastAsia="zh-CN"/>
    </w:rPr>
  </w:style>
  <w:style w:type="character" w:customStyle="1" w:styleId="111">
    <w:name w:val="纯文本 Char2"/>
    <w:autoRedefine/>
    <w:qFormat/>
    <w:uiPriority w:val="0"/>
    <w:rPr>
      <w:rFonts w:ascii="宋体" w:hAnsi="Courier New"/>
    </w:rPr>
  </w:style>
  <w:style w:type="table" w:customStyle="1" w:styleId="112">
    <w:name w:val="网格型3"/>
    <w:basedOn w:val="55"/>
    <w:autoRedefine/>
    <w:unhideWhenUsed/>
    <w:qFormat/>
    <w:uiPriority w:val="59"/>
    <w:rPr>
      <w:rFonts w:asciiTheme="minorHAnsi" w:hAnsiTheme="minorHAnsi" w:eastAsiaTheme="minorEastAsia"/>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3">
    <w:name w:val="网格表 1 浅色11"/>
    <w:basedOn w:val="55"/>
    <w:autoRedefine/>
    <w:qFormat/>
    <w:uiPriority w:val="46"/>
    <w:rPr>
      <w:rFonts w:asciiTheme="minorHAnsi" w:hAnsiTheme="minorHAnsi" w:eastAsiaTheme="minorEastAsia"/>
      <w:kern w:val="2"/>
      <w:sz w:val="21"/>
      <w:szCs w:val="22"/>
    </w:rPr>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paragraph" w:customStyle="1" w:styleId="114">
    <w:name w:val="TOC 标题2"/>
    <w:basedOn w:val="2"/>
    <w:next w:val="1"/>
    <w:autoRedefine/>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115">
    <w:name w:val="正文文本缩进 Char"/>
    <w:basedOn w:val="57"/>
    <w:link w:val="20"/>
    <w:autoRedefine/>
    <w:qFormat/>
    <w:uiPriority w:val="0"/>
    <w:rPr>
      <w:rFonts w:asciiTheme="minorHAnsi" w:hAnsiTheme="minorHAnsi"/>
      <w:kern w:val="2"/>
      <w:sz w:val="21"/>
      <w:szCs w:val="22"/>
    </w:rPr>
  </w:style>
  <w:style w:type="paragraph" w:customStyle="1" w:styleId="116">
    <w:name w:val="Char"/>
    <w:basedOn w:val="1"/>
    <w:autoRedefine/>
    <w:qFormat/>
    <w:uiPriority w:val="0"/>
    <w:rPr>
      <w:rFonts w:ascii="Tahoma" w:hAnsi="Tahoma" w:cs="Times New Roman"/>
      <w:sz w:val="24"/>
    </w:rPr>
  </w:style>
  <w:style w:type="character" w:customStyle="1" w:styleId="117">
    <w:name w:val="脚注文本 Char"/>
    <w:basedOn w:val="57"/>
    <w:link w:val="42"/>
    <w:autoRedefine/>
    <w:qFormat/>
    <w:uiPriority w:val="0"/>
    <w:rPr>
      <w:rFonts w:ascii="Times New Roman" w:hAnsi="Times New Roman" w:cs="Times New Roman"/>
      <w:kern w:val="2"/>
      <w:sz w:val="18"/>
      <w:szCs w:val="18"/>
      <w:lang w:val="zh-CN" w:eastAsia="zh-CN"/>
    </w:rPr>
  </w:style>
  <w:style w:type="paragraph" w:customStyle="1" w:styleId="118">
    <w:name w:val="样式 标题 3 + (中文) 黑体 小四 非加粗 段前: 7.8 磅 段后: 0 磅 行距: 固定值 20 磅"/>
    <w:basedOn w:val="4"/>
    <w:autoRedefine/>
    <w:qFormat/>
    <w:uiPriority w:val="0"/>
    <w:pPr>
      <w:spacing w:before="120" w:after="120" w:line="400" w:lineRule="exact"/>
      <w:jc w:val="left"/>
    </w:pPr>
    <w:rPr>
      <w:rFonts w:ascii="黑体" w:hAnsi="黑体" w:eastAsia="黑体" w:cs="宋体"/>
      <w:bCs w:val="0"/>
      <w:kern w:val="2"/>
      <w:sz w:val="24"/>
      <w:szCs w:val="20"/>
      <w:lang w:val="zh-CN"/>
    </w:rPr>
  </w:style>
  <w:style w:type="paragraph" w:customStyle="1" w:styleId="119">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eastAsia="黑体" w:cs="宋体"/>
      <w:b w:val="0"/>
      <w:bCs w:val="0"/>
      <w:sz w:val="28"/>
      <w:szCs w:val="20"/>
    </w:rPr>
  </w:style>
  <w:style w:type="paragraph" w:customStyle="1" w:styleId="120">
    <w:name w:val="Normal_2"/>
    <w:autoRedefine/>
    <w:qFormat/>
    <w:uiPriority w:val="0"/>
    <w:rPr>
      <w:rFonts w:ascii="Times New Roman" w:hAnsi="Times New Roman" w:eastAsia="Times New Roman" w:cs="Times New Roman"/>
      <w:sz w:val="24"/>
      <w:szCs w:val="24"/>
      <w:lang w:val="en-US" w:eastAsia="zh-CN" w:bidi="ar-SA"/>
    </w:rPr>
  </w:style>
  <w:style w:type="character" w:customStyle="1" w:styleId="121">
    <w:name w:val="称呼 Char"/>
    <w:basedOn w:val="57"/>
    <w:link w:val="17"/>
    <w:autoRedefine/>
    <w:qFormat/>
    <w:uiPriority w:val="0"/>
    <w:rPr>
      <w:rFonts w:ascii="仿宋_GB2312" w:hAnsi="Times New Roman" w:eastAsia="仿宋_GB2312" w:cs="Times New Roman"/>
      <w:kern w:val="2"/>
      <w:sz w:val="28"/>
      <w:lang w:val="zh-CN" w:eastAsia="zh-CN"/>
    </w:rPr>
  </w:style>
  <w:style w:type="paragraph" w:customStyle="1" w:styleId="122">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123">
    <w:name w:val="正文1"/>
    <w:autoRedefine/>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124">
    <w:name w:val="正文_3"/>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5">
    <w:name w:val="正文_2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6">
    <w:name w:val="正文_2_1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7">
    <w:name w:val="Normal_1"/>
    <w:autoRedefine/>
    <w:qFormat/>
    <w:uiPriority w:val="0"/>
    <w:rPr>
      <w:rFonts w:ascii="Times New Roman" w:hAnsi="Times New Roman" w:eastAsia="Times New Roman" w:cs="Times New Roman"/>
      <w:sz w:val="24"/>
      <w:szCs w:val="24"/>
      <w:lang w:val="en-US" w:eastAsia="zh-CN" w:bidi="ar-SA"/>
    </w:rPr>
  </w:style>
  <w:style w:type="paragraph" w:customStyle="1" w:styleId="128">
    <w:name w:val="Normal_3"/>
    <w:autoRedefine/>
    <w:qFormat/>
    <w:uiPriority w:val="0"/>
    <w:rPr>
      <w:rFonts w:ascii="Times New Roman" w:hAnsi="Times New Roman" w:eastAsia="Times New Roman" w:cs="Times New Roman"/>
      <w:sz w:val="24"/>
      <w:szCs w:val="24"/>
      <w:lang w:val="en-US" w:eastAsia="zh-CN" w:bidi="ar-SA"/>
    </w:rPr>
  </w:style>
  <w:style w:type="paragraph" w:customStyle="1" w:styleId="129">
    <w:name w:val="Char Char Char Char Char Char"/>
    <w:basedOn w:val="1"/>
    <w:autoRedefine/>
    <w:qFormat/>
    <w:uiPriority w:val="0"/>
    <w:rPr>
      <w:rFonts w:ascii="Tahoma" w:hAnsi="Tahoma" w:cs="Times New Roman"/>
      <w:kern w:val="2"/>
      <w:sz w:val="24"/>
    </w:rPr>
  </w:style>
  <w:style w:type="paragraph" w:customStyle="1" w:styleId="130">
    <w:name w:val="Blockquote"/>
    <w:basedOn w:val="1"/>
    <w:link w:val="131"/>
    <w:autoRedefine/>
    <w:qFormat/>
    <w:uiPriority w:val="0"/>
    <w:pPr>
      <w:autoSpaceDE w:val="0"/>
      <w:autoSpaceDN w:val="0"/>
      <w:adjustRightInd w:val="0"/>
      <w:spacing w:before="100" w:after="100"/>
      <w:ind w:left="360" w:right="360"/>
      <w:jc w:val="left"/>
    </w:pPr>
    <w:rPr>
      <w:rFonts w:ascii="Times New Roman" w:hAnsi="Times New Roman" w:cs="Times New Roman"/>
      <w:sz w:val="24"/>
      <w:lang w:val="zh-CN"/>
    </w:rPr>
  </w:style>
  <w:style w:type="character" w:customStyle="1" w:styleId="131">
    <w:name w:val="Blockquote Char"/>
    <w:link w:val="130"/>
    <w:autoRedefine/>
    <w:qFormat/>
    <w:uiPriority w:val="0"/>
    <w:rPr>
      <w:rFonts w:ascii="Times New Roman" w:hAnsi="Times New Roman" w:cs="Times New Roman"/>
      <w:sz w:val="24"/>
      <w:lang w:val="zh-CN" w:eastAsia="zh-CN"/>
    </w:rPr>
  </w:style>
  <w:style w:type="paragraph" w:customStyle="1" w:styleId="132">
    <w:name w:val="xl22"/>
    <w:basedOn w:val="1"/>
    <w:autoRedefine/>
    <w:qFormat/>
    <w:uiPriority w:val="0"/>
    <w:pPr>
      <w:widowControl/>
      <w:pBdr>
        <w:bottom w:val="single" w:color="auto" w:sz="4" w:space="0"/>
        <w:right w:val="single" w:color="auto" w:sz="4" w:space="0"/>
      </w:pBdr>
      <w:spacing w:before="100" w:beforeAutospacing="1" w:after="100" w:afterAutospacing="1"/>
      <w:jc w:val="center"/>
    </w:pPr>
    <w:rPr>
      <w:rFonts w:ascii="Calibri" w:hAnsi="Calibri" w:cs="Times New Roman"/>
      <w:sz w:val="24"/>
      <w:szCs w:val="22"/>
    </w:rPr>
  </w:style>
  <w:style w:type="character" w:customStyle="1" w:styleId="133">
    <w:name w:val="tdrownotice1"/>
    <w:autoRedefine/>
    <w:qFormat/>
    <w:uiPriority w:val="0"/>
    <w:rPr>
      <w:sz w:val="22"/>
    </w:rPr>
  </w:style>
  <w:style w:type="paragraph" w:customStyle="1" w:styleId="134">
    <w:name w:val="段落2"/>
    <w:basedOn w:val="1"/>
    <w:autoRedefine/>
    <w:qFormat/>
    <w:uiPriority w:val="0"/>
    <w:pPr>
      <w:spacing w:line="360" w:lineRule="auto"/>
      <w:ind w:firstLine="480" w:firstLineChars="200"/>
    </w:pPr>
    <w:rPr>
      <w:rFonts w:ascii="Calibri" w:hAnsi="Calibri" w:cs="Courier New"/>
      <w:kern w:val="2"/>
      <w:sz w:val="24"/>
      <w:szCs w:val="21"/>
    </w:rPr>
  </w:style>
  <w:style w:type="character" w:customStyle="1" w:styleId="135">
    <w:name w:val="正文文本缩进 3 Char"/>
    <w:basedOn w:val="57"/>
    <w:link w:val="44"/>
    <w:autoRedefine/>
    <w:qFormat/>
    <w:uiPriority w:val="0"/>
    <w:rPr>
      <w:rFonts w:hAnsi="MS Sans Serif" w:cs="Times New Roman"/>
      <w:bCs/>
      <w:color w:val="000000"/>
      <w:sz w:val="24"/>
      <w:lang w:val="zh-CN" w:eastAsia="zh-CN"/>
    </w:rPr>
  </w:style>
  <w:style w:type="character" w:customStyle="1" w:styleId="136">
    <w:name w:val="正文文本缩进 2 Char"/>
    <w:basedOn w:val="57"/>
    <w:link w:val="31"/>
    <w:autoRedefine/>
    <w:qFormat/>
    <w:uiPriority w:val="0"/>
    <w:rPr>
      <w:rFonts w:hAnsi="MS Sans Serif" w:cs="Times New Roman"/>
      <w:bCs/>
      <w:spacing w:val="12"/>
      <w:sz w:val="24"/>
      <w:lang w:val="zh-CN" w:eastAsia="zh-CN"/>
    </w:rPr>
  </w:style>
  <w:style w:type="paragraph" w:customStyle="1" w:styleId="137">
    <w:name w:val="目录"/>
    <w:basedOn w:val="1"/>
    <w:autoRedefine/>
    <w:qFormat/>
    <w:uiPriority w:val="0"/>
    <w:pPr>
      <w:widowControl/>
      <w:jc w:val="center"/>
    </w:pPr>
    <w:rPr>
      <w:rFonts w:hAnsi="Calibri" w:cs="Times New Roman"/>
      <w:b/>
      <w:sz w:val="36"/>
    </w:rPr>
  </w:style>
  <w:style w:type="paragraph" w:customStyle="1" w:styleId="138">
    <w:name w:val="目录文字"/>
    <w:basedOn w:val="1"/>
    <w:autoRedefine/>
    <w:qFormat/>
    <w:uiPriority w:val="0"/>
    <w:pPr>
      <w:widowControl/>
      <w:spacing w:line="480" w:lineRule="auto"/>
      <w:jc w:val="left"/>
    </w:pPr>
    <w:rPr>
      <w:rFonts w:cs="Times New Roman"/>
      <w:sz w:val="24"/>
    </w:rPr>
  </w:style>
  <w:style w:type="character" w:customStyle="1" w:styleId="139">
    <w:name w:val="正文文本 2 Char"/>
    <w:basedOn w:val="57"/>
    <w:link w:val="47"/>
    <w:autoRedefine/>
    <w:qFormat/>
    <w:uiPriority w:val="0"/>
    <w:rPr>
      <w:rFonts w:hAnsi="Times New Roman" w:cs="Times New Roman"/>
      <w:spacing w:val="-20"/>
      <w:kern w:val="2"/>
      <w:sz w:val="28"/>
      <w:lang w:val="zh-CN" w:eastAsia="zh-CN"/>
    </w:rPr>
  </w:style>
  <w:style w:type="character" w:customStyle="1" w:styleId="140">
    <w:name w:val="正文文本 3 Char"/>
    <w:basedOn w:val="57"/>
    <w:link w:val="18"/>
    <w:autoRedefine/>
    <w:qFormat/>
    <w:uiPriority w:val="0"/>
    <w:rPr>
      <w:rFonts w:ascii="仿宋_GB2312" w:eastAsia="仿宋_GB2312" w:cs="Times New Roman"/>
      <w:bCs/>
      <w:color w:val="000000"/>
      <w:kern w:val="2"/>
      <w:sz w:val="24"/>
      <w:szCs w:val="32"/>
      <w:lang w:val="zh-CN" w:eastAsia="zh-CN"/>
    </w:rPr>
  </w:style>
  <w:style w:type="paragraph" w:customStyle="1" w:styleId="141">
    <w:name w:val="Preformatted"/>
    <w:basedOn w:val="1"/>
    <w:autoRedefine/>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cs="Times New Roman"/>
    </w:rPr>
  </w:style>
  <w:style w:type="paragraph" w:customStyle="1" w:styleId="142">
    <w:name w:val="xl33"/>
    <w:basedOn w:val="1"/>
    <w:autoRedefine/>
    <w:qFormat/>
    <w:uiPriority w:val="0"/>
    <w:pPr>
      <w:widowControl/>
      <w:pBdr>
        <w:left w:val="single" w:color="auto" w:sz="4" w:space="0"/>
      </w:pBdr>
      <w:spacing w:before="100" w:beforeAutospacing="1" w:after="100" w:afterAutospacing="1"/>
      <w:jc w:val="center"/>
      <w:textAlignment w:val="center"/>
    </w:pPr>
    <w:rPr>
      <w:rFonts w:ascii="Arial Unicode MS" w:hAnsi="Arial Unicode MS" w:eastAsia="Arial Unicode MS" w:cs="Arial Unicode MS"/>
      <w:sz w:val="28"/>
      <w:szCs w:val="28"/>
    </w:rPr>
  </w:style>
  <w:style w:type="character" w:customStyle="1" w:styleId="143">
    <w:name w:val="标题 Char"/>
    <w:basedOn w:val="57"/>
    <w:link w:val="51"/>
    <w:autoRedefine/>
    <w:qFormat/>
    <w:uiPriority w:val="0"/>
    <w:rPr>
      <w:rFonts w:eastAsia="黑体" w:cs="Times New Roman"/>
      <w:b/>
      <w:smallCaps/>
      <w:snapToGrid w:val="0"/>
      <w:kern w:val="2"/>
      <w:sz w:val="44"/>
      <w:szCs w:val="24"/>
      <w:lang w:val="zh-CN" w:eastAsia="zh-CN"/>
    </w:rPr>
  </w:style>
  <w:style w:type="paragraph" w:customStyle="1" w:styleId="144">
    <w:name w:val="段落1 Char"/>
    <w:basedOn w:val="28"/>
    <w:autoRedefine/>
    <w:qFormat/>
    <w:uiPriority w:val="0"/>
    <w:pPr>
      <w:spacing w:line="360" w:lineRule="auto"/>
    </w:pPr>
    <w:rPr>
      <w:rFonts w:ascii="Times New Roman" w:hAnsi="Times New Roman" w:eastAsia="宋体" w:cs="Times New Roman"/>
      <w:kern w:val="2"/>
      <w:sz w:val="24"/>
      <w:szCs w:val="21"/>
      <w:lang w:val="zh-CN"/>
    </w:rPr>
  </w:style>
  <w:style w:type="paragraph" w:customStyle="1" w:styleId="145">
    <w:name w:val="样式3"/>
    <w:basedOn w:val="1"/>
    <w:autoRedefine/>
    <w:qFormat/>
    <w:uiPriority w:val="0"/>
    <w:pPr>
      <w:tabs>
        <w:tab w:val="left" w:pos="560"/>
        <w:tab w:val="left" w:pos="1120"/>
      </w:tabs>
      <w:spacing w:line="480" w:lineRule="atLeast"/>
    </w:pPr>
    <w:rPr>
      <w:rFonts w:ascii="Calibri" w:hAnsi="Calibri" w:eastAsia="创艺简黑体" w:cs="Times New Roman"/>
      <w:b/>
      <w:kern w:val="2"/>
      <w:sz w:val="28"/>
    </w:rPr>
  </w:style>
  <w:style w:type="paragraph" w:customStyle="1" w:styleId="146">
    <w:name w:val="简单回函地址"/>
    <w:basedOn w:val="1"/>
    <w:autoRedefine/>
    <w:qFormat/>
    <w:uiPriority w:val="0"/>
    <w:rPr>
      <w:rFonts w:ascii="Calibri" w:hAnsi="Calibri" w:cs="Times New Roman"/>
      <w:kern w:val="2"/>
      <w:sz w:val="21"/>
      <w:szCs w:val="22"/>
    </w:rPr>
  </w:style>
  <w:style w:type="paragraph" w:customStyle="1" w:styleId="147">
    <w:name w:val="Char Char Char Char"/>
    <w:basedOn w:val="1"/>
    <w:autoRedefine/>
    <w:qFormat/>
    <w:uiPriority w:val="0"/>
    <w:pPr>
      <w:snapToGrid w:val="0"/>
      <w:spacing w:line="360" w:lineRule="auto"/>
      <w:ind w:firstLine="200" w:firstLineChars="200"/>
    </w:pPr>
    <w:rPr>
      <w:rFonts w:ascii="Calibri" w:hAnsi="Calibri" w:eastAsia="仿宋_GB2312" w:cs="Times New Roman"/>
      <w:kern w:val="2"/>
      <w:sz w:val="24"/>
      <w:szCs w:val="22"/>
    </w:rPr>
  </w:style>
  <w:style w:type="paragraph" w:customStyle="1" w:styleId="148">
    <w:name w:val="Default Paragraph Char Char Char Char"/>
    <w:basedOn w:val="1"/>
    <w:next w:val="1"/>
    <w:autoRedefine/>
    <w:qFormat/>
    <w:uiPriority w:val="0"/>
    <w:pPr>
      <w:widowControl/>
      <w:spacing w:line="360" w:lineRule="auto"/>
      <w:jc w:val="left"/>
    </w:pPr>
    <w:rPr>
      <w:rFonts w:ascii="Calibri" w:hAnsi="Calibri" w:cs="Times New Roman"/>
      <w:sz w:val="21"/>
      <w:lang w:eastAsia="en-US"/>
    </w:rPr>
  </w:style>
  <w:style w:type="character" w:customStyle="1" w:styleId="149">
    <w:name w:val="t_tag"/>
    <w:basedOn w:val="57"/>
    <w:autoRedefine/>
    <w:qFormat/>
    <w:uiPriority w:val="0"/>
  </w:style>
  <w:style w:type="table" w:customStyle="1" w:styleId="150">
    <w:name w:val="网格型11"/>
    <w:basedOn w:val="55"/>
    <w:autoRedefine/>
    <w:qFormat/>
    <w:uiPriority w:val="59"/>
    <w:rPr>
      <w:rFonts w:ascii="Times New Roman" w:hAnsi="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51">
    <w:name w:val="批注框文本 Char1"/>
    <w:basedOn w:val="57"/>
    <w:autoRedefine/>
    <w:qFormat/>
    <w:uiPriority w:val="0"/>
    <w:rPr>
      <w:rFonts w:ascii="Times New Roman" w:hAnsi="Times New Roman" w:eastAsia="宋体" w:cs="Times New Roman"/>
      <w:sz w:val="18"/>
      <w:szCs w:val="18"/>
    </w:rPr>
  </w:style>
  <w:style w:type="character" w:customStyle="1" w:styleId="152">
    <w:name w:val="批注主题 Char1"/>
    <w:basedOn w:val="91"/>
    <w:autoRedefine/>
    <w:qFormat/>
    <w:uiPriority w:val="0"/>
    <w:rPr>
      <w:rFonts w:ascii="@仿宋_GB2312" w:hAnsi="@仿宋_GB2312" w:eastAsia="@仿宋_GB2312" w:cs="@仿宋_GB2312"/>
      <w:b/>
      <w:bCs/>
      <w:szCs w:val="20"/>
    </w:rPr>
  </w:style>
  <w:style w:type="paragraph" w:customStyle="1" w:styleId="153">
    <w:name w:val="Char10 Char Char Char Char Char Char Char Char Char"/>
    <w:basedOn w:val="1"/>
    <w:next w:val="1"/>
    <w:autoRedefine/>
    <w:qFormat/>
    <w:uiPriority w:val="0"/>
    <w:rPr>
      <w:rFonts w:ascii="Calibri" w:hAnsi="Calibri" w:cs="Times New Roman"/>
      <w:kern w:val="2"/>
      <w:sz w:val="21"/>
      <w:szCs w:val="22"/>
    </w:rPr>
  </w:style>
  <w:style w:type="character" w:customStyle="1" w:styleId="154">
    <w:name w:val="文档结构图 Char"/>
    <w:basedOn w:val="57"/>
    <w:link w:val="15"/>
    <w:autoRedefine/>
    <w:qFormat/>
    <w:uiPriority w:val="0"/>
    <w:rPr>
      <w:rFonts w:ascii="Calibri" w:hAnsi="Calibri" w:cs="Times New Roman"/>
      <w:bCs/>
      <w:kern w:val="2"/>
      <w:sz w:val="21"/>
      <w:szCs w:val="32"/>
      <w:shd w:val="clear" w:color="auto" w:fill="000080"/>
      <w:lang w:val="zh-CN" w:eastAsia="zh-CN"/>
    </w:rPr>
  </w:style>
  <w:style w:type="character" w:customStyle="1" w:styleId="155">
    <w:name w:val="标题 1 Char1"/>
    <w:autoRedefine/>
    <w:qFormat/>
    <w:uiPriority w:val="0"/>
    <w:rPr>
      <w:rFonts w:ascii="Calibri" w:hAnsi="Calibri" w:eastAsia="宋体"/>
      <w:b/>
      <w:kern w:val="44"/>
      <w:sz w:val="44"/>
      <w:szCs w:val="44"/>
    </w:rPr>
  </w:style>
  <w:style w:type="character" w:customStyle="1" w:styleId="156">
    <w:name w:val="标题 3 Char1"/>
    <w:autoRedefine/>
    <w:semiHidden/>
    <w:qFormat/>
    <w:uiPriority w:val="0"/>
    <w:rPr>
      <w:rFonts w:ascii="Calibri" w:hAnsi="Calibri" w:eastAsia="宋体"/>
      <w:b/>
      <w:kern w:val="2"/>
      <w:sz w:val="32"/>
    </w:rPr>
  </w:style>
  <w:style w:type="character" w:customStyle="1" w:styleId="157">
    <w:name w:val="标题 4 Char1"/>
    <w:autoRedefine/>
    <w:semiHidden/>
    <w:qFormat/>
    <w:uiPriority w:val="0"/>
    <w:rPr>
      <w:rFonts w:ascii="Cambria" w:hAnsi="Cambria" w:eastAsia="宋体"/>
      <w:b/>
      <w:kern w:val="2"/>
      <w:sz w:val="28"/>
      <w:szCs w:val="28"/>
    </w:rPr>
  </w:style>
  <w:style w:type="character" w:customStyle="1" w:styleId="158">
    <w:name w:val="标题 5 Char1"/>
    <w:autoRedefine/>
    <w:semiHidden/>
    <w:qFormat/>
    <w:uiPriority w:val="0"/>
    <w:rPr>
      <w:rFonts w:ascii="Calibri" w:hAnsi="Calibri" w:eastAsia="宋体"/>
      <w:b/>
      <w:kern w:val="2"/>
      <w:sz w:val="28"/>
      <w:szCs w:val="28"/>
    </w:rPr>
  </w:style>
  <w:style w:type="character" w:customStyle="1" w:styleId="159">
    <w:name w:val="标题 6 Char1"/>
    <w:autoRedefine/>
    <w:semiHidden/>
    <w:qFormat/>
    <w:uiPriority w:val="0"/>
    <w:rPr>
      <w:rFonts w:ascii="Cambria" w:hAnsi="Cambria" w:eastAsia="宋体"/>
      <w:b/>
      <w:kern w:val="2"/>
      <w:sz w:val="24"/>
      <w:szCs w:val="24"/>
    </w:rPr>
  </w:style>
  <w:style w:type="character" w:customStyle="1" w:styleId="160">
    <w:name w:val="标题 7 Char1"/>
    <w:autoRedefine/>
    <w:semiHidden/>
    <w:qFormat/>
    <w:uiPriority w:val="0"/>
    <w:rPr>
      <w:rFonts w:ascii="Calibri" w:hAnsi="Calibri" w:eastAsia="宋体"/>
      <w:b/>
      <w:kern w:val="2"/>
      <w:sz w:val="24"/>
      <w:szCs w:val="24"/>
    </w:rPr>
  </w:style>
  <w:style w:type="character" w:customStyle="1" w:styleId="161">
    <w:name w:val="标题 8 Char1"/>
    <w:autoRedefine/>
    <w:semiHidden/>
    <w:qFormat/>
    <w:uiPriority w:val="0"/>
    <w:rPr>
      <w:rFonts w:ascii="Cambria" w:hAnsi="Cambria" w:eastAsia="宋体"/>
      <w:kern w:val="2"/>
      <w:sz w:val="24"/>
      <w:szCs w:val="24"/>
    </w:rPr>
  </w:style>
  <w:style w:type="character" w:customStyle="1" w:styleId="162">
    <w:name w:val="标题 9 Char1"/>
    <w:autoRedefine/>
    <w:semiHidden/>
    <w:qFormat/>
    <w:uiPriority w:val="0"/>
    <w:rPr>
      <w:rFonts w:ascii="Cambria" w:hAnsi="Cambria" w:eastAsia="宋体"/>
      <w:kern w:val="2"/>
      <w:sz w:val="21"/>
      <w:szCs w:val="21"/>
    </w:rPr>
  </w:style>
  <w:style w:type="paragraph" w:customStyle="1" w:styleId="163">
    <w:name w:val="MsoNormal"/>
    <w:basedOn w:val="164"/>
    <w:autoRedefine/>
    <w:qFormat/>
    <w:uiPriority w:val="0"/>
    <w:rPr>
      <w:rFonts w:ascii="Calibri" w:hAnsi="Calibri" w:eastAsia="Calibri"/>
      <w:sz w:val="21"/>
    </w:rPr>
  </w:style>
  <w:style w:type="paragraph" w:customStyle="1" w:styleId="164">
    <w:name w:val="Normal_0"/>
    <w:autoRedefine/>
    <w:qFormat/>
    <w:uiPriority w:val="0"/>
    <w:rPr>
      <w:rFonts w:ascii="Times New Roman" w:hAnsi="Times New Roman" w:eastAsia="宋体" w:cs="Times New Roman"/>
      <w:sz w:val="24"/>
      <w:szCs w:val="24"/>
      <w:lang w:val="en-US" w:eastAsia="zh-CN" w:bidi="ar-SA"/>
    </w:rPr>
  </w:style>
  <w:style w:type="paragraph" w:customStyle="1" w:styleId="165">
    <w:name w:val="标题 2_0"/>
    <w:basedOn w:val="166"/>
    <w:next w:val="167"/>
    <w:link w:val="168"/>
    <w:autoRedefine/>
    <w:qFormat/>
    <w:uiPriority w:val="0"/>
    <w:pPr>
      <w:keepNext/>
      <w:keepLines/>
      <w:spacing w:before="260" w:after="260" w:line="500" w:lineRule="exact"/>
      <w:jc w:val="center"/>
      <w:outlineLvl w:val="1"/>
    </w:pPr>
    <w:rPr>
      <w:rFonts w:ascii="黑体" w:hAnsi="宋体" w:eastAsia="黑体"/>
      <w:b/>
      <w:smallCaps/>
      <w:snapToGrid w:val="0"/>
      <w:kern w:val="0"/>
      <w:sz w:val="36"/>
      <w:lang w:val="zh-CN"/>
    </w:rPr>
  </w:style>
  <w:style w:type="paragraph" w:customStyle="1" w:styleId="166">
    <w:name w:val="正文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7">
    <w:name w:val="正文_0"/>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68">
    <w:name w:val="标题 2 Char_0"/>
    <w:link w:val="165"/>
    <w:autoRedefine/>
    <w:qFormat/>
    <w:uiPriority w:val="0"/>
    <w:rPr>
      <w:rFonts w:ascii="黑体" w:eastAsia="黑体" w:cs="Times New Roman"/>
      <w:b/>
      <w:smallCaps/>
      <w:snapToGrid w:val="0"/>
      <w:sz w:val="36"/>
      <w:szCs w:val="24"/>
      <w:lang w:val="zh-CN" w:eastAsia="zh-CN"/>
    </w:rPr>
  </w:style>
  <w:style w:type="paragraph" w:customStyle="1" w:styleId="169">
    <w:name w:val="纯文本_0"/>
    <w:basedOn w:val="167"/>
    <w:link w:val="170"/>
    <w:autoRedefine/>
    <w:qFormat/>
    <w:uiPriority w:val="99"/>
    <w:rPr>
      <w:rFonts w:ascii="宋体" w:hAnsi="Courier New"/>
      <w:szCs w:val="21"/>
    </w:rPr>
  </w:style>
  <w:style w:type="character" w:customStyle="1" w:styleId="170">
    <w:name w:val="Texte Char1"/>
    <w:link w:val="169"/>
    <w:autoRedefine/>
    <w:qFormat/>
    <w:uiPriority w:val="99"/>
    <w:rPr>
      <w:rFonts w:hAnsi="Courier New" w:cs="Times New Roman"/>
      <w:kern w:val="2"/>
      <w:sz w:val="21"/>
      <w:szCs w:val="21"/>
    </w:rPr>
  </w:style>
  <w:style w:type="paragraph" w:customStyle="1" w:styleId="171">
    <w:name w:val="纯文本_1"/>
    <w:basedOn w:val="172"/>
    <w:link w:val="173"/>
    <w:autoRedefine/>
    <w:qFormat/>
    <w:uiPriority w:val="0"/>
    <w:rPr>
      <w:rFonts w:ascii="宋体" w:hAnsi="Courier New"/>
      <w:szCs w:val="21"/>
      <w:lang w:val="zh-CN"/>
    </w:rPr>
  </w:style>
  <w:style w:type="paragraph" w:customStyle="1" w:styleId="172">
    <w:name w:val="正文_1"/>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73">
    <w:name w:val="纯文本 Char1_0"/>
    <w:link w:val="171"/>
    <w:autoRedefine/>
    <w:qFormat/>
    <w:uiPriority w:val="0"/>
    <w:rPr>
      <w:rFonts w:hAnsi="Courier New" w:cs="Times New Roman"/>
      <w:kern w:val="2"/>
      <w:sz w:val="21"/>
      <w:szCs w:val="21"/>
      <w:lang w:val="zh-CN" w:eastAsia="zh-CN"/>
    </w:rPr>
  </w:style>
  <w:style w:type="paragraph" w:customStyle="1" w:styleId="174">
    <w:name w:val="标题 3_0"/>
    <w:basedOn w:val="175"/>
    <w:next w:val="176"/>
    <w:link w:val="187"/>
    <w:autoRedefine/>
    <w:qFormat/>
    <w:uiPriority w:val="0"/>
    <w:pPr>
      <w:keepNext/>
      <w:keepLines/>
      <w:widowControl/>
      <w:numPr>
        <w:ilvl w:val="2"/>
        <w:numId w:val="1"/>
      </w:numPr>
      <w:spacing w:before="120" w:after="120" w:line="360" w:lineRule="auto"/>
      <w:jc w:val="center"/>
      <w:outlineLvl w:val="2"/>
    </w:pPr>
    <w:rPr>
      <w:b/>
      <w:kern w:val="0"/>
      <w:sz w:val="32"/>
      <w:szCs w:val="20"/>
      <w:lang w:val="zh-CN"/>
    </w:rPr>
  </w:style>
  <w:style w:type="paragraph" w:customStyle="1" w:styleId="175">
    <w:name w:val="正文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6">
    <w:name w:val="正文缩进_0"/>
    <w:basedOn w:val="175"/>
    <w:autoRedefine/>
    <w:unhideWhenUsed/>
    <w:qFormat/>
    <w:uiPriority w:val="0"/>
    <w:pPr>
      <w:ind w:firstLine="420" w:firstLineChars="200"/>
    </w:pPr>
    <w:rPr>
      <w:rFonts w:ascii="Calibri" w:hAnsi="Calibri"/>
      <w:bCs/>
      <w:szCs w:val="32"/>
    </w:rPr>
  </w:style>
  <w:style w:type="paragraph" w:customStyle="1" w:styleId="177">
    <w:name w:val="标题 1_0"/>
    <w:basedOn w:val="175"/>
    <w:next w:val="175"/>
    <w:link w:val="178"/>
    <w:autoRedefine/>
    <w:qFormat/>
    <w:uiPriority w:val="0"/>
    <w:pPr>
      <w:keepNext/>
      <w:widowControl/>
      <w:numPr>
        <w:ilvl w:val="0"/>
        <w:numId w:val="1"/>
      </w:numPr>
      <w:jc w:val="center"/>
      <w:outlineLvl w:val="0"/>
    </w:pPr>
    <w:rPr>
      <w:rFonts w:ascii="黑体" w:eastAsia="黑体"/>
      <w:kern w:val="0"/>
      <w:sz w:val="52"/>
      <w:szCs w:val="20"/>
      <w:lang w:val="zh-CN"/>
    </w:rPr>
  </w:style>
  <w:style w:type="character" w:customStyle="1" w:styleId="178">
    <w:name w:val="标题 1 Char_0"/>
    <w:link w:val="177"/>
    <w:autoRedefine/>
    <w:qFormat/>
    <w:uiPriority w:val="0"/>
    <w:rPr>
      <w:rFonts w:ascii="黑体" w:hAnsi="Times New Roman" w:eastAsia="黑体" w:cs="Times New Roman"/>
      <w:sz w:val="52"/>
      <w:lang w:val="zh-CN" w:eastAsia="zh-CN"/>
    </w:rPr>
  </w:style>
  <w:style w:type="paragraph" w:customStyle="1" w:styleId="179">
    <w:name w:val="标题 6_0"/>
    <w:basedOn w:val="175"/>
    <w:next w:val="175"/>
    <w:link w:val="180"/>
    <w:autoRedefine/>
    <w:qFormat/>
    <w:uiPriority w:val="0"/>
    <w:pPr>
      <w:keepNext/>
      <w:keepLines/>
      <w:widowControl/>
      <w:numPr>
        <w:ilvl w:val="5"/>
        <w:numId w:val="1"/>
      </w:numPr>
      <w:spacing w:before="240" w:after="64" w:line="320" w:lineRule="auto"/>
      <w:jc w:val="left"/>
      <w:outlineLvl w:val="5"/>
    </w:pPr>
    <w:rPr>
      <w:rFonts w:ascii="Arial" w:hAnsi="Arial" w:eastAsia="黑体"/>
      <w:b/>
      <w:bCs/>
      <w:kern w:val="0"/>
      <w:sz w:val="24"/>
      <w:lang w:val="zh-CN"/>
    </w:rPr>
  </w:style>
  <w:style w:type="character" w:customStyle="1" w:styleId="180">
    <w:name w:val="标题 6 Char_0"/>
    <w:link w:val="179"/>
    <w:autoRedefine/>
    <w:qFormat/>
    <w:uiPriority w:val="0"/>
    <w:rPr>
      <w:rFonts w:ascii="Arial" w:hAnsi="Arial" w:eastAsia="黑体" w:cs="Times New Roman"/>
      <w:b/>
      <w:bCs/>
      <w:sz w:val="24"/>
      <w:szCs w:val="24"/>
      <w:lang w:val="zh-CN" w:eastAsia="zh-CN"/>
    </w:rPr>
  </w:style>
  <w:style w:type="paragraph" w:customStyle="1" w:styleId="181">
    <w:name w:val="标题 7_0"/>
    <w:basedOn w:val="175"/>
    <w:next w:val="175"/>
    <w:link w:val="182"/>
    <w:autoRedefine/>
    <w:qFormat/>
    <w:uiPriority w:val="0"/>
    <w:pPr>
      <w:keepNext/>
      <w:keepLines/>
      <w:widowControl/>
      <w:numPr>
        <w:ilvl w:val="6"/>
        <w:numId w:val="1"/>
      </w:numPr>
      <w:spacing w:before="240" w:after="64" w:line="320" w:lineRule="auto"/>
      <w:jc w:val="left"/>
      <w:outlineLvl w:val="6"/>
    </w:pPr>
    <w:rPr>
      <w:b/>
      <w:bCs/>
      <w:kern w:val="0"/>
      <w:sz w:val="24"/>
      <w:lang w:val="zh-CN"/>
    </w:rPr>
  </w:style>
  <w:style w:type="character" w:customStyle="1" w:styleId="182">
    <w:name w:val="标题 7 Char_0"/>
    <w:link w:val="181"/>
    <w:autoRedefine/>
    <w:qFormat/>
    <w:uiPriority w:val="0"/>
    <w:rPr>
      <w:rFonts w:ascii="Times New Roman" w:hAnsi="Times New Roman" w:cs="Times New Roman"/>
      <w:b/>
      <w:bCs/>
      <w:sz w:val="24"/>
      <w:szCs w:val="24"/>
      <w:lang w:val="zh-CN" w:eastAsia="zh-CN"/>
    </w:rPr>
  </w:style>
  <w:style w:type="paragraph" w:customStyle="1" w:styleId="183">
    <w:name w:val="标题 8_0"/>
    <w:basedOn w:val="175"/>
    <w:next w:val="175"/>
    <w:link w:val="184"/>
    <w:autoRedefine/>
    <w:qFormat/>
    <w:uiPriority w:val="0"/>
    <w:pPr>
      <w:keepNext/>
      <w:keepLines/>
      <w:widowControl/>
      <w:numPr>
        <w:ilvl w:val="7"/>
        <w:numId w:val="1"/>
      </w:numPr>
      <w:spacing w:before="240" w:after="64" w:line="320" w:lineRule="auto"/>
      <w:jc w:val="left"/>
      <w:outlineLvl w:val="7"/>
    </w:pPr>
    <w:rPr>
      <w:rFonts w:ascii="Arial" w:hAnsi="Arial" w:eastAsia="黑体"/>
      <w:kern w:val="0"/>
      <w:sz w:val="24"/>
      <w:lang w:val="zh-CN"/>
    </w:rPr>
  </w:style>
  <w:style w:type="character" w:customStyle="1" w:styleId="184">
    <w:name w:val="标题 8 Char_0"/>
    <w:link w:val="183"/>
    <w:autoRedefine/>
    <w:qFormat/>
    <w:uiPriority w:val="0"/>
    <w:rPr>
      <w:rFonts w:ascii="Arial" w:hAnsi="Arial" w:eastAsia="黑体" w:cs="Times New Roman"/>
      <w:sz w:val="24"/>
      <w:szCs w:val="24"/>
      <w:lang w:val="zh-CN" w:eastAsia="zh-CN"/>
    </w:rPr>
  </w:style>
  <w:style w:type="paragraph" w:customStyle="1" w:styleId="185">
    <w:name w:val="标题 9_0"/>
    <w:basedOn w:val="175"/>
    <w:next w:val="175"/>
    <w:link w:val="186"/>
    <w:autoRedefine/>
    <w:qFormat/>
    <w:uiPriority w:val="0"/>
    <w:pPr>
      <w:keepNext/>
      <w:keepLines/>
      <w:widowControl/>
      <w:numPr>
        <w:ilvl w:val="8"/>
        <w:numId w:val="1"/>
      </w:numPr>
      <w:spacing w:before="240" w:after="64" w:line="320" w:lineRule="auto"/>
      <w:jc w:val="left"/>
      <w:outlineLvl w:val="8"/>
    </w:pPr>
    <w:rPr>
      <w:rFonts w:ascii="Arial" w:hAnsi="Arial" w:eastAsia="黑体"/>
      <w:kern w:val="0"/>
      <w:szCs w:val="21"/>
      <w:lang w:val="zh-CN"/>
    </w:rPr>
  </w:style>
  <w:style w:type="character" w:customStyle="1" w:styleId="186">
    <w:name w:val="标题 9 Char_0"/>
    <w:link w:val="185"/>
    <w:autoRedefine/>
    <w:qFormat/>
    <w:uiPriority w:val="0"/>
    <w:rPr>
      <w:rFonts w:ascii="Arial" w:hAnsi="Arial" w:eastAsia="黑体" w:cs="Times New Roman"/>
      <w:sz w:val="21"/>
      <w:szCs w:val="21"/>
      <w:lang w:val="zh-CN" w:eastAsia="zh-CN"/>
    </w:rPr>
  </w:style>
  <w:style w:type="character" w:customStyle="1" w:styleId="187">
    <w:name w:val="标题 3 Char_0"/>
    <w:link w:val="174"/>
    <w:autoRedefine/>
    <w:qFormat/>
    <w:uiPriority w:val="0"/>
    <w:rPr>
      <w:rFonts w:ascii="Times New Roman" w:hAnsi="Times New Roman" w:cs="Times New Roman"/>
      <w:b/>
      <w:sz w:val="32"/>
      <w:lang w:val="zh-CN" w:eastAsia="zh-CN"/>
    </w:rPr>
  </w:style>
  <w:style w:type="paragraph" w:customStyle="1" w:styleId="188">
    <w:name w:val="Blockquote_0"/>
    <w:basedOn w:val="175"/>
    <w:link w:val="189"/>
    <w:autoRedefine/>
    <w:qFormat/>
    <w:uiPriority w:val="0"/>
    <w:pPr>
      <w:autoSpaceDE w:val="0"/>
      <w:autoSpaceDN w:val="0"/>
      <w:adjustRightInd w:val="0"/>
      <w:spacing w:before="100" w:after="100"/>
      <w:ind w:left="360" w:right="360"/>
      <w:jc w:val="left"/>
    </w:pPr>
    <w:rPr>
      <w:kern w:val="0"/>
      <w:sz w:val="24"/>
      <w:szCs w:val="20"/>
      <w:lang w:val="zh-CN"/>
    </w:rPr>
  </w:style>
  <w:style w:type="character" w:customStyle="1" w:styleId="189">
    <w:name w:val="Blockquote Char_0"/>
    <w:link w:val="188"/>
    <w:autoRedefine/>
    <w:qFormat/>
    <w:locked/>
    <w:uiPriority w:val="0"/>
    <w:rPr>
      <w:rFonts w:ascii="Times New Roman" w:hAnsi="Times New Roman" w:cs="Times New Roman"/>
      <w:sz w:val="24"/>
      <w:lang w:val="zh-CN" w:eastAsia="zh-CN"/>
    </w:rPr>
  </w:style>
  <w:style w:type="paragraph" w:customStyle="1" w:styleId="190">
    <w:name w:val="标题 4_0"/>
    <w:basedOn w:val="175"/>
    <w:next w:val="175"/>
    <w:link w:val="191"/>
    <w:autoRedefine/>
    <w:qFormat/>
    <w:uiPriority w:val="0"/>
    <w:pPr>
      <w:keepNext/>
      <w:keepLines/>
      <w:widowControl/>
      <w:spacing w:before="120" w:after="120" w:line="360" w:lineRule="auto"/>
      <w:jc w:val="center"/>
      <w:outlineLvl w:val="3"/>
    </w:pPr>
    <w:rPr>
      <w:rFonts w:ascii="Arial" w:hAnsi="Arial" w:eastAsia="黑体"/>
      <w:kern w:val="0"/>
      <w:sz w:val="28"/>
      <w:szCs w:val="20"/>
      <w:lang w:val="zh-CN"/>
    </w:rPr>
  </w:style>
  <w:style w:type="character" w:customStyle="1" w:styleId="191">
    <w:name w:val="标题 4 Char_0"/>
    <w:link w:val="190"/>
    <w:autoRedefine/>
    <w:qFormat/>
    <w:uiPriority w:val="0"/>
    <w:rPr>
      <w:rFonts w:ascii="Arial" w:hAnsi="Arial" w:eastAsia="黑体" w:cs="Times New Roman"/>
      <w:sz w:val="28"/>
      <w:lang w:val="zh-CN" w:eastAsia="zh-CN"/>
    </w:rPr>
  </w:style>
  <w:style w:type="paragraph" w:customStyle="1" w:styleId="192">
    <w:name w:val="纯文本_2"/>
    <w:basedOn w:val="175"/>
    <w:link w:val="193"/>
    <w:autoRedefine/>
    <w:qFormat/>
    <w:uiPriority w:val="0"/>
    <w:rPr>
      <w:rFonts w:ascii="宋体" w:hAnsi="Courier New"/>
      <w:szCs w:val="21"/>
      <w:lang w:val="zh-CN"/>
    </w:rPr>
  </w:style>
  <w:style w:type="character" w:customStyle="1" w:styleId="193">
    <w:name w:val="纯文本 Char1_1"/>
    <w:link w:val="192"/>
    <w:autoRedefine/>
    <w:qFormat/>
    <w:uiPriority w:val="0"/>
    <w:rPr>
      <w:rFonts w:hAnsi="Courier New" w:cs="Times New Roman"/>
      <w:kern w:val="2"/>
      <w:sz w:val="21"/>
      <w:szCs w:val="21"/>
      <w:lang w:val="zh-CN" w:eastAsia="zh-CN"/>
    </w:rPr>
  </w:style>
  <w:style w:type="paragraph" w:customStyle="1" w:styleId="194">
    <w:name w:val="Blockquote_0_1"/>
    <w:basedOn w:val="195"/>
    <w:link w:val="196"/>
    <w:autoRedefine/>
    <w:qFormat/>
    <w:uiPriority w:val="0"/>
    <w:pPr>
      <w:autoSpaceDE w:val="0"/>
      <w:autoSpaceDN w:val="0"/>
      <w:adjustRightInd w:val="0"/>
      <w:spacing w:before="100" w:after="100"/>
      <w:ind w:left="360" w:right="360"/>
      <w:jc w:val="left"/>
    </w:pPr>
    <w:rPr>
      <w:kern w:val="0"/>
      <w:sz w:val="24"/>
      <w:szCs w:val="20"/>
      <w:lang w:val="zh-CN"/>
    </w:rPr>
  </w:style>
  <w:style w:type="paragraph" w:customStyle="1" w:styleId="195">
    <w:name w:val="正文_1_1"/>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96">
    <w:name w:val="Blockquote Char_0_1"/>
    <w:link w:val="194"/>
    <w:autoRedefine/>
    <w:qFormat/>
    <w:locked/>
    <w:uiPriority w:val="0"/>
    <w:rPr>
      <w:rFonts w:ascii="Times New Roman" w:hAnsi="Times New Roman" w:cs="Times New Roman"/>
      <w:sz w:val="24"/>
      <w:lang w:val="zh-CN" w:eastAsia="zh-CN"/>
    </w:rPr>
  </w:style>
  <w:style w:type="paragraph" w:customStyle="1" w:styleId="197">
    <w:name w:val="正文文本_0"/>
    <w:basedOn w:val="175"/>
    <w:link w:val="198"/>
    <w:autoRedefine/>
    <w:qFormat/>
    <w:uiPriority w:val="0"/>
    <w:pPr>
      <w:spacing w:after="120"/>
    </w:pPr>
    <w:rPr>
      <w:lang w:val="zh-CN"/>
    </w:rPr>
  </w:style>
  <w:style w:type="character" w:customStyle="1" w:styleId="198">
    <w:name w:val="正文文本 Char_0"/>
    <w:link w:val="197"/>
    <w:autoRedefine/>
    <w:qFormat/>
    <w:uiPriority w:val="0"/>
    <w:rPr>
      <w:rFonts w:ascii="Times New Roman" w:hAnsi="Times New Roman" w:cs="Times New Roman"/>
      <w:kern w:val="2"/>
      <w:sz w:val="21"/>
      <w:szCs w:val="24"/>
      <w:lang w:val="zh-CN" w:eastAsia="zh-CN"/>
    </w:rPr>
  </w:style>
  <w:style w:type="paragraph" w:customStyle="1" w:styleId="199">
    <w:name w:val="普通(网站)_0"/>
    <w:basedOn w:val="175"/>
    <w:autoRedefine/>
    <w:qFormat/>
    <w:uiPriority w:val="0"/>
    <w:pPr>
      <w:widowControl/>
      <w:spacing w:before="100" w:beforeAutospacing="1" w:after="100" w:afterAutospacing="1"/>
      <w:jc w:val="left"/>
    </w:pPr>
    <w:rPr>
      <w:rFonts w:ascii="宋体" w:hAnsi="宋体"/>
      <w:kern w:val="0"/>
      <w:sz w:val="24"/>
    </w:rPr>
  </w:style>
  <w:style w:type="paragraph" w:customStyle="1" w:styleId="200">
    <w:name w:val="正文_1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1">
    <w:name w:val="正文_2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2">
    <w:name w:val="脚注文本_0"/>
    <w:basedOn w:val="124"/>
    <w:link w:val="203"/>
    <w:autoRedefine/>
    <w:unhideWhenUsed/>
    <w:qFormat/>
    <w:uiPriority w:val="0"/>
    <w:pPr>
      <w:adjustRightInd w:val="0"/>
      <w:snapToGrid w:val="0"/>
      <w:spacing w:line="420" w:lineRule="atLeast"/>
      <w:ind w:firstLine="454"/>
      <w:jc w:val="left"/>
    </w:pPr>
    <w:rPr>
      <w:rFonts w:ascii="Times New Roman" w:hAnsi="Times New Roman"/>
      <w:kern w:val="0"/>
      <w:sz w:val="18"/>
      <w:szCs w:val="20"/>
      <w:lang w:val="zh-CN"/>
    </w:rPr>
  </w:style>
  <w:style w:type="character" w:customStyle="1" w:styleId="203">
    <w:name w:val="脚注文本 Char_0"/>
    <w:link w:val="202"/>
    <w:autoRedefine/>
    <w:qFormat/>
    <w:uiPriority w:val="0"/>
    <w:rPr>
      <w:rFonts w:ascii="Times New Roman" w:hAnsi="Times New Roman" w:cs="Times New Roman"/>
      <w:sz w:val="18"/>
      <w:lang w:val="zh-CN" w:eastAsia="zh-CN"/>
    </w:rPr>
  </w:style>
  <w:style w:type="paragraph" w:customStyle="1" w:styleId="204">
    <w:name w:val="font5"/>
    <w:basedOn w:val="1"/>
    <w:autoRedefine/>
    <w:qFormat/>
    <w:uiPriority w:val="0"/>
    <w:pPr>
      <w:widowControl/>
      <w:spacing w:before="100" w:beforeAutospacing="1" w:after="100" w:afterAutospacing="1"/>
      <w:jc w:val="left"/>
    </w:pPr>
    <w:rPr>
      <w:rFonts w:hint="eastAsia" w:cs="Times New Roman"/>
      <w:sz w:val="18"/>
      <w:szCs w:val="18"/>
    </w:rPr>
  </w:style>
  <w:style w:type="paragraph" w:customStyle="1" w:styleId="205">
    <w:name w:val="xl2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18"/>
      <w:szCs w:val="18"/>
    </w:rPr>
  </w:style>
  <w:style w:type="paragraph" w:customStyle="1" w:styleId="206">
    <w:name w:val="xl2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18"/>
      <w:szCs w:val="18"/>
    </w:rPr>
  </w:style>
  <w:style w:type="paragraph" w:customStyle="1" w:styleId="207">
    <w:name w:val="xl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cs="Times New Roman"/>
      <w:sz w:val="24"/>
      <w:szCs w:val="24"/>
    </w:rPr>
  </w:style>
  <w:style w:type="paragraph" w:customStyle="1" w:styleId="208">
    <w:name w:val="xl2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cs="Times New Roman"/>
      <w:sz w:val="18"/>
      <w:szCs w:val="18"/>
    </w:rPr>
  </w:style>
  <w:style w:type="paragraph" w:customStyle="1" w:styleId="209">
    <w:name w:val="xl2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cs="Times New Roman"/>
      <w:sz w:val="24"/>
      <w:szCs w:val="24"/>
    </w:rPr>
  </w:style>
  <w:style w:type="paragraph" w:customStyle="1" w:styleId="210">
    <w:name w:val="xl29"/>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cs="Times New Roman"/>
      <w:sz w:val="24"/>
      <w:szCs w:val="24"/>
    </w:rPr>
  </w:style>
  <w:style w:type="paragraph" w:customStyle="1" w:styleId="211">
    <w:name w:val="xl3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24"/>
      <w:szCs w:val="24"/>
    </w:rPr>
  </w:style>
  <w:style w:type="paragraph" w:customStyle="1" w:styleId="212">
    <w:name w:val="xl3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18"/>
      <w:szCs w:val="18"/>
    </w:rPr>
  </w:style>
  <w:style w:type="paragraph" w:customStyle="1" w:styleId="213">
    <w:name w:val="xl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sz w:val="18"/>
      <w:szCs w:val="18"/>
    </w:rPr>
  </w:style>
  <w:style w:type="paragraph" w:customStyle="1" w:styleId="214">
    <w:name w:val="xl3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18"/>
      <w:szCs w:val="18"/>
    </w:rPr>
  </w:style>
  <w:style w:type="paragraph" w:customStyle="1" w:styleId="215">
    <w:name w:val="xl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22"/>
      <w:szCs w:val="22"/>
    </w:rPr>
  </w:style>
  <w:style w:type="paragraph" w:customStyle="1" w:styleId="216">
    <w:name w:val="xl3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sz w:val="24"/>
      <w:szCs w:val="24"/>
    </w:rPr>
  </w:style>
  <w:style w:type="paragraph" w:customStyle="1" w:styleId="217">
    <w:name w:val="xl3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cs="Times New Roman"/>
      <w:sz w:val="24"/>
      <w:szCs w:val="24"/>
    </w:rPr>
  </w:style>
  <w:style w:type="paragraph" w:customStyle="1" w:styleId="218">
    <w:name w:val="xl3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24"/>
      <w:szCs w:val="24"/>
    </w:rPr>
  </w:style>
  <w:style w:type="paragraph" w:customStyle="1" w:styleId="219">
    <w:name w:val="xl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24"/>
      <w:szCs w:val="24"/>
    </w:rPr>
  </w:style>
  <w:style w:type="paragraph" w:customStyle="1" w:styleId="220">
    <w:name w:val="xl41"/>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cs="Times New Roman"/>
      <w:sz w:val="24"/>
      <w:szCs w:val="24"/>
    </w:rPr>
  </w:style>
  <w:style w:type="paragraph" w:customStyle="1" w:styleId="221">
    <w:name w:val="xl42"/>
    <w:basedOn w:val="1"/>
    <w:autoRedefine/>
    <w:qFormat/>
    <w:uiPriority w:val="0"/>
    <w:pPr>
      <w:widowControl/>
      <w:spacing w:before="100" w:beforeAutospacing="1" w:after="100" w:afterAutospacing="1"/>
      <w:jc w:val="center"/>
      <w:textAlignment w:val="center"/>
    </w:pPr>
    <w:rPr>
      <w:rFonts w:cs="Times New Roman"/>
      <w:b/>
      <w:bCs/>
      <w:sz w:val="32"/>
      <w:szCs w:val="32"/>
    </w:rPr>
  </w:style>
  <w:style w:type="paragraph" w:customStyle="1" w:styleId="222">
    <w:name w:val="xl43"/>
    <w:basedOn w:val="1"/>
    <w:autoRedefine/>
    <w:qFormat/>
    <w:uiPriority w:val="0"/>
    <w:pPr>
      <w:widowControl/>
      <w:spacing w:before="100" w:beforeAutospacing="1" w:after="100" w:afterAutospacing="1"/>
      <w:jc w:val="left"/>
      <w:textAlignment w:val="top"/>
    </w:pPr>
    <w:rPr>
      <w:rFonts w:cs="Times New Roman"/>
      <w:sz w:val="24"/>
      <w:szCs w:val="24"/>
    </w:rPr>
  </w:style>
  <w:style w:type="paragraph" w:customStyle="1" w:styleId="223">
    <w:name w:val="xl44"/>
    <w:basedOn w:val="1"/>
    <w:autoRedefine/>
    <w:qFormat/>
    <w:uiPriority w:val="0"/>
    <w:pPr>
      <w:widowControl/>
      <w:spacing w:before="100" w:beforeAutospacing="1" w:after="100" w:afterAutospacing="1"/>
      <w:jc w:val="center"/>
      <w:textAlignment w:val="center"/>
    </w:pPr>
    <w:rPr>
      <w:rFonts w:cs="Times New Roman"/>
      <w:b/>
      <w:bCs/>
      <w:sz w:val="32"/>
      <w:szCs w:val="32"/>
    </w:rPr>
  </w:style>
  <w:style w:type="paragraph" w:customStyle="1" w:styleId="224">
    <w:name w:val="xl45"/>
    <w:basedOn w:val="1"/>
    <w:autoRedefine/>
    <w:qFormat/>
    <w:uiPriority w:val="0"/>
    <w:pPr>
      <w:widowControl/>
      <w:spacing w:before="100" w:beforeAutospacing="1" w:after="100" w:afterAutospacing="1"/>
      <w:jc w:val="left"/>
      <w:textAlignment w:val="top"/>
    </w:pPr>
    <w:rPr>
      <w:rFonts w:cs="Times New Roman"/>
      <w:sz w:val="24"/>
      <w:szCs w:val="24"/>
    </w:rPr>
  </w:style>
  <w:style w:type="paragraph" w:customStyle="1" w:styleId="225">
    <w:name w:val="font6"/>
    <w:basedOn w:val="1"/>
    <w:autoRedefine/>
    <w:qFormat/>
    <w:uiPriority w:val="0"/>
    <w:pPr>
      <w:widowControl/>
      <w:spacing w:before="100" w:beforeAutospacing="1" w:after="100" w:afterAutospacing="1"/>
      <w:jc w:val="left"/>
    </w:pPr>
    <w:rPr>
      <w:rFonts w:ascii="Times New Roman" w:hAnsi="Times New Roman" w:cs="Times New Roman"/>
      <w:sz w:val="18"/>
      <w:szCs w:val="18"/>
    </w:rPr>
  </w:style>
  <w:style w:type="paragraph" w:customStyle="1" w:styleId="226">
    <w:name w:val="Char Char Char Char Char"/>
    <w:basedOn w:val="1"/>
    <w:autoRedefine/>
    <w:qFormat/>
    <w:uiPriority w:val="0"/>
    <w:rPr>
      <w:rFonts w:ascii="Tahoma" w:hAnsi="Tahoma" w:cs="Times New Roman"/>
      <w:kern w:val="2"/>
      <w:sz w:val="24"/>
    </w:rPr>
  </w:style>
  <w:style w:type="paragraph" w:customStyle="1" w:styleId="227">
    <w:name w:val="范本目录"/>
    <w:basedOn w:val="1"/>
    <w:autoRedefine/>
    <w:qFormat/>
    <w:uiPriority w:val="0"/>
    <w:pPr>
      <w:adjustRightInd w:val="0"/>
      <w:snapToGrid w:val="0"/>
      <w:spacing w:before="48" w:beforeLines="20" w:after="48" w:afterLines="20" w:line="540" w:lineRule="exact"/>
      <w:jc w:val="center"/>
    </w:pPr>
    <w:rPr>
      <w:rFonts w:ascii="Times New Roman" w:cs="Times New Roman"/>
      <w:b/>
      <w:bCs/>
      <w:kern w:val="2"/>
      <w:sz w:val="36"/>
      <w:szCs w:val="24"/>
    </w:rPr>
  </w:style>
  <w:style w:type="character" w:customStyle="1" w:styleId="228">
    <w:name w:val="副标题 Char"/>
    <w:basedOn w:val="57"/>
    <w:link w:val="40"/>
    <w:autoRedefine/>
    <w:qFormat/>
    <w:uiPriority w:val="0"/>
    <w:rPr>
      <w:rFonts w:ascii="Arial" w:hAnsi="Arial" w:cs="Times New Roman"/>
      <w:b/>
      <w:bCs/>
      <w:kern w:val="28"/>
      <w:sz w:val="32"/>
      <w:szCs w:val="32"/>
      <w:lang w:val="zh-CN" w:eastAsia="zh-CN"/>
    </w:rPr>
  </w:style>
  <w:style w:type="character" w:customStyle="1" w:styleId="229">
    <w:name w:val="Char Char"/>
    <w:autoRedefine/>
    <w:qFormat/>
    <w:uiPriority w:val="0"/>
    <w:rPr>
      <w:rFonts w:ascii="宋体" w:hAnsi="Courier New" w:eastAsia="宋体" w:cs="Courier New"/>
      <w:kern w:val="2"/>
      <w:sz w:val="21"/>
      <w:szCs w:val="21"/>
      <w:lang w:val="en-US" w:eastAsia="zh-CN" w:bidi="ar-SA"/>
    </w:rPr>
  </w:style>
  <w:style w:type="character" w:customStyle="1" w:styleId="230">
    <w:name w:val="标题4 Char Char"/>
    <w:link w:val="231"/>
    <w:autoRedefine/>
    <w:qFormat/>
    <w:uiPriority w:val="0"/>
    <w:rPr>
      <w:rFonts w:ascii="Arial" w:hAnsi="Arial"/>
      <w:b/>
      <w:bCs/>
      <w:sz w:val="24"/>
      <w:szCs w:val="32"/>
    </w:rPr>
  </w:style>
  <w:style w:type="paragraph" w:customStyle="1" w:styleId="231">
    <w:name w:val="标题4"/>
    <w:basedOn w:val="3"/>
    <w:next w:val="25"/>
    <w:link w:val="230"/>
    <w:autoRedefine/>
    <w:qFormat/>
    <w:uiPriority w:val="0"/>
    <w:pPr>
      <w:spacing w:before="0" w:after="0" w:line="413" w:lineRule="auto"/>
    </w:pPr>
    <w:rPr>
      <w:rFonts w:ascii="Arial" w:hAnsi="Arial" w:cstheme="minorBidi"/>
      <w:kern w:val="0"/>
      <w:sz w:val="24"/>
      <w:lang w:val="en-US"/>
    </w:rPr>
  </w:style>
  <w:style w:type="character" w:customStyle="1" w:styleId="232">
    <w:name w:val="明显引用 Char"/>
    <w:link w:val="233"/>
    <w:autoRedefine/>
    <w:qFormat/>
    <w:uiPriority w:val="0"/>
    <w:rPr>
      <w:b/>
      <w:bCs/>
      <w:i/>
      <w:iCs/>
      <w:color w:val="4F81BD"/>
    </w:rPr>
  </w:style>
  <w:style w:type="paragraph" w:styleId="233">
    <w:name w:val="Intense Quote"/>
    <w:basedOn w:val="1"/>
    <w:next w:val="1"/>
    <w:link w:val="232"/>
    <w:autoRedefine/>
    <w:qFormat/>
    <w:uiPriority w:val="0"/>
    <w:pPr>
      <w:pBdr>
        <w:bottom w:val="single" w:color="4F81BD" w:themeColor="accent1" w:sz="4" w:space="4"/>
      </w:pBdr>
      <w:spacing w:before="200" w:after="280"/>
      <w:ind w:left="936" w:right="936"/>
    </w:pPr>
    <w:rPr>
      <w:b/>
      <w:bCs/>
      <w:i/>
      <w:iCs/>
      <w:color w:val="4F81BD"/>
    </w:rPr>
  </w:style>
  <w:style w:type="paragraph" w:customStyle="1" w:styleId="234">
    <w:name w:val="明显引用1"/>
    <w:basedOn w:val="1"/>
    <w:next w:val="1"/>
    <w:autoRedefine/>
    <w:qFormat/>
    <w:uiPriority w:val="0"/>
    <w:pPr>
      <w:pBdr>
        <w:bottom w:val="single" w:color="4F81BD" w:sz="4" w:space="4"/>
      </w:pBdr>
      <w:spacing w:before="200" w:after="280"/>
      <w:ind w:left="936" w:right="936"/>
    </w:pPr>
    <w:rPr>
      <w:rFonts w:ascii="Calibri" w:hAnsi="Calibri" w:cs="Times New Roman"/>
      <w:b/>
      <w:bCs/>
      <w:i/>
      <w:iCs/>
      <w:color w:val="4F81BD"/>
      <w:kern w:val="2"/>
      <w:sz w:val="21"/>
      <w:szCs w:val="22"/>
    </w:rPr>
  </w:style>
  <w:style w:type="character" w:customStyle="1" w:styleId="235">
    <w:name w:val="明显引用 Char1"/>
    <w:basedOn w:val="57"/>
    <w:autoRedefine/>
    <w:qFormat/>
    <w:uiPriority w:val="30"/>
    <w:rPr>
      <w:rFonts w:ascii="Times New Roman" w:hAnsi="Times New Roman" w:eastAsia="宋体" w:cs="Times New Roman"/>
      <w:i/>
      <w:iCs/>
      <w:color w:val="5B9BD5"/>
      <w:szCs w:val="24"/>
    </w:rPr>
  </w:style>
  <w:style w:type="character" w:customStyle="1" w:styleId="236">
    <w:name w:val="标题5 Char Char"/>
    <w:link w:val="237"/>
    <w:autoRedefine/>
    <w:qFormat/>
    <w:uiPriority w:val="0"/>
    <w:rPr>
      <w:rFonts w:ascii="Arial" w:hAnsi="Arial"/>
      <w:b/>
      <w:bCs/>
      <w:sz w:val="24"/>
      <w:szCs w:val="32"/>
    </w:rPr>
  </w:style>
  <w:style w:type="paragraph" w:customStyle="1" w:styleId="237">
    <w:name w:val="标题5"/>
    <w:basedOn w:val="4"/>
    <w:link w:val="236"/>
    <w:autoRedefine/>
    <w:qFormat/>
    <w:uiPriority w:val="0"/>
    <w:pPr>
      <w:spacing w:line="413" w:lineRule="auto"/>
      <w:jc w:val="left"/>
    </w:pPr>
    <w:rPr>
      <w:rFonts w:ascii="Arial" w:hAnsi="Arial"/>
      <w:sz w:val="24"/>
    </w:rPr>
  </w:style>
  <w:style w:type="character" w:customStyle="1" w:styleId="238">
    <w:name w:val="引用 Char"/>
    <w:link w:val="239"/>
    <w:autoRedefine/>
    <w:qFormat/>
    <w:uiPriority w:val="0"/>
    <w:rPr>
      <w:i/>
      <w:iCs/>
      <w:color w:val="000000"/>
    </w:rPr>
  </w:style>
  <w:style w:type="paragraph" w:styleId="239">
    <w:name w:val="Quote"/>
    <w:basedOn w:val="1"/>
    <w:next w:val="1"/>
    <w:link w:val="238"/>
    <w:autoRedefine/>
    <w:qFormat/>
    <w:uiPriority w:val="0"/>
    <w:rPr>
      <w:i/>
      <w:iCs/>
      <w:color w:val="000000"/>
    </w:rPr>
  </w:style>
  <w:style w:type="paragraph" w:customStyle="1" w:styleId="240">
    <w:name w:val="引用1"/>
    <w:basedOn w:val="1"/>
    <w:next w:val="1"/>
    <w:autoRedefine/>
    <w:qFormat/>
    <w:uiPriority w:val="0"/>
    <w:rPr>
      <w:rFonts w:ascii="Calibri" w:hAnsi="Calibri" w:cs="Times New Roman"/>
      <w:i/>
      <w:iCs/>
      <w:color w:val="000000"/>
      <w:kern w:val="2"/>
      <w:sz w:val="21"/>
      <w:szCs w:val="22"/>
    </w:rPr>
  </w:style>
  <w:style w:type="character" w:customStyle="1" w:styleId="241">
    <w:name w:val="引用 Char1"/>
    <w:basedOn w:val="57"/>
    <w:autoRedefine/>
    <w:qFormat/>
    <w:uiPriority w:val="29"/>
    <w:rPr>
      <w:rFonts w:ascii="Times New Roman" w:hAnsi="Times New Roman" w:eastAsia="宋体" w:cs="Times New Roman"/>
      <w:i/>
      <w:iCs/>
      <w:color w:val="404040"/>
      <w:szCs w:val="24"/>
    </w:rPr>
  </w:style>
  <w:style w:type="character" w:customStyle="1" w:styleId="242">
    <w:name w:val="ask-title2"/>
    <w:autoRedefine/>
    <w:qFormat/>
    <w:uiPriority w:val="0"/>
  </w:style>
  <w:style w:type="character" w:customStyle="1" w:styleId="243">
    <w:name w:val="正文文本 Char1"/>
    <w:autoRedefine/>
    <w:qFormat/>
    <w:uiPriority w:val="0"/>
    <w:rPr>
      <w:kern w:val="2"/>
      <w:sz w:val="21"/>
      <w:szCs w:val="22"/>
    </w:rPr>
  </w:style>
  <w:style w:type="character" w:customStyle="1" w:styleId="244">
    <w:name w:val="不明显强调1"/>
    <w:autoRedefine/>
    <w:qFormat/>
    <w:uiPriority w:val="0"/>
    <w:rPr>
      <w:i/>
      <w:iCs/>
      <w:color w:val="808080"/>
    </w:rPr>
  </w:style>
  <w:style w:type="character" w:customStyle="1" w:styleId="245">
    <w:name w:val="明显参考1"/>
    <w:autoRedefine/>
    <w:qFormat/>
    <w:uiPriority w:val="0"/>
    <w:rPr>
      <w:b/>
      <w:bCs/>
      <w:smallCaps/>
      <w:color w:val="C0504D"/>
      <w:spacing w:val="5"/>
      <w:u w:val="single"/>
    </w:rPr>
  </w:style>
  <w:style w:type="character" w:customStyle="1" w:styleId="246">
    <w:name w:val="书籍标题1"/>
    <w:autoRedefine/>
    <w:qFormat/>
    <w:uiPriority w:val="0"/>
    <w:rPr>
      <w:b/>
      <w:bCs/>
      <w:smallCaps/>
      <w:spacing w:val="5"/>
    </w:rPr>
  </w:style>
  <w:style w:type="character" w:customStyle="1" w:styleId="247">
    <w:name w:val="日期 Char1"/>
    <w:autoRedefine/>
    <w:qFormat/>
    <w:uiPriority w:val="0"/>
    <w:rPr>
      <w:kern w:val="2"/>
      <w:sz w:val="21"/>
      <w:szCs w:val="22"/>
    </w:rPr>
  </w:style>
  <w:style w:type="character" w:customStyle="1" w:styleId="248">
    <w:name w:val="明显强调1"/>
    <w:autoRedefine/>
    <w:qFormat/>
    <w:uiPriority w:val="0"/>
    <w:rPr>
      <w:b/>
      <w:bCs/>
      <w:i/>
      <w:iCs/>
      <w:color w:val="4F81BD"/>
    </w:rPr>
  </w:style>
  <w:style w:type="character" w:customStyle="1" w:styleId="249">
    <w:name w:val="textcontents"/>
    <w:autoRedefine/>
    <w:qFormat/>
    <w:uiPriority w:val="0"/>
    <w:rPr>
      <w:rFonts w:cs="Times New Roman"/>
    </w:rPr>
  </w:style>
  <w:style w:type="character" w:customStyle="1" w:styleId="250">
    <w:name w:val="不明显参考1"/>
    <w:autoRedefine/>
    <w:qFormat/>
    <w:uiPriority w:val="0"/>
    <w:rPr>
      <w:smallCaps/>
      <w:color w:val="C0504D"/>
      <w:u w:val="single"/>
    </w:rPr>
  </w:style>
  <w:style w:type="character" w:customStyle="1" w:styleId="251">
    <w:name w:val="批注文字 Char Char"/>
    <w:autoRedefine/>
    <w:qFormat/>
    <w:uiPriority w:val="0"/>
    <w:rPr>
      <w:rFonts w:ascii="宋体" w:hAnsi="Times New Roman" w:eastAsia="宋体" w:cs="Times New Roman"/>
      <w:sz w:val="28"/>
      <w:szCs w:val="20"/>
    </w:rPr>
  </w:style>
  <w:style w:type="character" w:customStyle="1" w:styleId="252">
    <w:name w:val="文档结构图 Char1"/>
    <w:autoRedefine/>
    <w:qFormat/>
    <w:uiPriority w:val="0"/>
    <w:rPr>
      <w:rFonts w:ascii="宋体"/>
      <w:kern w:val="2"/>
      <w:sz w:val="18"/>
      <w:szCs w:val="18"/>
    </w:rPr>
  </w:style>
  <w:style w:type="paragraph" w:customStyle="1" w:styleId="253">
    <w:name w:val="修订1"/>
    <w:autoRedefine/>
    <w:qFormat/>
    <w:uiPriority w:val="0"/>
    <w:rPr>
      <w:rFonts w:ascii="Times New Roman" w:hAnsi="Times New Roman" w:eastAsia="宋体" w:cs="Times New Roman"/>
      <w:kern w:val="2"/>
      <w:sz w:val="21"/>
      <w:szCs w:val="24"/>
      <w:lang w:val="en-US" w:eastAsia="zh-CN" w:bidi="ar-SA"/>
    </w:rPr>
  </w:style>
  <w:style w:type="character" w:customStyle="1" w:styleId="254">
    <w:name w:val="页脚 Char1"/>
    <w:autoRedefine/>
    <w:semiHidden/>
    <w:qFormat/>
    <w:uiPriority w:val="99"/>
    <w:rPr>
      <w:kern w:val="2"/>
      <w:sz w:val="18"/>
      <w:szCs w:val="18"/>
    </w:rPr>
  </w:style>
  <w:style w:type="character" w:customStyle="1" w:styleId="255">
    <w:name w:val="批注框文本 Char2"/>
    <w:autoRedefine/>
    <w:semiHidden/>
    <w:qFormat/>
    <w:uiPriority w:val="99"/>
    <w:rPr>
      <w:kern w:val="2"/>
      <w:sz w:val="18"/>
      <w:szCs w:val="18"/>
    </w:rPr>
  </w:style>
  <w:style w:type="character" w:customStyle="1" w:styleId="256">
    <w:name w:val="批注主题 Char2"/>
    <w:autoRedefine/>
    <w:semiHidden/>
    <w:qFormat/>
    <w:uiPriority w:val="99"/>
    <w:rPr>
      <w:b/>
      <w:bCs/>
      <w:kern w:val="2"/>
      <w:sz w:val="21"/>
      <w:szCs w:val="22"/>
    </w:rPr>
  </w:style>
  <w:style w:type="character" w:customStyle="1" w:styleId="257">
    <w:name w:val="文档结构图 Char2"/>
    <w:autoRedefine/>
    <w:semiHidden/>
    <w:qFormat/>
    <w:uiPriority w:val="99"/>
    <w:rPr>
      <w:rFonts w:ascii="宋体"/>
      <w:kern w:val="2"/>
      <w:sz w:val="18"/>
      <w:szCs w:val="18"/>
    </w:rPr>
  </w:style>
  <w:style w:type="character" w:customStyle="1" w:styleId="258">
    <w:name w:val="页眉 Char1"/>
    <w:autoRedefine/>
    <w:semiHidden/>
    <w:qFormat/>
    <w:uiPriority w:val="99"/>
    <w:rPr>
      <w:kern w:val="2"/>
      <w:sz w:val="18"/>
      <w:szCs w:val="18"/>
    </w:rPr>
  </w:style>
  <w:style w:type="character" w:customStyle="1" w:styleId="259">
    <w:name w:val="日期 Char2"/>
    <w:autoRedefine/>
    <w:semiHidden/>
    <w:qFormat/>
    <w:uiPriority w:val="99"/>
    <w:rPr>
      <w:kern w:val="2"/>
      <w:sz w:val="21"/>
      <w:szCs w:val="22"/>
    </w:rPr>
  </w:style>
  <w:style w:type="character" w:customStyle="1" w:styleId="260">
    <w:name w:val="正文文本 Char2"/>
    <w:autoRedefine/>
    <w:semiHidden/>
    <w:qFormat/>
    <w:uiPriority w:val="99"/>
    <w:rPr>
      <w:kern w:val="2"/>
      <w:sz w:val="21"/>
      <w:szCs w:val="22"/>
    </w:rPr>
  </w:style>
  <w:style w:type="character" w:customStyle="1" w:styleId="261">
    <w:name w:val="标题 Char1"/>
    <w:autoRedefine/>
    <w:qFormat/>
    <w:uiPriority w:val="10"/>
    <w:rPr>
      <w:rFonts w:ascii="Cambria" w:hAnsi="Cambria" w:cs="Times New Roman"/>
      <w:b/>
      <w:bCs/>
      <w:kern w:val="2"/>
      <w:sz w:val="32"/>
      <w:szCs w:val="32"/>
    </w:rPr>
  </w:style>
  <w:style w:type="character" w:customStyle="1" w:styleId="262">
    <w:name w:val="副标题 Char1"/>
    <w:autoRedefine/>
    <w:qFormat/>
    <w:uiPriority w:val="11"/>
    <w:rPr>
      <w:rFonts w:ascii="Cambria" w:hAnsi="Cambria" w:cs="Times New Roman"/>
      <w:b/>
      <w:bCs/>
      <w:kern w:val="28"/>
      <w:sz w:val="32"/>
      <w:szCs w:val="32"/>
    </w:rPr>
  </w:style>
  <w:style w:type="paragraph" w:customStyle="1" w:styleId="263">
    <w:name w:val="空半行"/>
    <w:basedOn w:val="1"/>
    <w:autoRedefine/>
    <w:qFormat/>
    <w:uiPriority w:val="0"/>
    <w:pPr>
      <w:adjustRightInd w:val="0"/>
      <w:spacing w:line="120" w:lineRule="exact"/>
      <w:textAlignment w:val="baseline"/>
    </w:pPr>
    <w:rPr>
      <w:rFonts w:ascii="Times New Roman" w:hAnsi="Times New Roman" w:eastAsia="仿宋_GB2312" w:cs="Times New Roman"/>
      <w:color w:val="FFFFFF"/>
      <w:sz w:val="30"/>
    </w:rPr>
  </w:style>
  <w:style w:type="paragraph" w:styleId="264">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65">
    <w:name w:val="flNote"/>
    <w:basedOn w:val="1"/>
    <w:autoRedefine/>
    <w:qFormat/>
    <w:uiPriority w:val="0"/>
    <w:pPr>
      <w:adjustRightInd w:val="0"/>
      <w:spacing w:before="320" w:after="160" w:line="360" w:lineRule="atLeast"/>
      <w:jc w:val="center"/>
      <w:textAlignment w:val="baseline"/>
    </w:pPr>
    <w:rPr>
      <w:rFonts w:ascii="Arial" w:hAnsi="Times New Roman" w:eastAsia="黑体" w:cs="Times New Roman"/>
      <w:sz w:val="30"/>
    </w:rPr>
  </w:style>
  <w:style w:type="character" w:customStyle="1" w:styleId="266">
    <w:name w:val="正文2 Char"/>
    <w:link w:val="267"/>
    <w:autoRedefine/>
    <w:qFormat/>
    <w:uiPriority w:val="0"/>
    <w:rPr>
      <w:rFonts w:ascii="楷体" w:eastAsia="楷体"/>
      <w:b/>
      <w:color w:val="0000FF"/>
    </w:rPr>
  </w:style>
  <w:style w:type="paragraph" w:customStyle="1" w:styleId="267">
    <w:name w:val="正文2"/>
    <w:link w:val="266"/>
    <w:autoRedefine/>
    <w:qFormat/>
    <w:uiPriority w:val="0"/>
    <w:pPr>
      <w:widowControl w:val="0"/>
      <w:adjustRightInd w:val="0"/>
      <w:snapToGrid w:val="0"/>
      <w:spacing w:line="360" w:lineRule="auto"/>
      <w:ind w:firstLine="200" w:firstLineChars="200"/>
      <w:jc w:val="both"/>
      <w:textAlignment w:val="baseline"/>
    </w:pPr>
    <w:rPr>
      <w:rFonts w:ascii="楷体" w:hAnsi="宋体" w:eastAsia="楷体" w:cstheme="minorBidi"/>
      <w:b/>
      <w:color w:val="0000FF"/>
      <w:lang w:val="en-US" w:eastAsia="zh-CN" w:bidi="ar-SA"/>
    </w:rPr>
  </w:style>
  <w:style w:type="paragraph" w:customStyle="1" w:styleId="268">
    <w:name w:val="p0"/>
    <w:basedOn w:val="1"/>
    <w:autoRedefine/>
    <w:qFormat/>
    <w:uiPriority w:val="0"/>
    <w:pPr>
      <w:widowControl/>
      <w:spacing w:before="100" w:beforeAutospacing="1" w:after="100" w:afterAutospacing="1"/>
      <w:jc w:val="left"/>
    </w:pPr>
    <w:rPr>
      <w:rFonts w:cs="宋体"/>
      <w:sz w:val="24"/>
      <w:szCs w:val="24"/>
    </w:rPr>
  </w:style>
  <w:style w:type="character" w:customStyle="1" w:styleId="269">
    <w:name w:val="正文文本 (2)_"/>
    <w:link w:val="270"/>
    <w:autoRedefine/>
    <w:qFormat/>
    <w:locked/>
    <w:uiPriority w:val="99"/>
    <w:rPr>
      <w:rFonts w:ascii="MingLiU" w:eastAsia="MingLiU" w:cs="MingLiU"/>
      <w:spacing w:val="20"/>
      <w:sz w:val="22"/>
      <w:shd w:val="clear" w:color="auto" w:fill="FFFFFF"/>
    </w:rPr>
  </w:style>
  <w:style w:type="paragraph" w:customStyle="1" w:styleId="270">
    <w:name w:val="正文文本 (2)1"/>
    <w:basedOn w:val="1"/>
    <w:link w:val="269"/>
    <w:autoRedefine/>
    <w:qFormat/>
    <w:uiPriority w:val="99"/>
    <w:pPr>
      <w:shd w:val="clear" w:color="auto" w:fill="FFFFFF"/>
      <w:spacing w:before="300" w:line="439" w:lineRule="exact"/>
      <w:jc w:val="distribute"/>
    </w:pPr>
    <w:rPr>
      <w:rFonts w:ascii="MingLiU" w:eastAsia="MingLiU" w:cs="MingLiU"/>
      <w:spacing w:val="20"/>
      <w:sz w:val="22"/>
    </w:rPr>
  </w:style>
  <w:style w:type="character" w:customStyle="1" w:styleId="271">
    <w:name w:val="正文文本 (2) + 间距 0 pt5"/>
    <w:autoRedefine/>
    <w:qFormat/>
    <w:uiPriority w:val="99"/>
    <w:rPr>
      <w:rFonts w:ascii="MingLiU" w:eastAsia="MingLiU" w:cs="MingLiU"/>
      <w:spacing w:val="0"/>
      <w:sz w:val="22"/>
      <w:shd w:val="clear" w:color="auto" w:fill="FFFFFF"/>
    </w:rPr>
  </w:style>
  <w:style w:type="character" w:customStyle="1" w:styleId="272">
    <w:name w:val="访问过的超链接1"/>
    <w:basedOn w:val="57"/>
    <w:autoRedefine/>
    <w:semiHidden/>
    <w:unhideWhenUsed/>
    <w:qFormat/>
    <w:uiPriority w:val="99"/>
    <w:rPr>
      <w:color w:val="954F72"/>
      <w:u w:val="single"/>
    </w:rPr>
  </w:style>
  <w:style w:type="character" w:customStyle="1" w:styleId="273">
    <w:name w:val="明显引用 Char2"/>
    <w:basedOn w:val="57"/>
    <w:autoRedefine/>
    <w:qFormat/>
    <w:uiPriority w:val="30"/>
    <w:rPr>
      <w:b/>
      <w:bCs/>
      <w:i/>
      <w:iCs/>
      <w:color w:val="4F81BD" w:themeColor="accent1"/>
      <w14:textFill>
        <w14:solidFill>
          <w14:schemeClr w14:val="accent1"/>
        </w14:solidFill>
      </w14:textFill>
    </w:rPr>
  </w:style>
  <w:style w:type="character" w:customStyle="1" w:styleId="274">
    <w:name w:val="引用 Char2"/>
    <w:basedOn w:val="57"/>
    <w:autoRedefine/>
    <w:qFormat/>
    <w:uiPriority w:val="29"/>
    <w:rPr>
      <w:i/>
      <w:iCs/>
      <w:color w:val="000000" w:themeColor="text1"/>
      <w14:textFill>
        <w14:solidFill>
          <w14:schemeClr w14:val="tx1"/>
        </w14:solidFill>
      </w14:textFill>
    </w:rPr>
  </w:style>
  <w:style w:type="table" w:customStyle="1" w:styleId="275">
    <w:name w:val="网格型4"/>
    <w:basedOn w:val="55"/>
    <w:autoRedefine/>
    <w:unhideWhenUsed/>
    <w:qFormat/>
    <w:uiPriority w:val="59"/>
    <w:rPr>
      <w:rFonts w:asciiTheme="minorHAnsi" w:hAnsiTheme="minorHAnsi" w:eastAsiaTheme="minorEastAsia"/>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76">
    <w:name w:val="Table Normal"/>
    <w:autoRedefine/>
    <w:semiHidden/>
    <w:unhideWhenUsed/>
    <w:qFormat/>
    <w:uiPriority w:val="0"/>
    <w:tblPr>
      <w:tblCellMar>
        <w:top w:w="0" w:type="dxa"/>
        <w:left w:w="0" w:type="dxa"/>
        <w:bottom w:w="0" w:type="dxa"/>
        <w:right w:w="0" w:type="dxa"/>
      </w:tblCellMar>
    </w:tblPr>
  </w:style>
  <w:style w:type="paragraph" w:customStyle="1" w:styleId="277">
    <w:name w:val="Table Text"/>
    <w:basedOn w:val="1"/>
    <w:autoRedefine/>
    <w:semiHidden/>
    <w:qFormat/>
    <w:uiPriority w:val="0"/>
    <w:rPr>
      <w:rFonts w:ascii="Arial" w:hAnsi="Arial" w:eastAsia="Arial" w:cs="Arial"/>
      <w:sz w:val="21"/>
      <w:szCs w:val="21"/>
      <w:lang w:val="en-US" w:eastAsia="en-US" w:bidi="ar-SA"/>
    </w:rPr>
  </w:style>
  <w:style w:type="character" w:customStyle="1" w:styleId="278">
    <w:name w:val="16"/>
    <w:basedOn w:val="57"/>
    <w:qFormat/>
    <w:uiPriority w:val="0"/>
    <w:rPr>
      <w:rFonts w:hint="default" w:ascii="Times New Roman" w:hAnsi="Times New Roman" w:cs="Times New Roman"/>
      <w:color w:val="0000FF"/>
      <w:u w:val="single"/>
    </w:rPr>
  </w:style>
  <w:style w:type="paragraph" w:customStyle="1" w:styleId="279">
    <w:name w:val="正文文字 8"/>
    <w:basedOn w:val="1"/>
    <w:next w:val="1"/>
    <w:qFormat/>
    <w:uiPriority w:val="0"/>
    <w:pPr>
      <w:ind w:left="240"/>
    </w:pPr>
    <w:rPr>
      <w:sz w:val="16"/>
    </w:rPr>
  </w:style>
  <w:style w:type="paragraph" w:customStyle="1" w:styleId="280">
    <w:name w:val="样式 ！正文 + 首行缩进:  2 字符"/>
    <w:basedOn w:val="1"/>
    <w:qFormat/>
    <w:uiPriority w:val="0"/>
    <w:pPr>
      <w:ind w:firstLine="480" w:firstLineChars="200"/>
    </w:pPr>
    <w:rPr>
      <w:rFonts w:hint="eastAsia" w:ascii="Arial" w:hAnsi="Arial" w:cs="宋体"/>
    </w:rPr>
  </w:style>
  <w:style w:type="character" w:customStyle="1" w:styleId="281">
    <w:name w:val="hover"/>
    <w:basedOn w:val="57"/>
    <w:qFormat/>
    <w:uiPriority w:val="0"/>
  </w:style>
  <w:style w:type="character" w:customStyle="1" w:styleId="282">
    <w:name w:val="hover1"/>
    <w:basedOn w:val="57"/>
    <w:qFormat/>
    <w:uiPriority w:val="0"/>
    <w:rPr>
      <w:color w:val="2590EB"/>
      <w:shd w:val="clear" w:fill="E9F4FD"/>
    </w:rPr>
  </w:style>
  <w:style w:type="character" w:customStyle="1" w:styleId="283">
    <w:name w:val="hover2"/>
    <w:basedOn w:val="57"/>
    <w:qFormat/>
    <w:uiPriority w:val="0"/>
    <w:rPr>
      <w:color w:val="2590EB"/>
    </w:rPr>
  </w:style>
  <w:style w:type="character" w:customStyle="1" w:styleId="284">
    <w:name w:val="hover3"/>
    <w:basedOn w:val="57"/>
    <w:qFormat/>
    <w:uiPriority w:val="0"/>
    <w:rPr>
      <w:color w:val="2590EB"/>
    </w:rPr>
  </w:style>
  <w:style w:type="character" w:customStyle="1" w:styleId="285">
    <w:name w:val="mini-outputtext1"/>
    <w:basedOn w:val="57"/>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E076E-A9C2-429F-926B-BF1D28797E37}">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127</Pages>
  <Words>3042</Words>
  <Characters>3420</Characters>
  <Lines>451</Lines>
  <Paragraphs>127</Paragraphs>
  <TotalTime>1</TotalTime>
  <ScaleCrop>false</ScaleCrop>
  <LinksUpToDate>false</LinksUpToDate>
  <CharactersWithSpaces>3536</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2021-12-20T01:21:00Z</dcterms:created>
  <dc:creator>Anakin</dc:creator>
  <cp:lastModifiedBy>傻傻一辈子</cp:lastModifiedBy>
  <cp:lastPrinted>2026-02-13T02:34:00Z</cp:lastPrinted>
  <dcterms:modified xsi:type="dcterms:W3CDTF">2026-02-13T08:55:10Z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456A8E0987814F0689620C34DD97C5FE_12</vt:lpwstr>
  </property>
  <property fmtid="{D5CDD505-2E9C-101B-9397-08002B2CF9AE}" pid="4" name="KSOTemplateDocerSaveRecord">
    <vt:lpwstr>eyJoZGlkIjoiMTljMDcwYWJmYjExZWQzNTVmZDAzZTYwM2JlMzJmZDYiLCJ1c2VySWQiOiIzODU2Mzk2OTQifQ==</vt:lpwstr>
  </property>
</Properties>
</file>