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70C4F">
      <w:pPr>
        <w:tabs>
          <w:tab w:val="left" w:pos="315"/>
          <w:tab w:val="left" w:pos="8820"/>
        </w:tabs>
        <w:spacing w:before="240" w:beforeLines="100" w:after="120" w:afterLines="50" w:line="500" w:lineRule="exact"/>
        <w:ind w:right="254" w:rightChars="127"/>
        <w:jc w:val="center"/>
        <w:rPr>
          <w:rFonts w:ascii="宋体" w:hAnsi="宋体" w:eastAsia="宋体" w:cs="@仿宋_GB2312"/>
          <w:b/>
          <w:bCs/>
          <w:color w:val="auto"/>
          <w:kern w:val="2"/>
          <w:sz w:val="52"/>
          <w:szCs w:val="52"/>
          <w:highlight w:val="none"/>
        </w:rPr>
      </w:pPr>
    </w:p>
    <w:p w14:paraId="35549E5F">
      <w:pPr>
        <w:tabs>
          <w:tab w:val="left" w:pos="315"/>
          <w:tab w:val="left" w:pos="8820"/>
        </w:tabs>
        <w:spacing w:before="240" w:beforeLines="100" w:after="120" w:afterLines="50" w:line="500" w:lineRule="exact"/>
        <w:ind w:right="254" w:rightChars="127"/>
        <w:jc w:val="center"/>
        <w:rPr>
          <w:rFonts w:ascii="宋体" w:hAnsi="宋体" w:eastAsia="宋体" w:cs="@仿宋_GB2312"/>
          <w:b/>
          <w:bCs/>
          <w:color w:val="auto"/>
          <w:kern w:val="2"/>
          <w:sz w:val="52"/>
          <w:szCs w:val="52"/>
          <w:highlight w:val="none"/>
        </w:rPr>
      </w:pPr>
    </w:p>
    <w:p w14:paraId="6BF32D27">
      <w:pPr>
        <w:tabs>
          <w:tab w:val="left" w:pos="315"/>
          <w:tab w:val="left" w:pos="8820"/>
        </w:tabs>
        <w:spacing w:before="240" w:beforeLines="100" w:after="120" w:afterLines="50" w:line="500" w:lineRule="exact"/>
        <w:ind w:right="254" w:rightChars="127"/>
        <w:jc w:val="center"/>
        <w:rPr>
          <w:rFonts w:hint="eastAsia" w:ascii="宋体" w:hAnsi="宋体" w:eastAsia="宋体" w:cs="@仿宋_GB2312"/>
          <w:b/>
          <w:bCs/>
          <w:color w:val="auto"/>
          <w:kern w:val="2"/>
          <w:sz w:val="52"/>
          <w:szCs w:val="52"/>
          <w:highlight w:val="none"/>
          <w:lang w:eastAsia="zh-CN"/>
        </w:rPr>
      </w:pPr>
      <w:bookmarkStart w:id="0" w:name="_Hlk9544796"/>
    </w:p>
    <w:p w14:paraId="1357D4E1">
      <w:pPr>
        <w:keepNext w:val="0"/>
        <w:keepLines w:val="0"/>
        <w:pageBreakBefore w:val="0"/>
        <w:widowControl w:val="0"/>
        <w:tabs>
          <w:tab w:val="left" w:pos="315"/>
          <w:tab w:val="left" w:pos="8820"/>
        </w:tabs>
        <w:kinsoku/>
        <w:wordWrap/>
        <w:overflowPunct/>
        <w:topLinePunct w:val="0"/>
        <w:autoSpaceDE/>
        <w:autoSpaceDN/>
        <w:bidi w:val="0"/>
        <w:adjustRightInd/>
        <w:snapToGrid/>
        <w:spacing w:before="240" w:beforeLines="100" w:after="120" w:afterLines="50" w:line="240" w:lineRule="auto"/>
        <w:ind w:right="254" w:rightChars="127"/>
        <w:jc w:val="center"/>
        <w:textAlignment w:val="auto"/>
        <w:rPr>
          <w:rFonts w:hint="eastAsia"/>
          <w:b/>
          <w:bCs/>
          <w:color w:val="auto"/>
          <w:sz w:val="52"/>
          <w:szCs w:val="52"/>
          <w:highlight w:val="none"/>
          <w:lang w:eastAsia="zh-CN"/>
        </w:rPr>
      </w:pPr>
      <w:r>
        <w:rPr>
          <w:rFonts w:hint="eastAsia"/>
          <w:b/>
          <w:bCs/>
          <w:color w:val="auto"/>
          <w:sz w:val="52"/>
          <w:szCs w:val="52"/>
          <w:highlight w:val="none"/>
          <w:lang w:eastAsia="zh-CN"/>
        </w:rPr>
        <w:t>安徽省政府采购项目</w:t>
      </w:r>
    </w:p>
    <w:p w14:paraId="3FADE0B8">
      <w:pPr>
        <w:keepNext w:val="0"/>
        <w:keepLines w:val="0"/>
        <w:pageBreakBefore w:val="0"/>
        <w:widowControl w:val="0"/>
        <w:tabs>
          <w:tab w:val="left" w:pos="315"/>
          <w:tab w:val="left" w:pos="8820"/>
        </w:tabs>
        <w:kinsoku/>
        <w:wordWrap/>
        <w:overflowPunct/>
        <w:topLinePunct w:val="0"/>
        <w:autoSpaceDE/>
        <w:autoSpaceDN/>
        <w:bidi w:val="0"/>
        <w:adjustRightInd/>
        <w:snapToGrid/>
        <w:spacing w:before="240" w:beforeLines="100" w:after="120" w:afterLines="50" w:line="240" w:lineRule="auto"/>
        <w:ind w:right="254" w:rightChars="127"/>
        <w:jc w:val="center"/>
        <w:textAlignment w:val="auto"/>
        <w:rPr>
          <w:rFonts w:hint="eastAsia"/>
          <w:b/>
          <w:bCs/>
          <w:color w:val="auto"/>
          <w:sz w:val="52"/>
          <w:szCs w:val="52"/>
          <w:highlight w:val="none"/>
          <w:lang w:eastAsia="zh-CN"/>
        </w:rPr>
      </w:pPr>
      <w:r>
        <w:rPr>
          <w:rFonts w:hint="eastAsia"/>
          <w:b/>
          <w:bCs/>
          <w:color w:val="auto"/>
          <w:sz w:val="52"/>
          <w:szCs w:val="52"/>
          <w:highlight w:val="none"/>
          <w:lang w:eastAsia="zh-CN"/>
        </w:rPr>
        <w:t>竞争性磋商文件示范文本（</w:t>
      </w:r>
      <w:r>
        <w:rPr>
          <w:rFonts w:hint="eastAsia"/>
          <w:b/>
          <w:bCs/>
          <w:color w:val="auto"/>
          <w:sz w:val="52"/>
          <w:szCs w:val="52"/>
          <w:highlight w:val="none"/>
          <w:lang w:val="en-US" w:eastAsia="zh-CN"/>
        </w:rPr>
        <w:t>工程</w:t>
      </w:r>
      <w:r>
        <w:rPr>
          <w:rFonts w:hint="eastAsia"/>
          <w:b/>
          <w:bCs/>
          <w:color w:val="auto"/>
          <w:sz w:val="52"/>
          <w:szCs w:val="52"/>
          <w:highlight w:val="none"/>
          <w:lang w:eastAsia="zh-CN"/>
        </w:rPr>
        <w:t>类）</w:t>
      </w:r>
    </w:p>
    <w:p w14:paraId="1526C964">
      <w:pPr>
        <w:keepNext w:val="0"/>
        <w:keepLines w:val="0"/>
        <w:pageBreakBefore w:val="0"/>
        <w:widowControl w:val="0"/>
        <w:tabs>
          <w:tab w:val="left" w:pos="315"/>
          <w:tab w:val="left" w:pos="8820"/>
        </w:tabs>
        <w:kinsoku/>
        <w:wordWrap/>
        <w:overflowPunct/>
        <w:topLinePunct w:val="0"/>
        <w:autoSpaceDE/>
        <w:autoSpaceDN/>
        <w:bidi w:val="0"/>
        <w:adjustRightInd/>
        <w:snapToGrid/>
        <w:spacing w:before="240" w:beforeLines="100" w:after="120" w:afterLines="50" w:line="240" w:lineRule="auto"/>
        <w:ind w:right="254" w:rightChars="127"/>
        <w:jc w:val="center"/>
        <w:textAlignment w:val="auto"/>
        <w:rPr>
          <w:rFonts w:hint="default" w:eastAsia="宋体"/>
          <w:b/>
          <w:bCs/>
          <w:color w:val="auto"/>
          <w:sz w:val="52"/>
          <w:szCs w:val="52"/>
          <w:highlight w:val="none"/>
          <w:lang w:val="en-US" w:eastAsia="zh-CN"/>
        </w:rPr>
      </w:pPr>
      <w:r>
        <w:rPr>
          <w:rFonts w:hint="eastAsia"/>
          <w:b/>
          <w:bCs/>
          <w:color w:val="auto"/>
          <w:sz w:val="52"/>
          <w:szCs w:val="52"/>
          <w:highlight w:val="none"/>
          <w:lang w:eastAsia="zh-CN"/>
        </w:rPr>
        <w:t>（2026版）</w:t>
      </w:r>
    </w:p>
    <w:bookmarkEnd w:id="0"/>
    <w:p w14:paraId="61CEB319">
      <w:pPr>
        <w:tabs>
          <w:tab w:val="left" w:pos="315"/>
          <w:tab w:val="left" w:pos="8820"/>
        </w:tabs>
        <w:spacing w:before="240" w:beforeLines="100" w:after="120" w:afterLines="50" w:line="500" w:lineRule="exact"/>
        <w:ind w:right="254" w:rightChars="127"/>
        <w:jc w:val="center"/>
        <w:rPr>
          <w:b/>
          <w:bCs/>
          <w:color w:val="auto"/>
          <w:sz w:val="44"/>
          <w:szCs w:val="44"/>
          <w:highlight w:val="none"/>
        </w:rPr>
      </w:pPr>
    </w:p>
    <w:p w14:paraId="19BCAB6C">
      <w:pPr>
        <w:tabs>
          <w:tab w:val="left" w:pos="315"/>
          <w:tab w:val="left" w:pos="8820"/>
        </w:tabs>
        <w:spacing w:before="240" w:beforeLines="100" w:after="120" w:afterLines="50" w:line="500" w:lineRule="exact"/>
        <w:ind w:right="254" w:rightChars="127"/>
        <w:jc w:val="center"/>
        <w:rPr>
          <w:b/>
          <w:bCs/>
          <w:color w:val="auto"/>
          <w:sz w:val="44"/>
          <w:szCs w:val="44"/>
          <w:highlight w:val="none"/>
        </w:rPr>
      </w:pPr>
    </w:p>
    <w:p w14:paraId="48409FA1">
      <w:pPr>
        <w:tabs>
          <w:tab w:val="left" w:pos="315"/>
          <w:tab w:val="left" w:pos="8820"/>
        </w:tabs>
        <w:spacing w:before="240" w:beforeLines="100" w:after="120" w:afterLines="50" w:line="500" w:lineRule="exact"/>
        <w:ind w:right="254" w:rightChars="127"/>
        <w:jc w:val="center"/>
        <w:rPr>
          <w:b/>
          <w:bCs/>
          <w:color w:val="auto"/>
          <w:sz w:val="44"/>
          <w:szCs w:val="44"/>
          <w:highlight w:val="none"/>
        </w:rPr>
      </w:pPr>
    </w:p>
    <w:p w14:paraId="0D7C2BA0">
      <w:pPr>
        <w:tabs>
          <w:tab w:val="left" w:pos="315"/>
          <w:tab w:val="left" w:pos="8820"/>
        </w:tabs>
        <w:spacing w:before="240" w:beforeLines="100" w:after="120" w:afterLines="50" w:line="500" w:lineRule="exact"/>
        <w:ind w:right="254" w:rightChars="127"/>
        <w:jc w:val="center"/>
        <w:rPr>
          <w:b/>
          <w:bCs/>
          <w:color w:val="auto"/>
          <w:sz w:val="44"/>
          <w:szCs w:val="44"/>
          <w:highlight w:val="none"/>
        </w:rPr>
      </w:pPr>
    </w:p>
    <w:p w14:paraId="10CC6E48">
      <w:pPr>
        <w:tabs>
          <w:tab w:val="left" w:pos="315"/>
          <w:tab w:val="left" w:pos="8820"/>
        </w:tabs>
        <w:spacing w:before="240" w:beforeLines="100" w:after="120" w:afterLines="50" w:line="500" w:lineRule="exact"/>
        <w:ind w:right="254" w:rightChars="127"/>
        <w:jc w:val="center"/>
        <w:rPr>
          <w:b/>
          <w:bCs/>
          <w:color w:val="auto"/>
          <w:sz w:val="44"/>
          <w:szCs w:val="44"/>
          <w:highlight w:val="none"/>
        </w:rPr>
      </w:pPr>
    </w:p>
    <w:p w14:paraId="6BF75A21">
      <w:pPr>
        <w:tabs>
          <w:tab w:val="left" w:pos="2410"/>
        </w:tabs>
        <w:autoSpaceDE w:val="0"/>
        <w:autoSpaceDN w:val="0"/>
        <w:adjustRightInd w:val="0"/>
        <w:snapToGrid w:val="0"/>
        <w:spacing w:line="360" w:lineRule="auto"/>
        <w:ind w:left="1806" w:hanging="1606" w:hangingChars="500"/>
        <w:rPr>
          <w:rFonts w:hint="default" w:eastAsia="宋体"/>
          <w:b/>
          <w:color w:val="auto"/>
          <w:spacing w:val="0"/>
          <w:sz w:val="32"/>
          <w:szCs w:val="32"/>
          <w:highlight w:val="none"/>
          <w:lang w:val="en-US" w:eastAsia="zh-CN"/>
        </w:rPr>
      </w:pPr>
      <w:r>
        <w:rPr>
          <w:rFonts w:hint="eastAsia"/>
          <w:b/>
          <w:color w:val="auto"/>
          <w:spacing w:val="0"/>
          <w:sz w:val="32"/>
          <w:szCs w:val="32"/>
          <w:highlight w:val="none"/>
        </w:rPr>
        <w:t>项目名称：</w:t>
      </w:r>
      <w:r>
        <w:rPr>
          <w:rFonts w:hint="eastAsia"/>
          <w:b/>
          <w:color w:val="auto"/>
          <w:spacing w:val="0"/>
          <w:sz w:val="32"/>
          <w:szCs w:val="32"/>
          <w:highlight w:val="none"/>
          <w:u w:val="single"/>
          <w:lang w:val="en-US" w:eastAsia="zh-CN"/>
        </w:rPr>
        <w:t>2026年市直代两区管养县道安全隐患整治项目</w:t>
      </w:r>
    </w:p>
    <w:p w14:paraId="6C5986C4">
      <w:pPr>
        <w:tabs>
          <w:tab w:val="left" w:pos="2410"/>
        </w:tabs>
        <w:autoSpaceDE w:val="0"/>
        <w:autoSpaceDN w:val="0"/>
        <w:adjustRightInd w:val="0"/>
        <w:snapToGrid w:val="0"/>
        <w:spacing w:line="360" w:lineRule="auto"/>
        <w:rPr>
          <w:rFonts w:hint="default"/>
          <w:b/>
          <w:color w:val="auto"/>
          <w:spacing w:val="0"/>
          <w:sz w:val="32"/>
          <w:szCs w:val="32"/>
          <w:highlight w:val="none"/>
          <w:lang w:val="en-US"/>
        </w:rPr>
      </w:pPr>
      <w:r>
        <w:rPr>
          <w:rFonts w:hint="eastAsia"/>
          <w:b/>
          <w:color w:val="auto"/>
          <w:spacing w:val="0"/>
          <w:sz w:val="32"/>
          <w:szCs w:val="32"/>
          <w:highlight w:val="none"/>
        </w:rPr>
        <w:t>项目编号：</w:t>
      </w:r>
      <w:bookmarkStart w:id="124" w:name="_GoBack"/>
      <w:bookmarkEnd w:id="124"/>
      <w:r>
        <w:rPr>
          <w:rFonts w:hint="eastAsia"/>
          <w:b/>
          <w:color w:val="auto"/>
          <w:spacing w:val="0"/>
          <w:sz w:val="32"/>
          <w:szCs w:val="32"/>
          <w:highlight w:val="none"/>
          <w:u w:val="single"/>
          <w:lang w:val="en-US" w:eastAsia="zh-CN"/>
        </w:rPr>
        <w:t>HXJY1110001066388</w:t>
      </w:r>
    </w:p>
    <w:p w14:paraId="51A266A0">
      <w:pPr>
        <w:tabs>
          <w:tab w:val="left" w:pos="2410"/>
        </w:tabs>
        <w:autoSpaceDE w:val="0"/>
        <w:autoSpaceDN w:val="0"/>
        <w:adjustRightInd w:val="0"/>
        <w:snapToGrid w:val="0"/>
        <w:spacing w:line="360" w:lineRule="auto"/>
        <w:rPr>
          <w:b/>
          <w:color w:val="auto"/>
          <w:spacing w:val="0"/>
          <w:sz w:val="32"/>
          <w:szCs w:val="32"/>
          <w:highlight w:val="none"/>
        </w:rPr>
      </w:pPr>
      <w:r>
        <w:rPr>
          <w:rFonts w:hint="eastAsia"/>
          <w:b/>
          <w:color w:val="auto"/>
          <w:spacing w:val="0"/>
          <w:sz w:val="32"/>
          <w:szCs w:val="32"/>
          <w:highlight w:val="none"/>
        </w:rPr>
        <w:t>采 购 人：</w:t>
      </w:r>
      <w:r>
        <w:rPr>
          <w:rFonts w:hint="eastAsia"/>
          <w:b/>
          <w:color w:val="auto"/>
          <w:spacing w:val="0"/>
          <w:sz w:val="32"/>
          <w:szCs w:val="32"/>
          <w:highlight w:val="none"/>
          <w:u w:val="single"/>
          <w:lang w:val="en-US" w:eastAsia="zh-CN"/>
        </w:rPr>
        <w:t xml:space="preserve">滁州市公路管理服务中心 </w:t>
      </w:r>
    </w:p>
    <w:p w14:paraId="305D81DD">
      <w:pPr>
        <w:tabs>
          <w:tab w:val="left" w:pos="2410"/>
        </w:tabs>
        <w:autoSpaceDE w:val="0"/>
        <w:autoSpaceDN w:val="0"/>
        <w:adjustRightInd w:val="0"/>
        <w:snapToGrid w:val="0"/>
        <w:spacing w:line="360" w:lineRule="auto"/>
        <w:rPr>
          <w:b/>
          <w:color w:val="auto"/>
          <w:spacing w:val="20"/>
          <w:sz w:val="32"/>
          <w:szCs w:val="32"/>
          <w:highlight w:val="none"/>
        </w:rPr>
      </w:pPr>
      <w:r>
        <w:rPr>
          <w:rFonts w:hint="eastAsia"/>
          <w:b/>
          <w:color w:val="auto"/>
          <w:spacing w:val="0"/>
          <w:sz w:val="32"/>
          <w:szCs w:val="32"/>
          <w:highlight w:val="none"/>
        </w:rPr>
        <w:t>采购代理机构：</w:t>
      </w:r>
      <w:r>
        <w:rPr>
          <w:rFonts w:hint="eastAsia"/>
          <w:b/>
          <w:color w:val="auto"/>
          <w:spacing w:val="0"/>
          <w:sz w:val="32"/>
          <w:szCs w:val="32"/>
          <w:highlight w:val="none"/>
          <w:u w:val="single"/>
          <w:lang w:val="en-US" w:eastAsia="zh-CN"/>
        </w:rPr>
        <w:t xml:space="preserve">滁州市城投工程咨询管理有限公司 </w:t>
      </w:r>
    </w:p>
    <w:p w14:paraId="2A712041">
      <w:pPr>
        <w:tabs>
          <w:tab w:val="left" w:pos="2410"/>
        </w:tabs>
        <w:autoSpaceDE w:val="0"/>
        <w:autoSpaceDN w:val="0"/>
        <w:adjustRightInd w:val="0"/>
        <w:snapToGrid w:val="0"/>
        <w:spacing w:line="360" w:lineRule="auto"/>
        <w:rPr>
          <w:rFonts w:hint="eastAsia"/>
          <w:b/>
          <w:color w:val="auto"/>
          <w:spacing w:val="20"/>
          <w:sz w:val="32"/>
          <w:szCs w:val="32"/>
          <w:highlight w:val="none"/>
          <w:u w:val="single"/>
          <w:lang w:val="en-US" w:eastAsia="zh-CN"/>
        </w:rPr>
      </w:pPr>
    </w:p>
    <w:p w14:paraId="0E0E12F4">
      <w:pPr>
        <w:tabs>
          <w:tab w:val="left" w:pos="2410"/>
        </w:tabs>
        <w:autoSpaceDE w:val="0"/>
        <w:autoSpaceDN w:val="0"/>
        <w:adjustRightInd w:val="0"/>
        <w:snapToGrid w:val="0"/>
        <w:spacing w:line="360" w:lineRule="auto"/>
        <w:jc w:val="center"/>
        <w:rPr>
          <w:b/>
          <w:color w:val="auto"/>
          <w:sz w:val="36"/>
          <w:highlight w:val="none"/>
        </w:rPr>
      </w:pPr>
      <w:r>
        <w:rPr>
          <w:rFonts w:hint="eastAsia"/>
          <w:b/>
          <w:color w:val="auto"/>
          <w:sz w:val="36"/>
          <w:highlight w:val="none"/>
          <w:u w:val="single"/>
        </w:rPr>
        <w:t xml:space="preserve"> </w:t>
      </w:r>
      <w:r>
        <w:rPr>
          <w:rFonts w:hint="eastAsia"/>
          <w:b/>
          <w:color w:val="auto"/>
          <w:sz w:val="36"/>
          <w:highlight w:val="none"/>
          <w:u w:val="single"/>
          <w:lang w:val="en-US" w:eastAsia="zh-CN"/>
        </w:rPr>
        <w:t>2026</w:t>
      </w:r>
      <w:r>
        <w:rPr>
          <w:rFonts w:hint="eastAsia"/>
          <w:b/>
          <w:color w:val="auto"/>
          <w:sz w:val="36"/>
          <w:highlight w:val="none"/>
          <w:u w:val="single"/>
        </w:rPr>
        <w:t xml:space="preserve"> </w:t>
      </w:r>
      <w:r>
        <w:rPr>
          <w:rFonts w:hint="eastAsia"/>
          <w:b/>
          <w:color w:val="auto"/>
          <w:sz w:val="36"/>
          <w:highlight w:val="none"/>
        </w:rPr>
        <w:t>年</w:t>
      </w:r>
      <w:r>
        <w:rPr>
          <w:rFonts w:hint="eastAsia"/>
          <w:b/>
          <w:color w:val="auto"/>
          <w:sz w:val="36"/>
          <w:highlight w:val="none"/>
          <w:u w:val="single"/>
        </w:rPr>
        <w:t xml:space="preserve"> </w:t>
      </w:r>
      <w:r>
        <w:rPr>
          <w:rFonts w:hint="eastAsia"/>
          <w:b/>
          <w:color w:val="auto"/>
          <w:sz w:val="36"/>
          <w:highlight w:val="none"/>
          <w:u w:val="single"/>
          <w:lang w:val="en-US" w:eastAsia="zh-CN"/>
        </w:rPr>
        <w:t>11</w:t>
      </w:r>
      <w:r>
        <w:rPr>
          <w:rFonts w:hint="eastAsia"/>
          <w:b/>
          <w:color w:val="auto"/>
          <w:sz w:val="36"/>
          <w:highlight w:val="none"/>
          <w:u w:val="single"/>
        </w:rPr>
        <w:t xml:space="preserve"> </w:t>
      </w:r>
      <w:r>
        <w:rPr>
          <w:rFonts w:hint="eastAsia"/>
          <w:b/>
          <w:color w:val="auto"/>
          <w:sz w:val="36"/>
          <w:highlight w:val="none"/>
        </w:rPr>
        <w:t>月</w:t>
      </w:r>
      <w:r>
        <w:rPr>
          <w:b/>
          <w:color w:val="auto"/>
          <w:sz w:val="36"/>
          <w:highlight w:val="none"/>
        </w:rPr>
        <w:br w:type="page"/>
      </w:r>
    </w:p>
    <w:p w14:paraId="19F5671F">
      <w:pPr>
        <w:tabs>
          <w:tab w:val="left" w:pos="2410"/>
        </w:tabs>
        <w:autoSpaceDE w:val="0"/>
        <w:autoSpaceDN w:val="0"/>
        <w:adjustRightInd w:val="0"/>
        <w:snapToGrid w:val="0"/>
        <w:spacing w:line="360" w:lineRule="auto"/>
        <w:jc w:val="center"/>
        <w:rPr>
          <w:b/>
          <w:color w:val="auto"/>
          <w:sz w:val="28"/>
          <w:highlight w:val="none"/>
        </w:rPr>
      </w:pPr>
      <w:r>
        <w:rPr>
          <w:rFonts w:hint="eastAsia"/>
          <w:b/>
          <w:color w:val="auto"/>
          <w:sz w:val="28"/>
          <w:highlight w:val="none"/>
        </w:rPr>
        <w:t>目  录</w:t>
      </w:r>
    </w:p>
    <w:p w14:paraId="15D108DE">
      <w:pPr>
        <w:tabs>
          <w:tab w:val="left" w:pos="2410"/>
        </w:tabs>
        <w:autoSpaceDE w:val="0"/>
        <w:autoSpaceDN w:val="0"/>
        <w:adjustRightInd w:val="0"/>
        <w:snapToGrid w:val="0"/>
        <w:spacing w:line="360" w:lineRule="auto"/>
        <w:jc w:val="center"/>
        <w:rPr>
          <w:b/>
          <w:color w:val="auto"/>
          <w:sz w:val="28"/>
          <w:highlight w:val="none"/>
        </w:rPr>
      </w:pPr>
    </w:p>
    <w:p w14:paraId="09D28853">
      <w:pPr>
        <w:pStyle w:val="35"/>
        <w:tabs>
          <w:tab w:val="right" w:leader="dot" w:pos="8279"/>
        </w:tabs>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fldChar w:fldCharType="begin"/>
      </w:r>
      <w:r>
        <w:rPr>
          <w:rFonts w:hint="eastAsia" w:ascii="宋体" w:hAnsi="宋体" w:eastAsia="宋体" w:cs="宋体"/>
          <w:b/>
          <w:color w:val="auto"/>
          <w:sz w:val="28"/>
          <w:szCs w:val="28"/>
          <w:highlight w:val="none"/>
        </w:rPr>
        <w:instrText xml:space="preserve"> TOC \o "1-2" \h \z \u </w:instrText>
      </w:r>
      <w:r>
        <w:rPr>
          <w:rFonts w:hint="eastAsia" w:ascii="宋体" w:hAnsi="宋体" w:eastAsia="宋体" w:cs="宋体"/>
          <w:b/>
          <w:color w:val="auto"/>
          <w:sz w:val="28"/>
          <w:szCs w:val="28"/>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_Toc11403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第一章  磋商邀请</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_Toc11403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52ECC611">
      <w:pPr>
        <w:pStyle w:val="35"/>
        <w:tabs>
          <w:tab w:val="right" w:leader="dot" w:pos="8279"/>
        </w:tabs>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_Toc28080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第二章  供应商须知</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_Toc28080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5</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5B4D74BE">
      <w:pPr>
        <w:pStyle w:val="35"/>
        <w:tabs>
          <w:tab w:val="right" w:leader="dot" w:pos="8279"/>
        </w:tabs>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_Toc30873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第三章  采购需求</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_Toc30873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20</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291B92C2">
      <w:pPr>
        <w:pStyle w:val="35"/>
        <w:tabs>
          <w:tab w:val="right" w:leader="dot" w:pos="8279"/>
        </w:tabs>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_Toc11353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第四章  评审方法和标准</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_Toc11353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22</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0E7572F1">
      <w:pPr>
        <w:pStyle w:val="35"/>
        <w:tabs>
          <w:tab w:val="right" w:leader="dot" w:pos="8279"/>
        </w:tabs>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_Toc31277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第五章  政府采购合同</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_Toc31277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30</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3C472A9E">
      <w:pPr>
        <w:pStyle w:val="35"/>
        <w:tabs>
          <w:tab w:val="right" w:leader="dot" w:pos="8279"/>
        </w:tabs>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_Toc22734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第六章  响应文件格式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_Toc22734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42</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3F6DACC1">
      <w:pPr>
        <w:pStyle w:val="35"/>
        <w:tabs>
          <w:tab w:val="right" w:leader="dot" w:pos="8279"/>
        </w:tabs>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_Toc24879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第</w:t>
      </w:r>
      <w:r>
        <w:rPr>
          <w:rFonts w:hint="eastAsia" w:ascii="宋体" w:hAnsi="宋体" w:eastAsia="宋体" w:cs="宋体"/>
          <w:bCs/>
          <w:color w:val="auto"/>
          <w:sz w:val="28"/>
          <w:szCs w:val="28"/>
          <w:highlight w:val="none"/>
          <w:lang w:val="en-US" w:eastAsia="zh-CN"/>
        </w:rPr>
        <w:t>七</w:t>
      </w:r>
      <w:r>
        <w:rPr>
          <w:rFonts w:hint="eastAsia" w:ascii="宋体" w:hAnsi="宋体" w:eastAsia="宋体" w:cs="宋体"/>
          <w:bCs/>
          <w:color w:val="auto"/>
          <w:sz w:val="28"/>
          <w:szCs w:val="28"/>
          <w:highlight w:val="none"/>
        </w:rPr>
        <w:t>章  政府采购</w:t>
      </w:r>
      <w:r>
        <w:rPr>
          <w:rFonts w:hint="eastAsia" w:ascii="宋体" w:hAnsi="宋体" w:eastAsia="宋体" w:cs="宋体"/>
          <w:color w:val="auto"/>
          <w:sz w:val="28"/>
          <w:szCs w:val="28"/>
          <w:highlight w:val="none"/>
        </w:rPr>
        <w:t>供应</w:t>
      </w:r>
      <w:r>
        <w:rPr>
          <w:rFonts w:hint="eastAsia" w:ascii="宋体" w:hAnsi="宋体" w:eastAsia="宋体" w:cs="宋体"/>
          <w:bCs/>
          <w:color w:val="auto"/>
          <w:sz w:val="28"/>
          <w:szCs w:val="28"/>
          <w:highlight w:val="none"/>
        </w:rPr>
        <w:t>商询问函和质疑函范本</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_Toc24879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57</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5A98B791">
      <w:pPr>
        <w:pStyle w:val="45"/>
        <w:tabs>
          <w:tab w:val="right" w:leader="dot" w:pos="8296"/>
        </w:tabs>
        <w:rPr>
          <w:rFonts w:asciiTheme="minorEastAsia" w:hAnsiTheme="minorEastAsia"/>
          <w:b/>
          <w:color w:val="auto"/>
          <w:szCs w:val="24"/>
          <w:highlight w:val="none"/>
        </w:rPr>
      </w:pPr>
      <w:r>
        <w:rPr>
          <w:rFonts w:hint="eastAsia" w:ascii="宋体" w:hAnsi="宋体" w:eastAsia="宋体" w:cs="宋体"/>
          <w:color w:val="auto"/>
          <w:sz w:val="28"/>
          <w:szCs w:val="28"/>
          <w:highlight w:val="none"/>
        </w:rPr>
        <w:fldChar w:fldCharType="end"/>
      </w:r>
    </w:p>
    <w:p w14:paraId="2D89C69F">
      <w:pPr>
        <w:pStyle w:val="4"/>
        <w:rPr>
          <w:color w:val="auto"/>
          <w:highlight w:val="none"/>
        </w:rPr>
        <w:sectPr>
          <w:footerReference r:id="rId3" w:type="default"/>
          <w:pgSz w:w="11907" w:h="16840"/>
          <w:pgMar w:top="1474" w:right="1814" w:bottom="1474" w:left="1814" w:header="851" w:footer="992" w:gutter="0"/>
          <w:cols w:space="720" w:num="1"/>
          <w:docGrid w:linePitch="462" w:charSpace="0"/>
        </w:sectPr>
      </w:pPr>
    </w:p>
    <w:p w14:paraId="1E987EF8">
      <w:pPr>
        <w:spacing w:line="360" w:lineRule="auto"/>
        <w:jc w:val="center"/>
        <w:outlineLvl w:val="0"/>
        <w:rPr>
          <w:rFonts w:asciiTheme="minorEastAsia" w:hAnsiTheme="minorEastAsia" w:eastAsiaTheme="minorEastAsia"/>
          <w:b/>
          <w:color w:val="auto"/>
          <w:sz w:val="28"/>
          <w:highlight w:val="none"/>
        </w:rPr>
      </w:pPr>
      <w:bookmarkStart w:id="1" w:name="_Toc11403"/>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bookmarkEnd w:id="1"/>
      <w:r>
        <w:rPr>
          <w:rFonts w:hint="eastAsia" w:asciiTheme="minorEastAsia" w:hAnsiTheme="minorEastAsia" w:eastAsiaTheme="minorEastAsia"/>
          <w:b/>
          <w:color w:val="auto"/>
          <w:sz w:val="28"/>
          <w:highlight w:val="none"/>
        </w:rPr>
        <w:t>磋商</w:t>
      </w:r>
      <w:r>
        <w:rPr>
          <w:rFonts w:hint="eastAsia" w:asciiTheme="minorEastAsia" w:hAnsiTheme="minorEastAsia" w:eastAsiaTheme="minorEastAsia"/>
          <w:b/>
          <w:color w:val="auto"/>
          <w:sz w:val="28"/>
          <w:highlight w:val="none"/>
          <w:lang w:val="en-US" w:eastAsia="zh-CN"/>
        </w:rPr>
        <w:t>邀请</w:t>
      </w:r>
    </w:p>
    <w:p w14:paraId="5AEA01C8">
      <w:pPr>
        <w:keepNext/>
        <w:keepLines/>
        <w:pageBreakBefore w:val="0"/>
        <w:kinsoku/>
        <w:wordWrap w:val="0"/>
        <w:overflowPunct/>
        <w:topLinePunct w:val="0"/>
        <w:bidi w:val="0"/>
        <w:snapToGrid/>
        <w:spacing w:line="560" w:lineRule="exact"/>
        <w:ind w:firstLine="480" w:firstLineChars="200"/>
        <w:textAlignment w:val="auto"/>
        <w:rPr>
          <w:rFonts w:hint="eastAsia" w:ascii="宋体" w:hAnsi="宋体" w:cs="宋体"/>
          <w:color w:val="auto"/>
          <w:sz w:val="24"/>
          <w:highlight w:val="none"/>
        </w:rPr>
      </w:pPr>
      <w:bookmarkStart w:id="2" w:name="_Toc28359089"/>
      <w:bookmarkStart w:id="3" w:name="_Toc35393629"/>
      <w:bookmarkStart w:id="4" w:name="_Toc28359012"/>
      <w:bookmarkStart w:id="5" w:name="_Toc35393798"/>
      <w:r>
        <w:rPr>
          <w:rFonts w:hint="eastAsia" w:ascii="宋体" w:hAnsi="宋体" w:cs="宋体"/>
          <w:color w:val="auto"/>
          <w:sz w:val="24"/>
          <w:highlight w:val="none"/>
        </w:rPr>
        <w:t>项目概况</w:t>
      </w:r>
    </w:p>
    <w:p w14:paraId="3E1755D7">
      <w:pPr>
        <w:keepNext/>
        <w:keepLines/>
        <w:pageBreakBefore w:val="0"/>
        <w:kinsoku/>
        <w:wordWrap w:val="0"/>
        <w:overflowPunct/>
        <w:topLinePunct w:val="0"/>
        <w:bidi w:val="0"/>
        <w:snapToGrid/>
        <w:spacing w:line="560" w:lineRule="exact"/>
        <w:ind w:firstLine="480" w:firstLineChars="200"/>
        <w:textAlignment w:val="auto"/>
        <w:rPr>
          <w:rFonts w:hint="eastAsia" w:ascii="宋体" w:hAnsi="宋体" w:cs="宋体"/>
          <w:b/>
          <w:bCs/>
          <w:color w:val="auto"/>
          <w:sz w:val="24"/>
          <w:highlight w:val="none"/>
        </w:rPr>
      </w:pPr>
      <w:r>
        <w:rPr>
          <w:rFonts w:hint="eastAsia" w:cs="宋体"/>
          <w:color w:val="auto"/>
          <w:sz w:val="24"/>
          <w:highlight w:val="none"/>
          <w:u w:val="single"/>
          <w:lang w:eastAsia="zh-CN"/>
        </w:rPr>
        <w:t>2026年市直代两区管养县道安全隐患整治项目</w:t>
      </w:r>
      <w:r>
        <w:rPr>
          <w:rFonts w:hint="eastAsia" w:ascii="宋体" w:hAnsi="宋体" w:cs="宋体"/>
          <w:color w:val="auto"/>
          <w:sz w:val="24"/>
          <w:highlight w:val="none"/>
        </w:rPr>
        <w:t>的潜在供应商在</w:t>
      </w:r>
      <w:r>
        <w:rPr>
          <w:rFonts w:hint="eastAsia" w:cs="宋体"/>
          <w:color w:val="auto"/>
          <w:sz w:val="24"/>
          <w:highlight w:val="none"/>
          <w:u w:val="single"/>
          <w:lang w:eastAsia="zh-CN"/>
        </w:rPr>
        <w:t>滁州市</w:t>
      </w:r>
      <w:r>
        <w:rPr>
          <w:rFonts w:hint="eastAsia" w:cs="宋体"/>
          <w:color w:val="auto"/>
          <w:sz w:val="24"/>
          <w:highlight w:val="none"/>
          <w:u w:val="single"/>
          <w:lang w:val="en-US" w:eastAsia="zh-CN"/>
        </w:rPr>
        <w:t>交通运输局</w:t>
      </w:r>
      <w:r>
        <w:rPr>
          <w:rFonts w:hint="eastAsia" w:ascii="宋体" w:hAnsi="宋体" w:cs="宋体"/>
          <w:color w:val="auto"/>
          <w:sz w:val="24"/>
          <w:highlight w:val="none"/>
          <w:u w:val="single"/>
          <w:lang w:eastAsia="zh-CN"/>
        </w:rPr>
        <w:t>（</w:t>
      </w:r>
      <w:r>
        <w:rPr>
          <w:rFonts w:hint="eastAsia" w:cs="宋体"/>
          <w:color w:val="auto"/>
          <w:sz w:val="24"/>
          <w:highlight w:val="none"/>
          <w:u w:val="single"/>
          <w:lang w:eastAsia="zh-CN"/>
        </w:rPr>
        <w:t>https://jtj.chuzhou.gov.cn/xwdt/tzgg/index.html</w:t>
      </w:r>
      <w:r>
        <w:rPr>
          <w:rFonts w:hint="eastAsia" w:ascii="宋体" w:hAnsi="宋体" w:cs="宋体"/>
          <w:color w:val="auto"/>
          <w:sz w:val="24"/>
          <w:highlight w:val="none"/>
          <w:u w:val="single"/>
          <w:lang w:eastAsia="zh-CN"/>
        </w:rPr>
        <w:t>）</w:t>
      </w:r>
      <w:r>
        <w:rPr>
          <w:rFonts w:hint="eastAsia" w:cs="宋体"/>
          <w:color w:val="auto"/>
          <w:sz w:val="24"/>
          <w:highlight w:val="none"/>
          <w:u w:val="single"/>
          <w:lang w:val="en-US" w:eastAsia="zh-CN"/>
        </w:rPr>
        <w:t>或滁州市</w:t>
      </w:r>
      <w:r>
        <w:rPr>
          <w:rFonts w:hint="eastAsia" w:ascii="宋体" w:hAnsi="宋体" w:cs="宋体"/>
          <w:color w:val="auto"/>
          <w:sz w:val="24"/>
          <w:highlight w:val="none"/>
          <w:u w:val="single"/>
          <w:lang w:eastAsia="zh-CN"/>
        </w:rPr>
        <w:t>城投工程咨询管理有限公司（https://www.czctgczx.com/）</w:t>
      </w:r>
      <w:r>
        <w:rPr>
          <w:rFonts w:hint="eastAsia" w:cs="宋体"/>
          <w:color w:val="auto"/>
          <w:sz w:val="24"/>
          <w:highlight w:val="none"/>
          <w:u w:val="single"/>
          <w:lang w:val="en-US" w:eastAsia="zh-CN"/>
        </w:rPr>
        <w:t>网站</w:t>
      </w:r>
      <w:r>
        <w:rPr>
          <w:rFonts w:hint="eastAsia" w:ascii="宋体" w:hAnsi="宋体" w:cs="宋体"/>
          <w:color w:val="auto"/>
          <w:sz w:val="24"/>
          <w:highlight w:val="none"/>
        </w:rPr>
        <w:t>获取采购文件，并于</w:t>
      </w:r>
      <w:r>
        <w:rPr>
          <w:rFonts w:hint="eastAsia" w:cs="宋体"/>
          <w:color w:val="auto"/>
          <w:sz w:val="24"/>
          <w:highlight w:val="none"/>
          <w:lang w:eastAsia="zh-CN"/>
        </w:rPr>
        <w:t>2026年11月</w:t>
      </w:r>
      <w:r>
        <w:rPr>
          <w:rFonts w:hint="eastAsia" w:cs="宋体"/>
          <w:color w:val="auto"/>
          <w:sz w:val="24"/>
          <w:highlight w:val="none"/>
          <w:lang w:val="en-US" w:eastAsia="zh-CN"/>
        </w:rPr>
        <w:t>16</w:t>
      </w:r>
      <w:r>
        <w:rPr>
          <w:rFonts w:hint="eastAsia" w:cs="宋体"/>
          <w:color w:val="auto"/>
          <w:sz w:val="24"/>
          <w:highlight w:val="none"/>
          <w:lang w:eastAsia="zh-CN"/>
        </w:rPr>
        <w:t>日</w:t>
      </w:r>
      <w:r>
        <w:rPr>
          <w:rFonts w:hint="eastAsia" w:cs="宋体"/>
          <w:color w:val="auto"/>
          <w:sz w:val="24"/>
          <w:highlight w:val="none"/>
          <w:lang w:val="en-US" w:eastAsia="zh-CN"/>
        </w:rPr>
        <w:t>08时30</w:t>
      </w:r>
      <w:r>
        <w:rPr>
          <w:rFonts w:hint="eastAsia" w:ascii="宋体" w:hAnsi="宋体" w:cs="宋体"/>
          <w:color w:val="auto"/>
          <w:sz w:val="24"/>
          <w:highlight w:val="none"/>
          <w:lang w:val="en-US" w:eastAsia="zh-CN"/>
        </w:rPr>
        <w:t>分</w:t>
      </w:r>
      <w:r>
        <w:rPr>
          <w:rFonts w:hint="eastAsia" w:ascii="宋体" w:hAnsi="宋体" w:cs="宋体"/>
          <w:color w:val="auto"/>
          <w:sz w:val="24"/>
          <w:highlight w:val="none"/>
        </w:rPr>
        <w:t>（北京时间）前递交响应文件。</w:t>
      </w:r>
    </w:p>
    <w:p w14:paraId="12AC126A">
      <w:pPr>
        <w:pStyle w:val="278"/>
        <w:pageBreakBefore w:val="0"/>
        <w:tabs>
          <w:tab w:val="center" w:pos="4201"/>
          <w:tab w:val="right" w:leader="dot" w:pos="9298"/>
        </w:tabs>
        <w:kinsoku/>
        <w:wordWrap w:val="0"/>
        <w:overflowPunct/>
        <w:topLinePunct w:val="0"/>
        <w:bidi w:val="0"/>
        <w:snapToGrid/>
        <w:spacing w:line="560" w:lineRule="exact"/>
        <w:ind w:firstLine="0" w:firstLineChars="0"/>
        <w:textAlignment w:val="auto"/>
        <w:rPr>
          <w:rFonts w:hint="eastAsia" w:hAnsi="宋体" w:cs="宋体"/>
          <w:b/>
          <w:bCs/>
          <w:color w:val="auto"/>
          <w:kern w:val="2"/>
          <w:sz w:val="24"/>
          <w:szCs w:val="24"/>
          <w:highlight w:val="none"/>
        </w:rPr>
      </w:pPr>
      <w:r>
        <w:rPr>
          <w:rFonts w:hint="eastAsia" w:hAnsi="宋体" w:cs="宋体"/>
          <w:b/>
          <w:bCs/>
          <w:color w:val="auto"/>
          <w:kern w:val="2"/>
          <w:sz w:val="24"/>
          <w:szCs w:val="24"/>
          <w:highlight w:val="none"/>
        </w:rPr>
        <w:t>一、项目基本情况</w:t>
      </w:r>
      <w:bookmarkEnd w:id="2"/>
      <w:bookmarkEnd w:id="3"/>
      <w:bookmarkEnd w:id="4"/>
      <w:bookmarkEnd w:id="5"/>
    </w:p>
    <w:p w14:paraId="1DD75E3B">
      <w:pPr>
        <w:pageBreakBefore w:val="0"/>
        <w:kinsoku/>
        <w:wordWrap w:val="0"/>
        <w:overflowPunct/>
        <w:topLinePunct w:val="0"/>
        <w:bidi w:val="0"/>
        <w:snapToGrid/>
        <w:spacing w:line="560" w:lineRule="exact"/>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项目编号：</w:t>
      </w:r>
      <w:r>
        <w:rPr>
          <w:rFonts w:hint="eastAsia" w:cs="宋体"/>
          <w:color w:val="auto"/>
          <w:sz w:val="24"/>
          <w:highlight w:val="none"/>
          <w:lang w:eastAsia="zh-CN"/>
        </w:rPr>
        <w:t>HXJY1110001066388</w:t>
      </w:r>
      <w:r>
        <w:rPr>
          <w:rFonts w:hint="eastAsia" w:cs="宋体"/>
          <w:color w:val="auto"/>
          <w:sz w:val="24"/>
          <w:highlight w:val="none"/>
          <w:lang w:val="en-US" w:eastAsia="zh-CN"/>
        </w:rPr>
        <w:t xml:space="preserve"> </w:t>
      </w:r>
    </w:p>
    <w:p w14:paraId="37C6E553">
      <w:pPr>
        <w:pageBreakBefore w:val="0"/>
        <w:kinsoku/>
        <w:wordWrap w:val="0"/>
        <w:overflowPunct/>
        <w:topLinePunct w:val="0"/>
        <w:bidi w:val="0"/>
        <w:snapToGrid/>
        <w:spacing w:line="560" w:lineRule="exact"/>
        <w:ind w:firstLine="480" w:firstLineChars="20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项目名称：</w:t>
      </w:r>
      <w:r>
        <w:rPr>
          <w:rFonts w:hint="eastAsia" w:cs="宋体"/>
          <w:color w:val="auto"/>
          <w:sz w:val="24"/>
          <w:highlight w:val="none"/>
          <w:lang w:eastAsia="zh-CN"/>
        </w:rPr>
        <w:t>2026年市直代两区管养县道安全隐患整治项目</w:t>
      </w:r>
    </w:p>
    <w:p w14:paraId="34396C32">
      <w:pPr>
        <w:pageBreakBefore w:val="0"/>
        <w:kinsoku/>
        <w:wordWrap w:val="0"/>
        <w:overflowPunct/>
        <w:topLinePunct w:val="0"/>
        <w:bidi w:val="0"/>
        <w:snapToGrid/>
        <w:spacing w:line="56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 xml:space="preserve">采购方式：竞争性磋商 </w:t>
      </w:r>
    </w:p>
    <w:p w14:paraId="11E9C6A4">
      <w:pPr>
        <w:pageBreakBefore w:val="0"/>
        <w:kinsoku/>
        <w:wordWrap w:val="0"/>
        <w:overflowPunct/>
        <w:topLinePunct w:val="0"/>
        <w:bidi w:val="0"/>
        <w:snapToGrid/>
        <w:spacing w:line="560" w:lineRule="exact"/>
        <w:ind w:firstLine="480" w:firstLineChars="200"/>
        <w:textAlignment w:val="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最高限价：</w:t>
      </w:r>
      <w:r>
        <w:rPr>
          <w:rFonts w:hint="eastAsia" w:cs="宋体"/>
          <w:color w:val="auto"/>
          <w:sz w:val="24"/>
          <w:highlight w:val="none"/>
          <w:lang w:val="en-US" w:eastAsia="zh-CN"/>
        </w:rPr>
        <w:t>598406.40</w:t>
      </w:r>
      <w:r>
        <w:rPr>
          <w:rFonts w:hint="eastAsia" w:ascii="宋体" w:hAnsi="宋体" w:cs="宋体"/>
          <w:color w:val="auto"/>
          <w:sz w:val="24"/>
          <w:highlight w:val="none"/>
        </w:rPr>
        <w:t>元</w:t>
      </w:r>
      <w:r>
        <w:rPr>
          <w:rFonts w:hint="eastAsia" w:ascii="宋体" w:hAnsi="宋体" w:cs="宋体"/>
          <w:color w:val="auto"/>
          <w:sz w:val="24"/>
          <w:highlight w:val="none"/>
          <w:lang w:eastAsia="zh-CN"/>
        </w:rPr>
        <w:t>，本项目报价采用百分比报价，报价不得高于100%，</w:t>
      </w:r>
      <w:r>
        <w:rPr>
          <w:rFonts w:hint="eastAsia" w:cs="宋体"/>
          <w:color w:val="auto"/>
          <w:sz w:val="24"/>
          <w:highlight w:val="none"/>
          <w:lang w:val="en-US" w:eastAsia="zh-CN"/>
        </w:rPr>
        <w:t>响应报价</w:t>
      </w:r>
      <w:r>
        <w:rPr>
          <w:rFonts w:hint="eastAsia" w:ascii="宋体" w:hAnsi="宋体" w:cs="宋体"/>
          <w:color w:val="auto"/>
          <w:sz w:val="24"/>
          <w:highlight w:val="none"/>
          <w:lang w:val="en-US" w:eastAsia="zh-CN"/>
        </w:rPr>
        <w:t>超过最高限价的</w:t>
      </w:r>
      <w:r>
        <w:rPr>
          <w:rFonts w:hint="eastAsia" w:cs="宋体"/>
          <w:color w:val="auto"/>
          <w:sz w:val="24"/>
          <w:highlight w:val="none"/>
          <w:lang w:val="en-US" w:eastAsia="zh-CN"/>
        </w:rPr>
        <w:t>，</w:t>
      </w:r>
      <w:r>
        <w:rPr>
          <w:rFonts w:hint="eastAsia" w:ascii="宋体" w:hAnsi="宋体" w:cs="宋体"/>
          <w:color w:val="auto"/>
          <w:sz w:val="24"/>
          <w:highlight w:val="none"/>
          <w:lang w:val="en-US" w:eastAsia="zh-CN"/>
        </w:rPr>
        <w:t>按无效标处理。</w:t>
      </w:r>
    </w:p>
    <w:p w14:paraId="0281D7E5">
      <w:pPr>
        <w:pageBreakBefore w:val="0"/>
        <w:kinsoku/>
        <w:wordWrap w:val="0"/>
        <w:overflowPunct/>
        <w:topLinePunct w:val="0"/>
        <w:bidi w:val="0"/>
        <w:snapToGrid/>
        <w:spacing w:line="560" w:lineRule="exact"/>
        <w:ind w:firstLine="480" w:firstLineChars="20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采购需求：</w:t>
      </w:r>
      <w:r>
        <w:rPr>
          <w:rFonts w:hint="eastAsia" w:cs="宋体"/>
          <w:color w:val="auto"/>
          <w:sz w:val="24"/>
          <w:highlight w:val="none"/>
          <w:lang w:eastAsia="zh-CN"/>
        </w:rPr>
        <w:t>2026年市直代两区管养县道安全隐患整治</w:t>
      </w:r>
      <w:r>
        <w:rPr>
          <w:rFonts w:hint="eastAsia" w:ascii="宋体" w:hAnsi="宋体" w:cs="宋体"/>
          <w:color w:val="auto"/>
          <w:sz w:val="24"/>
          <w:highlight w:val="none"/>
        </w:rPr>
        <w:t>，</w:t>
      </w:r>
      <w:r>
        <w:rPr>
          <w:rFonts w:hint="eastAsia" w:cs="宋体"/>
          <w:color w:val="auto"/>
          <w:sz w:val="24"/>
          <w:highlight w:val="none"/>
          <w:lang w:val="en-US" w:eastAsia="zh-CN"/>
        </w:rPr>
        <w:t>具体内容</w:t>
      </w:r>
      <w:r>
        <w:rPr>
          <w:rFonts w:hint="eastAsia" w:ascii="宋体" w:hAnsi="宋体" w:cs="宋体"/>
          <w:color w:val="auto"/>
          <w:sz w:val="24"/>
          <w:highlight w:val="none"/>
        </w:rPr>
        <w:t>详见</w:t>
      </w:r>
      <w:r>
        <w:rPr>
          <w:rFonts w:hint="eastAsia" w:cs="宋体"/>
          <w:color w:val="auto"/>
          <w:sz w:val="24"/>
          <w:highlight w:val="none"/>
          <w:lang w:val="en-US" w:eastAsia="zh-CN"/>
        </w:rPr>
        <w:t>工程量</w:t>
      </w:r>
      <w:r>
        <w:rPr>
          <w:rFonts w:hint="eastAsia" w:ascii="宋体" w:hAnsi="宋体" w:cs="宋体"/>
          <w:color w:val="auto"/>
          <w:sz w:val="24"/>
          <w:highlight w:val="none"/>
        </w:rPr>
        <w:t>清单</w:t>
      </w:r>
      <w:r>
        <w:rPr>
          <w:rFonts w:hint="eastAsia" w:ascii="宋体" w:hAnsi="宋体" w:cs="宋体"/>
          <w:color w:val="auto"/>
          <w:sz w:val="24"/>
          <w:highlight w:val="none"/>
          <w:lang w:eastAsia="zh-CN"/>
        </w:rPr>
        <w:t>。</w:t>
      </w:r>
    </w:p>
    <w:p w14:paraId="3470F102">
      <w:pPr>
        <w:pageBreakBefore w:val="0"/>
        <w:kinsoku/>
        <w:wordWrap w:val="0"/>
        <w:overflowPunct/>
        <w:topLinePunct w:val="0"/>
        <w:bidi w:val="0"/>
        <w:snapToGrid/>
        <w:spacing w:line="560" w:lineRule="exact"/>
        <w:ind w:firstLine="480" w:firstLineChars="20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合同履行期限：</w:t>
      </w:r>
      <w:r>
        <w:rPr>
          <w:rFonts w:hint="eastAsia" w:ascii="宋体" w:hAnsi="宋体" w:cs="宋体"/>
          <w:color w:val="auto"/>
          <w:sz w:val="24"/>
          <w:highlight w:val="none"/>
          <w:lang w:val="en-US" w:eastAsia="zh-CN"/>
        </w:rPr>
        <w:t>合同签订后</w:t>
      </w:r>
      <w:r>
        <w:rPr>
          <w:rFonts w:hint="eastAsia" w:cs="宋体"/>
          <w:color w:val="auto"/>
          <w:sz w:val="24"/>
          <w:highlight w:val="none"/>
          <w:lang w:val="en-US" w:eastAsia="zh-CN"/>
        </w:rPr>
        <w:t>不高于30</w:t>
      </w:r>
      <w:r>
        <w:rPr>
          <w:rFonts w:hint="eastAsia" w:ascii="宋体" w:hAnsi="宋体" w:cs="宋体"/>
          <w:color w:val="auto"/>
          <w:sz w:val="24"/>
          <w:highlight w:val="none"/>
        </w:rPr>
        <w:t>个日历天</w:t>
      </w:r>
      <w:r>
        <w:rPr>
          <w:rFonts w:hint="eastAsia" w:cs="宋体"/>
          <w:color w:val="auto"/>
          <w:sz w:val="24"/>
          <w:highlight w:val="none"/>
          <w:lang w:val="en-US" w:eastAsia="zh-CN"/>
        </w:rPr>
        <w:t>内完成</w:t>
      </w:r>
      <w:r>
        <w:rPr>
          <w:rFonts w:hint="eastAsia" w:cs="宋体"/>
          <w:color w:val="auto"/>
          <w:sz w:val="24"/>
          <w:highlight w:val="none"/>
          <w:lang w:eastAsia="zh-CN"/>
        </w:rPr>
        <w:t>。</w:t>
      </w:r>
    </w:p>
    <w:p w14:paraId="0EFFE1F3">
      <w:pPr>
        <w:pageBreakBefore w:val="0"/>
        <w:kinsoku/>
        <w:wordWrap w:val="0"/>
        <w:overflowPunct/>
        <w:topLinePunct w:val="0"/>
        <w:bidi w:val="0"/>
        <w:snapToGrid/>
        <w:spacing w:line="56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本项目不接受联合体。</w:t>
      </w:r>
      <w:bookmarkStart w:id="6" w:name="_Toc35393630"/>
      <w:bookmarkStart w:id="7" w:name="_Toc35393799"/>
      <w:bookmarkStart w:id="8" w:name="_Toc28359090"/>
      <w:bookmarkStart w:id="9" w:name="_Toc28359013"/>
    </w:p>
    <w:p w14:paraId="1077B5B0">
      <w:pPr>
        <w:pStyle w:val="278"/>
        <w:pageBreakBefore w:val="0"/>
        <w:tabs>
          <w:tab w:val="center" w:pos="4201"/>
          <w:tab w:val="right" w:leader="dot" w:pos="9298"/>
        </w:tabs>
        <w:kinsoku/>
        <w:wordWrap w:val="0"/>
        <w:overflowPunct/>
        <w:topLinePunct w:val="0"/>
        <w:bidi w:val="0"/>
        <w:snapToGrid/>
        <w:spacing w:line="560" w:lineRule="exact"/>
        <w:ind w:firstLine="0" w:firstLineChars="0"/>
        <w:textAlignment w:val="auto"/>
        <w:rPr>
          <w:rFonts w:hint="eastAsia" w:hAnsi="宋体" w:cs="宋体"/>
          <w:b/>
          <w:bCs/>
          <w:color w:val="auto"/>
          <w:kern w:val="2"/>
          <w:sz w:val="24"/>
          <w:szCs w:val="24"/>
          <w:highlight w:val="none"/>
        </w:rPr>
      </w:pPr>
      <w:r>
        <w:rPr>
          <w:rFonts w:hint="eastAsia" w:hAnsi="宋体" w:cs="宋体"/>
          <w:b/>
          <w:bCs/>
          <w:color w:val="auto"/>
          <w:kern w:val="2"/>
          <w:sz w:val="24"/>
          <w:szCs w:val="24"/>
          <w:highlight w:val="none"/>
        </w:rPr>
        <w:t>二、申请人的资格要求：</w:t>
      </w:r>
      <w:bookmarkEnd w:id="6"/>
      <w:bookmarkEnd w:id="7"/>
      <w:bookmarkEnd w:id="8"/>
      <w:bookmarkEnd w:id="9"/>
    </w:p>
    <w:p w14:paraId="5F152979">
      <w:pPr>
        <w:pageBreakBefore w:val="0"/>
        <w:kinsoku/>
        <w:wordWrap w:val="0"/>
        <w:overflowPunct/>
        <w:topLinePunct w:val="0"/>
        <w:bidi w:val="0"/>
        <w:snapToGrid/>
        <w:spacing w:line="560" w:lineRule="exact"/>
        <w:ind w:firstLine="480" w:firstLineChars="200"/>
        <w:textAlignment w:val="auto"/>
        <w:rPr>
          <w:rFonts w:hint="eastAsia" w:ascii="宋体" w:hAnsi="宋体" w:cs="宋体"/>
          <w:color w:val="auto"/>
          <w:sz w:val="24"/>
          <w:highlight w:val="none"/>
        </w:rPr>
      </w:pPr>
      <w:bookmarkStart w:id="10" w:name="_Toc35393631"/>
      <w:bookmarkStart w:id="11" w:name="_Toc28359091"/>
      <w:bookmarkStart w:id="12" w:name="_Toc35393800"/>
      <w:bookmarkStart w:id="13" w:name="_Toc28359014"/>
      <w:r>
        <w:rPr>
          <w:rFonts w:hint="eastAsia" w:ascii="宋体" w:hAnsi="宋体" w:cs="宋体"/>
          <w:color w:val="auto"/>
          <w:sz w:val="24"/>
          <w:highlight w:val="none"/>
        </w:rPr>
        <w:t>1.满足《中华人民共和国政府采购法》第二十二条规定；</w:t>
      </w:r>
    </w:p>
    <w:p w14:paraId="241AECC7">
      <w:pPr>
        <w:pageBreakBefore w:val="0"/>
        <w:kinsoku/>
        <w:wordWrap w:val="0"/>
        <w:overflowPunct/>
        <w:topLinePunct w:val="0"/>
        <w:bidi w:val="0"/>
        <w:snapToGrid/>
        <w:spacing w:line="56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2.落实政府采购政策需满足的资格要求：按照财政部、工业和信息化部制定的《政府采购促进中小企业发展管理办法》，本项目为专门面向中小企业采购项目。企业划型标准按照《关于印发中小企业划型标准规定的通知》（工信部联企业〔2011〕300号）规定执行。</w:t>
      </w:r>
    </w:p>
    <w:p w14:paraId="440B62FC">
      <w:pPr>
        <w:pageBreakBefore w:val="0"/>
        <w:kinsoku/>
        <w:wordWrap w:val="0"/>
        <w:overflowPunct/>
        <w:topLinePunct w:val="0"/>
        <w:bidi w:val="0"/>
        <w:snapToGrid/>
        <w:spacing w:line="56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本项目的特定资格要求：</w:t>
      </w:r>
    </w:p>
    <w:p w14:paraId="5AB0CFE4">
      <w:pPr>
        <w:pageBreakBefore w:val="0"/>
        <w:kinsoku/>
        <w:wordWrap w:val="0"/>
        <w:overflowPunct/>
        <w:topLinePunct w:val="0"/>
        <w:bidi w:val="0"/>
        <w:snapToGrid/>
        <w:spacing w:line="56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①供应商具有公路交通工程专业承包（公路安全设施分项）二级或以上资质证书；②拟任项目经理须具备公路工程专业二级或以上注册建造师证书。</w:t>
      </w:r>
    </w:p>
    <w:p w14:paraId="5F39707B">
      <w:pPr>
        <w:pStyle w:val="278"/>
        <w:pageBreakBefore w:val="0"/>
        <w:tabs>
          <w:tab w:val="center" w:pos="4201"/>
          <w:tab w:val="right" w:leader="dot" w:pos="9298"/>
        </w:tabs>
        <w:kinsoku/>
        <w:wordWrap w:val="0"/>
        <w:overflowPunct/>
        <w:topLinePunct w:val="0"/>
        <w:bidi w:val="0"/>
        <w:snapToGrid/>
        <w:spacing w:line="560" w:lineRule="exact"/>
        <w:ind w:firstLine="0" w:firstLineChars="0"/>
        <w:textAlignment w:val="auto"/>
        <w:rPr>
          <w:rFonts w:hint="eastAsia" w:hAnsi="宋体" w:cs="宋体"/>
          <w:b/>
          <w:bCs/>
          <w:color w:val="auto"/>
          <w:kern w:val="2"/>
          <w:sz w:val="24"/>
          <w:szCs w:val="24"/>
          <w:highlight w:val="none"/>
        </w:rPr>
      </w:pPr>
      <w:r>
        <w:rPr>
          <w:rFonts w:hint="eastAsia" w:hAnsi="宋体" w:cs="宋体"/>
          <w:b/>
          <w:bCs/>
          <w:color w:val="auto"/>
          <w:kern w:val="2"/>
          <w:sz w:val="24"/>
          <w:szCs w:val="24"/>
          <w:highlight w:val="none"/>
        </w:rPr>
        <w:t>三、</w:t>
      </w:r>
      <w:bookmarkEnd w:id="10"/>
      <w:bookmarkEnd w:id="11"/>
      <w:bookmarkEnd w:id="12"/>
      <w:bookmarkEnd w:id="13"/>
      <w:r>
        <w:rPr>
          <w:rFonts w:hint="eastAsia" w:hAnsi="宋体" w:cs="宋体"/>
          <w:b/>
          <w:bCs/>
          <w:color w:val="auto"/>
          <w:kern w:val="2"/>
          <w:sz w:val="24"/>
          <w:szCs w:val="24"/>
          <w:highlight w:val="none"/>
        </w:rPr>
        <w:t>获取磋商文件</w:t>
      </w:r>
    </w:p>
    <w:p w14:paraId="7A68A0BE">
      <w:pPr>
        <w:pageBreakBefore w:val="0"/>
        <w:kinsoku/>
        <w:wordWrap w:val="0"/>
        <w:overflowPunct/>
        <w:topLinePunct w:val="0"/>
        <w:bidi w:val="0"/>
        <w:snapToGrid/>
        <w:spacing w:line="560" w:lineRule="exact"/>
        <w:ind w:firstLine="540"/>
        <w:textAlignment w:val="auto"/>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时间：</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u w:val="single"/>
        </w:rPr>
        <w:t>年</w:t>
      </w:r>
      <w:r>
        <w:rPr>
          <w:rFonts w:hint="eastAsia" w:cs="宋体"/>
          <w:color w:val="auto"/>
          <w:sz w:val="24"/>
          <w:highlight w:val="none"/>
          <w:u w:val="single"/>
          <w:lang w:val="en-US" w:eastAsia="zh-CN"/>
        </w:rPr>
        <w:t>11</w:t>
      </w:r>
      <w:r>
        <w:rPr>
          <w:rFonts w:hint="eastAsia" w:ascii="宋体" w:hAnsi="宋体" w:cs="宋体"/>
          <w:color w:val="auto"/>
          <w:sz w:val="24"/>
          <w:highlight w:val="none"/>
          <w:u w:val="single"/>
        </w:rPr>
        <w:t>月</w:t>
      </w:r>
      <w:r>
        <w:rPr>
          <w:rFonts w:hint="eastAsia" w:cs="宋体"/>
          <w:color w:val="auto"/>
          <w:sz w:val="24"/>
          <w:highlight w:val="none"/>
          <w:u w:val="single"/>
          <w:lang w:val="en-US" w:eastAsia="zh-CN"/>
        </w:rPr>
        <w:t>6</w:t>
      </w:r>
      <w:r>
        <w:rPr>
          <w:rFonts w:hint="eastAsia" w:ascii="宋体" w:hAnsi="宋体" w:cs="宋体"/>
          <w:color w:val="auto"/>
          <w:sz w:val="24"/>
          <w:highlight w:val="none"/>
          <w:u w:val="single"/>
        </w:rPr>
        <w:t>日</w:t>
      </w:r>
      <w:r>
        <w:rPr>
          <w:rFonts w:hint="eastAsia" w:ascii="宋体" w:hAnsi="宋体" w:cs="宋体"/>
          <w:color w:val="auto"/>
          <w:sz w:val="24"/>
          <w:highlight w:val="none"/>
        </w:rPr>
        <w:t>至</w:t>
      </w:r>
      <w:r>
        <w:rPr>
          <w:rFonts w:hint="eastAsia" w:cs="宋体"/>
          <w:color w:val="auto"/>
          <w:sz w:val="24"/>
          <w:highlight w:val="none"/>
          <w:u w:val="single"/>
          <w:lang w:eastAsia="zh-CN"/>
        </w:rPr>
        <w:t>2026年11月</w:t>
      </w:r>
      <w:r>
        <w:rPr>
          <w:rFonts w:hint="eastAsia" w:cs="宋体"/>
          <w:color w:val="auto"/>
          <w:sz w:val="24"/>
          <w:highlight w:val="none"/>
          <w:u w:val="single"/>
          <w:lang w:val="en-US" w:eastAsia="zh-CN"/>
        </w:rPr>
        <w:t>16</w:t>
      </w:r>
      <w:r>
        <w:rPr>
          <w:rFonts w:hint="eastAsia" w:cs="宋体"/>
          <w:color w:val="auto"/>
          <w:sz w:val="24"/>
          <w:highlight w:val="none"/>
          <w:u w:val="single"/>
          <w:lang w:eastAsia="zh-CN"/>
        </w:rPr>
        <w:t>日</w:t>
      </w:r>
    </w:p>
    <w:p w14:paraId="17EDC412">
      <w:pPr>
        <w:pageBreakBefore w:val="0"/>
        <w:kinsoku/>
        <w:wordWrap w:val="0"/>
        <w:overflowPunct/>
        <w:topLinePunct w:val="0"/>
        <w:bidi w:val="0"/>
        <w:snapToGrid/>
        <w:spacing w:line="56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方式：网上下载</w:t>
      </w:r>
    </w:p>
    <w:p w14:paraId="2976BCC3">
      <w:pPr>
        <w:pageBreakBefore w:val="0"/>
        <w:kinsoku/>
        <w:wordWrap w:val="0"/>
        <w:overflowPunct/>
        <w:topLinePunct w:val="0"/>
        <w:bidi w:val="0"/>
        <w:snapToGrid/>
        <w:spacing w:line="56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售价：0元</w:t>
      </w:r>
      <w:bookmarkStart w:id="14" w:name="_Toc35393632"/>
      <w:bookmarkStart w:id="15" w:name="_Toc35393801"/>
      <w:bookmarkStart w:id="16" w:name="_Toc28359092"/>
      <w:bookmarkStart w:id="17" w:name="_Toc28359015"/>
    </w:p>
    <w:p w14:paraId="0D7A28BA">
      <w:pPr>
        <w:pageBreakBefore w:val="0"/>
        <w:kinsoku/>
        <w:wordWrap w:val="0"/>
        <w:overflowPunct/>
        <w:topLinePunct w:val="0"/>
        <w:bidi w:val="0"/>
        <w:snapToGrid/>
        <w:spacing w:line="560" w:lineRule="exact"/>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四、响应文件提交</w:t>
      </w:r>
      <w:bookmarkEnd w:id="14"/>
      <w:bookmarkEnd w:id="15"/>
      <w:bookmarkEnd w:id="16"/>
      <w:bookmarkEnd w:id="17"/>
    </w:p>
    <w:p w14:paraId="56448006">
      <w:pPr>
        <w:pageBreakBefore w:val="0"/>
        <w:kinsoku/>
        <w:wordWrap w:val="0"/>
        <w:overflowPunct/>
        <w:topLinePunct w:val="0"/>
        <w:bidi w:val="0"/>
        <w:snapToGrid/>
        <w:spacing w:line="56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截止时间：</w:t>
      </w:r>
      <w:r>
        <w:rPr>
          <w:rFonts w:hint="eastAsia" w:cs="宋体"/>
          <w:color w:val="auto"/>
          <w:sz w:val="24"/>
          <w:highlight w:val="none"/>
          <w:u w:val="single"/>
          <w:lang w:eastAsia="zh-CN"/>
        </w:rPr>
        <w:t>2026年11月</w:t>
      </w:r>
      <w:r>
        <w:rPr>
          <w:rFonts w:hint="eastAsia" w:cs="宋体"/>
          <w:color w:val="auto"/>
          <w:sz w:val="24"/>
          <w:highlight w:val="none"/>
          <w:u w:val="single"/>
          <w:lang w:val="en-US" w:eastAsia="zh-CN"/>
        </w:rPr>
        <w:t>16</w:t>
      </w:r>
      <w:r>
        <w:rPr>
          <w:rFonts w:hint="eastAsia" w:cs="宋体"/>
          <w:color w:val="auto"/>
          <w:sz w:val="24"/>
          <w:highlight w:val="none"/>
          <w:u w:val="single"/>
          <w:lang w:eastAsia="zh-CN"/>
        </w:rPr>
        <w:t>日</w:t>
      </w:r>
      <w:r>
        <w:rPr>
          <w:rFonts w:hint="eastAsia" w:cs="宋体"/>
          <w:color w:val="auto"/>
          <w:sz w:val="24"/>
          <w:highlight w:val="none"/>
          <w:u w:val="single"/>
          <w:lang w:val="en-US" w:eastAsia="zh-CN"/>
        </w:rPr>
        <w:t>08时30</w:t>
      </w:r>
      <w:r>
        <w:rPr>
          <w:rFonts w:hint="eastAsia" w:ascii="宋体" w:hAnsi="宋体" w:cs="宋体"/>
          <w:color w:val="auto"/>
          <w:sz w:val="24"/>
          <w:highlight w:val="none"/>
          <w:u w:val="single"/>
          <w:lang w:val="en-US" w:eastAsia="zh-CN"/>
        </w:rPr>
        <w:t>分</w:t>
      </w:r>
      <w:r>
        <w:rPr>
          <w:rFonts w:hint="eastAsia" w:ascii="宋体" w:hAnsi="宋体" w:cs="宋体"/>
          <w:color w:val="auto"/>
          <w:sz w:val="24"/>
          <w:highlight w:val="none"/>
        </w:rPr>
        <w:t>（北京时间）</w:t>
      </w:r>
    </w:p>
    <w:p w14:paraId="3058FAE1">
      <w:pPr>
        <w:pageBreakBefore w:val="0"/>
        <w:kinsoku/>
        <w:wordWrap w:val="0"/>
        <w:overflowPunct/>
        <w:topLinePunct w:val="0"/>
        <w:bidi w:val="0"/>
        <w:snapToGrid/>
        <w:spacing w:line="560" w:lineRule="exact"/>
        <w:ind w:firstLine="480" w:firstLineChars="200"/>
        <w:textAlignment w:val="auto"/>
        <w:rPr>
          <w:rFonts w:hint="default" w:ascii="宋体" w:hAnsi="宋体" w:cs="宋体"/>
          <w:color w:val="auto"/>
          <w:sz w:val="24"/>
          <w:highlight w:val="none"/>
          <w:lang w:val="en-US"/>
        </w:rPr>
      </w:pPr>
      <w:r>
        <w:rPr>
          <w:rFonts w:hint="eastAsia" w:ascii="宋体" w:hAnsi="宋体" w:cs="宋体"/>
          <w:color w:val="auto"/>
          <w:sz w:val="24"/>
          <w:highlight w:val="none"/>
        </w:rPr>
        <w:t>地点：</w:t>
      </w:r>
      <w:bookmarkStart w:id="18" w:name="_Toc28359016"/>
      <w:bookmarkStart w:id="19" w:name="_Toc35393633"/>
      <w:bookmarkStart w:id="20" w:name="_Toc28359093"/>
      <w:bookmarkStart w:id="21" w:name="_Toc35393802"/>
      <w:r>
        <w:rPr>
          <w:rFonts w:hint="eastAsia" w:ascii="宋体" w:hAnsi="宋体" w:cs="宋体"/>
          <w:color w:val="auto"/>
          <w:sz w:val="24"/>
          <w:highlight w:val="none"/>
          <w:lang w:val="en-US" w:eastAsia="zh-CN"/>
        </w:rPr>
        <w:t>供应商应在响应文件提交截止时间之前，登录滁州市城投工程咨询管理有限公司新点电子交易平台【滁州专区】上传响应文件</w:t>
      </w:r>
    </w:p>
    <w:p w14:paraId="72AA4E7D">
      <w:pPr>
        <w:pageBreakBefore w:val="0"/>
        <w:kinsoku/>
        <w:wordWrap w:val="0"/>
        <w:overflowPunct/>
        <w:topLinePunct w:val="0"/>
        <w:bidi w:val="0"/>
        <w:snapToGrid/>
        <w:spacing w:line="560" w:lineRule="exact"/>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五、开启</w:t>
      </w:r>
      <w:bookmarkEnd w:id="18"/>
      <w:bookmarkEnd w:id="19"/>
      <w:bookmarkEnd w:id="20"/>
      <w:bookmarkEnd w:id="21"/>
    </w:p>
    <w:p w14:paraId="6C957D3B">
      <w:pPr>
        <w:pageBreakBefore w:val="0"/>
        <w:kinsoku/>
        <w:wordWrap w:val="0"/>
        <w:overflowPunct/>
        <w:topLinePunct w:val="0"/>
        <w:bidi w:val="0"/>
        <w:snapToGrid/>
        <w:spacing w:line="560" w:lineRule="exact"/>
        <w:ind w:firstLine="480" w:firstLineChars="200"/>
        <w:textAlignment w:val="auto"/>
        <w:rPr>
          <w:rFonts w:hint="eastAsia" w:ascii="宋体" w:hAnsi="宋体" w:cs="宋体"/>
          <w:color w:val="auto"/>
          <w:sz w:val="24"/>
          <w:highlight w:val="none"/>
          <w:u w:val="single"/>
        </w:rPr>
      </w:pPr>
      <w:r>
        <w:rPr>
          <w:rFonts w:hint="eastAsia" w:ascii="宋体" w:hAnsi="宋体" w:cs="宋体"/>
          <w:color w:val="auto"/>
          <w:sz w:val="24"/>
          <w:highlight w:val="none"/>
        </w:rPr>
        <w:t>时间：</w:t>
      </w:r>
      <w:r>
        <w:rPr>
          <w:rFonts w:hint="eastAsia" w:cs="宋体"/>
          <w:color w:val="auto"/>
          <w:sz w:val="24"/>
          <w:highlight w:val="none"/>
          <w:u w:val="single"/>
          <w:lang w:eastAsia="zh-CN"/>
        </w:rPr>
        <w:t>2026年11月</w:t>
      </w:r>
      <w:r>
        <w:rPr>
          <w:rFonts w:hint="eastAsia" w:cs="宋体"/>
          <w:color w:val="auto"/>
          <w:sz w:val="24"/>
          <w:highlight w:val="none"/>
          <w:u w:val="single"/>
          <w:lang w:val="en-US" w:eastAsia="zh-CN"/>
        </w:rPr>
        <w:t>16</w:t>
      </w:r>
      <w:r>
        <w:rPr>
          <w:rFonts w:hint="eastAsia" w:cs="宋体"/>
          <w:color w:val="auto"/>
          <w:sz w:val="24"/>
          <w:highlight w:val="none"/>
          <w:u w:val="single"/>
          <w:lang w:eastAsia="zh-CN"/>
        </w:rPr>
        <w:t>日</w:t>
      </w:r>
      <w:r>
        <w:rPr>
          <w:rFonts w:hint="eastAsia" w:cs="宋体"/>
          <w:color w:val="auto"/>
          <w:sz w:val="24"/>
          <w:highlight w:val="none"/>
          <w:u w:val="single"/>
          <w:lang w:val="en-US" w:eastAsia="zh-CN"/>
        </w:rPr>
        <w:t>08时30</w:t>
      </w:r>
      <w:r>
        <w:rPr>
          <w:rFonts w:hint="eastAsia" w:ascii="宋体" w:hAnsi="宋体" w:cs="宋体"/>
          <w:color w:val="auto"/>
          <w:sz w:val="24"/>
          <w:highlight w:val="none"/>
          <w:u w:val="single"/>
          <w:lang w:val="en-US" w:eastAsia="zh-CN"/>
        </w:rPr>
        <w:t>分</w:t>
      </w:r>
      <w:r>
        <w:rPr>
          <w:rFonts w:hint="eastAsia" w:ascii="宋体" w:hAnsi="宋体" w:cs="宋体"/>
          <w:color w:val="auto"/>
          <w:sz w:val="24"/>
          <w:highlight w:val="none"/>
        </w:rPr>
        <w:t>（北京时间）</w:t>
      </w:r>
    </w:p>
    <w:p w14:paraId="26BE361A">
      <w:pPr>
        <w:pageBreakBefore w:val="0"/>
        <w:kinsoku/>
        <w:wordWrap w:val="0"/>
        <w:overflowPunct/>
        <w:topLinePunct w:val="0"/>
        <w:bidi w:val="0"/>
        <w:snapToGrid/>
        <w:spacing w:line="560" w:lineRule="exact"/>
        <w:ind w:firstLine="480" w:firstLineChars="200"/>
        <w:jc w:val="left"/>
        <w:textAlignment w:val="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地点：网上开标，供应商登录滁州市城投工程咨询管理有限公司不见面开标系统参与网上开标(http://js.etrading.cn/EpointBidOpening/bidopeninghallaction/hall/login)</w:t>
      </w:r>
    </w:p>
    <w:p w14:paraId="29CCC6B5">
      <w:pPr>
        <w:pageBreakBefore w:val="0"/>
        <w:kinsoku/>
        <w:wordWrap w:val="0"/>
        <w:overflowPunct/>
        <w:topLinePunct w:val="0"/>
        <w:bidi w:val="0"/>
        <w:snapToGrid/>
        <w:spacing w:line="560" w:lineRule="exact"/>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六、公告期限</w:t>
      </w:r>
    </w:p>
    <w:p w14:paraId="5CA6B287">
      <w:pPr>
        <w:pageBreakBefore w:val="0"/>
        <w:kinsoku/>
        <w:wordWrap w:val="0"/>
        <w:overflowPunct/>
        <w:topLinePunct w:val="0"/>
        <w:bidi w:val="0"/>
        <w:snapToGrid/>
        <w:spacing w:line="560" w:lineRule="exact"/>
        <w:ind w:firstLine="480" w:firstLineChars="200"/>
        <w:jc w:val="left"/>
        <w:textAlignment w:val="auto"/>
        <w:rPr>
          <w:rFonts w:hint="eastAsia"/>
          <w:color w:val="auto"/>
          <w:highlight w:val="none"/>
        </w:rPr>
      </w:pPr>
      <w:r>
        <w:rPr>
          <w:rFonts w:hint="eastAsia" w:ascii="宋体" w:hAnsi="宋体" w:eastAsia="宋体" w:cs="宋体"/>
          <w:color w:val="auto"/>
          <w:kern w:val="0"/>
          <w:sz w:val="24"/>
          <w:highlight w:val="none"/>
        </w:rPr>
        <w:t>自本公告发布之日起</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个工作日</w:t>
      </w:r>
      <w:r>
        <w:rPr>
          <w:rFonts w:hint="eastAsia" w:ascii="宋体" w:hAnsi="宋体" w:eastAsia="宋体" w:cs="宋体"/>
          <w:color w:val="auto"/>
          <w:kern w:val="0"/>
          <w:sz w:val="24"/>
          <w:highlight w:val="none"/>
          <w:lang w:val="en-US" w:eastAsia="zh-CN"/>
        </w:rPr>
        <w:t>。</w:t>
      </w:r>
    </w:p>
    <w:p w14:paraId="04DEF5FB">
      <w:pPr>
        <w:pageBreakBefore w:val="0"/>
        <w:kinsoku/>
        <w:wordWrap w:val="0"/>
        <w:overflowPunct/>
        <w:topLinePunct w:val="0"/>
        <w:bidi w:val="0"/>
        <w:snapToGrid/>
        <w:spacing w:line="560" w:lineRule="exact"/>
        <w:textAlignment w:val="auto"/>
        <w:rPr>
          <w:rFonts w:hint="eastAsia" w:ascii="宋体" w:hAnsi="宋体" w:cs="宋体"/>
          <w:color w:val="auto"/>
          <w:sz w:val="24"/>
          <w:highlight w:val="none"/>
        </w:rPr>
      </w:pPr>
      <w:r>
        <w:rPr>
          <w:rFonts w:hint="eastAsia" w:ascii="宋体" w:hAnsi="宋体" w:cs="宋体"/>
          <w:b/>
          <w:bCs/>
          <w:color w:val="auto"/>
          <w:sz w:val="24"/>
          <w:highlight w:val="none"/>
        </w:rPr>
        <w:t>七、保证金金额及缴纳账户</w:t>
      </w:r>
    </w:p>
    <w:p w14:paraId="03776577">
      <w:pPr>
        <w:pageBreakBefore w:val="0"/>
        <w:widowControl/>
        <w:kinsoku/>
        <w:wordWrap w:val="0"/>
        <w:overflowPunct/>
        <w:topLinePunct w:val="0"/>
        <w:bidi w:val="0"/>
        <w:snapToGrid/>
        <w:spacing w:line="560" w:lineRule="exact"/>
        <w:ind w:firstLine="480" w:firstLineChars="200"/>
        <w:jc w:val="left"/>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是否要求供应商提交保证金：不要求</w:t>
      </w:r>
      <w:r>
        <w:rPr>
          <w:rFonts w:hint="eastAsia" w:cs="宋体"/>
          <w:color w:val="auto"/>
          <w:sz w:val="24"/>
          <w:highlight w:val="none"/>
          <w:lang w:eastAsia="zh-CN"/>
        </w:rPr>
        <w:t>。</w:t>
      </w:r>
    </w:p>
    <w:p w14:paraId="3133299D">
      <w:pPr>
        <w:pageBreakBefore w:val="0"/>
        <w:widowControl/>
        <w:kinsoku/>
        <w:wordWrap w:val="0"/>
        <w:overflowPunct/>
        <w:topLinePunct w:val="0"/>
        <w:bidi w:val="0"/>
        <w:snapToGrid/>
        <w:spacing w:line="560" w:lineRule="exact"/>
        <w:jc w:val="left"/>
        <w:textAlignment w:val="auto"/>
        <w:rPr>
          <w:rFonts w:hint="eastAsia" w:ascii="宋体" w:hAnsi="宋体" w:cs="宋体"/>
          <w:b/>
          <w:i/>
          <w:color w:val="auto"/>
          <w:sz w:val="24"/>
          <w:highlight w:val="none"/>
        </w:rPr>
      </w:pPr>
      <w:r>
        <w:rPr>
          <w:rFonts w:hint="eastAsia" w:ascii="宋体" w:hAnsi="宋体" w:cs="宋体"/>
          <w:b/>
          <w:color w:val="auto"/>
          <w:sz w:val="24"/>
          <w:highlight w:val="none"/>
        </w:rPr>
        <w:t>八、其他补充事宜</w:t>
      </w:r>
    </w:p>
    <w:p w14:paraId="583E39E2">
      <w:pPr>
        <w:pageBreakBefore w:val="0"/>
        <w:kinsoku/>
        <w:wordWrap w:val="0"/>
        <w:overflowPunct/>
        <w:topLinePunct w:val="0"/>
        <w:bidi w:val="0"/>
        <w:snapToGrid/>
        <w:spacing w:line="560" w:lineRule="exact"/>
        <w:ind w:firstLine="480" w:firstLineChars="200"/>
        <w:textAlignment w:val="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本项目采用电子招投标方式，请供应商在“新点电子交易平台”办事指南下载“新点电子交易平台专用投标文件制作软件”，仔细阅读采购文件要求和相关操作手册，以免影响投标文件编制，因供应商未及时关注相关信息对投标造成的不利后果由其自行承担。投标软件制作工具下载：https://download.bqpoint.com/download/downloaddetail.html?SourceFrom=Ztb&amp;ZtbSoftXiaQuCode=0128&amp;ZtbSoftType=tballinclusive。</w:t>
      </w:r>
    </w:p>
    <w:p w14:paraId="38CE92F3">
      <w:pPr>
        <w:pageBreakBefore w:val="0"/>
        <w:kinsoku/>
        <w:wordWrap w:val="0"/>
        <w:overflowPunct/>
        <w:topLinePunct w:val="0"/>
        <w:bidi w:val="0"/>
        <w:snapToGrid/>
        <w:spacing w:line="560" w:lineRule="exact"/>
        <w:ind w:firstLine="480" w:firstLineChars="200"/>
        <w:textAlignment w:val="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2.请于公告发布之日起从</w:t>
      </w:r>
      <w:r>
        <w:rPr>
          <w:rFonts w:hint="eastAsia" w:cs="宋体"/>
          <w:color w:val="auto"/>
          <w:kern w:val="0"/>
          <w:sz w:val="24"/>
          <w:highlight w:val="none"/>
          <w:lang w:val="en-US" w:eastAsia="zh-CN"/>
        </w:rPr>
        <w:t>滁州市交通运输局</w:t>
      </w:r>
      <w:r>
        <w:rPr>
          <w:rFonts w:hint="eastAsia" w:ascii="宋体" w:hAnsi="宋体" w:eastAsia="宋体" w:cs="宋体"/>
          <w:color w:val="auto"/>
          <w:kern w:val="0"/>
          <w:sz w:val="24"/>
          <w:highlight w:val="none"/>
          <w:lang w:val="en-US" w:eastAsia="zh-CN"/>
        </w:rPr>
        <w:t>（</w:t>
      </w:r>
      <w:r>
        <w:rPr>
          <w:rFonts w:hint="eastAsia" w:cs="宋体"/>
          <w:color w:val="auto"/>
          <w:kern w:val="0"/>
          <w:sz w:val="24"/>
          <w:highlight w:val="none"/>
          <w:lang w:val="en-US" w:eastAsia="zh-CN"/>
        </w:rPr>
        <w:t>https://jtj.chuzhou.gov.cn/xwdt/tzgg/index.html</w:t>
      </w:r>
      <w:r>
        <w:rPr>
          <w:rFonts w:hint="eastAsia" w:ascii="宋体" w:hAnsi="宋体" w:eastAsia="宋体" w:cs="宋体"/>
          <w:color w:val="auto"/>
          <w:kern w:val="0"/>
          <w:sz w:val="24"/>
          <w:highlight w:val="none"/>
          <w:lang w:val="en-US" w:eastAsia="zh-CN"/>
        </w:rPr>
        <w:t>）</w:t>
      </w:r>
      <w:r>
        <w:rPr>
          <w:rFonts w:hint="eastAsia" w:cs="宋体"/>
          <w:color w:val="auto"/>
          <w:kern w:val="0"/>
          <w:sz w:val="24"/>
          <w:highlight w:val="none"/>
          <w:lang w:val="en-US" w:eastAsia="zh-CN"/>
        </w:rPr>
        <w:t>或</w:t>
      </w:r>
      <w:r>
        <w:rPr>
          <w:rFonts w:hint="eastAsia" w:ascii="宋体" w:hAnsi="宋体" w:eastAsia="宋体" w:cs="宋体"/>
          <w:color w:val="auto"/>
          <w:kern w:val="0"/>
          <w:sz w:val="24"/>
          <w:highlight w:val="none"/>
          <w:lang w:val="en-US" w:eastAsia="zh-CN"/>
        </w:rPr>
        <w:t>滁州市城投工程咨询管理有限公司（https://www.czctgczx.com/）网站下载本项目采购文件，或从滁州市城投工程咨询管理有限公司（https://www.czctgczx.com/）网站，点击项目招标公告下方【我要投标】，登录新点电子交易平台后在【滁州专区】（https://www.etrading.cn/BREpointSSO/login/oauth2login?regioncode=DQ_ChuZhou）下载本项目采购文件。</w:t>
      </w:r>
    </w:p>
    <w:p w14:paraId="4460936D">
      <w:pPr>
        <w:pageBreakBefore w:val="0"/>
        <w:kinsoku/>
        <w:wordWrap w:val="0"/>
        <w:overflowPunct/>
        <w:topLinePunct w:val="0"/>
        <w:bidi w:val="0"/>
        <w:snapToGrid/>
        <w:spacing w:line="560" w:lineRule="exact"/>
        <w:ind w:firstLine="480" w:firstLineChars="200"/>
        <w:textAlignment w:val="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3.供应商参与磋商的，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标正通使用相关问题请拨打服务电话：0512-58188013。</w:t>
      </w:r>
    </w:p>
    <w:p w14:paraId="03590414">
      <w:pPr>
        <w:pageBreakBefore w:val="0"/>
        <w:kinsoku/>
        <w:wordWrap w:val="0"/>
        <w:overflowPunct/>
        <w:topLinePunct w:val="0"/>
        <w:bidi w:val="0"/>
        <w:snapToGrid/>
        <w:spacing w:line="560" w:lineRule="exact"/>
        <w:ind w:firstLine="480" w:firstLineChars="200"/>
        <w:textAlignment w:val="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供应商登录新点电子交易平台【滁州专区】获取采购文件及其它资料（含澄清和补充说明等）。如在采购文件获取过程中遇到系统问题，请拨打技术支持服务热线0512-58151515或者网站首页在线客服。供应商自行承担因未按要求获取采购文件导致无法上传电子响应文件的风险。</w:t>
      </w:r>
    </w:p>
    <w:p w14:paraId="3A3D71C9">
      <w:pPr>
        <w:pageBreakBefore w:val="0"/>
        <w:kinsoku/>
        <w:wordWrap w:val="0"/>
        <w:overflowPunct/>
        <w:topLinePunct w:val="0"/>
        <w:bidi w:val="0"/>
        <w:snapToGrid/>
        <w:spacing w:line="560" w:lineRule="exact"/>
        <w:ind w:firstLine="480" w:firstLineChars="200"/>
        <w:textAlignment w:val="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5.本项目采用不见面开标，供应商登录滁州市城投工程咨询管理有限公司不见面开标系统参与网上开标（网址：http://js.etrading.cn/EpointBidOpening/bidopeninghallaction/hall/login）。</w:t>
      </w:r>
    </w:p>
    <w:p w14:paraId="22B281A3">
      <w:pPr>
        <w:pageBreakBefore w:val="0"/>
        <w:kinsoku/>
        <w:wordWrap w:val="0"/>
        <w:overflowPunct/>
        <w:topLinePunct w:val="0"/>
        <w:bidi w:val="0"/>
        <w:snapToGrid/>
        <w:spacing w:line="560" w:lineRule="exact"/>
        <w:ind w:firstLine="480" w:firstLineChars="200"/>
        <w:textAlignment w:val="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6.供应商应在响应文件提交截止时间之前，登录新点电子交易平台【滁州专区】上传响应文件。供应商逾期上传响应文件的，电子系统不予受理。</w:t>
      </w:r>
    </w:p>
    <w:p w14:paraId="14ED87F6">
      <w:pPr>
        <w:pageBreakBefore w:val="0"/>
        <w:kinsoku/>
        <w:wordWrap w:val="0"/>
        <w:overflowPunct/>
        <w:topLinePunct w:val="0"/>
        <w:bidi w:val="0"/>
        <w:snapToGrid/>
        <w:spacing w:line="560" w:lineRule="exact"/>
        <w:ind w:firstLine="480" w:firstLineChars="200"/>
        <w:textAlignment w:val="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7.本项目开评标实行全流程电子化，在线完成开评标活动。开启时供应商无需到达开启现场，不接受现场解密，实行远程解密和在线询标。各供应商认真学习《新点电子交易平台投标人操作手册》，务必掌握远程解密方法和在线回复询标方法。</w:t>
      </w:r>
    </w:p>
    <w:p w14:paraId="08F53C28">
      <w:pPr>
        <w:pageBreakBefore w:val="0"/>
        <w:kinsoku/>
        <w:wordWrap w:val="0"/>
        <w:overflowPunct/>
        <w:topLinePunct w:val="0"/>
        <w:bidi w:val="0"/>
        <w:snapToGrid/>
        <w:spacing w:line="560" w:lineRule="exact"/>
        <w:ind w:firstLine="480" w:firstLineChars="200"/>
        <w:textAlignment w:val="auto"/>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8.供应商的联系人电话(手机)、电子邮箱等通讯方式在开启过程中必须保持畅通，否则因上述原因造成的后果，责任自负。</w:t>
      </w:r>
    </w:p>
    <w:p w14:paraId="4CAC624C">
      <w:pPr>
        <w:pageBreakBefore w:val="0"/>
        <w:kinsoku/>
        <w:wordWrap w:val="0"/>
        <w:overflowPunct/>
        <w:topLinePunct w:val="0"/>
        <w:bidi w:val="0"/>
        <w:snapToGrid/>
        <w:spacing w:line="560" w:lineRule="exact"/>
        <w:textAlignment w:val="auto"/>
        <w:rPr>
          <w:rFonts w:hint="eastAsia" w:ascii="宋体" w:hAnsi="宋体" w:cs="宋体"/>
          <w:b/>
          <w:color w:val="auto"/>
          <w:sz w:val="24"/>
          <w:highlight w:val="none"/>
        </w:rPr>
      </w:pPr>
      <w:r>
        <w:rPr>
          <w:rFonts w:hint="eastAsia" w:ascii="宋体" w:hAnsi="宋体" w:cs="宋体"/>
          <w:b/>
          <w:color w:val="auto"/>
          <w:sz w:val="24"/>
          <w:highlight w:val="none"/>
        </w:rPr>
        <w:t>九、凡对本次采购提出询问，请按以下方式联系。</w:t>
      </w:r>
    </w:p>
    <w:p w14:paraId="37BAC6D6">
      <w:pPr>
        <w:spacing w:line="360" w:lineRule="auto"/>
        <w:ind w:firstLine="435"/>
        <w:rPr>
          <w:rFonts w:hint="eastAsia"/>
          <w:color w:val="auto"/>
          <w:sz w:val="24"/>
          <w:szCs w:val="18"/>
          <w:highlight w:val="none"/>
        </w:rPr>
      </w:pPr>
      <w:r>
        <w:rPr>
          <w:rFonts w:hint="eastAsia"/>
          <w:color w:val="auto"/>
          <w:sz w:val="24"/>
          <w:szCs w:val="18"/>
          <w:highlight w:val="none"/>
        </w:rPr>
        <w:t>1.采购人信息</w:t>
      </w:r>
    </w:p>
    <w:p w14:paraId="16150719">
      <w:pPr>
        <w:spacing w:line="360" w:lineRule="auto"/>
        <w:ind w:firstLine="435"/>
        <w:rPr>
          <w:rFonts w:hint="eastAsia" w:eastAsia="宋体"/>
          <w:color w:val="auto"/>
          <w:sz w:val="24"/>
          <w:szCs w:val="18"/>
          <w:highlight w:val="none"/>
          <w:lang w:eastAsia="zh-CN"/>
        </w:rPr>
      </w:pPr>
      <w:r>
        <w:rPr>
          <w:rFonts w:hint="eastAsia"/>
          <w:color w:val="auto"/>
          <w:sz w:val="24"/>
          <w:szCs w:val="18"/>
          <w:highlight w:val="none"/>
        </w:rPr>
        <w:t>名</w:t>
      </w:r>
      <w:r>
        <w:rPr>
          <w:rFonts w:hint="eastAsia"/>
          <w:color w:val="auto"/>
          <w:sz w:val="24"/>
          <w:szCs w:val="18"/>
          <w:highlight w:val="none"/>
          <w:lang w:val="en-US" w:eastAsia="zh-CN"/>
        </w:rPr>
        <w:t xml:space="preserve">    </w:t>
      </w:r>
      <w:r>
        <w:rPr>
          <w:rFonts w:hint="eastAsia"/>
          <w:color w:val="auto"/>
          <w:sz w:val="24"/>
          <w:szCs w:val="18"/>
          <w:highlight w:val="none"/>
        </w:rPr>
        <w:t>称：</w:t>
      </w:r>
      <w:r>
        <w:rPr>
          <w:rFonts w:hint="eastAsia"/>
          <w:color w:val="auto"/>
          <w:sz w:val="24"/>
          <w:szCs w:val="18"/>
          <w:highlight w:val="none"/>
          <w:lang w:eastAsia="zh-CN"/>
        </w:rPr>
        <w:t>滁州市公路管理服务中心</w:t>
      </w:r>
    </w:p>
    <w:p w14:paraId="5B116298">
      <w:pPr>
        <w:spacing w:line="360" w:lineRule="auto"/>
        <w:ind w:firstLine="435"/>
        <w:rPr>
          <w:rFonts w:hint="eastAsia" w:eastAsia="宋体"/>
          <w:color w:val="auto"/>
          <w:sz w:val="24"/>
          <w:szCs w:val="18"/>
          <w:highlight w:val="none"/>
          <w:lang w:eastAsia="zh-CN"/>
        </w:rPr>
      </w:pPr>
      <w:r>
        <w:rPr>
          <w:rFonts w:hint="eastAsia"/>
          <w:color w:val="auto"/>
          <w:sz w:val="24"/>
          <w:szCs w:val="18"/>
          <w:highlight w:val="none"/>
        </w:rPr>
        <w:t>地</w:t>
      </w:r>
      <w:r>
        <w:rPr>
          <w:rFonts w:hint="eastAsia"/>
          <w:color w:val="auto"/>
          <w:sz w:val="24"/>
          <w:szCs w:val="18"/>
          <w:highlight w:val="none"/>
          <w:lang w:val="en-US" w:eastAsia="zh-CN"/>
        </w:rPr>
        <w:t xml:space="preserve">    </w:t>
      </w:r>
      <w:r>
        <w:rPr>
          <w:rFonts w:hint="eastAsia"/>
          <w:color w:val="auto"/>
          <w:sz w:val="24"/>
          <w:szCs w:val="18"/>
          <w:highlight w:val="none"/>
        </w:rPr>
        <w:t>址：</w:t>
      </w:r>
      <w:r>
        <w:rPr>
          <w:rFonts w:hint="eastAsia"/>
          <w:color w:val="auto"/>
          <w:sz w:val="24"/>
          <w:szCs w:val="18"/>
          <w:highlight w:val="none"/>
          <w:lang w:eastAsia="zh-CN"/>
        </w:rPr>
        <w:t>滁州市龙蟠大道200号</w:t>
      </w:r>
    </w:p>
    <w:p w14:paraId="3B07223D">
      <w:pPr>
        <w:spacing w:line="360" w:lineRule="auto"/>
        <w:ind w:firstLine="435"/>
        <w:rPr>
          <w:rFonts w:hint="eastAsia"/>
          <w:color w:val="auto"/>
          <w:sz w:val="24"/>
          <w:szCs w:val="18"/>
          <w:highlight w:val="none"/>
        </w:rPr>
      </w:pPr>
      <w:r>
        <w:rPr>
          <w:rFonts w:hint="eastAsia"/>
          <w:color w:val="auto"/>
          <w:sz w:val="24"/>
          <w:szCs w:val="18"/>
          <w:highlight w:val="none"/>
        </w:rPr>
        <w:t>联</w:t>
      </w:r>
      <w:r>
        <w:rPr>
          <w:rFonts w:hint="eastAsia"/>
          <w:color w:val="auto"/>
          <w:sz w:val="24"/>
          <w:szCs w:val="18"/>
          <w:highlight w:val="none"/>
          <w:lang w:val="en-US" w:eastAsia="zh-CN"/>
        </w:rPr>
        <w:t xml:space="preserve"> </w:t>
      </w:r>
      <w:r>
        <w:rPr>
          <w:rFonts w:hint="eastAsia"/>
          <w:color w:val="auto"/>
          <w:sz w:val="24"/>
          <w:szCs w:val="18"/>
          <w:highlight w:val="none"/>
        </w:rPr>
        <w:t>系</w:t>
      </w:r>
      <w:r>
        <w:rPr>
          <w:rFonts w:hint="eastAsia"/>
          <w:color w:val="auto"/>
          <w:sz w:val="24"/>
          <w:szCs w:val="18"/>
          <w:highlight w:val="none"/>
          <w:lang w:val="en-US" w:eastAsia="zh-CN"/>
        </w:rPr>
        <w:t xml:space="preserve"> </w:t>
      </w:r>
      <w:r>
        <w:rPr>
          <w:rFonts w:hint="eastAsia"/>
          <w:color w:val="auto"/>
          <w:sz w:val="24"/>
          <w:szCs w:val="18"/>
          <w:highlight w:val="none"/>
        </w:rPr>
        <w:t>人：</w:t>
      </w:r>
      <w:r>
        <w:rPr>
          <w:rFonts w:hint="eastAsia"/>
          <w:color w:val="auto"/>
          <w:sz w:val="24"/>
          <w:szCs w:val="18"/>
          <w:highlight w:val="none"/>
          <w:lang w:eastAsia="zh-CN"/>
        </w:rPr>
        <w:t>李锦辉</w:t>
      </w:r>
    </w:p>
    <w:p w14:paraId="3A9246A5">
      <w:pPr>
        <w:spacing w:line="360" w:lineRule="auto"/>
        <w:ind w:firstLine="435"/>
        <w:rPr>
          <w:rFonts w:hint="eastAsia" w:eastAsia="宋体"/>
          <w:color w:val="auto"/>
          <w:sz w:val="24"/>
          <w:szCs w:val="18"/>
          <w:highlight w:val="none"/>
          <w:lang w:eastAsia="zh-CN"/>
        </w:rPr>
      </w:pPr>
      <w:r>
        <w:rPr>
          <w:rFonts w:hint="eastAsia"/>
          <w:color w:val="auto"/>
          <w:sz w:val="24"/>
          <w:szCs w:val="18"/>
          <w:highlight w:val="none"/>
        </w:rPr>
        <w:t>联系方式：</w:t>
      </w:r>
      <w:r>
        <w:rPr>
          <w:rFonts w:hint="eastAsia"/>
          <w:color w:val="auto"/>
          <w:sz w:val="24"/>
          <w:szCs w:val="18"/>
          <w:highlight w:val="none"/>
          <w:lang w:eastAsia="zh-CN"/>
        </w:rPr>
        <w:t>0550-3033370</w:t>
      </w:r>
    </w:p>
    <w:p w14:paraId="63AD326E">
      <w:pPr>
        <w:spacing w:line="360" w:lineRule="auto"/>
        <w:ind w:firstLine="435"/>
        <w:rPr>
          <w:rFonts w:hint="eastAsia"/>
          <w:color w:val="auto"/>
          <w:sz w:val="24"/>
          <w:szCs w:val="18"/>
          <w:highlight w:val="none"/>
        </w:rPr>
      </w:pPr>
      <w:r>
        <w:rPr>
          <w:rFonts w:hint="eastAsia"/>
          <w:color w:val="auto"/>
          <w:sz w:val="24"/>
          <w:szCs w:val="18"/>
          <w:highlight w:val="none"/>
        </w:rPr>
        <w:t>2.采购代理机构信息</w:t>
      </w:r>
    </w:p>
    <w:p w14:paraId="2215B0A3">
      <w:pPr>
        <w:spacing w:line="360" w:lineRule="auto"/>
        <w:ind w:firstLine="435"/>
        <w:rPr>
          <w:rFonts w:hint="eastAsia"/>
          <w:color w:val="auto"/>
          <w:sz w:val="24"/>
          <w:szCs w:val="18"/>
          <w:highlight w:val="none"/>
        </w:rPr>
      </w:pPr>
      <w:r>
        <w:rPr>
          <w:rFonts w:hint="eastAsia"/>
          <w:color w:val="auto"/>
          <w:sz w:val="24"/>
          <w:szCs w:val="18"/>
          <w:highlight w:val="none"/>
        </w:rPr>
        <w:t>名</w:t>
      </w:r>
      <w:r>
        <w:rPr>
          <w:rFonts w:hint="eastAsia"/>
          <w:color w:val="auto"/>
          <w:sz w:val="24"/>
          <w:szCs w:val="18"/>
          <w:highlight w:val="none"/>
          <w:lang w:val="en-US" w:eastAsia="zh-CN"/>
        </w:rPr>
        <w:t xml:space="preserve">    </w:t>
      </w:r>
      <w:r>
        <w:rPr>
          <w:rFonts w:hint="eastAsia"/>
          <w:color w:val="auto"/>
          <w:sz w:val="24"/>
          <w:szCs w:val="18"/>
          <w:highlight w:val="none"/>
        </w:rPr>
        <w:t>称：滁州市城投工程咨询管理有限公司</w:t>
      </w:r>
    </w:p>
    <w:p w14:paraId="259EC79C">
      <w:pPr>
        <w:spacing w:line="360" w:lineRule="auto"/>
        <w:ind w:firstLine="435"/>
        <w:rPr>
          <w:rFonts w:hint="eastAsia"/>
          <w:color w:val="auto"/>
          <w:sz w:val="24"/>
          <w:szCs w:val="18"/>
          <w:highlight w:val="none"/>
        </w:rPr>
      </w:pPr>
      <w:r>
        <w:rPr>
          <w:rFonts w:hint="eastAsia"/>
          <w:color w:val="auto"/>
          <w:sz w:val="24"/>
          <w:szCs w:val="18"/>
          <w:highlight w:val="none"/>
        </w:rPr>
        <w:t>地</w:t>
      </w:r>
      <w:r>
        <w:rPr>
          <w:rFonts w:hint="eastAsia"/>
          <w:color w:val="auto"/>
          <w:sz w:val="24"/>
          <w:szCs w:val="18"/>
          <w:highlight w:val="none"/>
          <w:lang w:val="en-US" w:eastAsia="zh-CN"/>
        </w:rPr>
        <w:t xml:space="preserve">    </w:t>
      </w:r>
      <w:r>
        <w:rPr>
          <w:rFonts w:hint="eastAsia"/>
          <w:color w:val="auto"/>
          <w:sz w:val="24"/>
          <w:szCs w:val="18"/>
          <w:highlight w:val="none"/>
        </w:rPr>
        <w:t>址：滁州市龙蟠大道109号房产商务大厦6楼</w:t>
      </w:r>
    </w:p>
    <w:p w14:paraId="2D38D674">
      <w:pPr>
        <w:spacing w:line="360" w:lineRule="auto"/>
        <w:ind w:firstLine="435"/>
        <w:rPr>
          <w:rFonts w:hint="eastAsia" w:eastAsia="宋体"/>
          <w:color w:val="auto"/>
          <w:sz w:val="24"/>
          <w:szCs w:val="18"/>
          <w:highlight w:val="none"/>
          <w:lang w:eastAsia="zh-CN"/>
        </w:rPr>
      </w:pPr>
      <w:r>
        <w:rPr>
          <w:rFonts w:hint="eastAsia"/>
          <w:color w:val="auto"/>
          <w:sz w:val="24"/>
          <w:szCs w:val="18"/>
          <w:highlight w:val="none"/>
        </w:rPr>
        <w:t>联</w:t>
      </w:r>
      <w:r>
        <w:rPr>
          <w:rFonts w:hint="eastAsia"/>
          <w:color w:val="auto"/>
          <w:sz w:val="24"/>
          <w:szCs w:val="18"/>
          <w:highlight w:val="none"/>
          <w:lang w:val="en-US" w:eastAsia="zh-CN"/>
        </w:rPr>
        <w:t xml:space="preserve"> </w:t>
      </w:r>
      <w:r>
        <w:rPr>
          <w:rFonts w:hint="eastAsia"/>
          <w:color w:val="auto"/>
          <w:sz w:val="24"/>
          <w:szCs w:val="18"/>
          <w:highlight w:val="none"/>
        </w:rPr>
        <w:t>系</w:t>
      </w:r>
      <w:r>
        <w:rPr>
          <w:rFonts w:hint="eastAsia"/>
          <w:color w:val="auto"/>
          <w:sz w:val="24"/>
          <w:szCs w:val="18"/>
          <w:highlight w:val="none"/>
          <w:lang w:val="en-US" w:eastAsia="zh-CN"/>
        </w:rPr>
        <w:t xml:space="preserve"> </w:t>
      </w:r>
      <w:r>
        <w:rPr>
          <w:rFonts w:hint="eastAsia"/>
          <w:color w:val="auto"/>
          <w:sz w:val="24"/>
          <w:szCs w:val="18"/>
          <w:highlight w:val="none"/>
        </w:rPr>
        <w:t>人：</w:t>
      </w:r>
      <w:r>
        <w:rPr>
          <w:rFonts w:hint="eastAsia"/>
          <w:color w:val="auto"/>
          <w:sz w:val="24"/>
          <w:szCs w:val="18"/>
          <w:highlight w:val="none"/>
          <w:lang w:eastAsia="zh-CN"/>
        </w:rPr>
        <w:t>曹思敏</w:t>
      </w:r>
    </w:p>
    <w:p w14:paraId="7D4D2326">
      <w:pPr>
        <w:spacing w:line="360" w:lineRule="auto"/>
        <w:ind w:firstLine="435"/>
        <w:rPr>
          <w:rFonts w:hint="eastAsia" w:eastAsia="宋体"/>
          <w:color w:val="auto"/>
          <w:sz w:val="24"/>
          <w:szCs w:val="18"/>
          <w:highlight w:val="none"/>
          <w:lang w:eastAsia="zh-CN"/>
        </w:rPr>
      </w:pPr>
      <w:r>
        <w:rPr>
          <w:rFonts w:hint="eastAsia"/>
          <w:color w:val="auto"/>
          <w:sz w:val="24"/>
          <w:szCs w:val="18"/>
          <w:highlight w:val="none"/>
        </w:rPr>
        <w:t>联系方式：</w:t>
      </w:r>
      <w:r>
        <w:rPr>
          <w:rFonts w:hint="eastAsia"/>
          <w:color w:val="auto"/>
          <w:sz w:val="24"/>
          <w:szCs w:val="18"/>
          <w:highlight w:val="none"/>
          <w:lang w:eastAsia="zh-CN"/>
        </w:rPr>
        <w:t>0550-3519516、18712012204</w:t>
      </w:r>
    </w:p>
    <w:p w14:paraId="299CCC5B">
      <w:pPr>
        <w:spacing w:line="360" w:lineRule="auto"/>
        <w:ind w:firstLine="435"/>
        <w:rPr>
          <w:color w:val="auto"/>
          <w:sz w:val="24"/>
          <w:szCs w:val="18"/>
          <w:highlight w:val="none"/>
        </w:rPr>
      </w:pPr>
      <w:r>
        <w:rPr>
          <w:color w:val="auto"/>
          <w:sz w:val="24"/>
          <w:szCs w:val="18"/>
          <w:highlight w:val="none"/>
        </w:rPr>
        <w:br w:type="page"/>
      </w:r>
    </w:p>
    <w:p w14:paraId="12B2B5C9">
      <w:pPr>
        <w:spacing w:line="360" w:lineRule="auto"/>
        <w:jc w:val="center"/>
        <w:outlineLvl w:val="0"/>
        <w:rPr>
          <w:rFonts w:asciiTheme="minorEastAsia" w:hAnsiTheme="minorEastAsia" w:eastAsiaTheme="minorEastAsia"/>
          <w:b/>
          <w:color w:val="auto"/>
          <w:sz w:val="28"/>
          <w:highlight w:val="none"/>
        </w:rPr>
      </w:pPr>
      <w:bookmarkStart w:id="22" w:name="_Toc28080"/>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22"/>
    </w:p>
    <w:p w14:paraId="411F14BE">
      <w:pPr>
        <w:spacing w:line="360" w:lineRule="auto"/>
        <w:jc w:val="center"/>
        <w:outlineLvl w:val="1"/>
        <w:rPr>
          <w:rFonts w:asciiTheme="minorEastAsia" w:hAnsiTheme="minorEastAsia" w:eastAsiaTheme="minorEastAsia"/>
          <w:b/>
          <w:color w:val="auto"/>
          <w:sz w:val="24"/>
          <w:highlight w:val="none"/>
        </w:rPr>
      </w:pPr>
      <w:bookmarkStart w:id="23" w:name="_Toc12027"/>
      <w:bookmarkStart w:id="24" w:name="_Toc18621"/>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23"/>
      <w:bookmarkEnd w:id="24"/>
    </w:p>
    <w:p w14:paraId="4E83C7AA">
      <w:pPr>
        <w:spacing w:line="360" w:lineRule="auto"/>
        <w:ind w:firstLine="435"/>
        <w:rPr>
          <w:color w:val="auto"/>
          <w:sz w:val="24"/>
          <w:szCs w:val="18"/>
          <w:highlight w:val="none"/>
        </w:rPr>
      </w:pPr>
      <w:r>
        <w:rPr>
          <w:rFonts w:hint="eastAsia"/>
          <w:b/>
          <w:bCs/>
          <w:color w:val="auto"/>
          <w:sz w:val="24"/>
          <w:szCs w:val="18"/>
          <w:highlight w:val="none"/>
        </w:rPr>
        <w:t>注：</w:t>
      </w:r>
      <w:r>
        <w:rPr>
          <w:rFonts w:hint="eastAsia"/>
          <w:color w:val="auto"/>
          <w:sz w:val="24"/>
          <w:szCs w:val="18"/>
          <w:highlight w:val="none"/>
        </w:rPr>
        <w:t>本表是本项目的具体要求，是对供应商须知的具体补充和修改，如有不一致，以本表为准。</w:t>
      </w:r>
    </w:p>
    <w:tbl>
      <w:tblPr>
        <w:tblStyle w:val="55"/>
        <w:tblW w:w="87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711"/>
        <w:gridCol w:w="6229"/>
      </w:tblGrid>
      <w:tr w14:paraId="78811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54DEC31E">
            <w:pPr>
              <w:pStyle w:val="76"/>
              <w:widowControl w:val="0"/>
              <w:spacing w:before="0" w:beforeAutospacing="0" w:after="0" w:afterAutospacing="0" w:line="360" w:lineRule="auto"/>
              <w:rPr>
                <w:bCs w:val="0"/>
                <w:color w:val="auto"/>
                <w:kern w:val="2"/>
                <w:sz w:val="24"/>
                <w:szCs w:val="20"/>
                <w:highlight w:val="none"/>
              </w:rPr>
            </w:pPr>
            <w:r>
              <w:rPr>
                <w:rFonts w:hint="eastAsia"/>
                <w:bCs w:val="0"/>
                <w:color w:val="auto"/>
                <w:kern w:val="2"/>
                <w:sz w:val="24"/>
                <w:szCs w:val="20"/>
                <w:highlight w:val="none"/>
              </w:rPr>
              <w:t>条款号</w:t>
            </w:r>
          </w:p>
        </w:tc>
        <w:tc>
          <w:tcPr>
            <w:tcW w:w="1711" w:type="dxa"/>
            <w:vAlign w:val="center"/>
          </w:tcPr>
          <w:p w14:paraId="2BEA6C41">
            <w:pPr>
              <w:pStyle w:val="76"/>
              <w:widowControl w:val="0"/>
              <w:spacing w:before="0" w:beforeAutospacing="0" w:after="0" w:afterAutospacing="0" w:line="360" w:lineRule="auto"/>
              <w:rPr>
                <w:bCs w:val="0"/>
                <w:color w:val="auto"/>
                <w:kern w:val="2"/>
                <w:sz w:val="24"/>
                <w:szCs w:val="20"/>
                <w:highlight w:val="none"/>
              </w:rPr>
            </w:pPr>
            <w:r>
              <w:rPr>
                <w:rFonts w:hint="eastAsia"/>
                <w:bCs w:val="0"/>
                <w:color w:val="auto"/>
                <w:kern w:val="2"/>
                <w:sz w:val="24"/>
                <w:szCs w:val="20"/>
                <w:highlight w:val="none"/>
              </w:rPr>
              <w:t>条款名称</w:t>
            </w:r>
          </w:p>
        </w:tc>
        <w:tc>
          <w:tcPr>
            <w:tcW w:w="6229" w:type="dxa"/>
            <w:vAlign w:val="center"/>
          </w:tcPr>
          <w:p w14:paraId="7EFF4BB7">
            <w:pPr>
              <w:pStyle w:val="76"/>
              <w:widowControl w:val="0"/>
              <w:spacing w:before="0" w:beforeAutospacing="0" w:after="0" w:afterAutospacing="0" w:line="360" w:lineRule="auto"/>
              <w:rPr>
                <w:bCs w:val="0"/>
                <w:color w:val="auto"/>
                <w:kern w:val="2"/>
                <w:sz w:val="24"/>
                <w:szCs w:val="20"/>
                <w:highlight w:val="none"/>
              </w:rPr>
            </w:pPr>
            <w:r>
              <w:rPr>
                <w:rFonts w:hint="eastAsia"/>
                <w:bCs w:val="0"/>
                <w:color w:val="auto"/>
                <w:kern w:val="2"/>
                <w:sz w:val="24"/>
                <w:szCs w:val="20"/>
                <w:highlight w:val="none"/>
              </w:rPr>
              <w:t>内容、说明与要求</w:t>
            </w:r>
          </w:p>
        </w:tc>
      </w:tr>
      <w:tr w14:paraId="39F6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6EFEBBFB">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711" w:type="dxa"/>
            <w:vAlign w:val="center"/>
          </w:tcPr>
          <w:p w14:paraId="76C9FF8E">
            <w:pPr>
              <w:pStyle w:val="76"/>
              <w:widowControl w:val="0"/>
              <w:spacing w:before="0" w:beforeAutospacing="0" w:after="0" w:afterAutospacing="0" w:line="360" w:lineRule="auto"/>
              <w:jc w:val="left"/>
              <w:rPr>
                <w:b w:val="0"/>
                <w:color w:val="auto"/>
                <w:sz w:val="24"/>
                <w:highlight w:val="none"/>
              </w:rPr>
            </w:pPr>
            <w:r>
              <w:rPr>
                <w:rFonts w:hint="eastAsia" w:ascii="宋体" w:hAnsi="宋体" w:eastAsia="宋体"/>
                <w:b w:val="0"/>
                <w:color w:val="auto"/>
                <w:sz w:val="24"/>
                <w:highlight w:val="none"/>
              </w:rPr>
              <w:t>现场考察</w:t>
            </w:r>
            <w:r>
              <w:rPr>
                <w:rFonts w:hint="eastAsia" w:ascii="宋体" w:hAnsi="宋体" w:eastAsia="宋体"/>
                <w:b w:val="0"/>
                <w:color w:val="auto"/>
                <w:sz w:val="24"/>
                <w:highlight w:val="none"/>
                <w:lang w:val="en-US" w:eastAsia="zh-CN"/>
              </w:rPr>
              <w:t>或标前答疑会</w:t>
            </w:r>
          </w:p>
        </w:tc>
        <w:tc>
          <w:tcPr>
            <w:tcW w:w="6229" w:type="dxa"/>
            <w:vAlign w:val="center"/>
          </w:tcPr>
          <w:p w14:paraId="5F597F0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rPr>
            </w:pPr>
            <w:r>
              <w:rPr>
                <w:rFonts w:hint="eastAsia"/>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3E688D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lang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0D320477">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5CBC4886">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p>
          <w:p w14:paraId="02F97E0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bCs w:val="0"/>
                <w:color w:val="auto"/>
                <w:sz w:val="24"/>
                <w:highlight w:val="none"/>
                <w:lang w:val="en-US" w:eastAsia="zh-CN"/>
              </w:rPr>
            </w:pPr>
            <w:r>
              <w:rPr>
                <w:rFonts w:hint="eastAsia"/>
                <w:bCs w:val="0"/>
                <w:color w:val="auto"/>
                <w:sz w:val="24"/>
                <w:highlight w:val="none"/>
                <w:lang w:val="en-US" w:eastAsia="zh-CN"/>
              </w:rPr>
              <w:t>供应商自行勘察，</w:t>
            </w:r>
            <w:r>
              <w:rPr>
                <w:rFonts w:hint="eastAsia" w:ascii="宋体" w:hAnsi="宋体" w:eastAsia="宋体"/>
                <w:bCs/>
                <w:color w:val="auto"/>
                <w:sz w:val="24"/>
                <w:highlight w:val="none"/>
              </w:rPr>
              <w:t>联系人及联系电话：</w:t>
            </w:r>
            <w:r>
              <w:rPr>
                <w:rFonts w:hint="eastAsia"/>
                <w:bCs/>
                <w:color w:val="auto"/>
                <w:sz w:val="24"/>
                <w:highlight w:val="none"/>
                <w:u w:val="single"/>
                <w:lang w:val="en-US" w:eastAsia="zh-CN"/>
              </w:rPr>
              <w:t xml:space="preserve">  </w:t>
            </w:r>
            <w:r>
              <w:rPr>
                <w:rFonts w:hint="eastAsia"/>
                <w:bCs w:val="0"/>
                <w:color w:val="auto"/>
                <w:sz w:val="24"/>
                <w:highlight w:val="none"/>
                <w:lang w:val="en-US" w:eastAsia="zh-CN"/>
              </w:rPr>
              <w:t>。</w:t>
            </w:r>
          </w:p>
          <w:p w14:paraId="2DAE22FF">
            <w:pPr>
              <w:pStyle w:val="7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w:t>
            </w:r>
            <w:r>
              <w:rPr>
                <w:rFonts w:hint="eastAsia" w:ascii="宋体" w:hAnsi="宋体" w:eastAsia="宋体"/>
                <w:bCs w:val="0"/>
                <w:color w:val="auto"/>
                <w:sz w:val="24"/>
                <w:highlight w:val="none"/>
                <w:lang w:val="en-US" w:eastAsia="zh-CN"/>
              </w:rPr>
              <w:t>供应商</w:t>
            </w:r>
            <w:r>
              <w:rPr>
                <w:rFonts w:hint="eastAsia" w:ascii="宋体" w:hAnsi="宋体" w:eastAsia="宋体"/>
                <w:bCs w:val="0"/>
                <w:color w:val="auto"/>
                <w:sz w:val="24"/>
                <w:highlight w:val="none"/>
              </w:rPr>
              <w:t>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w:t>
            </w:r>
            <w:r>
              <w:rPr>
                <w:rFonts w:hint="eastAsia" w:ascii="宋体" w:hAnsi="宋体" w:eastAsia="宋体"/>
                <w:bCs w:val="0"/>
                <w:color w:val="auto"/>
                <w:sz w:val="24"/>
                <w:highlight w:val="none"/>
                <w:lang w:val="en-US" w:eastAsia="zh-CN"/>
              </w:rPr>
              <w:t>供应商</w:t>
            </w:r>
            <w:r>
              <w:rPr>
                <w:rFonts w:hint="eastAsia" w:ascii="宋体" w:hAnsi="宋体" w:eastAsia="宋体"/>
                <w:bCs w:val="0"/>
                <w:color w:val="auto"/>
                <w:sz w:val="24"/>
                <w:highlight w:val="none"/>
              </w:rPr>
              <w:t>自行承担。</w:t>
            </w:r>
          </w:p>
        </w:tc>
      </w:tr>
      <w:tr w14:paraId="66D0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17381407">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6</w:t>
            </w:r>
            <w:r>
              <w:rPr>
                <w:bCs/>
                <w:color w:val="auto"/>
                <w:kern w:val="2"/>
                <w:highlight w:val="none"/>
              </w:rPr>
              <w:t>.1</w:t>
            </w:r>
          </w:p>
        </w:tc>
        <w:tc>
          <w:tcPr>
            <w:tcW w:w="1711" w:type="dxa"/>
            <w:vAlign w:val="center"/>
          </w:tcPr>
          <w:p w14:paraId="34286118">
            <w:pPr>
              <w:pStyle w:val="76"/>
              <w:widowControl w:val="0"/>
              <w:spacing w:before="0" w:beforeAutospacing="0" w:after="0" w:afterAutospacing="0" w:line="360" w:lineRule="auto"/>
              <w:jc w:val="left"/>
              <w:rPr>
                <w:b w:val="0"/>
                <w:color w:val="auto"/>
                <w:sz w:val="24"/>
                <w:highlight w:val="none"/>
              </w:rPr>
            </w:pPr>
            <w:r>
              <w:rPr>
                <w:rFonts w:hint="eastAsia"/>
                <w:b w:val="0"/>
                <w:color w:val="auto"/>
                <w:sz w:val="24"/>
                <w:highlight w:val="none"/>
              </w:rPr>
              <w:t>网上询问截止时间</w:t>
            </w:r>
          </w:p>
        </w:tc>
        <w:tc>
          <w:tcPr>
            <w:tcW w:w="6229" w:type="dxa"/>
            <w:vAlign w:val="center"/>
          </w:tcPr>
          <w:p w14:paraId="56E0596E">
            <w:pPr>
              <w:pStyle w:val="76"/>
              <w:widowControl w:val="0"/>
              <w:spacing w:before="0" w:beforeAutospacing="0" w:after="0" w:afterAutospacing="0" w:line="360" w:lineRule="auto"/>
              <w:jc w:val="both"/>
              <w:rPr>
                <w:b w:val="0"/>
                <w:color w:val="auto"/>
                <w:sz w:val="24"/>
                <w:highlight w:val="none"/>
              </w:rPr>
            </w:pPr>
            <w:r>
              <w:rPr>
                <w:b w:val="0"/>
                <w:color w:val="auto"/>
                <w:sz w:val="24"/>
                <w:highlight w:val="none"/>
                <w:u w:val="single"/>
              </w:rPr>
              <w:t xml:space="preserve"> </w:t>
            </w:r>
            <w:r>
              <w:rPr>
                <w:rFonts w:hint="eastAsia"/>
                <w:b w:val="0"/>
                <w:color w:val="auto"/>
                <w:sz w:val="24"/>
                <w:highlight w:val="none"/>
                <w:u w:val="single"/>
                <w:lang w:val="en-US" w:eastAsia="zh-CN"/>
              </w:rPr>
              <w:t>2026</w:t>
            </w:r>
            <w:r>
              <w:rPr>
                <w:b w:val="0"/>
                <w:color w:val="auto"/>
                <w:sz w:val="24"/>
                <w:highlight w:val="none"/>
                <w:u w:val="single"/>
              </w:rPr>
              <w:t xml:space="preserve"> </w:t>
            </w:r>
            <w:r>
              <w:rPr>
                <w:b w:val="0"/>
                <w:color w:val="auto"/>
                <w:sz w:val="24"/>
                <w:highlight w:val="none"/>
              </w:rPr>
              <w:t>年</w:t>
            </w:r>
            <w:r>
              <w:rPr>
                <w:b w:val="0"/>
                <w:color w:val="auto"/>
                <w:sz w:val="24"/>
                <w:highlight w:val="none"/>
                <w:u w:val="single"/>
              </w:rPr>
              <w:t xml:space="preserve"> </w:t>
            </w:r>
            <w:r>
              <w:rPr>
                <w:rFonts w:hint="eastAsia"/>
                <w:b w:val="0"/>
                <w:color w:val="auto"/>
                <w:sz w:val="24"/>
                <w:highlight w:val="none"/>
                <w:u w:val="single"/>
                <w:lang w:val="en-US" w:eastAsia="zh-CN"/>
              </w:rPr>
              <w:t>11</w:t>
            </w:r>
            <w:r>
              <w:rPr>
                <w:b w:val="0"/>
                <w:color w:val="auto"/>
                <w:sz w:val="24"/>
                <w:highlight w:val="none"/>
                <w:u w:val="single"/>
              </w:rPr>
              <w:t xml:space="preserve"> </w:t>
            </w:r>
            <w:r>
              <w:rPr>
                <w:b w:val="0"/>
                <w:color w:val="auto"/>
                <w:sz w:val="24"/>
                <w:highlight w:val="none"/>
              </w:rPr>
              <w:t>月</w:t>
            </w:r>
            <w:r>
              <w:rPr>
                <w:b w:val="0"/>
                <w:color w:val="auto"/>
                <w:sz w:val="24"/>
                <w:highlight w:val="none"/>
                <w:u w:val="single"/>
              </w:rPr>
              <w:t xml:space="preserve"> </w:t>
            </w:r>
            <w:r>
              <w:rPr>
                <w:rFonts w:hint="eastAsia"/>
                <w:b w:val="0"/>
                <w:color w:val="auto"/>
                <w:sz w:val="24"/>
                <w:highlight w:val="none"/>
                <w:u w:val="single"/>
                <w:lang w:val="en-US" w:eastAsia="zh-CN"/>
              </w:rPr>
              <w:t>13</w:t>
            </w:r>
            <w:r>
              <w:rPr>
                <w:b w:val="0"/>
                <w:color w:val="auto"/>
                <w:sz w:val="24"/>
                <w:highlight w:val="none"/>
                <w:u w:val="single"/>
              </w:rPr>
              <w:t xml:space="preserve"> </w:t>
            </w:r>
            <w:r>
              <w:rPr>
                <w:b w:val="0"/>
                <w:color w:val="auto"/>
                <w:sz w:val="24"/>
                <w:highlight w:val="none"/>
              </w:rPr>
              <w:t>日</w:t>
            </w:r>
            <w:r>
              <w:rPr>
                <w:b w:val="0"/>
                <w:color w:val="auto"/>
                <w:sz w:val="24"/>
                <w:highlight w:val="none"/>
                <w:u w:val="single"/>
              </w:rPr>
              <w:t xml:space="preserve"> </w:t>
            </w:r>
            <w:r>
              <w:rPr>
                <w:rFonts w:hint="eastAsia"/>
                <w:b w:val="0"/>
                <w:color w:val="auto"/>
                <w:sz w:val="24"/>
                <w:highlight w:val="none"/>
                <w:u w:val="single"/>
                <w:lang w:val="en-US" w:eastAsia="zh-CN"/>
              </w:rPr>
              <w:t>17</w:t>
            </w:r>
            <w:r>
              <w:rPr>
                <w:b w:val="0"/>
                <w:color w:val="auto"/>
                <w:sz w:val="24"/>
                <w:highlight w:val="none"/>
                <w:u w:val="single"/>
              </w:rPr>
              <w:t xml:space="preserve"> </w:t>
            </w:r>
            <w:r>
              <w:rPr>
                <w:b w:val="0"/>
                <w:color w:val="auto"/>
                <w:sz w:val="24"/>
                <w:highlight w:val="none"/>
              </w:rPr>
              <w:t>时</w:t>
            </w:r>
            <w:r>
              <w:rPr>
                <w:b w:val="0"/>
                <w:color w:val="auto"/>
                <w:sz w:val="24"/>
                <w:highlight w:val="none"/>
                <w:u w:val="single"/>
              </w:rPr>
              <w:t xml:space="preserve"> </w:t>
            </w:r>
            <w:r>
              <w:rPr>
                <w:rFonts w:hint="eastAsia"/>
                <w:b w:val="0"/>
                <w:color w:val="auto"/>
                <w:sz w:val="24"/>
                <w:highlight w:val="none"/>
                <w:u w:val="single"/>
                <w:lang w:val="en-US" w:eastAsia="zh-CN"/>
              </w:rPr>
              <w:t>00</w:t>
            </w:r>
            <w:r>
              <w:rPr>
                <w:b w:val="0"/>
                <w:color w:val="auto"/>
                <w:sz w:val="24"/>
                <w:highlight w:val="none"/>
                <w:u w:val="single"/>
              </w:rPr>
              <w:t xml:space="preserve"> </w:t>
            </w:r>
            <w:r>
              <w:rPr>
                <w:rFonts w:hint="eastAsia"/>
                <w:b w:val="0"/>
                <w:color w:val="auto"/>
                <w:sz w:val="24"/>
                <w:highlight w:val="none"/>
              </w:rPr>
              <w:t>分</w:t>
            </w:r>
          </w:p>
        </w:tc>
      </w:tr>
      <w:tr w14:paraId="1B84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816" w:type="dxa"/>
            <w:vAlign w:val="center"/>
          </w:tcPr>
          <w:p w14:paraId="4A1D4B8C">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7</w:t>
            </w:r>
            <w:r>
              <w:rPr>
                <w:bCs/>
                <w:color w:val="auto"/>
                <w:kern w:val="2"/>
                <w:highlight w:val="none"/>
              </w:rPr>
              <w:t>.1</w:t>
            </w:r>
          </w:p>
        </w:tc>
        <w:tc>
          <w:tcPr>
            <w:tcW w:w="1711" w:type="dxa"/>
            <w:vAlign w:val="center"/>
          </w:tcPr>
          <w:p w14:paraId="559982EA">
            <w:pPr>
              <w:pStyle w:val="76"/>
              <w:widowControl w:val="0"/>
              <w:spacing w:before="0" w:beforeAutospacing="0" w:after="0" w:afterAutospacing="0" w:line="360" w:lineRule="auto"/>
              <w:jc w:val="left"/>
              <w:rPr>
                <w:b w:val="0"/>
                <w:color w:val="auto"/>
                <w:sz w:val="24"/>
                <w:highlight w:val="none"/>
              </w:rPr>
            </w:pPr>
            <w:r>
              <w:rPr>
                <w:rFonts w:hint="eastAsia"/>
                <w:b w:val="0"/>
                <w:color w:val="auto"/>
                <w:sz w:val="24"/>
                <w:highlight w:val="none"/>
              </w:rPr>
              <w:t>包别划分</w:t>
            </w:r>
          </w:p>
        </w:tc>
        <w:tc>
          <w:tcPr>
            <w:tcW w:w="6229" w:type="dxa"/>
            <w:vAlign w:val="center"/>
          </w:tcPr>
          <w:p w14:paraId="48286FC7">
            <w:pPr>
              <w:pStyle w:val="76"/>
              <w:widowControl w:val="0"/>
              <w:spacing w:before="0" w:beforeAutospacing="0" w:after="0" w:afterAutospacing="0" w:line="360" w:lineRule="auto"/>
              <w:jc w:val="both"/>
              <w:rPr>
                <w:b w:val="0"/>
                <w:color w:val="auto"/>
                <w:sz w:val="24"/>
                <w:highlight w:val="none"/>
              </w:rPr>
            </w:pPr>
            <w:r>
              <w:rPr>
                <w:rFonts w:hint="eastAsia"/>
                <w:b w:val="0"/>
                <w:bCs w:val="0"/>
                <w:color w:val="auto"/>
                <w:sz w:val="24"/>
                <w:szCs w:val="24"/>
                <w:highlight w:val="none"/>
                <w:lang w:eastAsia="zh-CN"/>
              </w:rPr>
              <w:t>☑</w:t>
            </w:r>
            <w:r>
              <w:rPr>
                <w:b w:val="0"/>
                <w:color w:val="auto"/>
                <w:sz w:val="24"/>
                <w:highlight w:val="none"/>
              </w:rPr>
              <w:t>不分包     □分为</w:t>
            </w:r>
            <w:r>
              <w:rPr>
                <w:rFonts w:hint="eastAsia"/>
                <w:b w:val="0"/>
                <w:color w:val="auto"/>
                <w:sz w:val="24"/>
                <w:highlight w:val="none"/>
                <w:lang w:val="en-US" w:eastAsia="zh-CN"/>
              </w:rPr>
              <w:t>/</w:t>
            </w:r>
            <w:r>
              <w:rPr>
                <w:b w:val="0"/>
                <w:color w:val="auto"/>
                <w:sz w:val="24"/>
                <w:highlight w:val="none"/>
              </w:rPr>
              <w:t>个包</w:t>
            </w:r>
          </w:p>
          <w:p w14:paraId="77D01D15">
            <w:pPr>
              <w:pStyle w:val="76"/>
              <w:widowControl w:val="0"/>
              <w:spacing w:before="0" w:beforeAutospacing="0" w:after="0" w:afterAutospacing="0" w:line="360" w:lineRule="auto"/>
              <w:jc w:val="both"/>
              <w:rPr>
                <w:b w:val="0"/>
                <w:color w:val="auto"/>
                <w:sz w:val="24"/>
                <w:highlight w:val="none"/>
              </w:rPr>
            </w:pPr>
            <w:r>
              <w:rPr>
                <w:rFonts w:hint="eastAsia"/>
                <w:b w:val="0"/>
                <w:bCs w:val="0"/>
                <w:color w:val="auto"/>
                <w:sz w:val="24"/>
                <w:szCs w:val="24"/>
                <w:highlight w:val="none"/>
              </w:rPr>
              <w:t>供应商参加多个包磋商的成交</w:t>
            </w:r>
            <w:r>
              <w:rPr>
                <w:b w:val="0"/>
                <w:bCs w:val="0"/>
                <w:color w:val="auto"/>
                <w:sz w:val="24"/>
                <w:szCs w:val="24"/>
                <w:highlight w:val="none"/>
              </w:rPr>
              <w:t>包</w:t>
            </w:r>
            <w:r>
              <w:rPr>
                <w:rFonts w:hint="eastAsia"/>
                <w:b w:val="0"/>
                <w:bCs w:val="0"/>
                <w:color w:val="auto"/>
                <w:sz w:val="24"/>
                <w:szCs w:val="24"/>
                <w:highlight w:val="none"/>
              </w:rPr>
              <w:t>数规定：</w:t>
            </w:r>
            <w:r>
              <w:rPr>
                <w:rFonts w:hint="eastAsia"/>
                <w:b w:val="0"/>
                <w:bCs w:val="0"/>
                <w:color w:val="auto"/>
                <w:sz w:val="24"/>
                <w:szCs w:val="18"/>
                <w:highlight w:val="none"/>
                <w:u w:val="single"/>
              </w:rPr>
              <w:t xml:space="preserve"> </w:t>
            </w:r>
            <w:r>
              <w:rPr>
                <w:rFonts w:hint="eastAsia"/>
                <w:b w:val="0"/>
                <w:bCs w:val="0"/>
                <w:color w:val="auto"/>
                <w:sz w:val="24"/>
                <w:szCs w:val="18"/>
                <w:highlight w:val="none"/>
                <w:u w:val="single"/>
                <w:lang w:val="en-US" w:eastAsia="zh-CN"/>
              </w:rPr>
              <w:t>/</w:t>
            </w:r>
            <w:r>
              <w:rPr>
                <w:b w:val="0"/>
                <w:bCs w:val="0"/>
                <w:color w:val="auto"/>
                <w:sz w:val="24"/>
                <w:szCs w:val="18"/>
                <w:highlight w:val="none"/>
                <w:u w:val="single"/>
              </w:rPr>
              <w:t xml:space="preserve">  </w:t>
            </w:r>
          </w:p>
        </w:tc>
      </w:tr>
      <w:tr w14:paraId="4F99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816" w:type="dxa"/>
            <w:vAlign w:val="center"/>
          </w:tcPr>
          <w:p w14:paraId="5612E210">
            <w:pPr>
              <w:pStyle w:val="77"/>
              <w:pBdr>
                <w:bottom w:val="none" w:color="auto" w:sz="0" w:space="0"/>
              </w:pBdr>
              <w:tabs>
                <w:tab w:val="clear" w:pos="4153"/>
                <w:tab w:val="clear" w:pos="8306"/>
              </w:tabs>
              <w:adjustRightInd/>
              <w:spacing w:line="240" w:lineRule="auto"/>
              <w:textAlignment w:val="auto"/>
              <w:rPr>
                <w:bCs/>
                <w:color w:val="auto"/>
                <w:kern w:val="2"/>
                <w:highlight w:val="none"/>
              </w:rPr>
            </w:pPr>
            <w:r>
              <w:rPr>
                <w:rFonts w:hint="eastAsia"/>
                <w:bCs/>
                <w:color w:val="auto"/>
                <w:kern w:val="2"/>
                <w:highlight w:val="none"/>
              </w:rPr>
              <w:t>1</w:t>
            </w:r>
            <w:r>
              <w:rPr>
                <w:rFonts w:hint="eastAsia"/>
                <w:bCs/>
                <w:color w:val="auto"/>
                <w:kern w:val="2"/>
                <w:highlight w:val="none"/>
                <w:lang w:val="en-US" w:eastAsia="zh-CN"/>
              </w:rPr>
              <w:t>0</w:t>
            </w:r>
            <w:r>
              <w:rPr>
                <w:bCs/>
                <w:color w:val="auto"/>
                <w:kern w:val="2"/>
                <w:highlight w:val="none"/>
              </w:rPr>
              <w:t>.1</w:t>
            </w:r>
          </w:p>
        </w:tc>
        <w:tc>
          <w:tcPr>
            <w:tcW w:w="1711" w:type="dxa"/>
            <w:vAlign w:val="center"/>
          </w:tcPr>
          <w:p w14:paraId="766DD5EC">
            <w:pPr>
              <w:pStyle w:val="76"/>
              <w:widowControl w:val="0"/>
              <w:spacing w:before="0" w:beforeAutospacing="0" w:after="0" w:afterAutospacing="0" w:line="360" w:lineRule="auto"/>
              <w:jc w:val="left"/>
              <w:rPr>
                <w:b w:val="0"/>
                <w:color w:val="auto"/>
                <w:sz w:val="24"/>
                <w:highlight w:val="none"/>
              </w:rPr>
            </w:pPr>
            <w:r>
              <w:rPr>
                <w:rFonts w:hint="eastAsia"/>
                <w:b w:val="0"/>
                <w:color w:val="auto"/>
                <w:sz w:val="24"/>
                <w:highlight w:val="none"/>
              </w:rPr>
              <w:t>磋商保证金</w:t>
            </w:r>
          </w:p>
        </w:tc>
        <w:tc>
          <w:tcPr>
            <w:tcW w:w="6229" w:type="dxa"/>
            <w:vAlign w:val="center"/>
          </w:tcPr>
          <w:p w14:paraId="17EDBE53">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不收取</w:t>
            </w:r>
          </w:p>
        </w:tc>
      </w:tr>
      <w:tr w14:paraId="14E9C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1526884B">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rPr>
              <w:t>1</w:t>
            </w:r>
            <w:r>
              <w:rPr>
                <w:rFonts w:hint="eastAsia"/>
                <w:bCs/>
                <w:color w:val="auto"/>
                <w:kern w:val="2"/>
                <w:highlight w:val="none"/>
                <w:lang w:val="en-US" w:eastAsia="zh-CN"/>
              </w:rPr>
              <w:t>1</w:t>
            </w:r>
            <w:r>
              <w:rPr>
                <w:bCs/>
                <w:color w:val="auto"/>
                <w:kern w:val="2"/>
                <w:highlight w:val="none"/>
              </w:rPr>
              <w:t>.1</w:t>
            </w:r>
          </w:p>
        </w:tc>
        <w:tc>
          <w:tcPr>
            <w:tcW w:w="1711" w:type="dxa"/>
            <w:vAlign w:val="center"/>
          </w:tcPr>
          <w:p w14:paraId="190F4CB4">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磋商有效期</w:t>
            </w:r>
          </w:p>
        </w:tc>
        <w:tc>
          <w:tcPr>
            <w:tcW w:w="6229" w:type="dxa"/>
            <w:vAlign w:val="center"/>
          </w:tcPr>
          <w:p w14:paraId="1F155654">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u w:val="single"/>
              </w:rPr>
              <w:t xml:space="preserve">  </w:t>
            </w:r>
            <w:r>
              <w:rPr>
                <w:rFonts w:hint="eastAsia"/>
                <w:b w:val="0"/>
                <w:color w:val="auto"/>
                <w:sz w:val="24"/>
                <w:highlight w:val="none"/>
                <w:u w:val="single"/>
                <w:lang w:val="en-US" w:eastAsia="zh-CN"/>
              </w:rPr>
              <w:t xml:space="preserve">90 </w:t>
            </w:r>
            <w:r>
              <w:rPr>
                <w:rFonts w:hint="eastAsia"/>
                <w:b w:val="0"/>
                <w:color w:val="auto"/>
                <w:sz w:val="24"/>
                <w:highlight w:val="none"/>
                <w:u w:val="single"/>
              </w:rPr>
              <w:t xml:space="preserve"> </w:t>
            </w:r>
            <w:r>
              <w:rPr>
                <w:rFonts w:hint="eastAsia"/>
                <w:b w:val="0"/>
                <w:color w:val="auto"/>
                <w:sz w:val="24"/>
                <w:highlight w:val="none"/>
              </w:rPr>
              <w:t>日历日</w:t>
            </w:r>
          </w:p>
        </w:tc>
      </w:tr>
      <w:tr w14:paraId="3493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09D2A52B">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rPr>
              <w:t>1</w:t>
            </w:r>
            <w:r>
              <w:rPr>
                <w:rFonts w:hint="eastAsia"/>
                <w:bCs/>
                <w:color w:val="auto"/>
                <w:kern w:val="2"/>
                <w:highlight w:val="none"/>
                <w:lang w:val="en-US" w:eastAsia="zh-CN"/>
              </w:rPr>
              <w:t>2</w:t>
            </w:r>
            <w:r>
              <w:rPr>
                <w:bCs/>
                <w:color w:val="auto"/>
                <w:kern w:val="2"/>
                <w:highlight w:val="none"/>
              </w:rPr>
              <w:t>.3</w:t>
            </w:r>
          </w:p>
        </w:tc>
        <w:tc>
          <w:tcPr>
            <w:tcW w:w="1711" w:type="dxa"/>
            <w:vAlign w:val="center"/>
          </w:tcPr>
          <w:p w14:paraId="23B7650C">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响应文件解密时间</w:t>
            </w:r>
          </w:p>
        </w:tc>
        <w:tc>
          <w:tcPr>
            <w:tcW w:w="6229" w:type="dxa"/>
            <w:vAlign w:val="center"/>
          </w:tcPr>
          <w:p w14:paraId="17F22E06">
            <w:pPr>
              <w:pStyle w:val="76"/>
              <w:widowControl w:val="0"/>
              <w:spacing w:before="0" w:beforeAutospacing="0" w:after="0" w:afterAutospacing="0" w:line="360" w:lineRule="auto"/>
              <w:jc w:val="both"/>
              <w:rPr>
                <w:b w:val="0"/>
                <w:color w:val="auto"/>
                <w:sz w:val="24"/>
                <w:highlight w:val="none"/>
                <w:u w:val="single"/>
              </w:rPr>
            </w:pPr>
            <w:r>
              <w:rPr>
                <w:rFonts w:hint="eastAsia"/>
                <w:b w:val="0"/>
                <w:color w:val="auto"/>
                <w:sz w:val="24"/>
                <w:highlight w:val="none"/>
                <w:u w:val="none"/>
              </w:rPr>
              <w:t>响应文件提交截止时间后</w:t>
            </w:r>
            <w:r>
              <w:rPr>
                <w:rFonts w:hint="eastAsia"/>
                <w:b w:val="0"/>
                <w:color w:val="auto"/>
                <w:sz w:val="24"/>
                <w:highlight w:val="none"/>
                <w:u w:val="single"/>
                <w:lang w:val="en-US" w:eastAsia="zh-CN"/>
              </w:rPr>
              <w:t xml:space="preserve"> 30 </w:t>
            </w:r>
            <w:r>
              <w:rPr>
                <w:rFonts w:hint="eastAsia"/>
                <w:b w:val="0"/>
                <w:color w:val="auto"/>
                <w:sz w:val="24"/>
                <w:highlight w:val="none"/>
                <w:u w:val="none"/>
              </w:rPr>
              <w:t>分钟内</w:t>
            </w:r>
          </w:p>
        </w:tc>
      </w:tr>
      <w:tr w14:paraId="128A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79C80685">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rPr>
              <w:t>1</w:t>
            </w:r>
            <w:r>
              <w:rPr>
                <w:rFonts w:hint="eastAsia"/>
                <w:bCs/>
                <w:color w:val="auto"/>
                <w:kern w:val="2"/>
                <w:highlight w:val="none"/>
                <w:lang w:val="en-US" w:eastAsia="zh-CN"/>
              </w:rPr>
              <w:t>4</w:t>
            </w:r>
            <w:r>
              <w:rPr>
                <w:rFonts w:hint="eastAsia"/>
                <w:bCs/>
                <w:color w:val="auto"/>
                <w:kern w:val="2"/>
                <w:highlight w:val="none"/>
              </w:rPr>
              <w:t>.3</w:t>
            </w:r>
          </w:p>
        </w:tc>
        <w:tc>
          <w:tcPr>
            <w:tcW w:w="1711" w:type="dxa"/>
            <w:vAlign w:val="center"/>
          </w:tcPr>
          <w:p w14:paraId="336F80DB">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评审方法</w:t>
            </w:r>
          </w:p>
        </w:tc>
        <w:tc>
          <w:tcPr>
            <w:tcW w:w="6229" w:type="dxa"/>
            <w:vAlign w:val="center"/>
          </w:tcPr>
          <w:p w14:paraId="23970C92">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u w:val="none"/>
              </w:rPr>
              <w:t>综合评分法</w:t>
            </w:r>
          </w:p>
        </w:tc>
      </w:tr>
      <w:tr w14:paraId="1CDA7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22C29C29">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17</w:t>
            </w:r>
            <w:r>
              <w:rPr>
                <w:bCs/>
                <w:color w:val="auto"/>
                <w:kern w:val="2"/>
                <w:highlight w:val="none"/>
              </w:rPr>
              <w:t>.</w:t>
            </w:r>
            <w:r>
              <w:rPr>
                <w:rFonts w:hint="eastAsia"/>
                <w:bCs/>
                <w:color w:val="auto"/>
                <w:kern w:val="2"/>
                <w:highlight w:val="none"/>
              </w:rPr>
              <w:t>4</w:t>
            </w:r>
          </w:p>
        </w:tc>
        <w:tc>
          <w:tcPr>
            <w:tcW w:w="1711" w:type="dxa"/>
            <w:vAlign w:val="center"/>
          </w:tcPr>
          <w:p w14:paraId="5A7D72F1">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最后报价扣除</w:t>
            </w:r>
          </w:p>
          <w:p w14:paraId="14380634">
            <w:pPr>
              <w:pStyle w:val="76"/>
              <w:widowControl w:val="0"/>
              <w:spacing w:before="0" w:beforeAutospacing="0" w:after="0" w:afterAutospacing="0" w:line="360" w:lineRule="auto"/>
              <w:jc w:val="both"/>
              <w:rPr>
                <w:b w:val="0"/>
                <w:color w:val="auto"/>
                <w:sz w:val="24"/>
                <w:highlight w:val="none"/>
              </w:rPr>
            </w:pPr>
            <w:r>
              <w:rPr>
                <w:rFonts w:hint="eastAsia"/>
                <w:b w:val="0"/>
                <w:i/>
                <w:color w:val="auto"/>
                <w:sz w:val="24"/>
                <w:highlight w:val="none"/>
              </w:rPr>
              <w:t>（非专门面向中小企业采购项目适用）</w:t>
            </w:r>
          </w:p>
        </w:tc>
        <w:tc>
          <w:tcPr>
            <w:tcW w:w="6229" w:type="dxa"/>
            <w:vAlign w:val="center"/>
          </w:tcPr>
          <w:p w14:paraId="6BD7B057">
            <w:pPr>
              <w:pStyle w:val="7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lang w:val="en-US" w:eastAsia="zh-CN"/>
              </w:rPr>
              <w:t xml:space="preserve">  </w:t>
            </w:r>
            <w:r>
              <w:rPr>
                <w:rFonts w:hint="eastAsia"/>
                <w:b w:val="0"/>
                <w:color w:val="auto"/>
                <w:sz w:val="24"/>
                <w:highlight w:val="none"/>
                <w:u w:val="single"/>
                <w:lang w:val="en-US" w:eastAsia="zh-CN"/>
              </w:rPr>
              <w:t>/</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p>
          <w:p w14:paraId="308D34E1">
            <w:pPr>
              <w:pStyle w:val="7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4FCE3FEA">
            <w:pPr>
              <w:pStyle w:val="7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0D4218FB">
            <w:pPr>
              <w:pStyle w:val="7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 xml:space="preserve"> </w:t>
            </w:r>
            <w:r>
              <w:rPr>
                <w:rFonts w:hint="eastAsia"/>
                <w:b w:val="0"/>
                <w:color w:val="auto"/>
                <w:sz w:val="24"/>
                <w:highlight w:val="none"/>
                <w:u w:val="single"/>
                <w:lang w:val="en-US" w:eastAsia="zh-CN"/>
              </w:rPr>
              <w:t>/</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p>
          <w:p w14:paraId="4D676BEC">
            <w:pPr>
              <w:pStyle w:val="76"/>
              <w:widowControl w:val="0"/>
              <w:spacing w:before="0" w:beforeAutospacing="0" w:after="0" w:afterAutospacing="0" w:line="360" w:lineRule="auto"/>
              <w:jc w:val="both"/>
              <w:rPr>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 xml:space="preserve"> </w:t>
            </w:r>
            <w:r>
              <w:rPr>
                <w:rFonts w:hint="eastAsia"/>
                <w:b w:val="0"/>
                <w:color w:val="auto"/>
                <w:sz w:val="24"/>
                <w:highlight w:val="none"/>
                <w:u w:val="single"/>
                <w:lang w:val="en-US" w:eastAsia="zh-CN"/>
              </w:rPr>
              <w:t>/</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r>
              <w:rPr>
                <w:rFonts w:hint="eastAsia" w:ascii="宋体" w:hAnsi="宋体" w:eastAsia="宋体"/>
                <w:b w:val="0"/>
                <w:i/>
                <w:color w:val="auto"/>
                <w:sz w:val="24"/>
                <w:highlight w:val="none"/>
              </w:rPr>
              <w:t>（允许大中型企业向小微企业分包的项目适用）</w:t>
            </w:r>
          </w:p>
        </w:tc>
      </w:tr>
      <w:tr w14:paraId="7B0D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Merge w:val="restart"/>
            <w:vAlign w:val="center"/>
          </w:tcPr>
          <w:p w14:paraId="07281BDF">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19</w:t>
            </w:r>
            <w:r>
              <w:rPr>
                <w:bCs/>
                <w:color w:val="auto"/>
                <w:kern w:val="2"/>
                <w:highlight w:val="none"/>
              </w:rPr>
              <w:t>.</w:t>
            </w:r>
            <w:r>
              <w:rPr>
                <w:rFonts w:hint="eastAsia"/>
                <w:bCs/>
                <w:color w:val="auto"/>
                <w:kern w:val="2"/>
                <w:highlight w:val="none"/>
              </w:rPr>
              <w:t>1</w:t>
            </w:r>
          </w:p>
        </w:tc>
        <w:tc>
          <w:tcPr>
            <w:tcW w:w="1711" w:type="dxa"/>
            <w:vMerge w:val="restart"/>
            <w:vAlign w:val="center"/>
          </w:tcPr>
          <w:p w14:paraId="71E90205">
            <w:pPr>
              <w:pStyle w:val="76"/>
              <w:widowControl w:val="0"/>
              <w:spacing w:before="0" w:beforeAutospacing="0" w:after="0" w:afterAutospacing="0" w:line="360" w:lineRule="auto"/>
              <w:jc w:val="both"/>
              <w:rPr>
                <w:b w:val="0"/>
                <w:color w:val="auto"/>
                <w:sz w:val="24"/>
                <w:highlight w:val="none"/>
              </w:rPr>
            </w:pPr>
            <w:r>
              <w:rPr>
                <w:rFonts w:hint="eastAsia" w:asciiTheme="minorEastAsia" w:hAnsiTheme="minorEastAsia" w:eastAsiaTheme="minorEastAsia"/>
                <w:b w:val="0"/>
                <w:color w:val="auto"/>
                <w:sz w:val="24"/>
                <w:highlight w:val="none"/>
              </w:rPr>
              <w:t>确定成交候选供应商和成交供应商</w:t>
            </w:r>
          </w:p>
        </w:tc>
        <w:tc>
          <w:tcPr>
            <w:tcW w:w="6229" w:type="dxa"/>
            <w:vAlign w:val="center"/>
          </w:tcPr>
          <w:p w14:paraId="0E3BB69E">
            <w:pPr>
              <w:pStyle w:val="76"/>
              <w:widowControl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b w:val="0"/>
                <w:color w:val="auto"/>
                <w:sz w:val="24"/>
                <w:highlight w:val="none"/>
              </w:rPr>
              <w:t>磋商小组推荐成交</w:t>
            </w:r>
            <w:r>
              <w:rPr>
                <w:b w:val="0"/>
                <w:color w:val="auto"/>
                <w:sz w:val="24"/>
                <w:highlight w:val="none"/>
              </w:rPr>
              <w:t>候选</w:t>
            </w:r>
            <w:r>
              <w:rPr>
                <w:rFonts w:hint="eastAsia"/>
                <w:b w:val="0"/>
                <w:color w:val="auto"/>
                <w:sz w:val="24"/>
                <w:highlight w:val="none"/>
              </w:rPr>
              <w:t>供应商的</w:t>
            </w:r>
            <w:r>
              <w:rPr>
                <w:b w:val="0"/>
                <w:color w:val="auto"/>
                <w:sz w:val="24"/>
                <w:highlight w:val="none"/>
              </w:rPr>
              <w:t>数量</w:t>
            </w:r>
            <w:r>
              <w:rPr>
                <w:rFonts w:hint="eastAsia"/>
                <w:b w:val="0"/>
                <w:color w:val="auto"/>
                <w:sz w:val="24"/>
                <w:highlight w:val="none"/>
              </w:rPr>
              <w:t>：</w:t>
            </w:r>
            <w:r>
              <w:rPr>
                <w:rFonts w:hint="eastAsia" w:ascii="宋体" w:hAnsi="宋体" w:eastAsia="宋体"/>
                <w:b w:val="0"/>
                <w:color w:val="auto"/>
                <w:sz w:val="24"/>
                <w:highlight w:val="none"/>
              </w:rPr>
              <w:t>3家</w:t>
            </w:r>
            <w:r>
              <w:rPr>
                <w:rFonts w:hint="eastAsia" w:ascii="宋体" w:hAnsi="宋体" w:eastAsia="宋体"/>
                <w:b w:val="0"/>
                <w:color w:val="auto"/>
                <w:sz w:val="24"/>
                <w:highlight w:val="none"/>
                <w:lang w:val="en-US" w:eastAsia="zh-CN"/>
              </w:rPr>
              <w:t>以上</w:t>
            </w:r>
          </w:p>
          <w:p w14:paraId="3A5ED76B">
            <w:pPr>
              <w:pStyle w:val="76"/>
              <w:widowControl w:val="0"/>
              <w:spacing w:before="0" w:beforeAutospacing="0" w:after="0" w:afterAutospacing="0" w:line="360" w:lineRule="auto"/>
              <w:jc w:val="both"/>
              <w:rPr>
                <w:b w:val="0"/>
                <w:color w:val="auto"/>
                <w:sz w:val="24"/>
                <w:highlight w:val="none"/>
                <w:u w:val="single"/>
              </w:rPr>
            </w:pPr>
            <w:r>
              <w:rPr>
                <w:rFonts w:hint="eastAsia" w:ascii="宋体" w:hAnsi="宋体" w:eastAsia="宋体"/>
                <w:b w:val="0"/>
                <w:color w:val="auto"/>
                <w:sz w:val="24"/>
                <w:highlight w:val="none"/>
                <w:lang w:val="en-US" w:eastAsia="zh-CN"/>
              </w:rPr>
              <w:t>注：法律、法规另有规定的，从其规定</w:t>
            </w:r>
          </w:p>
        </w:tc>
      </w:tr>
      <w:tr w14:paraId="04065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Merge w:val="continue"/>
            <w:vAlign w:val="center"/>
          </w:tcPr>
          <w:p w14:paraId="4FAA0ED4">
            <w:pPr>
              <w:pStyle w:val="77"/>
              <w:pBdr>
                <w:bottom w:val="none" w:color="auto" w:sz="0" w:space="0"/>
              </w:pBdr>
              <w:tabs>
                <w:tab w:val="clear" w:pos="4153"/>
                <w:tab w:val="clear" w:pos="8306"/>
              </w:tabs>
              <w:adjustRightInd/>
              <w:spacing w:line="360" w:lineRule="auto"/>
              <w:textAlignment w:val="auto"/>
              <w:rPr>
                <w:bCs/>
                <w:color w:val="auto"/>
                <w:kern w:val="2"/>
                <w:highlight w:val="none"/>
              </w:rPr>
            </w:pPr>
          </w:p>
        </w:tc>
        <w:tc>
          <w:tcPr>
            <w:tcW w:w="1711" w:type="dxa"/>
            <w:vMerge w:val="continue"/>
            <w:vAlign w:val="center"/>
          </w:tcPr>
          <w:p w14:paraId="7DD4E278">
            <w:pPr>
              <w:pStyle w:val="76"/>
              <w:widowControl w:val="0"/>
              <w:spacing w:before="0" w:beforeAutospacing="0" w:after="0" w:afterAutospacing="0" w:line="360" w:lineRule="auto"/>
              <w:jc w:val="both"/>
              <w:rPr>
                <w:b w:val="0"/>
                <w:color w:val="auto"/>
                <w:sz w:val="24"/>
                <w:highlight w:val="none"/>
              </w:rPr>
            </w:pPr>
          </w:p>
        </w:tc>
        <w:tc>
          <w:tcPr>
            <w:tcW w:w="6229" w:type="dxa"/>
            <w:vAlign w:val="center"/>
          </w:tcPr>
          <w:p w14:paraId="0DDA0240">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确定成交供应商：</w:t>
            </w:r>
          </w:p>
          <w:p w14:paraId="43F4849C">
            <w:pPr>
              <w:pStyle w:val="76"/>
              <w:widowControl w:val="0"/>
              <w:spacing w:before="0" w:beforeAutospacing="0" w:after="0" w:afterAutospacing="0" w:line="360" w:lineRule="auto"/>
              <w:jc w:val="both"/>
              <w:rPr>
                <w:b w:val="0"/>
                <w:color w:val="auto"/>
                <w:sz w:val="24"/>
                <w:highlight w:val="none"/>
              </w:rPr>
            </w:pPr>
            <w:r>
              <w:rPr>
                <w:rFonts w:hint="eastAsia" w:asciiTheme="minorEastAsia" w:hAnsiTheme="minorEastAsia"/>
                <w:b w:val="0"/>
                <w:color w:val="auto"/>
                <w:sz w:val="24"/>
                <w:szCs w:val="24"/>
                <w:highlight w:val="none"/>
              </w:rPr>
              <w:sym w:font="Wingdings" w:char="00A8"/>
            </w:r>
            <w:r>
              <w:rPr>
                <w:rFonts w:hint="eastAsia"/>
                <w:b w:val="0"/>
                <w:color w:val="auto"/>
                <w:sz w:val="24"/>
                <w:highlight w:val="none"/>
              </w:rPr>
              <w:t xml:space="preserve">采购人委托磋商小组确定 </w:t>
            </w:r>
            <w:r>
              <w:rPr>
                <w:b w:val="0"/>
                <w:color w:val="auto"/>
                <w:sz w:val="24"/>
                <w:highlight w:val="none"/>
              </w:rPr>
              <w:t xml:space="preserve">   </w:t>
            </w:r>
            <w:r>
              <w:rPr>
                <w:rFonts w:hint="eastAsia"/>
                <w:b w:val="0"/>
                <w:color w:val="auto"/>
                <w:sz w:val="24"/>
                <w:highlight w:val="none"/>
              </w:rPr>
              <w:t xml:space="preserve"> </w:t>
            </w:r>
            <w:r>
              <w:rPr>
                <w:rFonts w:hint="eastAsia"/>
                <w:b w:val="0"/>
                <w:color w:val="auto"/>
                <w:sz w:val="24"/>
                <w:highlight w:val="none"/>
                <w:lang w:eastAsia="zh-CN"/>
              </w:rPr>
              <w:t>☑</w:t>
            </w:r>
            <w:r>
              <w:rPr>
                <w:rFonts w:hint="eastAsia"/>
                <w:b w:val="0"/>
                <w:color w:val="auto"/>
                <w:sz w:val="24"/>
                <w:highlight w:val="none"/>
              </w:rPr>
              <w:t>采购人确定</w:t>
            </w:r>
          </w:p>
        </w:tc>
      </w:tr>
      <w:tr w14:paraId="3BC85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7244653B">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bCs/>
                <w:color w:val="auto"/>
                <w:kern w:val="2"/>
                <w:highlight w:val="none"/>
              </w:rPr>
              <w:t>2</w:t>
            </w:r>
            <w:r>
              <w:rPr>
                <w:rFonts w:hint="eastAsia"/>
                <w:bCs/>
                <w:color w:val="auto"/>
                <w:kern w:val="2"/>
                <w:highlight w:val="none"/>
                <w:lang w:val="en-US" w:eastAsia="zh-CN"/>
              </w:rPr>
              <w:t>2</w:t>
            </w:r>
            <w:r>
              <w:rPr>
                <w:bCs/>
                <w:color w:val="auto"/>
                <w:kern w:val="2"/>
                <w:highlight w:val="none"/>
              </w:rPr>
              <w:t>.</w:t>
            </w:r>
            <w:r>
              <w:rPr>
                <w:rFonts w:hint="eastAsia"/>
                <w:bCs/>
                <w:color w:val="auto"/>
                <w:kern w:val="2"/>
                <w:highlight w:val="none"/>
              </w:rPr>
              <w:t>2</w:t>
            </w:r>
          </w:p>
        </w:tc>
        <w:tc>
          <w:tcPr>
            <w:tcW w:w="1711" w:type="dxa"/>
            <w:vAlign w:val="center"/>
          </w:tcPr>
          <w:p w14:paraId="63ECFA66">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随成交结果公告同时公告的内容</w:t>
            </w:r>
          </w:p>
        </w:tc>
        <w:tc>
          <w:tcPr>
            <w:tcW w:w="6229" w:type="dxa"/>
            <w:vAlign w:val="center"/>
          </w:tcPr>
          <w:p w14:paraId="02FFF36A">
            <w:pPr>
              <w:pStyle w:val="76"/>
              <w:widowControl w:val="0"/>
              <w:numPr>
                <w:ilvl w:val="0"/>
                <w:numId w:val="0"/>
              </w:numPr>
              <w:spacing w:before="0" w:beforeAutospacing="0" w:after="0" w:afterAutospacing="0" w:line="360" w:lineRule="auto"/>
              <w:jc w:val="both"/>
              <w:rPr>
                <w:rFonts w:hint="eastAsia"/>
                <w:b w:val="0"/>
                <w:i/>
                <w:iCs/>
                <w:color w:val="auto"/>
                <w:sz w:val="24"/>
                <w:highlight w:val="none"/>
                <w:u w:val="none"/>
                <w:lang w:val="en-US" w:eastAsia="zh-CN"/>
              </w:rPr>
            </w:pP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r>
              <w:rPr>
                <w:rFonts w:hint="eastAsia"/>
                <w:b w:val="0"/>
                <w:i/>
                <w:iCs/>
                <w:color w:val="auto"/>
                <w:sz w:val="24"/>
                <w:highlight w:val="none"/>
                <w:u w:val="none"/>
                <w:lang w:val="en-US" w:eastAsia="zh-CN"/>
              </w:rPr>
              <w:t xml:space="preserve"> </w:t>
            </w:r>
          </w:p>
          <w:p w14:paraId="56EB1B72">
            <w:pPr>
              <w:pStyle w:val="76"/>
              <w:widowControl w:val="0"/>
              <w:numPr>
                <w:ilvl w:val="0"/>
                <w:numId w:val="0"/>
              </w:numPr>
              <w:spacing w:before="0" w:beforeAutospacing="0" w:after="0" w:afterAutospacing="0" w:line="360" w:lineRule="auto"/>
              <w:jc w:val="both"/>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iCs/>
                <w:color w:val="auto"/>
                <w:sz w:val="24"/>
                <w:highlight w:val="none"/>
                <w:u w:val="none"/>
              </w:rPr>
              <w:t>（如有）</w:t>
            </w:r>
          </w:p>
          <w:p w14:paraId="44E8930E">
            <w:pPr>
              <w:pStyle w:val="76"/>
              <w:widowControl w:val="0"/>
              <w:spacing w:before="0" w:beforeAutospacing="0" w:after="0" w:afterAutospacing="0" w:line="360" w:lineRule="auto"/>
              <w:jc w:val="both"/>
              <w:rPr>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b w:val="0"/>
                <w:color w:val="auto"/>
                <w:sz w:val="24"/>
                <w:highlight w:val="none"/>
                <w:u w:val="none"/>
                <w:lang w:val="en-US" w:eastAsia="zh-CN"/>
              </w:rPr>
              <w:t>3</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p>
        </w:tc>
      </w:tr>
      <w:tr w14:paraId="5ADF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4BD60D95">
            <w:pPr>
              <w:pStyle w:val="77"/>
              <w:pBdr>
                <w:bottom w:val="none" w:color="auto" w:sz="0" w:space="0"/>
              </w:pBdr>
              <w:tabs>
                <w:tab w:val="clear" w:pos="4153"/>
                <w:tab w:val="clear" w:pos="8306"/>
              </w:tabs>
              <w:adjustRightInd/>
              <w:spacing w:line="240" w:lineRule="auto"/>
              <w:textAlignment w:val="auto"/>
              <w:rPr>
                <w:bCs/>
                <w:color w:val="auto"/>
                <w:kern w:val="2"/>
                <w:highlight w:val="none"/>
              </w:rPr>
            </w:pPr>
            <w:r>
              <w:rPr>
                <w:rFonts w:hint="eastAsia"/>
                <w:bCs/>
                <w:color w:val="auto"/>
                <w:kern w:val="2"/>
                <w:highlight w:val="none"/>
              </w:rPr>
              <w:t>2</w:t>
            </w:r>
            <w:r>
              <w:rPr>
                <w:rFonts w:hint="eastAsia"/>
                <w:bCs/>
                <w:color w:val="auto"/>
                <w:kern w:val="2"/>
                <w:highlight w:val="none"/>
                <w:lang w:val="en-US" w:eastAsia="zh-CN"/>
              </w:rPr>
              <w:t>3</w:t>
            </w:r>
            <w:r>
              <w:rPr>
                <w:bCs/>
                <w:color w:val="auto"/>
                <w:kern w:val="2"/>
                <w:highlight w:val="none"/>
              </w:rPr>
              <w:t>.1</w:t>
            </w:r>
          </w:p>
        </w:tc>
        <w:tc>
          <w:tcPr>
            <w:tcW w:w="1711" w:type="dxa"/>
            <w:vAlign w:val="center"/>
          </w:tcPr>
          <w:p w14:paraId="1FA0B4DD">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成交通知书发出的形式</w:t>
            </w:r>
          </w:p>
        </w:tc>
        <w:tc>
          <w:tcPr>
            <w:tcW w:w="6229" w:type="dxa"/>
            <w:vAlign w:val="center"/>
          </w:tcPr>
          <w:p w14:paraId="63119F74">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lang w:eastAsia="zh-CN"/>
              </w:rPr>
              <w:t>☑</w:t>
            </w:r>
            <w:r>
              <w:rPr>
                <w:rFonts w:hint="eastAsia"/>
                <w:b w:val="0"/>
                <w:color w:val="auto"/>
                <w:sz w:val="24"/>
                <w:highlight w:val="none"/>
              </w:rPr>
              <w:t xml:space="preserve">书面 </w:t>
            </w:r>
            <w:r>
              <w:rPr>
                <w:b w:val="0"/>
                <w:color w:val="auto"/>
                <w:sz w:val="24"/>
                <w:highlight w:val="none"/>
              </w:rPr>
              <w:t xml:space="preserve">    </w:t>
            </w:r>
            <w:r>
              <w:rPr>
                <w:rFonts w:hint="eastAsia"/>
                <w:b w:val="0"/>
                <w:bCs w:val="0"/>
                <w:color w:val="auto"/>
                <w:sz w:val="24"/>
                <w:szCs w:val="24"/>
                <w:highlight w:val="none"/>
              </w:rPr>
              <w:sym w:font="Wingdings" w:char="00A8"/>
            </w:r>
            <w:r>
              <w:rPr>
                <w:rFonts w:hint="eastAsia"/>
                <w:b w:val="0"/>
                <w:color w:val="auto"/>
                <w:sz w:val="24"/>
                <w:highlight w:val="none"/>
              </w:rPr>
              <w:t>数据电文</w:t>
            </w:r>
          </w:p>
        </w:tc>
      </w:tr>
      <w:tr w14:paraId="12C19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051C0BB3">
            <w:pPr>
              <w:pStyle w:val="77"/>
              <w:pBdr>
                <w:bottom w:val="none" w:color="auto" w:sz="0" w:space="0"/>
              </w:pBdr>
              <w:tabs>
                <w:tab w:val="clear" w:pos="4153"/>
                <w:tab w:val="clear" w:pos="8306"/>
              </w:tabs>
              <w:adjustRightInd/>
              <w:spacing w:line="240" w:lineRule="auto"/>
              <w:textAlignment w:val="auto"/>
              <w:rPr>
                <w:bCs/>
                <w:color w:val="auto"/>
                <w:kern w:val="2"/>
                <w:highlight w:val="none"/>
              </w:rPr>
            </w:pPr>
            <w:r>
              <w:rPr>
                <w:rFonts w:hint="eastAsia" w:ascii="宋体" w:hAnsi="宋体" w:eastAsia="宋体" w:cs="宋体"/>
                <w:b w:val="0"/>
                <w:bCs/>
                <w:color w:val="auto"/>
                <w:sz w:val="24"/>
                <w:szCs w:val="24"/>
                <w:highlight w:val="none"/>
                <w:lang w:val="en-US" w:eastAsia="zh-CN"/>
              </w:rPr>
              <w:t>2</w:t>
            </w:r>
            <w:r>
              <w:rPr>
                <w:rFonts w:hint="eastAsia"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lang w:val="en-US" w:eastAsia="zh-CN"/>
              </w:rPr>
              <w:t>.1</w:t>
            </w:r>
          </w:p>
        </w:tc>
        <w:tc>
          <w:tcPr>
            <w:tcW w:w="1711" w:type="dxa"/>
            <w:vAlign w:val="center"/>
          </w:tcPr>
          <w:p w14:paraId="0D9F7829">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告知磋商结果的形式</w:t>
            </w:r>
          </w:p>
        </w:tc>
        <w:tc>
          <w:tcPr>
            <w:tcW w:w="6229" w:type="dxa"/>
            <w:vAlign w:val="center"/>
          </w:tcPr>
          <w:p w14:paraId="70560B08">
            <w:pPr>
              <w:pStyle w:val="76"/>
              <w:widowControl w:val="0"/>
              <w:spacing w:before="0" w:beforeAutospacing="0" w:after="0" w:afterAutospacing="0" w:line="360" w:lineRule="auto"/>
              <w:jc w:val="both"/>
              <w:rPr>
                <w:b w:val="0"/>
                <w:bCs w:val="0"/>
                <w:color w:val="auto"/>
                <w:sz w:val="24"/>
                <w:szCs w:val="24"/>
                <w:highlight w:val="none"/>
              </w:rPr>
            </w:pPr>
            <w:r>
              <w:rPr>
                <w:rFonts w:hint="eastAsia" w:asciiTheme="minorEastAsia" w:hAnsiTheme="minorEastAsia"/>
                <w:b w:val="0"/>
                <w:color w:val="auto"/>
                <w:sz w:val="24"/>
                <w:szCs w:val="24"/>
                <w:highlight w:val="none"/>
              </w:rPr>
              <w:t>☑</w:t>
            </w:r>
            <w:r>
              <w:rPr>
                <w:rFonts w:hint="eastAsia"/>
                <w:b w:val="0"/>
                <w:bCs w:val="0"/>
                <w:color w:val="auto"/>
                <w:sz w:val="24"/>
                <w:szCs w:val="24"/>
                <w:highlight w:val="none"/>
              </w:rPr>
              <w:t>供应商自行登录电子</w:t>
            </w:r>
            <w:r>
              <w:rPr>
                <w:rFonts w:hint="eastAsia" w:ascii="宋体" w:hAnsi="宋体" w:eastAsia="宋体" w:cs="宋体"/>
                <w:b w:val="0"/>
                <w:bCs w:val="0"/>
                <w:color w:val="auto"/>
                <w:sz w:val="24"/>
                <w:szCs w:val="24"/>
                <w:highlight w:val="none"/>
                <w:lang w:val="en-US" w:eastAsia="zh-CN"/>
              </w:rPr>
              <w:t>交易</w:t>
            </w:r>
            <w:r>
              <w:rPr>
                <w:rFonts w:hint="eastAsia"/>
                <w:b w:val="0"/>
                <w:bCs w:val="0"/>
                <w:color w:val="auto"/>
                <w:sz w:val="24"/>
                <w:szCs w:val="24"/>
                <w:highlight w:val="none"/>
              </w:rPr>
              <w:t>系统查看</w:t>
            </w:r>
          </w:p>
          <w:p w14:paraId="51890A48">
            <w:pPr>
              <w:pStyle w:val="76"/>
              <w:widowControl w:val="0"/>
              <w:spacing w:before="0" w:beforeAutospacing="0" w:after="0" w:afterAutospacing="0" w:line="360" w:lineRule="auto"/>
              <w:jc w:val="both"/>
              <w:rPr>
                <w:rFonts w:hint="eastAsia"/>
                <w:b w:val="0"/>
                <w:color w:val="auto"/>
                <w:sz w:val="24"/>
                <w:highlight w:val="none"/>
              </w:rPr>
            </w:pPr>
            <w:r>
              <w:rPr>
                <w:rFonts w:hint="eastAsia"/>
                <w:b w:val="0"/>
                <w:color w:val="auto"/>
                <w:sz w:val="24"/>
                <w:highlight w:val="none"/>
              </w:rPr>
              <w:t>□磋商现场告知</w:t>
            </w:r>
          </w:p>
        </w:tc>
      </w:tr>
      <w:tr w14:paraId="2FF8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2D0D0476">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25</w:t>
            </w:r>
            <w:r>
              <w:rPr>
                <w:bCs/>
                <w:color w:val="auto"/>
                <w:kern w:val="2"/>
                <w:highlight w:val="none"/>
              </w:rPr>
              <w:t>.1</w:t>
            </w:r>
          </w:p>
        </w:tc>
        <w:tc>
          <w:tcPr>
            <w:tcW w:w="1711" w:type="dxa"/>
            <w:vAlign w:val="center"/>
          </w:tcPr>
          <w:p w14:paraId="76228308">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履约保证金</w:t>
            </w:r>
          </w:p>
        </w:tc>
        <w:tc>
          <w:tcPr>
            <w:tcW w:w="6229" w:type="dxa"/>
          </w:tcPr>
          <w:p w14:paraId="2C158E87">
            <w:pPr>
              <w:spacing w:line="360" w:lineRule="auto"/>
              <w:rPr>
                <w:bCs/>
                <w:color w:val="auto"/>
                <w:sz w:val="24"/>
                <w:szCs w:val="28"/>
                <w:highlight w:val="none"/>
              </w:rPr>
            </w:pPr>
            <w:r>
              <w:rPr>
                <w:rFonts w:hint="eastAsia"/>
                <w:bCs/>
                <w:color w:val="auto"/>
                <w:sz w:val="24"/>
                <w:szCs w:val="28"/>
                <w:highlight w:val="none"/>
              </w:rPr>
              <w:t>（1）金额：</w:t>
            </w:r>
          </w:p>
          <w:p w14:paraId="6F49EEAB">
            <w:pPr>
              <w:spacing w:line="360" w:lineRule="auto"/>
              <w:rPr>
                <w:color w:val="auto"/>
                <w:sz w:val="24"/>
                <w:highlight w:val="none"/>
              </w:rPr>
            </w:pPr>
            <w:r>
              <w:rPr>
                <w:rFonts w:hint="eastAsia"/>
                <w:bCs/>
                <w:color w:val="auto"/>
                <w:sz w:val="24"/>
                <w:szCs w:val="28"/>
                <w:highlight w:val="none"/>
                <w:lang w:eastAsia="zh-CN"/>
              </w:rPr>
              <w:t>☑</w:t>
            </w:r>
            <w:r>
              <w:rPr>
                <w:rFonts w:hint="eastAsia"/>
                <w:bCs/>
                <w:color w:val="auto"/>
                <w:sz w:val="24"/>
                <w:szCs w:val="28"/>
                <w:highlight w:val="none"/>
              </w:rPr>
              <w:t>免收</w:t>
            </w:r>
          </w:p>
        </w:tc>
      </w:tr>
      <w:tr w14:paraId="7FE5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3CE3F4DD">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26.1</w:t>
            </w:r>
          </w:p>
        </w:tc>
        <w:tc>
          <w:tcPr>
            <w:tcW w:w="1711" w:type="dxa"/>
            <w:vAlign w:val="center"/>
          </w:tcPr>
          <w:p w14:paraId="707BBD52">
            <w:pPr>
              <w:pStyle w:val="76"/>
              <w:widowControl w:val="0"/>
              <w:spacing w:before="0" w:beforeAutospacing="0" w:after="0" w:afterAutospacing="0" w:line="360" w:lineRule="auto"/>
              <w:jc w:val="both"/>
              <w:rPr>
                <w:b w:val="0"/>
                <w:color w:val="auto"/>
                <w:sz w:val="24"/>
                <w:highlight w:val="none"/>
              </w:rPr>
            </w:pPr>
            <w:r>
              <w:rPr>
                <w:rFonts w:hint="eastAsia" w:ascii="宋体" w:hAnsi="宋体" w:eastAsia="宋体"/>
                <w:b w:val="0"/>
                <w:color w:val="auto"/>
                <w:sz w:val="24"/>
                <w:highlight w:val="none"/>
                <w:lang w:val="en-US" w:eastAsia="zh-CN"/>
              </w:rPr>
              <w:t>代理费用</w:t>
            </w:r>
          </w:p>
        </w:tc>
        <w:tc>
          <w:tcPr>
            <w:tcW w:w="6229" w:type="dxa"/>
            <w:vAlign w:val="center"/>
          </w:tcPr>
          <w:p w14:paraId="4D4E545D">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lang w:val="en-US" w:eastAsia="zh-CN"/>
              </w:rPr>
              <w:t xml:space="preserve">   </w:t>
            </w:r>
            <w:r>
              <w:rPr>
                <w:rFonts w:hint="eastAsia" w:ascii="宋体" w:hAnsi="宋体" w:eastAsia="宋体"/>
                <w:bCs/>
                <w:color w:val="auto"/>
                <w:kern w:val="0"/>
                <w:sz w:val="24"/>
                <w:szCs w:val="28"/>
                <w:highlight w:val="none"/>
              </w:rPr>
              <w:t>☑</w:t>
            </w:r>
            <w:r>
              <w:rPr>
                <w:rFonts w:hint="eastAsia" w:cs="宋体"/>
                <w:color w:val="auto"/>
                <w:spacing w:val="14"/>
                <w:sz w:val="24"/>
                <w:szCs w:val="24"/>
                <w:highlight w:val="none"/>
                <w:lang w:val="en-US" w:eastAsia="zh-CN"/>
              </w:rPr>
              <w:t>成交供应商</w:t>
            </w:r>
          </w:p>
          <w:p w14:paraId="343DC394">
            <w:pPr>
              <w:spacing w:before="24"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color="auto"/>
              </w:rPr>
              <w:t xml:space="preserve"> </w:t>
            </w:r>
            <w:r>
              <w:rPr>
                <w:rFonts w:hint="eastAsia" w:ascii="宋体" w:hAnsi="宋体" w:eastAsia="宋体" w:cs="宋体"/>
                <w:color w:val="auto"/>
                <w:sz w:val="24"/>
                <w:szCs w:val="24"/>
                <w:highlight w:val="none"/>
                <w:u w:val="single"/>
              </w:rPr>
              <w:t>转账。</w:t>
            </w:r>
          </w:p>
          <w:p w14:paraId="561E8627">
            <w:pPr>
              <w:pStyle w:val="7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bCs/>
                <w:color w:val="auto"/>
                <w:sz w:val="24"/>
                <w:szCs w:val="28"/>
                <w:highlight w:val="none"/>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cs="宋体"/>
                <w:b w:val="0"/>
                <w:color w:val="auto"/>
                <w:sz w:val="24"/>
                <w:highlight w:val="none"/>
                <w:u w:val="single"/>
              </w:rPr>
              <w:t>代理费服务费</w:t>
            </w:r>
            <w:r>
              <w:rPr>
                <w:rFonts w:hint="eastAsia" w:cs="宋体"/>
                <w:b w:val="0"/>
                <w:color w:val="auto"/>
                <w:sz w:val="24"/>
                <w:highlight w:val="none"/>
                <w:u w:val="single"/>
                <w:lang w:val="en-US" w:eastAsia="zh-CN"/>
              </w:rPr>
              <w:t>50</w:t>
            </w:r>
            <w:r>
              <w:rPr>
                <w:rFonts w:hint="eastAsia" w:ascii="宋体" w:hAnsi="宋体" w:eastAsia="宋体" w:cs="宋体"/>
                <w:b w:val="0"/>
                <w:color w:val="auto"/>
                <w:sz w:val="24"/>
                <w:highlight w:val="none"/>
                <w:u w:val="single"/>
                <w:lang w:val="en-US" w:eastAsia="zh-CN"/>
              </w:rPr>
              <w:t>00</w:t>
            </w:r>
            <w:r>
              <w:rPr>
                <w:rFonts w:hint="eastAsia" w:ascii="宋体" w:hAnsi="宋体" w:eastAsia="宋体" w:cs="宋体"/>
                <w:b w:val="0"/>
                <w:color w:val="auto"/>
                <w:sz w:val="24"/>
                <w:highlight w:val="none"/>
                <w:u w:val="single"/>
              </w:rPr>
              <w:t xml:space="preserve">元。 </w:t>
            </w:r>
          </w:p>
        </w:tc>
      </w:tr>
      <w:tr w14:paraId="7C8E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49BAC09A">
            <w:pPr>
              <w:pStyle w:val="77"/>
              <w:pBdr>
                <w:bottom w:val="none" w:color="auto" w:sz="0" w:space="0"/>
              </w:pBdr>
              <w:tabs>
                <w:tab w:val="clear" w:pos="4153"/>
                <w:tab w:val="clear" w:pos="8306"/>
              </w:tabs>
              <w:adjustRightInd/>
              <w:spacing w:line="360" w:lineRule="auto"/>
              <w:textAlignment w:val="auto"/>
              <w:rPr>
                <w:rFonts w:hint="eastAsia" w:ascii="宋体" w:hAnsi="宋体" w:eastAsia="宋体" w:cs="@仿宋_GB2312"/>
                <w:bCs/>
                <w:color w:val="auto"/>
                <w:kern w:val="2"/>
                <w:sz w:val="24"/>
                <w:szCs w:val="20"/>
                <w:highlight w:val="none"/>
                <w:lang w:val="en-US" w:eastAsia="zh-CN" w:bidi="ar-SA"/>
              </w:rPr>
            </w:pPr>
            <w:r>
              <w:rPr>
                <w:rFonts w:hint="eastAsia"/>
                <w:bCs/>
                <w:color w:val="auto"/>
                <w:kern w:val="2"/>
                <w:highlight w:val="none"/>
                <w:lang w:val="en-US" w:eastAsia="zh-CN"/>
              </w:rPr>
              <w:t>27.1</w:t>
            </w:r>
          </w:p>
        </w:tc>
        <w:tc>
          <w:tcPr>
            <w:tcW w:w="1711" w:type="dxa"/>
            <w:vAlign w:val="center"/>
          </w:tcPr>
          <w:p w14:paraId="54ED3C20">
            <w:pPr>
              <w:pStyle w:val="76"/>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lang w:val="en-US" w:eastAsia="zh-CN"/>
              </w:rPr>
              <w:t>签订合同</w:t>
            </w:r>
          </w:p>
        </w:tc>
        <w:tc>
          <w:tcPr>
            <w:tcW w:w="6229" w:type="dxa"/>
            <w:vAlign w:val="center"/>
          </w:tcPr>
          <w:p w14:paraId="2E645E3B">
            <w:pPr>
              <w:pStyle w:val="76"/>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宋体"/>
                <w:b w:val="0"/>
                <w:bCs w:val="0"/>
                <w:color w:val="auto"/>
                <w:sz w:val="24"/>
                <w:szCs w:val="24"/>
                <w:highlight w:val="none"/>
                <w:lang w:val="en-US" w:eastAsia="zh-CN"/>
              </w:rPr>
              <w:t>采购人与成交供应商应当自发出</w:t>
            </w:r>
            <w:r>
              <w:rPr>
                <w:rFonts w:hint="eastAsia" w:cs="宋体"/>
                <w:b w:val="0"/>
                <w:bCs w:val="0"/>
                <w:color w:val="auto"/>
                <w:sz w:val="24"/>
                <w:szCs w:val="24"/>
                <w:highlight w:val="none"/>
                <w:lang w:val="en-US" w:eastAsia="zh-CN"/>
              </w:rPr>
              <w:t>成交</w:t>
            </w:r>
            <w:r>
              <w:rPr>
                <w:rFonts w:hint="eastAsia" w:ascii="宋体" w:hAnsi="宋体" w:eastAsia="宋体" w:cs="宋体"/>
                <w:b w:val="0"/>
                <w:bCs w:val="0"/>
                <w:color w:val="auto"/>
                <w:sz w:val="24"/>
                <w:szCs w:val="24"/>
                <w:highlight w:val="none"/>
                <w:lang w:val="en-US" w:eastAsia="zh-CN"/>
              </w:rPr>
              <w:t>通知书之日起</w:t>
            </w:r>
            <w:r>
              <w:rPr>
                <w:rFonts w:hint="eastAsia" w:cs="宋体"/>
                <w:b w:val="0"/>
                <w:bCs w:val="0"/>
                <w:color w:val="auto"/>
                <w:sz w:val="24"/>
                <w:szCs w:val="24"/>
                <w:highlight w:val="none"/>
                <w:lang w:val="en-US" w:eastAsia="zh-CN"/>
              </w:rPr>
              <w:t>30</w:t>
            </w:r>
            <w:r>
              <w:rPr>
                <w:rFonts w:hint="eastAsia" w:ascii="宋体" w:hAnsi="宋体" w:eastAsia="宋体" w:cs="宋体"/>
                <w:b w:val="0"/>
                <w:bCs w:val="0"/>
                <w:color w:val="auto"/>
                <w:sz w:val="24"/>
                <w:szCs w:val="24"/>
                <w:highlight w:val="none"/>
                <w:lang w:val="en-US" w:eastAsia="zh-CN"/>
              </w:rPr>
              <w:t>日内签订合同</w:t>
            </w:r>
            <w:r>
              <w:rPr>
                <w:rFonts w:hint="default" w:ascii="宋体" w:hAnsi="宋体" w:eastAsia="宋体" w:cs="宋体"/>
                <w:b w:val="0"/>
                <w:bCs w:val="0"/>
                <w:color w:val="auto"/>
                <w:sz w:val="24"/>
                <w:szCs w:val="24"/>
                <w:highlight w:val="none"/>
                <w:lang w:val="en-US" w:eastAsia="zh-CN"/>
              </w:rPr>
              <w:t>。</w:t>
            </w:r>
          </w:p>
        </w:tc>
      </w:tr>
      <w:tr w14:paraId="3C3E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6043DECB">
            <w:pPr>
              <w:pStyle w:val="77"/>
              <w:pBdr>
                <w:bottom w:val="none" w:color="auto" w:sz="0" w:space="0"/>
              </w:pBdr>
              <w:tabs>
                <w:tab w:val="clear" w:pos="4153"/>
                <w:tab w:val="clear" w:pos="8306"/>
              </w:tabs>
              <w:adjustRightInd/>
              <w:spacing w:line="360" w:lineRule="auto"/>
              <w:textAlignment w:val="auto"/>
              <w:rPr>
                <w:rFonts w:hint="default" w:eastAsia="宋体"/>
                <w:bCs/>
                <w:color w:val="auto"/>
                <w:kern w:val="2"/>
                <w:highlight w:val="none"/>
                <w:lang w:val="en-US" w:eastAsia="zh-CN"/>
              </w:rPr>
            </w:pPr>
            <w:r>
              <w:rPr>
                <w:rFonts w:hint="eastAsia"/>
                <w:bCs/>
                <w:color w:val="auto"/>
                <w:kern w:val="2"/>
                <w:highlight w:val="none"/>
                <w:lang w:val="en-US" w:eastAsia="zh-CN"/>
              </w:rPr>
              <w:t>29.3</w:t>
            </w:r>
          </w:p>
        </w:tc>
        <w:tc>
          <w:tcPr>
            <w:tcW w:w="1711" w:type="dxa"/>
            <w:vAlign w:val="center"/>
          </w:tcPr>
          <w:p w14:paraId="538B955F">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质疑函递交方式、接收部门、联系电话和通讯地址</w:t>
            </w:r>
          </w:p>
        </w:tc>
        <w:tc>
          <w:tcPr>
            <w:tcW w:w="6229" w:type="dxa"/>
            <w:vAlign w:val="center"/>
          </w:tcPr>
          <w:p w14:paraId="48CBEF09">
            <w:pPr>
              <w:pStyle w:val="76"/>
              <w:pageBreakBefore w:val="0"/>
              <w:widowControl w:val="0"/>
              <w:kinsoku/>
              <w:wordWrap w:val="0"/>
              <w:overflowPunct/>
              <w:topLinePunct w:val="0"/>
              <w:bidi w:val="0"/>
              <w:spacing w:before="0" w:beforeAutospacing="0" w:after="0" w:afterAutospacing="0" w:line="360" w:lineRule="auto"/>
              <w:jc w:val="both"/>
              <w:textAlignment w:val="auto"/>
              <w:rPr>
                <w:rFonts w:hint="eastAsia" w:cs="宋体"/>
                <w:b w:val="0"/>
                <w:bCs/>
                <w:color w:val="auto"/>
                <w:kern w:val="0"/>
                <w:sz w:val="24"/>
                <w:szCs w:val="28"/>
                <w:highlight w:val="none"/>
                <w:u w:val="single"/>
                <w:lang w:val="en-US" w:eastAsia="zh-CN" w:bidi="ar-SA"/>
              </w:rPr>
            </w:pPr>
            <w:r>
              <w:rPr>
                <w:rFonts w:hint="eastAsia" w:ascii="宋体" w:hAnsi="宋体" w:eastAsia="宋体" w:cs="宋体"/>
                <w:b w:val="0"/>
                <w:bCs/>
                <w:color w:val="auto"/>
                <w:kern w:val="0"/>
                <w:sz w:val="24"/>
                <w:szCs w:val="28"/>
                <w:highlight w:val="none"/>
                <w:lang w:val="en-US" w:eastAsia="zh-CN" w:bidi="ar-SA"/>
              </w:rPr>
              <w:t>递交方式：</w:t>
            </w:r>
            <w:r>
              <w:rPr>
                <w:rFonts w:hint="eastAsia" w:ascii="宋体" w:hAnsi="宋体" w:eastAsia="宋体" w:cs="宋体"/>
                <w:b w:val="0"/>
                <w:bCs/>
                <w:color w:val="auto"/>
                <w:kern w:val="0"/>
                <w:sz w:val="24"/>
                <w:szCs w:val="28"/>
                <w:highlight w:val="none"/>
                <w:u w:val="single"/>
                <w:lang w:val="en-US" w:eastAsia="zh-CN" w:bidi="ar-SA"/>
              </w:rPr>
              <w:t>如供应商对采购文件有质疑，依据中华人民共和国财政部令第 94 号《政府采购质疑和投诉办法》规定提出质疑</w:t>
            </w:r>
            <w:r>
              <w:rPr>
                <w:rFonts w:hint="eastAsia" w:cs="宋体"/>
                <w:b w:val="0"/>
                <w:bCs/>
                <w:color w:val="auto"/>
                <w:kern w:val="0"/>
                <w:sz w:val="24"/>
                <w:szCs w:val="28"/>
                <w:highlight w:val="none"/>
                <w:u w:val="single"/>
                <w:lang w:val="en-US" w:eastAsia="zh-CN" w:bidi="ar-SA"/>
              </w:rPr>
              <w:t>；</w:t>
            </w:r>
          </w:p>
          <w:p w14:paraId="1987821B">
            <w:pPr>
              <w:pStyle w:val="76"/>
              <w:pageBreakBefore w:val="0"/>
              <w:widowControl w:val="0"/>
              <w:kinsoku/>
              <w:wordWrap w:val="0"/>
              <w:overflowPunct/>
              <w:topLinePunct w:val="0"/>
              <w:bidi w:val="0"/>
              <w:spacing w:before="0" w:beforeAutospacing="0" w:after="0" w:afterAutospacing="0" w:line="360" w:lineRule="auto"/>
              <w:jc w:val="both"/>
              <w:textAlignment w:val="auto"/>
              <w:rPr>
                <w:rFonts w:hint="eastAsia" w:ascii="宋体" w:hAnsi="宋体" w:eastAsia="宋体" w:cs="宋体"/>
                <w:b w:val="0"/>
                <w:bCs/>
                <w:color w:val="auto"/>
                <w:kern w:val="0"/>
                <w:sz w:val="24"/>
                <w:szCs w:val="28"/>
                <w:highlight w:val="none"/>
                <w:u w:val="single"/>
                <w:lang w:val="en-US" w:eastAsia="zh-CN" w:bidi="ar-SA"/>
              </w:rPr>
            </w:pPr>
            <w:r>
              <w:rPr>
                <w:rFonts w:hint="eastAsia" w:cs="宋体"/>
                <w:b w:val="0"/>
                <w:bCs/>
                <w:color w:val="auto"/>
                <w:kern w:val="0"/>
                <w:sz w:val="24"/>
                <w:szCs w:val="28"/>
                <w:highlight w:val="none"/>
                <w:u w:val="single"/>
                <w:lang w:val="en-US" w:eastAsia="zh-CN" w:bidi="ar-SA"/>
              </w:rPr>
              <w:t>供应商可以通过书面形式提出，也可以</w:t>
            </w:r>
            <w:r>
              <w:rPr>
                <w:rFonts w:hint="eastAsia" w:ascii="宋体" w:hAnsi="宋体" w:eastAsia="宋体" w:cs="宋体"/>
                <w:b w:val="0"/>
                <w:bCs/>
                <w:color w:val="auto"/>
                <w:kern w:val="0"/>
                <w:sz w:val="24"/>
                <w:szCs w:val="28"/>
                <w:highlight w:val="none"/>
                <w:u w:val="single"/>
                <w:lang w:val="en-US" w:eastAsia="zh-CN" w:bidi="ar-SA"/>
              </w:rPr>
              <w:t>通过登录新点电子交易平台【滁州专区】线上提出。一份质疑函只能针对一个项目提出质疑，且针对同一采购程序环节的质疑应当一次性提出。</w:t>
            </w:r>
          </w:p>
          <w:p w14:paraId="42B7CAEF">
            <w:pPr>
              <w:pStyle w:val="76"/>
              <w:pageBreakBefore w:val="0"/>
              <w:widowControl w:val="0"/>
              <w:kinsoku/>
              <w:wordWrap w:val="0"/>
              <w:overflowPunct/>
              <w:topLinePunct w:val="0"/>
              <w:bidi w:val="0"/>
              <w:spacing w:before="0" w:beforeAutospacing="0" w:after="0" w:afterAutospacing="0" w:line="360" w:lineRule="auto"/>
              <w:jc w:val="both"/>
              <w:textAlignment w:val="auto"/>
              <w:rPr>
                <w:rFonts w:hint="eastAsia" w:ascii="宋体" w:hAnsi="宋体" w:eastAsia="宋体" w:cs="宋体"/>
                <w:b w:val="0"/>
                <w:bCs/>
                <w:color w:val="auto"/>
                <w:kern w:val="0"/>
                <w:sz w:val="24"/>
                <w:szCs w:val="28"/>
                <w:highlight w:val="none"/>
                <w:u w:val="single"/>
                <w:lang w:val="en-US" w:eastAsia="zh-CN" w:bidi="ar-SA"/>
              </w:rPr>
            </w:pPr>
            <w:r>
              <w:rPr>
                <w:rFonts w:hint="eastAsia" w:ascii="宋体" w:hAnsi="宋体" w:eastAsia="宋体" w:cs="宋体"/>
                <w:b w:val="0"/>
                <w:bCs/>
                <w:color w:val="auto"/>
                <w:kern w:val="0"/>
                <w:sz w:val="24"/>
                <w:szCs w:val="28"/>
                <w:highlight w:val="none"/>
                <w:lang w:val="en-US" w:eastAsia="zh-CN" w:bidi="ar-SA"/>
              </w:rPr>
              <w:t>接收部门：</w:t>
            </w:r>
            <w:r>
              <w:rPr>
                <w:rFonts w:hint="eastAsia" w:cs="宋体"/>
                <w:b w:val="0"/>
                <w:bCs/>
                <w:color w:val="auto"/>
                <w:kern w:val="0"/>
                <w:sz w:val="24"/>
                <w:szCs w:val="28"/>
                <w:highlight w:val="none"/>
                <w:u w:val="single"/>
                <w:lang w:val="en-US" w:eastAsia="zh-CN" w:bidi="ar-SA"/>
              </w:rPr>
              <w:t>滁州市公路管理服务中心</w:t>
            </w:r>
            <w:r>
              <w:rPr>
                <w:rFonts w:hint="eastAsia" w:ascii="宋体" w:hAnsi="宋体" w:eastAsia="宋体" w:cs="宋体"/>
                <w:b w:val="0"/>
                <w:bCs/>
                <w:color w:val="auto"/>
                <w:kern w:val="0"/>
                <w:sz w:val="24"/>
                <w:szCs w:val="28"/>
                <w:highlight w:val="none"/>
                <w:u w:val="single"/>
                <w:lang w:val="en-US" w:eastAsia="zh-CN" w:bidi="ar-SA"/>
              </w:rPr>
              <w:t>或滁州市城投工程咨询管理有限公司</w:t>
            </w:r>
          </w:p>
          <w:p w14:paraId="3C5EF730">
            <w:pPr>
              <w:pStyle w:val="76"/>
              <w:pageBreakBefore w:val="0"/>
              <w:widowControl w:val="0"/>
              <w:kinsoku/>
              <w:wordWrap w:val="0"/>
              <w:overflowPunct/>
              <w:topLinePunct w:val="0"/>
              <w:bidi w:val="0"/>
              <w:spacing w:before="0" w:beforeAutospacing="0" w:after="0" w:afterAutospacing="0" w:line="360" w:lineRule="auto"/>
              <w:jc w:val="both"/>
              <w:textAlignment w:val="auto"/>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bCs/>
                <w:color w:val="auto"/>
                <w:kern w:val="0"/>
                <w:sz w:val="24"/>
                <w:szCs w:val="28"/>
                <w:highlight w:val="none"/>
                <w:lang w:val="en-US" w:eastAsia="zh-CN" w:bidi="ar-SA"/>
              </w:rPr>
              <w:t>联系电话：</w:t>
            </w:r>
            <w:r>
              <w:rPr>
                <w:rFonts w:hint="eastAsia" w:cs="宋体"/>
                <w:b w:val="0"/>
                <w:bCs/>
                <w:color w:val="auto"/>
                <w:kern w:val="0"/>
                <w:sz w:val="24"/>
                <w:szCs w:val="28"/>
                <w:highlight w:val="none"/>
                <w:u w:val="single"/>
                <w:lang w:val="en-US" w:eastAsia="zh-CN" w:bidi="ar-SA"/>
              </w:rPr>
              <w:t>0550-3033370</w:t>
            </w:r>
            <w:r>
              <w:rPr>
                <w:rFonts w:hint="eastAsia" w:ascii="宋体" w:hAnsi="宋体" w:eastAsia="宋体" w:cs="宋体"/>
                <w:b w:val="0"/>
                <w:bCs/>
                <w:color w:val="auto"/>
                <w:kern w:val="0"/>
                <w:sz w:val="24"/>
                <w:szCs w:val="28"/>
                <w:highlight w:val="none"/>
                <w:u w:val="single"/>
                <w:lang w:val="en-US" w:eastAsia="zh-CN" w:bidi="ar-SA"/>
              </w:rPr>
              <w:t>、</w:t>
            </w:r>
            <w:r>
              <w:rPr>
                <w:rFonts w:hint="eastAsia" w:cs="宋体"/>
                <w:b w:val="0"/>
                <w:bCs/>
                <w:color w:val="auto"/>
                <w:kern w:val="0"/>
                <w:sz w:val="24"/>
                <w:szCs w:val="28"/>
                <w:highlight w:val="none"/>
                <w:u w:val="single"/>
                <w:lang w:val="en-US" w:eastAsia="zh-CN" w:bidi="ar-SA"/>
              </w:rPr>
              <w:t>0550-3519516、18712012204</w:t>
            </w:r>
          </w:p>
          <w:p w14:paraId="58B14AE1">
            <w:pPr>
              <w:pStyle w:val="76"/>
              <w:pageBreakBefore w:val="0"/>
              <w:widowControl w:val="0"/>
              <w:kinsoku/>
              <w:wordWrap w:val="0"/>
              <w:overflowPunct/>
              <w:topLinePunct w:val="0"/>
              <w:bidi w:val="0"/>
              <w:spacing w:before="0" w:beforeAutospacing="0" w:after="0" w:afterAutospacing="0" w:line="360" w:lineRule="auto"/>
              <w:jc w:val="both"/>
              <w:textAlignment w:val="auto"/>
              <w:rPr>
                <w:b w:val="0"/>
                <w:color w:val="auto"/>
                <w:sz w:val="24"/>
                <w:highlight w:val="none"/>
              </w:rPr>
            </w:pPr>
            <w:r>
              <w:rPr>
                <w:rFonts w:hint="eastAsia" w:ascii="宋体" w:hAnsi="宋体" w:eastAsia="宋体" w:cs="宋体"/>
                <w:b w:val="0"/>
                <w:bCs/>
                <w:color w:val="auto"/>
                <w:kern w:val="0"/>
                <w:sz w:val="24"/>
                <w:szCs w:val="28"/>
                <w:highlight w:val="none"/>
                <w:lang w:val="en-US" w:eastAsia="zh-CN" w:bidi="ar-SA"/>
              </w:rPr>
              <w:t>通讯地址：</w:t>
            </w:r>
            <w:r>
              <w:rPr>
                <w:rFonts w:hint="eastAsia" w:cs="宋体"/>
                <w:b w:val="0"/>
                <w:bCs/>
                <w:color w:val="auto"/>
                <w:kern w:val="0"/>
                <w:sz w:val="24"/>
                <w:szCs w:val="28"/>
                <w:highlight w:val="none"/>
                <w:u w:val="single"/>
                <w:lang w:val="en-US" w:eastAsia="zh-CN" w:bidi="ar-SA"/>
              </w:rPr>
              <w:t>滁州市龙蟠大道200号</w:t>
            </w:r>
            <w:r>
              <w:rPr>
                <w:rFonts w:hint="eastAsia" w:ascii="宋体" w:hAnsi="宋体" w:eastAsia="宋体" w:cs="宋体"/>
                <w:b w:val="0"/>
                <w:bCs/>
                <w:color w:val="auto"/>
                <w:kern w:val="0"/>
                <w:sz w:val="24"/>
                <w:szCs w:val="28"/>
                <w:highlight w:val="none"/>
                <w:u w:val="single"/>
                <w:lang w:val="en-US" w:eastAsia="zh-CN" w:bidi="ar-SA"/>
              </w:rPr>
              <w:t>或滁州市龙蟠大道109号</w:t>
            </w:r>
            <w:r>
              <w:rPr>
                <w:rFonts w:hint="eastAsia" w:cs="宋体"/>
                <w:b w:val="0"/>
                <w:bCs/>
                <w:color w:val="auto"/>
                <w:kern w:val="0"/>
                <w:sz w:val="24"/>
                <w:szCs w:val="28"/>
                <w:highlight w:val="none"/>
                <w:u w:val="single"/>
                <w:lang w:val="en-US" w:eastAsia="zh-CN" w:bidi="ar-SA"/>
              </w:rPr>
              <w:t>房产</w:t>
            </w:r>
            <w:r>
              <w:rPr>
                <w:rFonts w:hint="eastAsia" w:ascii="宋体" w:hAnsi="宋体" w:eastAsia="宋体" w:cs="宋体"/>
                <w:b w:val="0"/>
                <w:bCs/>
                <w:color w:val="auto"/>
                <w:kern w:val="0"/>
                <w:sz w:val="24"/>
                <w:szCs w:val="28"/>
                <w:highlight w:val="none"/>
                <w:u w:val="single"/>
                <w:lang w:val="en-US" w:eastAsia="zh-CN" w:bidi="ar-SA"/>
              </w:rPr>
              <w:t>商务大厦6楼</w:t>
            </w:r>
          </w:p>
        </w:tc>
      </w:tr>
      <w:tr w14:paraId="0744D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2687C562">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rFonts w:hint="eastAsia"/>
                <w:bCs/>
                <w:color w:val="auto"/>
                <w:kern w:val="2"/>
                <w:highlight w:val="none"/>
              </w:rPr>
              <w:t>3</w:t>
            </w:r>
            <w:r>
              <w:rPr>
                <w:rFonts w:hint="eastAsia"/>
                <w:bCs/>
                <w:color w:val="auto"/>
                <w:kern w:val="2"/>
                <w:highlight w:val="none"/>
                <w:lang w:val="en-US" w:eastAsia="zh-CN"/>
              </w:rPr>
              <w:t>0</w:t>
            </w:r>
          </w:p>
        </w:tc>
        <w:tc>
          <w:tcPr>
            <w:tcW w:w="1711" w:type="dxa"/>
            <w:vAlign w:val="center"/>
          </w:tcPr>
          <w:p w14:paraId="1805EB49">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其他内容</w:t>
            </w:r>
          </w:p>
        </w:tc>
        <w:tc>
          <w:tcPr>
            <w:tcW w:w="6229" w:type="dxa"/>
            <w:shd w:val="clear" w:color="auto" w:fill="auto"/>
            <w:vAlign w:val="center"/>
          </w:tcPr>
          <w:p w14:paraId="4029182F">
            <w:pPr>
              <w:pStyle w:val="76"/>
              <w:pageBreakBefore w:val="0"/>
              <w:widowControl w:val="0"/>
              <w:numPr>
                <w:ilvl w:val="0"/>
                <w:numId w:val="0"/>
              </w:numPr>
              <w:kinsoku/>
              <w:wordWrap w:val="0"/>
              <w:overflowPunct/>
              <w:topLinePunct w:val="0"/>
              <w:bidi w:val="0"/>
              <w:spacing w:before="0" w:beforeAutospacing="0" w:after="0" w:afterAutospacing="0" w:line="360" w:lineRule="auto"/>
              <w:jc w:val="both"/>
              <w:textAlignment w:val="auto"/>
              <w:rPr>
                <w:rFonts w:asciiTheme="minorEastAsia" w:hAnsiTheme="minorEastAsia" w:eastAsiaTheme="minorEastAsia" w:cstheme="minorBidi"/>
                <w:b w:val="0"/>
                <w:bCs/>
                <w:color w:val="auto"/>
                <w:kern w:val="2"/>
                <w:sz w:val="24"/>
                <w:szCs w:val="24"/>
                <w:highlight w:val="none"/>
                <w:lang w:val="en-US" w:eastAsia="zh-CN" w:bidi="ar-SA"/>
              </w:rPr>
            </w:pPr>
            <w:r>
              <w:rPr>
                <w:rFonts w:hint="eastAsia" w:ascii="宋体" w:hAnsi="宋体" w:eastAsia="宋体"/>
                <w:b w:val="0"/>
                <w:color w:val="auto"/>
                <w:sz w:val="24"/>
                <w:highlight w:val="none"/>
                <w:lang w:val="en-US" w:eastAsia="zh-CN"/>
              </w:rPr>
              <w:t>/</w:t>
            </w:r>
          </w:p>
        </w:tc>
      </w:tr>
      <w:tr w14:paraId="2DD0F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58EFD9EE">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rPr>
              <w:t>1</w:t>
            </w:r>
          </w:p>
        </w:tc>
        <w:tc>
          <w:tcPr>
            <w:tcW w:w="1711" w:type="dxa"/>
            <w:vAlign w:val="center"/>
          </w:tcPr>
          <w:p w14:paraId="7D0E0923">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承包方式</w:t>
            </w:r>
          </w:p>
        </w:tc>
        <w:tc>
          <w:tcPr>
            <w:tcW w:w="6229" w:type="dxa"/>
            <w:vAlign w:val="center"/>
          </w:tcPr>
          <w:p w14:paraId="31D0BD45">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lang w:eastAsia="zh-CN"/>
              </w:rPr>
              <w:t>□</w:t>
            </w:r>
            <w:r>
              <w:rPr>
                <w:rFonts w:hint="eastAsia"/>
                <w:b w:val="0"/>
                <w:color w:val="auto"/>
                <w:sz w:val="24"/>
                <w:highlight w:val="none"/>
              </w:rPr>
              <w:t xml:space="preserve">施工总承包  </w:t>
            </w:r>
            <w:r>
              <w:rPr>
                <w:rFonts w:hint="eastAsia"/>
                <w:b w:val="0"/>
                <w:color w:val="auto"/>
                <w:sz w:val="24"/>
                <w:highlight w:val="none"/>
                <w:lang w:eastAsia="zh-CN"/>
              </w:rPr>
              <w:t>☑</w:t>
            </w:r>
            <w:r>
              <w:rPr>
                <w:rFonts w:hint="eastAsia"/>
                <w:b w:val="0"/>
                <w:color w:val="auto"/>
                <w:sz w:val="24"/>
                <w:highlight w:val="none"/>
              </w:rPr>
              <w:t>专业承包</w:t>
            </w:r>
          </w:p>
        </w:tc>
      </w:tr>
      <w:tr w14:paraId="6C1E3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4B69FDDD">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rPr>
              <w:t>2</w:t>
            </w:r>
          </w:p>
        </w:tc>
        <w:tc>
          <w:tcPr>
            <w:tcW w:w="1711" w:type="dxa"/>
            <w:vAlign w:val="center"/>
          </w:tcPr>
          <w:p w14:paraId="5A5697D4">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计价方式</w:t>
            </w:r>
          </w:p>
        </w:tc>
        <w:tc>
          <w:tcPr>
            <w:tcW w:w="6229" w:type="dxa"/>
            <w:vAlign w:val="center"/>
          </w:tcPr>
          <w:p w14:paraId="2C044DDC">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lang w:eastAsia="zh-CN"/>
              </w:rPr>
              <w:t>☑</w:t>
            </w:r>
            <w:r>
              <w:rPr>
                <w:rFonts w:hint="eastAsia"/>
                <w:b w:val="0"/>
                <w:color w:val="auto"/>
                <w:sz w:val="24"/>
                <w:highlight w:val="none"/>
              </w:rPr>
              <w:t>工程量清单综合单价报价法</w:t>
            </w:r>
          </w:p>
          <w:p w14:paraId="357B92DE">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□全费用综合单价报价法</w:t>
            </w:r>
          </w:p>
        </w:tc>
      </w:tr>
      <w:tr w14:paraId="546F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70B999FC">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rPr>
              <w:t>3</w:t>
            </w:r>
          </w:p>
        </w:tc>
        <w:tc>
          <w:tcPr>
            <w:tcW w:w="1711" w:type="dxa"/>
            <w:vAlign w:val="center"/>
          </w:tcPr>
          <w:p w14:paraId="1A0A6B28">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计划</w:t>
            </w:r>
            <w:r>
              <w:rPr>
                <w:b w:val="0"/>
                <w:color w:val="auto"/>
                <w:sz w:val="24"/>
                <w:highlight w:val="none"/>
              </w:rPr>
              <w:t>工期</w:t>
            </w:r>
          </w:p>
        </w:tc>
        <w:tc>
          <w:tcPr>
            <w:tcW w:w="6229" w:type="dxa"/>
            <w:vAlign w:val="center"/>
          </w:tcPr>
          <w:p w14:paraId="0D1A0B47">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计划</w:t>
            </w:r>
            <w:r>
              <w:rPr>
                <w:b w:val="0"/>
                <w:color w:val="auto"/>
                <w:sz w:val="24"/>
                <w:highlight w:val="none"/>
              </w:rPr>
              <w:t>工期：</w:t>
            </w:r>
            <w:r>
              <w:rPr>
                <w:rFonts w:hint="eastAsia"/>
                <w:b w:val="0"/>
                <w:color w:val="auto"/>
                <w:sz w:val="24"/>
                <w:highlight w:val="none"/>
              </w:rPr>
              <w:t>合同签订后不高于</w:t>
            </w:r>
            <w:r>
              <w:rPr>
                <w:b w:val="0"/>
                <w:color w:val="auto"/>
                <w:sz w:val="24"/>
                <w:highlight w:val="none"/>
                <w:u w:val="single"/>
              </w:rPr>
              <w:t xml:space="preserve"> </w:t>
            </w:r>
            <w:r>
              <w:rPr>
                <w:rFonts w:hint="eastAsia"/>
                <w:b w:val="0"/>
                <w:color w:val="auto"/>
                <w:sz w:val="24"/>
                <w:highlight w:val="none"/>
                <w:u w:val="single"/>
                <w:lang w:val="en-US" w:eastAsia="zh-CN"/>
              </w:rPr>
              <w:t>30</w:t>
            </w:r>
            <w:r>
              <w:rPr>
                <w:b w:val="0"/>
                <w:color w:val="auto"/>
                <w:sz w:val="24"/>
                <w:highlight w:val="none"/>
                <w:u w:val="single"/>
              </w:rPr>
              <w:t xml:space="preserve"> </w:t>
            </w:r>
            <w:r>
              <w:rPr>
                <w:rFonts w:hint="eastAsia"/>
                <w:b w:val="0"/>
                <w:color w:val="auto"/>
                <w:sz w:val="24"/>
                <w:highlight w:val="none"/>
                <w:lang w:val="en-US" w:eastAsia="zh-CN"/>
              </w:rPr>
              <w:t>个</w:t>
            </w:r>
            <w:r>
              <w:rPr>
                <w:b w:val="0"/>
                <w:color w:val="auto"/>
                <w:sz w:val="24"/>
                <w:highlight w:val="none"/>
              </w:rPr>
              <w:t>日历天</w:t>
            </w:r>
            <w:r>
              <w:rPr>
                <w:rFonts w:hint="eastAsia"/>
                <w:b w:val="0"/>
                <w:color w:val="auto"/>
                <w:sz w:val="24"/>
                <w:highlight w:val="none"/>
              </w:rPr>
              <w:t>内完成</w:t>
            </w:r>
          </w:p>
          <w:p w14:paraId="0F8ABB97">
            <w:pPr>
              <w:pStyle w:val="76"/>
              <w:widowControl w:val="0"/>
              <w:spacing w:before="0" w:beforeAutospacing="0" w:after="0" w:afterAutospacing="0" w:line="360" w:lineRule="auto"/>
              <w:jc w:val="both"/>
              <w:rPr>
                <w:b w:val="0"/>
                <w:color w:val="auto"/>
                <w:sz w:val="24"/>
                <w:highlight w:val="none"/>
              </w:rPr>
            </w:pPr>
            <w:r>
              <w:rPr>
                <w:b w:val="0"/>
                <w:color w:val="auto"/>
                <w:sz w:val="24"/>
                <w:highlight w:val="none"/>
              </w:rPr>
              <w:t>计划开工日期：</w:t>
            </w:r>
            <w:r>
              <w:rPr>
                <w:b w:val="0"/>
                <w:color w:val="auto"/>
                <w:sz w:val="24"/>
                <w:highlight w:val="none"/>
                <w:u w:val="single"/>
              </w:rPr>
              <w:t xml:space="preserve">    </w:t>
            </w:r>
            <w:r>
              <w:rPr>
                <w:b w:val="0"/>
                <w:color w:val="auto"/>
                <w:sz w:val="24"/>
                <w:highlight w:val="none"/>
              </w:rPr>
              <w:t>年</w:t>
            </w:r>
            <w:r>
              <w:rPr>
                <w:b w:val="0"/>
                <w:color w:val="auto"/>
                <w:sz w:val="24"/>
                <w:highlight w:val="none"/>
                <w:u w:val="single"/>
              </w:rPr>
              <w:t xml:space="preserve">  </w:t>
            </w:r>
            <w:r>
              <w:rPr>
                <w:b w:val="0"/>
                <w:color w:val="auto"/>
                <w:sz w:val="24"/>
                <w:highlight w:val="none"/>
              </w:rPr>
              <w:t>月</w:t>
            </w:r>
            <w:r>
              <w:rPr>
                <w:b w:val="0"/>
                <w:color w:val="auto"/>
                <w:sz w:val="24"/>
                <w:highlight w:val="none"/>
                <w:u w:val="single"/>
              </w:rPr>
              <w:t xml:space="preserve">  </w:t>
            </w:r>
            <w:r>
              <w:rPr>
                <w:b w:val="0"/>
                <w:color w:val="auto"/>
                <w:sz w:val="24"/>
                <w:highlight w:val="none"/>
              </w:rPr>
              <w:t>日</w:t>
            </w:r>
            <w:r>
              <w:rPr>
                <w:rFonts w:hint="eastAsia"/>
                <w:b w:val="0"/>
                <w:color w:val="auto"/>
                <w:sz w:val="24"/>
                <w:highlight w:val="none"/>
              </w:rPr>
              <w:t>，</w:t>
            </w:r>
            <w:bookmarkStart w:id="25" w:name="EB2a2e1a22d449405a860670c095486ab8"/>
            <w:r>
              <w:rPr>
                <w:rFonts w:hint="eastAsia"/>
                <w:b w:val="0"/>
                <w:color w:val="auto"/>
                <w:sz w:val="24"/>
                <w:highlight w:val="none"/>
              </w:rPr>
              <w:t>具体开工时间以开工令为准。</w:t>
            </w:r>
            <w:bookmarkEnd w:id="25"/>
          </w:p>
        </w:tc>
      </w:tr>
      <w:tr w14:paraId="0633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5F8D572D">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rPr>
              <w:t>4</w:t>
            </w:r>
          </w:p>
        </w:tc>
        <w:tc>
          <w:tcPr>
            <w:tcW w:w="1711" w:type="dxa"/>
            <w:vAlign w:val="center"/>
          </w:tcPr>
          <w:p w14:paraId="323B475F">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质量标准要求</w:t>
            </w:r>
          </w:p>
        </w:tc>
        <w:tc>
          <w:tcPr>
            <w:tcW w:w="6229" w:type="dxa"/>
            <w:vAlign w:val="center"/>
          </w:tcPr>
          <w:p w14:paraId="7381E5E8">
            <w:pPr>
              <w:pStyle w:val="103"/>
              <w:tabs>
                <w:tab w:val="left" w:pos="1152"/>
              </w:tabs>
              <w:spacing w:before="0" w:beforeAutospacing="0" w:after="0" w:afterAutospacing="0" w:line="360" w:lineRule="auto"/>
              <w:rPr>
                <w:b/>
                <w:color w:val="auto"/>
                <w:highlight w:val="none"/>
              </w:rPr>
            </w:pPr>
            <w:r>
              <w:rPr>
                <w:rFonts w:hint="eastAsia" w:cs="@仿宋_GB2312"/>
                <w:bCs/>
                <w:color w:val="auto"/>
                <w:szCs w:val="28"/>
                <w:highlight w:val="none"/>
              </w:rPr>
              <w:t>质量标准：合格</w:t>
            </w:r>
          </w:p>
        </w:tc>
      </w:tr>
      <w:tr w14:paraId="04C1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5911F13D">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lang w:val="en-US" w:eastAsia="zh-CN"/>
              </w:rPr>
              <w:t>5</w:t>
            </w:r>
          </w:p>
        </w:tc>
        <w:tc>
          <w:tcPr>
            <w:tcW w:w="1711" w:type="dxa"/>
            <w:vAlign w:val="center"/>
          </w:tcPr>
          <w:p w14:paraId="32868228">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安全文明要求</w:t>
            </w:r>
          </w:p>
        </w:tc>
        <w:tc>
          <w:tcPr>
            <w:tcW w:w="6229" w:type="dxa"/>
            <w:vAlign w:val="center"/>
          </w:tcPr>
          <w:p w14:paraId="1AE9BD95">
            <w:pPr>
              <w:pStyle w:val="76"/>
              <w:widowControl w:val="0"/>
              <w:spacing w:before="0" w:beforeAutospacing="0" w:after="0" w:afterAutospacing="0" w:line="360" w:lineRule="auto"/>
              <w:jc w:val="both"/>
              <w:rPr>
                <w:b w:val="0"/>
                <w:bCs w:val="0"/>
                <w:color w:val="auto"/>
                <w:sz w:val="24"/>
                <w:highlight w:val="none"/>
              </w:rPr>
            </w:pPr>
            <w:r>
              <w:rPr>
                <w:rFonts w:hint="eastAsia"/>
                <w:b w:val="0"/>
                <w:bCs w:val="0"/>
                <w:color w:val="auto"/>
                <w:sz w:val="24"/>
                <w:highlight w:val="none"/>
              </w:rPr>
              <w:t>必须确保安全文明施工，符合国家和项目所在地现行相关规定</w:t>
            </w:r>
          </w:p>
        </w:tc>
      </w:tr>
      <w:tr w14:paraId="3E29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72656CF1">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lang w:val="en-US" w:eastAsia="zh-CN"/>
              </w:rPr>
              <w:t>6</w:t>
            </w:r>
          </w:p>
        </w:tc>
        <w:tc>
          <w:tcPr>
            <w:tcW w:w="1711" w:type="dxa"/>
            <w:vAlign w:val="center"/>
          </w:tcPr>
          <w:p w14:paraId="1B1E198B">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总包及分包规定</w:t>
            </w:r>
          </w:p>
        </w:tc>
        <w:tc>
          <w:tcPr>
            <w:tcW w:w="6229" w:type="dxa"/>
            <w:vAlign w:val="center"/>
          </w:tcPr>
          <w:p w14:paraId="152A102F">
            <w:pPr>
              <w:spacing w:line="360" w:lineRule="auto"/>
              <w:rPr>
                <w:rFonts w:ascii="Calibri" w:hAnsi="Calibri" w:cs="Times New Roman"/>
                <w:b w:val="0"/>
                <w:bCs w:val="0"/>
                <w:color w:val="auto"/>
                <w:kern w:val="2"/>
                <w:sz w:val="24"/>
                <w:szCs w:val="28"/>
                <w:highlight w:val="none"/>
              </w:rPr>
            </w:pPr>
            <w:r>
              <w:rPr>
                <w:rFonts w:hint="eastAsia" w:ascii="Calibri" w:hAnsi="Calibri" w:cs="Times New Roman"/>
                <w:b w:val="0"/>
                <w:bCs w:val="0"/>
                <w:color w:val="auto"/>
                <w:kern w:val="2"/>
                <w:sz w:val="24"/>
                <w:szCs w:val="28"/>
                <w:highlight w:val="none"/>
              </w:rPr>
              <w:t>供应商不得在成交后将工程转包给其它施工单位。</w:t>
            </w:r>
          </w:p>
          <w:p w14:paraId="4A852F41">
            <w:pPr>
              <w:spacing w:line="360" w:lineRule="auto"/>
              <w:jc w:val="left"/>
              <w:rPr>
                <w:rFonts w:cs="Times New Roman"/>
                <w:b w:val="0"/>
                <w:bCs w:val="0"/>
                <w:color w:val="auto"/>
                <w:kern w:val="2"/>
                <w:sz w:val="24"/>
                <w:szCs w:val="22"/>
                <w:highlight w:val="none"/>
              </w:rPr>
            </w:pPr>
            <w:r>
              <w:rPr>
                <w:rFonts w:hint="eastAsia" w:cs="Times New Roman"/>
                <w:b w:val="0"/>
                <w:bCs w:val="0"/>
                <w:color w:val="auto"/>
                <w:kern w:val="2"/>
                <w:sz w:val="24"/>
                <w:szCs w:val="22"/>
                <w:highlight w:val="none"/>
              </w:rPr>
              <w:t>分包情况</w:t>
            </w:r>
          </w:p>
          <w:p w14:paraId="04095639">
            <w:pPr>
              <w:spacing w:line="360" w:lineRule="auto"/>
              <w:jc w:val="left"/>
              <w:rPr>
                <w:rFonts w:cs="Times New Roman"/>
                <w:b w:val="0"/>
                <w:bCs w:val="0"/>
                <w:color w:val="auto"/>
                <w:kern w:val="2"/>
                <w:sz w:val="24"/>
                <w:szCs w:val="22"/>
                <w:highlight w:val="none"/>
              </w:rPr>
            </w:pPr>
            <w:r>
              <w:rPr>
                <w:rFonts w:hint="eastAsia" w:cs="Times New Roman"/>
                <w:b w:val="0"/>
                <w:bCs w:val="0"/>
                <w:color w:val="auto"/>
                <w:kern w:val="2"/>
                <w:sz w:val="24"/>
                <w:szCs w:val="22"/>
                <w:highlight w:val="none"/>
                <w:lang w:eastAsia="zh-CN"/>
              </w:rPr>
              <w:t>□</w:t>
            </w:r>
            <w:r>
              <w:rPr>
                <w:rFonts w:hint="eastAsia" w:cs="Times New Roman"/>
                <w:b w:val="0"/>
                <w:bCs w:val="0"/>
                <w:color w:val="auto"/>
                <w:kern w:val="2"/>
                <w:sz w:val="24"/>
                <w:szCs w:val="22"/>
                <w:highlight w:val="none"/>
              </w:rPr>
              <w:t>允许专业分包，</w:t>
            </w:r>
            <w:r>
              <w:rPr>
                <w:rFonts w:hint="eastAsia" w:ascii="Calibri" w:hAnsi="Calibri" w:cs="Times New Roman"/>
                <w:b w:val="0"/>
                <w:bCs w:val="0"/>
                <w:color w:val="auto"/>
                <w:kern w:val="2"/>
                <w:sz w:val="24"/>
                <w:szCs w:val="22"/>
                <w:highlight w:val="none"/>
              </w:rPr>
              <w:t>分包项目、内容及分包商须经采购人及监理单位同意和认可</w:t>
            </w:r>
          </w:p>
          <w:p w14:paraId="59907887">
            <w:pPr>
              <w:pStyle w:val="76"/>
              <w:widowControl w:val="0"/>
              <w:spacing w:before="0" w:beforeAutospacing="0" w:after="0" w:afterAutospacing="0" w:line="360" w:lineRule="auto"/>
              <w:jc w:val="both"/>
              <w:rPr>
                <w:b w:val="0"/>
                <w:bCs w:val="0"/>
                <w:color w:val="auto"/>
                <w:sz w:val="24"/>
                <w:highlight w:val="none"/>
              </w:rPr>
            </w:pPr>
            <w:r>
              <w:rPr>
                <w:rFonts w:hint="eastAsia" w:cs="Times New Roman"/>
                <w:b w:val="0"/>
                <w:bCs w:val="0"/>
                <w:color w:val="auto"/>
                <w:kern w:val="2"/>
                <w:sz w:val="24"/>
                <w:szCs w:val="22"/>
                <w:highlight w:val="none"/>
                <w:lang w:eastAsia="zh-CN"/>
              </w:rPr>
              <w:t>☑</w:t>
            </w:r>
            <w:r>
              <w:rPr>
                <w:rFonts w:hint="eastAsia" w:cs="Times New Roman"/>
                <w:b w:val="0"/>
                <w:bCs w:val="0"/>
                <w:color w:val="auto"/>
                <w:kern w:val="2"/>
                <w:sz w:val="24"/>
                <w:szCs w:val="22"/>
                <w:highlight w:val="none"/>
              </w:rPr>
              <w:t>不允许</w:t>
            </w:r>
          </w:p>
        </w:tc>
      </w:tr>
      <w:tr w14:paraId="5D55B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224759A0">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lang w:val="en-US" w:eastAsia="zh-CN"/>
              </w:rPr>
              <w:t>7</w:t>
            </w:r>
          </w:p>
        </w:tc>
        <w:tc>
          <w:tcPr>
            <w:tcW w:w="1711" w:type="dxa"/>
            <w:vAlign w:val="center"/>
          </w:tcPr>
          <w:p w14:paraId="34B2E0E3">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现场条件</w:t>
            </w:r>
          </w:p>
        </w:tc>
        <w:tc>
          <w:tcPr>
            <w:tcW w:w="6229" w:type="dxa"/>
            <w:vAlign w:val="center"/>
          </w:tcPr>
          <w:p w14:paraId="2FB4D56D">
            <w:pPr>
              <w:pStyle w:val="76"/>
              <w:widowControl w:val="0"/>
              <w:spacing w:before="0" w:beforeAutospacing="0" w:after="0" w:afterAutospacing="0" w:line="360" w:lineRule="auto"/>
              <w:jc w:val="both"/>
              <w:rPr>
                <w:b w:val="0"/>
                <w:color w:val="auto"/>
                <w:sz w:val="24"/>
                <w:highlight w:val="none"/>
              </w:rPr>
            </w:pPr>
            <w:r>
              <w:rPr>
                <w:rFonts w:hint="eastAsia"/>
                <w:b w:val="0"/>
                <w:bCs w:val="0"/>
                <w:color w:val="auto"/>
                <w:sz w:val="24"/>
                <w:highlight w:val="none"/>
              </w:rPr>
              <w:t>具备开工条件</w:t>
            </w:r>
          </w:p>
        </w:tc>
      </w:tr>
      <w:tr w14:paraId="48689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40183F4B">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lang w:val="en-US" w:eastAsia="zh-CN"/>
              </w:rPr>
              <w:t>8</w:t>
            </w:r>
          </w:p>
        </w:tc>
        <w:tc>
          <w:tcPr>
            <w:tcW w:w="1711" w:type="dxa"/>
            <w:vAlign w:val="center"/>
          </w:tcPr>
          <w:p w14:paraId="1FD5A54E">
            <w:pPr>
              <w:pStyle w:val="76"/>
              <w:widowControl w:val="0"/>
              <w:spacing w:before="0" w:beforeAutospacing="0" w:after="0" w:afterAutospacing="0" w:line="360" w:lineRule="auto"/>
              <w:jc w:val="both"/>
              <w:rPr>
                <w:b w:val="0"/>
                <w:color w:val="auto"/>
                <w:sz w:val="24"/>
                <w:highlight w:val="none"/>
              </w:rPr>
            </w:pPr>
            <w:r>
              <w:rPr>
                <w:rFonts w:hint="eastAsia"/>
                <w:b w:val="0"/>
                <w:bCs w:val="0"/>
                <w:color w:val="auto"/>
                <w:sz w:val="24"/>
                <w:highlight w:val="none"/>
              </w:rPr>
              <w:t>采购人提供的资料</w:t>
            </w:r>
          </w:p>
        </w:tc>
        <w:tc>
          <w:tcPr>
            <w:tcW w:w="6229" w:type="dxa"/>
            <w:vAlign w:val="center"/>
          </w:tcPr>
          <w:p w14:paraId="02398E11">
            <w:pPr>
              <w:adjustRightInd w:val="0"/>
              <w:snapToGrid w:val="0"/>
              <w:spacing w:line="360" w:lineRule="auto"/>
              <w:jc w:val="left"/>
              <w:rPr>
                <w:bCs/>
                <w:color w:val="auto"/>
                <w:sz w:val="24"/>
                <w:szCs w:val="28"/>
                <w:highlight w:val="none"/>
              </w:rPr>
            </w:pPr>
            <w:r>
              <w:rPr>
                <w:rFonts w:hint="eastAsia"/>
                <w:bCs/>
                <w:color w:val="auto"/>
                <w:sz w:val="24"/>
                <w:szCs w:val="28"/>
                <w:highlight w:val="none"/>
                <w:lang w:eastAsia="zh-CN"/>
              </w:rPr>
              <w:t>☑</w:t>
            </w:r>
            <w:r>
              <w:rPr>
                <w:rFonts w:hint="eastAsia"/>
                <w:bCs/>
                <w:color w:val="auto"/>
                <w:sz w:val="24"/>
                <w:szCs w:val="28"/>
                <w:highlight w:val="none"/>
              </w:rPr>
              <w:t>磋商文件</w:t>
            </w:r>
          </w:p>
          <w:p w14:paraId="30094025">
            <w:pPr>
              <w:adjustRightInd w:val="0"/>
              <w:snapToGrid w:val="0"/>
              <w:spacing w:line="360" w:lineRule="auto"/>
              <w:jc w:val="left"/>
              <w:rPr>
                <w:bCs/>
                <w:color w:val="auto"/>
                <w:sz w:val="24"/>
                <w:szCs w:val="28"/>
                <w:highlight w:val="none"/>
              </w:rPr>
            </w:pPr>
            <w:r>
              <w:rPr>
                <w:rFonts w:hint="eastAsia"/>
                <w:bCs/>
                <w:color w:val="auto"/>
                <w:sz w:val="24"/>
                <w:szCs w:val="28"/>
                <w:highlight w:val="none"/>
                <w:lang w:eastAsia="zh-CN"/>
              </w:rPr>
              <w:t>☑</w:t>
            </w:r>
            <w:r>
              <w:rPr>
                <w:rFonts w:hint="eastAsia"/>
                <w:bCs/>
                <w:color w:val="auto"/>
                <w:sz w:val="24"/>
                <w:szCs w:val="28"/>
                <w:highlight w:val="none"/>
              </w:rPr>
              <w:t>工程量清单</w:t>
            </w:r>
          </w:p>
          <w:p w14:paraId="098B7380">
            <w:pPr>
              <w:adjustRightInd w:val="0"/>
              <w:snapToGrid w:val="0"/>
              <w:spacing w:line="360" w:lineRule="auto"/>
              <w:jc w:val="left"/>
              <w:rPr>
                <w:bCs/>
                <w:color w:val="auto"/>
                <w:sz w:val="24"/>
                <w:szCs w:val="28"/>
                <w:highlight w:val="none"/>
              </w:rPr>
            </w:pPr>
            <w:r>
              <w:rPr>
                <w:rFonts w:hint="eastAsia"/>
                <w:bCs/>
                <w:color w:val="auto"/>
                <w:sz w:val="24"/>
                <w:szCs w:val="28"/>
                <w:highlight w:val="none"/>
                <w:lang w:eastAsia="zh-CN"/>
              </w:rPr>
              <w:t>☑</w:t>
            </w:r>
            <w:r>
              <w:rPr>
                <w:rFonts w:hint="eastAsia"/>
                <w:bCs/>
                <w:color w:val="auto"/>
                <w:sz w:val="24"/>
                <w:szCs w:val="28"/>
                <w:highlight w:val="none"/>
              </w:rPr>
              <w:t>最高投标限价</w:t>
            </w:r>
          </w:p>
          <w:p w14:paraId="33AF6078">
            <w:pPr>
              <w:adjustRightInd w:val="0"/>
              <w:snapToGrid w:val="0"/>
              <w:spacing w:line="360" w:lineRule="auto"/>
              <w:jc w:val="left"/>
              <w:rPr>
                <w:bCs/>
                <w:color w:val="auto"/>
                <w:sz w:val="24"/>
                <w:szCs w:val="28"/>
                <w:highlight w:val="none"/>
              </w:rPr>
            </w:pPr>
            <w:r>
              <w:rPr>
                <w:rFonts w:hint="eastAsia"/>
                <w:bCs/>
                <w:color w:val="auto"/>
                <w:sz w:val="24"/>
                <w:szCs w:val="28"/>
                <w:highlight w:val="none"/>
                <w:lang w:eastAsia="zh-CN"/>
              </w:rPr>
              <w:t>☑</w:t>
            </w:r>
            <w:r>
              <w:rPr>
                <w:rFonts w:hint="eastAsia"/>
                <w:bCs/>
                <w:color w:val="auto"/>
                <w:sz w:val="24"/>
                <w:szCs w:val="28"/>
                <w:highlight w:val="none"/>
              </w:rPr>
              <w:t>电子版图纸</w:t>
            </w:r>
          </w:p>
          <w:p w14:paraId="37077B02">
            <w:pPr>
              <w:adjustRightInd w:val="0"/>
              <w:snapToGrid w:val="0"/>
              <w:spacing w:line="360" w:lineRule="auto"/>
              <w:jc w:val="left"/>
              <w:rPr>
                <w:bCs/>
                <w:color w:val="auto"/>
                <w:sz w:val="24"/>
                <w:szCs w:val="28"/>
                <w:highlight w:val="none"/>
              </w:rPr>
            </w:pPr>
            <w:r>
              <w:rPr>
                <w:rFonts w:hint="eastAsia"/>
                <w:bCs/>
                <w:color w:val="auto"/>
                <w:sz w:val="24"/>
                <w:szCs w:val="28"/>
                <w:highlight w:val="none"/>
              </w:rPr>
              <w:t>获得方式：</w:t>
            </w:r>
          </w:p>
          <w:p w14:paraId="24FD5B8E">
            <w:pPr>
              <w:pStyle w:val="76"/>
              <w:widowControl w:val="0"/>
              <w:spacing w:before="0" w:beforeAutospacing="0" w:after="0" w:afterAutospacing="0" w:line="360" w:lineRule="auto"/>
              <w:jc w:val="both"/>
              <w:rPr>
                <w:b w:val="0"/>
                <w:color w:val="auto"/>
                <w:sz w:val="24"/>
                <w:highlight w:val="none"/>
              </w:rPr>
            </w:pPr>
            <w:r>
              <w:rPr>
                <w:rFonts w:hint="eastAsia"/>
                <w:color w:val="auto"/>
                <w:sz w:val="24"/>
                <w:highlight w:val="none"/>
              </w:rPr>
              <w:t>上述资料请供应商在获取磋商文件后，自行登录电子交易系统下载本项目附件。</w:t>
            </w:r>
          </w:p>
        </w:tc>
      </w:tr>
      <w:tr w14:paraId="3C5E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39276BF5">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rFonts w:hint="eastAsia"/>
                <w:bCs/>
                <w:color w:val="auto"/>
                <w:kern w:val="2"/>
                <w:highlight w:val="none"/>
                <w:lang w:val="en-US" w:eastAsia="zh-CN"/>
              </w:rPr>
              <w:t>30</w:t>
            </w:r>
            <w:r>
              <w:rPr>
                <w:bCs/>
                <w:color w:val="auto"/>
                <w:kern w:val="2"/>
                <w:highlight w:val="none"/>
              </w:rPr>
              <w:t>.</w:t>
            </w:r>
            <w:r>
              <w:rPr>
                <w:rFonts w:hint="eastAsia"/>
                <w:bCs/>
                <w:color w:val="auto"/>
                <w:kern w:val="2"/>
                <w:highlight w:val="none"/>
                <w:lang w:val="en-US" w:eastAsia="zh-CN"/>
              </w:rPr>
              <w:t>9</w:t>
            </w:r>
          </w:p>
        </w:tc>
        <w:tc>
          <w:tcPr>
            <w:tcW w:w="1711" w:type="dxa"/>
            <w:vAlign w:val="center"/>
          </w:tcPr>
          <w:p w14:paraId="735CB58B">
            <w:pPr>
              <w:pStyle w:val="76"/>
              <w:widowControl w:val="0"/>
              <w:spacing w:before="0" w:beforeAutospacing="0" w:after="0" w:afterAutospacing="0" w:line="360" w:lineRule="auto"/>
              <w:jc w:val="both"/>
              <w:rPr>
                <w:b w:val="0"/>
                <w:color w:val="auto"/>
                <w:sz w:val="24"/>
                <w:highlight w:val="none"/>
              </w:rPr>
            </w:pPr>
            <w:r>
              <w:rPr>
                <w:rFonts w:hint="eastAsia"/>
                <w:b w:val="0"/>
                <w:bCs w:val="0"/>
                <w:color w:val="auto"/>
                <w:sz w:val="24"/>
                <w:highlight w:val="none"/>
              </w:rPr>
              <w:t>工程量清单和最高投标限价编制费</w:t>
            </w:r>
          </w:p>
        </w:tc>
        <w:tc>
          <w:tcPr>
            <w:tcW w:w="6229" w:type="dxa"/>
            <w:vAlign w:val="center"/>
          </w:tcPr>
          <w:p w14:paraId="7D8E08D4">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ascii="宋体" w:hAnsi="宋体" w:eastAsia="宋体" w:cs="宋体"/>
                <w:color w:val="auto"/>
                <w:sz w:val="24"/>
                <w:szCs w:val="24"/>
                <w:highlight w:val="none"/>
                <w:u w:val="single" w:color="auto"/>
              </w:rPr>
              <w:t xml:space="preserve"> </w:t>
            </w:r>
            <w:r>
              <w:rPr>
                <w:rFonts w:hint="eastAsia" w:cs="宋体"/>
                <w:color w:val="auto"/>
                <w:sz w:val="24"/>
                <w:szCs w:val="24"/>
                <w:highlight w:val="none"/>
                <w:u w:val="single" w:color="auto"/>
                <w:lang w:val="en-US" w:eastAsia="zh-CN"/>
              </w:rPr>
              <w:t>/</w:t>
            </w:r>
            <w:r>
              <w:rPr>
                <w:rFonts w:ascii="宋体" w:hAnsi="宋体" w:eastAsia="宋体" w:cs="宋体"/>
                <w:color w:val="auto"/>
                <w:sz w:val="24"/>
                <w:szCs w:val="24"/>
                <w:highlight w:val="none"/>
                <w:u w:val="single" w:color="auto"/>
              </w:rPr>
              <w:t xml:space="preserve"> </w:t>
            </w:r>
          </w:p>
          <w:p w14:paraId="38876E13">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color="auto"/>
              </w:rPr>
              <w:t xml:space="preserve"> </w:t>
            </w:r>
            <w:r>
              <w:rPr>
                <w:rFonts w:hint="eastAsia" w:cs="宋体"/>
                <w:color w:val="auto"/>
                <w:sz w:val="24"/>
                <w:szCs w:val="24"/>
                <w:highlight w:val="none"/>
                <w:u w:val="single" w:color="auto"/>
                <w:lang w:val="en-US" w:eastAsia="zh-CN"/>
              </w:rPr>
              <w:t>/</w:t>
            </w:r>
            <w:r>
              <w:rPr>
                <w:rFonts w:ascii="宋体" w:hAnsi="宋体" w:eastAsia="宋体" w:cs="宋体"/>
                <w:color w:val="auto"/>
                <w:sz w:val="24"/>
                <w:szCs w:val="24"/>
                <w:highlight w:val="none"/>
                <w:u w:val="single" w:color="auto"/>
              </w:rPr>
              <w:t xml:space="preserve">  </w:t>
            </w:r>
          </w:p>
          <w:p w14:paraId="2E7E74A7">
            <w:pPr>
              <w:pStyle w:val="76"/>
              <w:widowControl w:val="0"/>
              <w:spacing w:before="0" w:beforeAutospacing="0" w:after="0" w:afterAutospacing="0" w:line="360" w:lineRule="auto"/>
              <w:jc w:val="both"/>
              <w:rPr>
                <w:b w:val="0"/>
                <w:color w:val="auto"/>
                <w:sz w:val="24"/>
                <w:highlight w:val="none"/>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ascii="宋体" w:hAnsi="宋体" w:eastAsia="宋体" w:cs="宋体"/>
                <w:color w:val="auto"/>
                <w:sz w:val="24"/>
                <w:szCs w:val="24"/>
                <w:highlight w:val="none"/>
                <w:u w:val="single" w:color="auto"/>
              </w:rPr>
              <w:t xml:space="preserve">  </w:t>
            </w:r>
            <w:r>
              <w:rPr>
                <w:rFonts w:hint="eastAsia" w:cs="宋体"/>
                <w:color w:val="auto"/>
                <w:sz w:val="24"/>
                <w:szCs w:val="24"/>
                <w:highlight w:val="none"/>
                <w:u w:val="single" w:color="auto"/>
                <w:lang w:val="en-US" w:eastAsia="zh-CN"/>
              </w:rPr>
              <w:t>/</w:t>
            </w:r>
            <w:r>
              <w:rPr>
                <w:rFonts w:ascii="宋体" w:hAnsi="宋体" w:eastAsia="宋体" w:cs="宋体"/>
                <w:color w:val="auto"/>
                <w:sz w:val="24"/>
                <w:szCs w:val="24"/>
                <w:highlight w:val="none"/>
                <w:u w:val="single" w:color="auto"/>
              </w:rPr>
              <w:t xml:space="preserve">  </w:t>
            </w:r>
          </w:p>
        </w:tc>
      </w:tr>
      <w:tr w14:paraId="3EFD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16" w:type="dxa"/>
            <w:vAlign w:val="center"/>
          </w:tcPr>
          <w:p w14:paraId="20A7A498">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.1</w:t>
            </w:r>
            <w:r>
              <w:rPr>
                <w:rFonts w:hint="eastAsia"/>
                <w:bCs/>
                <w:color w:val="auto"/>
                <w:kern w:val="2"/>
                <w:highlight w:val="none"/>
                <w:lang w:val="en-US" w:eastAsia="zh-CN"/>
              </w:rPr>
              <w:t>0</w:t>
            </w:r>
          </w:p>
        </w:tc>
        <w:tc>
          <w:tcPr>
            <w:tcW w:w="1711" w:type="dxa"/>
            <w:vAlign w:val="center"/>
          </w:tcPr>
          <w:p w14:paraId="2E1414C5">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其他补充说明</w:t>
            </w:r>
          </w:p>
        </w:tc>
        <w:tc>
          <w:tcPr>
            <w:tcW w:w="6229" w:type="dxa"/>
            <w:vAlign w:val="center"/>
          </w:tcPr>
          <w:p w14:paraId="0253AC59">
            <w:pPr>
              <w:pStyle w:val="76"/>
              <w:widowControl w:val="0"/>
              <w:spacing w:before="0" w:beforeAutospacing="0" w:after="0" w:afterAutospacing="0" w:line="360" w:lineRule="auto"/>
              <w:jc w:val="both"/>
              <w:rPr>
                <w:rFonts w:hint="eastAsia" w:asciiTheme="minorEastAsia" w:hAnsiTheme="minorEastAsia" w:eastAsiaTheme="minorEastAsia"/>
                <w:b w:val="0"/>
                <w:bCs w:val="0"/>
                <w:color w:val="auto"/>
                <w:sz w:val="24"/>
                <w:szCs w:val="24"/>
                <w:highlight w:val="none"/>
                <w:lang w:val="en-US" w:eastAsia="zh-CN"/>
              </w:rPr>
            </w:pPr>
            <w:r>
              <w:rPr>
                <w:rFonts w:hint="eastAsia" w:asciiTheme="minorEastAsia" w:hAnsiTheme="minorEastAsia" w:eastAsiaTheme="minorEastAsia"/>
                <w:b w:val="0"/>
                <w:bCs w:val="0"/>
                <w:color w:val="auto"/>
                <w:sz w:val="24"/>
                <w:szCs w:val="24"/>
                <w:highlight w:val="none"/>
                <w:lang w:val="en-US" w:eastAsia="zh-CN"/>
              </w:rPr>
              <w:t>1.解释权</w:t>
            </w:r>
          </w:p>
          <w:p w14:paraId="34B314AE">
            <w:pPr>
              <w:pStyle w:val="76"/>
              <w:widowControl w:val="0"/>
              <w:spacing w:before="0" w:beforeAutospacing="0" w:after="0" w:afterAutospacing="0" w:line="360" w:lineRule="auto"/>
              <w:jc w:val="both"/>
              <w:rPr>
                <w:rFonts w:hint="eastAsia" w:asciiTheme="minorEastAsia" w:hAnsiTheme="minorEastAsia" w:eastAsiaTheme="minorEastAsia"/>
                <w:b w:val="0"/>
                <w:bCs w:val="0"/>
                <w:color w:val="auto"/>
                <w:sz w:val="24"/>
                <w:szCs w:val="24"/>
                <w:highlight w:val="none"/>
                <w:lang w:val="en-US" w:eastAsia="zh-CN"/>
              </w:rPr>
            </w:pPr>
            <w:r>
              <w:rPr>
                <w:rFonts w:hint="eastAsia" w:asciiTheme="minorEastAsia" w:hAnsiTheme="minorEastAsia" w:eastAsiaTheme="minorEastAsia"/>
                <w:b w:val="0"/>
                <w:bCs w:val="0"/>
                <w:color w:val="auto"/>
                <w:sz w:val="24"/>
                <w:szCs w:val="24"/>
                <w:highlight w:val="none"/>
                <w:lang w:val="en-US" w:eastAsia="zh-CN"/>
              </w:rPr>
              <w:t>（1）构成本磋商文件的各个组成文件应互为解释，互为说明；</w:t>
            </w:r>
          </w:p>
          <w:p w14:paraId="37F4D154">
            <w:pPr>
              <w:pStyle w:val="76"/>
              <w:widowControl w:val="0"/>
              <w:spacing w:before="0" w:beforeAutospacing="0" w:after="0" w:afterAutospacing="0" w:line="360" w:lineRule="auto"/>
              <w:jc w:val="both"/>
              <w:rPr>
                <w:rFonts w:hint="eastAsia" w:asciiTheme="minorEastAsia" w:hAnsiTheme="minorEastAsia" w:eastAsiaTheme="minorEastAsia"/>
                <w:b w:val="0"/>
                <w:bCs w:val="0"/>
                <w:color w:val="auto"/>
                <w:sz w:val="24"/>
                <w:szCs w:val="24"/>
                <w:highlight w:val="none"/>
                <w:lang w:val="en-US" w:eastAsia="zh-CN"/>
              </w:rPr>
            </w:pPr>
            <w:r>
              <w:rPr>
                <w:rFonts w:hint="eastAsia" w:asciiTheme="minorEastAsia" w:hAnsiTheme="minorEastAsia" w:eastAsiaTheme="minorEastAsia"/>
                <w:b w:val="0"/>
                <w:bCs w:val="0"/>
                <w:color w:val="auto"/>
                <w:sz w:val="24"/>
                <w:szCs w:val="24"/>
                <w:highlight w:val="none"/>
                <w:lang w:val="en-US" w:eastAsia="zh-CN"/>
              </w:rPr>
              <w:t>（2）同一组成文件中就同一事项的规定或约定不一致的，以编排顺序在后者为准；</w:t>
            </w:r>
          </w:p>
          <w:p w14:paraId="0D29F547">
            <w:pPr>
              <w:pStyle w:val="76"/>
              <w:widowControl w:val="0"/>
              <w:spacing w:before="0" w:beforeAutospacing="0" w:after="0" w:afterAutospacing="0" w:line="360" w:lineRule="auto"/>
              <w:jc w:val="both"/>
              <w:rPr>
                <w:rFonts w:hint="eastAsia" w:asciiTheme="minorEastAsia" w:hAnsiTheme="minorEastAsia" w:eastAsiaTheme="minorEastAsia"/>
                <w:b w:val="0"/>
                <w:bCs w:val="0"/>
                <w:color w:val="auto"/>
                <w:sz w:val="24"/>
                <w:szCs w:val="24"/>
                <w:highlight w:val="none"/>
                <w:lang w:val="en-US" w:eastAsia="zh-CN"/>
              </w:rPr>
            </w:pPr>
            <w:r>
              <w:rPr>
                <w:rFonts w:hint="eastAsia" w:asciiTheme="minorEastAsia" w:hAnsiTheme="minorEastAsia" w:eastAsiaTheme="minorEastAsia"/>
                <w:b w:val="0"/>
                <w:bCs w:val="0"/>
                <w:color w:val="auto"/>
                <w:sz w:val="24"/>
                <w:szCs w:val="24"/>
                <w:highlight w:val="none"/>
                <w:lang w:val="en-US" w:eastAsia="zh-CN"/>
              </w:rPr>
              <w:t>（3）如有不明确或不一致，构成合同文件组成内容的，以合同文件约定内容为准，且以专用合同条款约定的合同文件优先顺序解释；</w:t>
            </w:r>
          </w:p>
          <w:p w14:paraId="1C5DA834">
            <w:pPr>
              <w:pStyle w:val="76"/>
              <w:widowControl w:val="0"/>
              <w:spacing w:before="0" w:beforeAutospacing="0" w:after="0" w:afterAutospacing="0" w:line="360" w:lineRule="auto"/>
              <w:jc w:val="both"/>
              <w:rPr>
                <w:rFonts w:hint="eastAsia" w:asciiTheme="minorEastAsia" w:hAnsiTheme="minorEastAsia" w:eastAsiaTheme="minorEastAsia"/>
                <w:b w:val="0"/>
                <w:bCs w:val="0"/>
                <w:color w:val="auto"/>
                <w:sz w:val="24"/>
                <w:szCs w:val="24"/>
                <w:highlight w:val="none"/>
                <w:lang w:val="en-US" w:eastAsia="zh-CN"/>
              </w:rPr>
            </w:pPr>
            <w:r>
              <w:rPr>
                <w:rFonts w:hint="eastAsia" w:asciiTheme="minorEastAsia" w:hAnsiTheme="minorEastAsia" w:eastAsiaTheme="minorEastAsia"/>
                <w:b w:val="0"/>
                <w:bCs w:val="0"/>
                <w:color w:val="auto"/>
                <w:sz w:val="24"/>
                <w:szCs w:val="24"/>
                <w:highlight w:val="none"/>
                <w:lang w:val="en-US" w:eastAsia="zh-CN"/>
              </w:rPr>
              <w:t>（4）除磋商文件中有特别规定外，仅适用于磋商及响应文件提交阶段的规定，按竞争性磋商公告、磋商邀请、供应商须知、评审方法和标准、响应文件格式的先后顺序解释；</w:t>
            </w:r>
          </w:p>
          <w:p w14:paraId="47FB9460">
            <w:pPr>
              <w:pStyle w:val="76"/>
              <w:widowControl w:val="0"/>
              <w:spacing w:before="0" w:beforeAutospacing="0" w:after="0" w:afterAutospacing="0" w:line="360" w:lineRule="auto"/>
              <w:jc w:val="both"/>
              <w:rPr>
                <w:rFonts w:hint="eastAsia" w:asciiTheme="minorEastAsia" w:hAnsiTheme="minorEastAsia" w:eastAsiaTheme="minorEastAsia"/>
                <w:b w:val="0"/>
                <w:bCs w:val="0"/>
                <w:color w:val="auto"/>
                <w:sz w:val="24"/>
                <w:szCs w:val="24"/>
                <w:highlight w:val="none"/>
                <w:lang w:val="en-US" w:eastAsia="zh-CN"/>
              </w:rPr>
            </w:pPr>
            <w:r>
              <w:rPr>
                <w:rFonts w:hint="eastAsia" w:asciiTheme="minorEastAsia" w:hAnsiTheme="minorEastAsia" w:eastAsiaTheme="minorEastAsia"/>
                <w:b w:val="0"/>
                <w:bCs w:val="0"/>
                <w:color w:val="auto"/>
                <w:sz w:val="24"/>
                <w:szCs w:val="24"/>
                <w:highlight w:val="none"/>
                <w:lang w:val="en-US" w:eastAsia="zh-CN"/>
              </w:rPr>
              <w:t>（5）按本款前述规定仍不能形成结论的，由采购人负责解释。</w:t>
            </w:r>
          </w:p>
          <w:p w14:paraId="6B724A2A">
            <w:pPr>
              <w:pStyle w:val="76"/>
              <w:widowControl w:val="0"/>
              <w:spacing w:before="0" w:beforeAutospacing="0" w:after="0" w:afterAutospacing="0" w:line="360" w:lineRule="auto"/>
              <w:jc w:val="both"/>
              <w:rPr>
                <w:rFonts w:hint="eastAsia" w:asciiTheme="minorEastAsia" w:hAnsiTheme="minorEastAsia" w:eastAsiaTheme="minorEastAsia"/>
                <w:b w:val="0"/>
                <w:bCs w:val="0"/>
                <w:color w:val="auto"/>
                <w:sz w:val="24"/>
                <w:szCs w:val="24"/>
                <w:highlight w:val="none"/>
                <w:lang w:val="en-US" w:eastAsia="zh-CN"/>
              </w:rPr>
            </w:pPr>
            <w:r>
              <w:rPr>
                <w:rFonts w:hint="eastAsia" w:asciiTheme="minorEastAsia" w:hAnsiTheme="minorEastAsia" w:eastAsiaTheme="minorEastAsia"/>
                <w:b w:val="0"/>
                <w:bCs w:val="0"/>
                <w:color w:val="auto"/>
                <w:sz w:val="24"/>
                <w:szCs w:val="24"/>
                <w:highlight w:val="none"/>
                <w:lang w:val="en-US" w:eastAsia="zh-CN"/>
              </w:rPr>
              <w:t>2.评标过程中的澄清、说明或补正：</w:t>
            </w:r>
          </w:p>
          <w:p w14:paraId="0C25D576">
            <w:pPr>
              <w:pStyle w:val="76"/>
              <w:widowControl w:val="0"/>
              <w:spacing w:before="0" w:beforeAutospacing="0" w:after="0" w:afterAutospacing="0" w:line="360" w:lineRule="auto"/>
              <w:jc w:val="both"/>
              <w:rPr>
                <w:rFonts w:hint="eastAsia" w:asciiTheme="minorEastAsia" w:hAnsiTheme="minorEastAsia" w:eastAsiaTheme="minorEastAsia"/>
                <w:b w:val="0"/>
                <w:bCs w:val="0"/>
                <w:color w:val="auto"/>
                <w:sz w:val="24"/>
                <w:szCs w:val="24"/>
                <w:highlight w:val="none"/>
                <w:lang w:val="en-US" w:eastAsia="zh-CN"/>
              </w:rPr>
            </w:pPr>
            <w:r>
              <w:rPr>
                <w:rFonts w:hint="eastAsia" w:asciiTheme="minorEastAsia" w:hAnsiTheme="minorEastAsia" w:eastAsiaTheme="minorEastAsia"/>
                <w:b w:val="0"/>
                <w:bCs w:val="0"/>
                <w:color w:val="auto"/>
                <w:sz w:val="24"/>
                <w:szCs w:val="24"/>
                <w:highlight w:val="none"/>
                <w:lang w:val="en-US" w:eastAsia="zh-CN"/>
              </w:rPr>
              <w:t>（1）评审小组通过网上招投标系统将需要澄清、说明或补正的内容以询标函的形式发送给投标人，投标人应安排专人登录网上招投标系统并保持在线状态，以便及时接收评审小组可能发出的询标函。</w:t>
            </w:r>
          </w:p>
          <w:p w14:paraId="001D88A4">
            <w:pPr>
              <w:pStyle w:val="76"/>
              <w:widowControl w:val="0"/>
              <w:spacing w:before="0" w:beforeAutospacing="0" w:after="0" w:afterAutospacing="0" w:line="360" w:lineRule="auto"/>
              <w:jc w:val="both"/>
              <w:rPr>
                <w:rFonts w:hint="default" w:asciiTheme="minorEastAsia" w:hAnsiTheme="minorEastAsia" w:eastAsiaTheme="minorEastAsia"/>
                <w:b w:val="0"/>
                <w:bCs w:val="0"/>
                <w:color w:val="auto"/>
                <w:sz w:val="24"/>
                <w:szCs w:val="24"/>
                <w:highlight w:val="none"/>
                <w:lang w:val="en-US"/>
              </w:rPr>
            </w:pPr>
            <w:r>
              <w:rPr>
                <w:rFonts w:hint="eastAsia" w:asciiTheme="minorEastAsia" w:hAnsiTheme="minorEastAsia" w:eastAsiaTheme="minorEastAsia"/>
                <w:b w:val="0"/>
                <w:bCs w:val="0"/>
                <w:color w:val="auto"/>
                <w:sz w:val="24"/>
                <w:szCs w:val="24"/>
                <w:highlight w:val="none"/>
                <w:lang w:val="en-US" w:eastAsia="zh-CN"/>
              </w:rPr>
              <w:t>（2）因投标人未登录网上招投标系统导致无法及时接收询标函（远程网上询标）或未在规定时间内按评审小组要求进行澄清、说明或补正内容的视同投标人放弃澄清、说明或补正内容的权利，评审小组可按对投标人不利的解释进行判定。</w:t>
            </w:r>
          </w:p>
        </w:tc>
      </w:tr>
    </w:tbl>
    <w:p w14:paraId="18DCA6CA">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6" w:name="_Toc18784"/>
      <w:bookmarkStart w:id="27" w:name="_Toc26858"/>
      <w:r>
        <w:rPr>
          <w:rFonts w:hint="eastAsia" w:asciiTheme="minorEastAsia" w:hAnsiTheme="minorEastAsia" w:eastAsiaTheme="minorEastAsia"/>
          <w:b/>
          <w:color w:val="auto"/>
          <w:sz w:val="24"/>
          <w:highlight w:val="none"/>
        </w:rPr>
        <w:t>二、供应商</w:t>
      </w:r>
      <w:r>
        <w:rPr>
          <w:rFonts w:asciiTheme="minorEastAsia" w:hAnsiTheme="minorEastAsia" w:eastAsiaTheme="minorEastAsia"/>
          <w:b/>
          <w:color w:val="auto"/>
          <w:sz w:val="24"/>
          <w:highlight w:val="none"/>
        </w:rPr>
        <w:t>须知</w:t>
      </w:r>
      <w:r>
        <w:rPr>
          <w:rFonts w:hint="eastAsia" w:asciiTheme="minorEastAsia" w:hAnsiTheme="minorEastAsia" w:eastAsiaTheme="minorEastAsia"/>
          <w:b/>
          <w:color w:val="auto"/>
          <w:sz w:val="24"/>
          <w:highlight w:val="none"/>
        </w:rPr>
        <w:t>正文</w:t>
      </w:r>
      <w:bookmarkEnd w:id="26"/>
      <w:bookmarkEnd w:id="27"/>
    </w:p>
    <w:p w14:paraId="5EBF6A3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346DCB9E">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.1采购人：</w:t>
      </w:r>
      <w:r>
        <w:rPr>
          <w:rFonts w:hint="eastAsia" w:ascii="宋体" w:hAnsi="宋体" w:eastAsia="宋体"/>
          <w:color w:val="auto"/>
          <w:sz w:val="24"/>
          <w:highlight w:val="none"/>
        </w:rPr>
        <w:t>是指依法开展政府采购活动的国家机关、事业单位、团体组织</w:t>
      </w:r>
      <w:r>
        <w:rPr>
          <w:color w:val="auto"/>
          <w:sz w:val="24"/>
          <w:highlight w:val="none"/>
        </w:rPr>
        <w:t>。</w:t>
      </w:r>
    </w:p>
    <w:p w14:paraId="08F8E3E1">
      <w:pPr>
        <w:spacing w:line="360" w:lineRule="auto"/>
        <w:ind w:firstLine="435"/>
        <w:rPr>
          <w:rFonts w:hint="eastAsia"/>
          <w:color w:val="auto"/>
          <w:sz w:val="24"/>
          <w:highlight w:val="none"/>
        </w:rPr>
      </w:pPr>
      <w:r>
        <w:rPr>
          <w:rFonts w:hint="eastAsia"/>
          <w:color w:val="auto"/>
          <w:sz w:val="24"/>
          <w:highlight w:val="none"/>
          <w:lang w:val="en-US" w:eastAsia="zh-CN"/>
        </w:rPr>
        <w:t>1</w:t>
      </w:r>
      <w:r>
        <w:rPr>
          <w:rFonts w:hint="eastAsia"/>
          <w:color w:val="auto"/>
          <w:sz w:val="24"/>
          <w:highlight w:val="none"/>
        </w:rPr>
        <w:t>.2采购代理机构：是指集中采购机构或从事采购代理业务的社会中介机构。</w:t>
      </w:r>
    </w:p>
    <w:p w14:paraId="1D9A6BF9">
      <w:pPr>
        <w:spacing w:line="360" w:lineRule="auto"/>
        <w:ind w:firstLine="435"/>
        <w:rPr>
          <w:rFonts w:hint="eastAsia"/>
          <w:color w:val="auto"/>
          <w:sz w:val="24"/>
          <w:highlight w:val="none"/>
        </w:rPr>
      </w:pPr>
      <w:r>
        <w:rPr>
          <w:rFonts w:hint="eastAsia"/>
          <w:color w:val="auto"/>
          <w:sz w:val="24"/>
          <w:highlight w:val="none"/>
        </w:rPr>
        <w:t>1.3政府采购监督管理部门：各级人民政府指定的有关部门依法履行与政府采购活动有关的监督管理职责。</w:t>
      </w:r>
    </w:p>
    <w:p w14:paraId="42D3B300">
      <w:pPr>
        <w:spacing w:line="360" w:lineRule="auto"/>
        <w:ind w:firstLine="435"/>
        <w:rPr>
          <w:rFonts w:hint="eastAsia"/>
          <w:color w:val="auto"/>
          <w:sz w:val="24"/>
          <w:highlight w:val="none"/>
        </w:rPr>
      </w:pPr>
      <w:r>
        <w:rPr>
          <w:rFonts w:hint="eastAsia"/>
          <w:color w:val="auto"/>
          <w:sz w:val="24"/>
          <w:highlight w:val="none"/>
        </w:rPr>
        <w:t>1.4供应商：是指向采购人提供货物、工程或者服务的法人、其他组织或者自然人。分支机构不得参加政府采购活动，但银行、保险、石油石化、电力、电信等特殊行业除外。本项目的供应商及其所投货物须满足以下条件：</w:t>
      </w:r>
    </w:p>
    <w:p w14:paraId="226DC041">
      <w:pPr>
        <w:spacing w:line="360" w:lineRule="auto"/>
        <w:ind w:firstLine="435"/>
        <w:rPr>
          <w:rFonts w:hint="eastAsia"/>
          <w:color w:val="auto"/>
          <w:sz w:val="24"/>
          <w:highlight w:val="none"/>
        </w:rPr>
      </w:pPr>
      <w:r>
        <w:rPr>
          <w:rFonts w:hint="eastAsia"/>
          <w:color w:val="auto"/>
          <w:sz w:val="24"/>
          <w:highlight w:val="none"/>
        </w:rPr>
        <w:t>1.4.1具备《中华人民共和国政府采购法》第二十二条关于供应商条件的规定，遵守本项目采购人本级和上级财政部门政府采购的有关规定。</w:t>
      </w:r>
    </w:p>
    <w:p w14:paraId="1949B8FD">
      <w:pPr>
        <w:spacing w:line="360" w:lineRule="auto"/>
        <w:ind w:firstLine="435"/>
        <w:rPr>
          <w:rFonts w:hint="eastAsia"/>
          <w:color w:val="auto"/>
          <w:sz w:val="24"/>
          <w:highlight w:val="none"/>
        </w:rPr>
      </w:pPr>
      <w:r>
        <w:rPr>
          <w:rFonts w:hint="eastAsia"/>
          <w:color w:val="auto"/>
          <w:sz w:val="24"/>
          <w:highlight w:val="none"/>
        </w:rPr>
        <w:t>1.4.2以采购代理机构认可的方式获得了本项目的磋商文件。</w:t>
      </w:r>
    </w:p>
    <w:p w14:paraId="70186F42">
      <w:pPr>
        <w:spacing w:line="360" w:lineRule="auto"/>
        <w:ind w:firstLine="435"/>
        <w:rPr>
          <w:rFonts w:hint="eastAsia"/>
          <w:color w:val="auto"/>
          <w:sz w:val="24"/>
          <w:highlight w:val="none"/>
        </w:rPr>
      </w:pPr>
      <w:r>
        <w:rPr>
          <w:rFonts w:hint="eastAsia"/>
          <w:color w:val="auto"/>
          <w:sz w:val="24"/>
          <w:highlight w:val="none"/>
        </w:rPr>
        <w:t>1.4.3若采购需求中写明允许采购进口产品，供应商应保证所投产品可履行合法报通关手续进入中国关境内。</w:t>
      </w:r>
    </w:p>
    <w:p w14:paraId="2221115F">
      <w:pPr>
        <w:spacing w:line="360" w:lineRule="auto"/>
        <w:ind w:firstLine="435"/>
        <w:rPr>
          <w:rFonts w:hint="eastAsia"/>
          <w:color w:val="auto"/>
          <w:sz w:val="24"/>
          <w:highlight w:val="none"/>
        </w:rPr>
      </w:pPr>
      <w:r>
        <w:rPr>
          <w:rFonts w:hint="eastAsia"/>
          <w:color w:val="auto"/>
          <w:sz w:val="24"/>
          <w:highlight w:val="none"/>
        </w:rPr>
        <w:t>若采购需求中未写明允许采购进口产品，如供应商所投产品为进口产品，其响应文件将被认定为</w:t>
      </w:r>
      <w:r>
        <w:rPr>
          <w:rFonts w:hint="eastAsia"/>
          <w:b/>
          <w:bCs/>
          <w:color w:val="auto"/>
          <w:sz w:val="24"/>
          <w:highlight w:val="none"/>
        </w:rPr>
        <w:t>响应无效</w:t>
      </w:r>
      <w:r>
        <w:rPr>
          <w:rFonts w:hint="eastAsia"/>
          <w:color w:val="auto"/>
          <w:sz w:val="24"/>
          <w:highlight w:val="none"/>
        </w:rPr>
        <w:t>。</w:t>
      </w:r>
    </w:p>
    <w:p w14:paraId="76975588">
      <w:pPr>
        <w:spacing w:line="360" w:lineRule="auto"/>
        <w:ind w:firstLine="435"/>
        <w:rPr>
          <w:rFonts w:hint="eastAsia"/>
          <w:color w:val="auto"/>
          <w:sz w:val="24"/>
          <w:highlight w:val="none"/>
        </w:rPr>
      </w:pPr>
      <w:r>
        <w:rPr>
          <w:rFonts w:hint="eastAsia"/>
          <w:color w:val="auto"/>
          <w:sz w:val="24"/>
          <w:highlight w:val="none"/>
        </w:rPr>
        <w:t>1.5若竞争性磋商公告中允许联合体参加磋商，对联合体规定如下：</w:t>
      </w:r>
    </w:p>
    <w:p w14:paraId="4C73D596">
      <w:pPr>
        <w:spacing w:line="360" w:lineRule="auto"/>
        <w:ind w:firstLine="435"/>
        <w:rPr>
          <w:rFonts w:hint="eastAsia"/>
          <w:color w:val="auto"/>
          <w:sz w:val="24"/>
          <w:highlight w:val="none"/>
        </w:rPr>
      </w:pPr>
      <w:r>
        <w:rPr>
          <w:rFonts w:hint="eastAsia"/>
          <w:color w:val="auto"/>
          <w:sz w:val="24"/>
          <w:highlight w:val="none"/>
        </w:rPr>
        <w:t>1.5.1两个以上供应商可以组成一个磋商联合体，以一个供应商的身份磋商。联合体参加磋商的，磋商文件获取手续由联合体中任一成员单位办理均可。</w:t>
      </w:r>
    </w:p>
    <w:p w14:paraId="775B4336">
      <w:pPr>
        <w:spacing w:line="360" w:lineRule="auto"/>
        <w:ind w:firstLine="435"/>
        <w:rPr>
          <w:rFonts w:hint="eastAsia"/>
          <w:color w:val="auto"/>
          <w:sz w:val="24"/>
          <w:highlight w:val="none"/>
        </w:rPr>
      </w:pPr>
      <w:r>
        <w:rPr>
          <w:rFonts w:hint="eastAsia"/>
          <w:color w:val="auto"/>
          <w:sz w:val="24"/>
          <w:highlight w:val="none"/>
        </w:rPr>
        <w:t>1.5.2联合体各方均应符合《中华人民共和国政府采购法》第二十二条规定的条件。</w:t>
      </w:r>
    </w:p>
    <w:p w14:paraId="7997E9C7">
      <w:pPr>
        <w:spacing w:line="360" w:lineRule="auto"/>
        <w:ind w:firstLine="435"/>
        <w:rPr>
          <w:rFonts w:hint="eastAsia"/>
          <w:color w:val="auto"/>
          <w:sz w:val="24"/>
          <w:highlight w:val="none"/>
        </w:rPr>
      </w:pPr>
      <w:r>
        <w:rPr>
          <w:rFonts w:hint="eastAsia"/>
          <w:color w:val="auto"/>
          <w:sz w:val="24"/>
          <w:highlight w:val="none"/>
        </w:rPr>
        <w:t>1.5.3采购人根据采购项目对供应商的特殊要求，联合体中至少应当有一方符合相关规定。</w:t>
      </w:r>
    </w:p>
    <w:p w14:paraId="361AC5D5">
      <w:pPr>
        <w:spacing w:line="360" w:lineRule="auto"/>
        <w:ind w:firstLine="435"/>
        <w:rPr>
          <w:rFonts w:hint="eastAsia"/>
          <w:color w:val="auto"/>
          <w:sz w:val="24"/>
          <w:highlight w:val="none"/>
        </w:rPr>
      </w:pPr>
      <w:r>
        <w:rPr>
          <w:rFonts w:hint="eastAsia"/>
          <w:color w:val="auto"/>
          <w:sz w:val="24"/>
          <w:highlight w:val="none"/>
        </w:rPr>
        <w:t>1.5.4联合体各方应签订联合协议，明确约定联合体各方承担的工作和相应的责任，并将联合协议作为响应文件的一部分提交。</w:t>
      </w:r>
    </w:p>
    <w:p w14:paraId="403B77F7">
      <w:pPr>
        <w:spacing w:line="360" w:lineRule="auto"/>
        <w:ind w:firstLine="435"/>
        <w:rPr>
          <w:rFonts w:hint="eastAsia"/>
          <w:color w:val="auto"/>
          <w:sz w:val="24"/>
          <w:highlight w:val="none"/>
        </w:rPr>
      </w:pPr>
      <w:r>
        <w:rPr>
          <w:rFonts w:hint="eastAsia"/>
          <w:color w:val="auto"/>
          <w:sz w:val="24"/>
          <w:highlight w:val="none"/>
        </w:rPr>
        <w:t>1.5.5大中型企业、其他自然人、法人或者非法人组织与小型、微型企业组成联合体共同参加磋商，联合协议中应写明小型、微型企业的协议合同金额占到联合协议合同总金额的比例。</w:t>
      </w:r>
    </w:p>
    <w:p w14:paraId="5ACD78BF">
      <w:pPr>
        <w:spacing w:line="360" w:lineRule="auto"/>
        <w:ind w:firstLine="435"/>
        <w:rPr>
          <w:rFonts w:hint="eastAsia"/>
          <w:color w:val="auto"/>
          <w:sz w:val="24"/>
          <w:highlight w:val="none"/>
        </w:rPr>
      </w:pPr>
      <w:r>
        <w:rPr>
          <w:rFonts w:hint="eastAsia"/>
          <w:color w:val="auto"/>
          <w:sz w:val="24"/>
          <w:highlight w:val="none"/>
        </w:rPr>
        <w:t>1.5.6联合体中有同类资质的供应商按照联合体分工承担相同工作的，应当按照资质等级较低的供应商确定资质等级。</w:t>
      </w:r>
    </w:p>
    <w:p w14:paraId="51D5FDD5">
      <w:pPr>
        <w:spacing w:line="360" w:lineRule="auto"/>
        <w:ind w:firstLine="435"/>
        <w:rPr>
          <w:rFonts w:hint="eastAsia"/>
          <w:color w:val="auto"/>
          <w:sz w:val="24"/>
          <w:highlight w:val="none"/>
        </w:rPr>
      </w:pPr>
      <w:r>
        <w:rPr>
          <w:rFonts w:hint="eastAsia"/>
          <w:color w:val="auto"/>
          <w:sz w:val="24"/>
          <w:highlight w:val="none"/>
        </w:rPr>
        <w:t>1.5.7以联合体形式参加政府采购活动的，联合体各方不得再单独参加或者与其他供应商另外组成联合体参加本项目磋商，否则相关响应文件将被认定为</w:t>
      </w:r>
      <w:r>
        <w:rPr>
          <w:rFonts w:hint="eastAsia"/>
          <w:b/>
          <w:bCs/>
          <w:color w:val="auto"/>
          <w:sz w:val="24"/>
          <w:highlight w:val="none"/>
        </w:rPr>
        <w:t>响应无效</w:t>
      </w:r>
      <w:r>
        <w:rPr>
          <w:rFonts w:hint="eastAsia"/>
          <w:color w:val="auto"/>
          <w:sz w:val="24"/>
          <w:highlight w:val="none"/>
        </w:rPr>
        <w:t>。</w:t>
      </w:r>
    </w:p>
    <w:p w14:paraId="14410207">
      <w:pPr>
        <w:spacing w:line="360" w:lineRule="auto"/>
        <w:ind w:firstLine="435"/>
        <w:rPr>
          <w:color w:val="auto"/>
          <w:sz w:val="24"/>
          <w:highlight w:val="none"/>
        </w:rPr>
      </w:pPr>
      <w:r>
        <w:rPr>
          <w:rFonts w:hint="eastAsia"/>
          <w:color w:val="auto"/>
          <w:sz w:val="24"/>
          <w:highlight w:val="none"/>
        </w:rPr>
        <w:t>1.5.8对联合体参加磋商的其他资格要求见申请人的资格要求</w:t>
      </w:r>
      <w:r>
        <w:rPr>
          <w:color w:val="auto"/>
          <w:sz w:val="24"/>
          <w:highlight w:val="none"/>
        </w:rPr>
        <w:t>。</w:t>
      </w:r>
    </w:p>
    <w:p w14:paraId="4DF42741">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w:t>
      </w:r>
      <w:r>
        <w:rPr>
          <w:rFonts w:hint="eastAsia" w:asciiTheme="minorEastAsia" w:hAnsiTheme="minorEastAsia" w:eastAsiaTheme="minorEastAsia"/>
          <w:b/>
          <w:color w:val="auto"/>
          <w:sz w:val="24"/>
          <w:highlight w:val="none"/>
          <w:lang w:val="en-US" w:eastAsia="zh-CN"/>
        </w:rPr>
        <w:t>落实情况</w:t>
      </w:r>
    </w:p>
    <w:p w14:paraId="12A0A2E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.1本项目的采购人已获得足以支付本次磋商后所签订的合同项下的资金。</w:t>
      </w:r>
    </w:p>
    <w:p w14:paraId="76C2913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磋商费用</w:t>
      </w:r>
    </w:p>
    <w:p w14:paraId="3DD2C087">
      <w:pPr>
        <w:spacing w:line="360" w:lineRule="auto"/>
        <w:ind w:firstLine="437"/>
        <w:rPr>
          <w:color w:val="auto"/>
          <w:sz w:val="24"/>
          <w:highlight w:val="none"/>
        </w:rPr>
      </w:pPr>
      <w:r>
        <w:rPr>
          <w:rFonts w:hint="eastAsia"/>
          <w:color w:val="auto"/>
          <w:sz w:val="24"/>
          <w:highlight w:val="none"/>
        </w:rPr>
        <w:t>不论磋商的结果如何，供应商应承担其所有与准备和参加磋商有关的费用。</w:t>
      </w:r>
    </w:p>
    <w:p w14:paraId="4ED01E9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6E76EBAB">
      <w:pPr>
        <w:spacing w:line="360" w:lineRule="auto"/>
        <w:ind w:firstLine="435"/>
        <w:rPr>
          <w:rFonts w:asciiTheme="minorEastAsia" w:hAnsiTheme="minorEastAsia" w:eastAsiaTheme="minorEastAsia"/>
          <w:color w:val="auto"/>
          <w:sz w:val="24"/>
          <w:highlight w:val="none"/>
        </w:rPr>
      </w:pPr>
      <w:r>
        <w:rPr>
          <w:rFonts w:hint="eastAsia"/>
          <w:color w:val="auto"/>
          <w:sz w:val="24"/>
          <w:highlight w:val="none"/>
        </w:rPr>
        <w:t>本项目采购人、采购代理机构、供应商、磋商小组的相关行为均受《中华人民共和国政府采购法》、《中华人民共和国政府采购法实施条例》及本项目本级和上级财政部门、政府采购监督管理部门的政府采购有关规定的约束，其权利受到上述法律法规的保护。</w:t>
      </w:r>
    </w:p>
    <w:p w14:paraId="18AD52D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磋商文件构成</w:t>
      </w:r>
    </w:p>
    <w:p w14:paraId="6EFA86D4">
      <w:pPr>
        <w:spacing w:line="360" w:lineRule="auto"/>
        <w:ind w:firstLine="435"/>
        <w:rPr>
          <w:color w:val="auto"/>
          <w:sz w:val="24"/>
          <w:highlight w:val="none"/>
        </w:rPr>
      </w:pPr>
      <w:r>
        <w:rPr>
          <w:rFonts w:hint="eastAsia"/>
          <w:color w:val="auto"/>
          <w:sz w:val="24"/>
          <w:highlight w:val="none"/>
          <w:lang w:val="en-US" w:eastAsia="zh-CN"/>
        </w:rPr>
        <w:t>5</w:t>
      </w:r>
      <w:r>
        <w:rPr>
          <w:rFonts w:hint="eastAsia"/>
          <w:color w:val="auto"/>
          <w:sz w:val="24"/>
          <w:highlight w:val="none"/>
        </w:rPr>
        <w:t>.1磋商文件包括下列内容：</w:t>
      </w:r>
    </w:p>
    <w:p w14:paraId="15AD79C5">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磋商邀请</w:t>
      </w:r>
    </w:p>
    <w:p w14:paraId="19EF46DA">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须知</w:t>
      </w:r>
    </w:p>
    <w:p w14:paraId="415E7CF9">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6D661627">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评审方法</w:t>
      </w:r>
      <w:r>
        <w:rPr>
          <w:rFonts w:asciiTheme="minorEastAsia" w:hAnsiTheme="minorEastAsia" w:eastAsiaTheme="minorEastAsia"/>
          <w:color w:val="auto"/>
          <w:sz w:val="24"/>
          <w:highlight w:val="none"/>
        </w:rPr>
        <w:t>和标准</w:t>
      </w:r>
    </w:p>
    <w:p w14:paraId="090FBC5F">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5B29E2E7">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文件格式</w:t>
      </w:r>
    </w:p>
    <w:p w14:paraId="1677662C">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50D11F4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47B7583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应认真阅读</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文件所有的事项、格式、条款和技术规范等。</w:t>
      </w:r>
    </w:p>
    <w:p w14:paraId="0E3F436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磋商文件的澄清与修改</w:t>
      </w:r>
    </w:p>
    <w:p w14:paraId="5A5EF0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1供应商</w:t>
      </w:r>
      <w:r>
        <w:rPr>
          <w:rFonts w:asciiTheme="minorEastAsia" w:hAnsiTheme="minorEastAsia" w:eastAsiaTheme="minorEastAsia"/>
          <w:color w:val="auto"/>
          <w:sz w:val="24"/>
          <w:highlight w:val="none"/>
        </w:rPr>
        <w:t>如对</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文件内容有疑问，必须在</w:t>
      </w:r>
      <w:r>
        <w:rPr>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3A50FC6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滁州市公路管理服务中心、</w:t>
      </w:r>
      <w:r>
        <w:rPr>
          <w:rFonts w:hint="eastAsia" w:eastAsiaTheme="minorEastAsia"/>
          <w:color w:val="auto"/>
          <w:sz w:val="24"/>
          <w:szCs w:val="18"/>
          <w:highlight w:val="none"/>
          <w:lang w:eastAsia="zh-CN"/>
        </w:rPr>
        <w:t>滁州市城投工程咨询管理有限公司网站以</w:t>
      </w:r>
      <w:r>
        <w:rPr>
          <w:rFonts w:hint="eastAsia" w:asciiTheme="minorEastAsia" w:hAnsiTheme="minorEastAsia" w:eastAsiaTheme="minorEastAsia"/>
          <w:color w:val="auto"/>
          <w:sz w:val="24"/>
          <w:highlight w:val="none"/>
        </w:rPr>
        <w:t>发布更正公告的方式澄清或者修改磋商文件，更正公告的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4FC6674B">
      <w:pPr>
        <w:spacing w:line="360" w:lineRule="auto"/>
        <w:ind w:firstLine="435"/>
        <w:rPr>
          <w:color w:val="auto"/>
          <w:sz w:val="24"/>
          <w:highlight w:val="none"/>
        </w:rPr>
      </w:pPr>
      <w:r>
        <w:rPr>
          <w:rFonts w:hint="eastAsia"/>
          <w:color w:val="auto"/>
          <w:sz w:val="24"/>
          <w:highlight w:val="none"/>
          <w:lang w:val="en-US" w:eastAsia="zh-CN"/>
        </w:rPr>
        <w:t>6</w:t>
      </w:r>
      <w:r>
        <w:rPr>
          <w:rFonts w:hint="eastAsia"/>
          <w:color w:val="auto"/>
          <w:sz w:val="24"/>
          <w:highlight w:val="none"/>
        </w:rPr>
        <w:t>.3任何人或任何组织向供应商提供的任何书面或口头资料，未经采购代理机构在网上发布或书面通知，均作无效处理，不得作为磋商文件的组成部分。采购代理机构对供应商由此而做出的推论、理解和结论概不负责。</w:t>
      </w:r>
    </w:p>
    <w:p w14:paraId="6280DADB">
      <w:pPr>
        <w:spacing w:line="360" w:lineRule="auto"/>
        <w:ind w:firstLine="435"/>
        <w:rPr>
          <w:rFonts w:asciiTheme="minorEastAsia" w:hAnsiTheme="minorEastAsia" w:eastAsiaTheme="minorEastAsia"/>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询问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本磋商</w:t>
      </w:r>
      <w:r>
        <w:rPr>
          <w:rFonts w:asciiTheme="minorEastAsia" w:hAnsiTheme="minorEastAsia" w:eastAsiaTheme="minorEastAsia"/>
          <w:color w:val="auto"/>
          <w:sz w:val="24"/>
          <w:highlight w:val="none"/>
        </w:rPr>
        <w:t>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40D057E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磋商范围及响应文件中标准和计量单位的使用</w:t>
      </w:r>
    </w:p>
    <w:p w14:paraId="3CD13A4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参与</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的磋商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7D189F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无论磋商文件中是否要求，供应商所</w:t>
      </w:r>
      <w:r>
        <w:rPr>
          <w:rFonts w:hint="eastAsia" w:asciiTheme="minorEastAsia" w:hAnsiTheme="minorEastAsia" w:eastAsiaTheme="minorEastAsia"/>
          <w:color w:val="auto"/>
          <w:sz w:val="24"/>
          <w:highlight w:val="none"/>
        </w:rPr>
        <w:t>承担</w:t>
      </w:r>
      <w:r>
        <w:rPr>
          <w:rFonts w:asciiTheme="minorEastAsia" w:hAnsiTheme="minorEastAsia" w:eastAsiaTheme="minorEastAsia"/>
          <w:color w:val="auto"/>
          <w:sz w:val="24"/>
          <w:highlight w:val="none"/>
        </w:rPr>
        <w:t>工程及伴随的货物和</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均应符合国家强制性标准。</w:t>
      </w:r>
    </w:p>
    <w:p w14:paraId="7BAC50A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供应商与采购代理机构之间与磋商有关的所有往来通知、函件和响应文件均用中文表述。供应商随响应文件提供的证明文件和资料可以为其他语言，但必须附中文译文。翻译的中文资料与外文资料如果出现差异时，以中文为准。</w:t>
      </w:r>
    </w:p>
    <w:p w14:paraId="50950F5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除磋商文件中有特殊要求外，响应文件中所使用的计量单位，应采用中华人民共和国法定计量单位。</w:t>
      </w:r>
    </w:p>
    <w:p w14:paraId="0CF74E0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63B05A83">
      <w:pPr>
        <w:spacing w:line="360" w:lineRule="auto"/>
        <w:ind w:firstLine="437"/>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.1供应商应完整地按磋商文件提供的响应文件格式及要求编写响应文件，具体内容详见第六章响应文件格式的相关内容。</w:t>
      </w:r>
    </w:p>
    <w:p w14:paraId="5EAFAABB">
      <w:pPr>
        <w:spacing w:line="360" w:lineRule="auto"/>
        <w:ind w:firstLine="435"/>
        <w:rPr>
          <w:rFonts w:asciiTheme="minorEastAsia" w:hAnsiTheme="minorEastAsia" w:eastAsiaTheme="minorEastAsia"/>
          <w:color w:val="auto"/>
          <w:sz w:val="24"/>
          <w:highlight w:val="none"/>
        </w:rPr>
      </w:pPr>
      <w:r>
        <w:rPr>
          <w:rFonts w:hint="eastAsia"/>
          <w:color w:val="auto"/>
          <w:sz w:val="24"/>
          <w:highlight w:val="none"/>
          <w:lang w:val="en-US" w:eastAsia="zh-CN"/>
        </w:rPr>
        <w:t>8.2</w:t>
      </w:r>
      <w:r>
        <w:rPr>
          <w:rFonts w:hint="eastAsia"/>
          <w:color w:val="auto"/>
          <w:sz w:val="24"/>
          <w:highlight w:val="none"/>
        </w:rPr>
        <w:t>供应商应提交磋商文件要求的证明文件，证明其响应内容符合磋商文件规定。该证明文件是响应文件的一部分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28" w:name="_Hlk11703583"/>
      <w:r>
        <w:rPr>
          <w:rFonts w:hint="eastAsia" w:asciiTheme="minorEastAsia" w:hAnsiTheme="minorEastAsia" w:eastAsiaTheme="minorEastAsia"/>
          <w:color w:val="auto"/>
          <w:sz w:val="24"/>
          <w:highlight w:val="none"/>
        </w:rPr>
        <w:t>。</w:t>
      </w:r>
      <w:bookmarkEnd w:id="28"/>
    </w:p>
    <w:p w14:paraId="3FE57F8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为保证</w:t>
      </w:r>
      <w:r>
        <w:rPr>
          <w:color w:val="auto"/>
          <w:sz w:val="24"/>
          <w:highlight w:val="none"/>
        </w:rPr>
        <w:t>公平</w:t>
      </w:r>
      <w:r>
        <w:rPr>
          <w:rFonts w:asciiTheme="minorEastAsia" w:hAnsiTheme="minorEastAsia" w:eastAsiaTheme="minorEastAsia"/>
          <w:color w:val="auto"/>
          <w:sz w:val="24"/>
          <w:highlight w:val="none"/>
        </w:rPr>
        <w:t>公正，除非磋商文件另有规定或说明，</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对同一项目</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备选磋商</w:t>
      </w:r>
      <w:r>
        <w:rPr>
          <w:rFonts w:asciiTheme="minorEastAsia" w:hAnsiTheme="minorEastAsia" w:eastAsiaTheme="minorEastAsia"/>
          <w:color w:val="auto"/>
          <w:sz w:val="24"/>
          <w:highlight w:val="none"/>
        </w:rPr>
        <w:t>方案。</w:t>
      </w:r>
    </w:p>
    <w:p w14:paraId="29342B7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5588453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的报价应当包括满足本次</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全部</w:t>
      </w:r>
      <w:r>
        <w:rPr>
          <w:rFonts w:hint="eastAsia" w:asciiTheme="minorEastAsia" w:hAnsiTheme="minorEastAsia" w:eastAsiaTheme="minorEastAsia"/>
          <w:color w:val="auto"/>
          <w:sz w:val="24"/>
          <w:highlight w:val="none"/>
        </w:rPr>
        <w:t>内容。所有报价均应以人民币报价，供应商的磋商报价应遵守《中华人民共和国价格法》。</w:t>
      </w:r>
    </w:p>
    <w:p w14:paraId="6812FD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最后报价均不得高于磋商文件（公告）列明的项目预算</w:t>
      </w:r>
      <w:r>
        <w:rPr>
          <w:rFonts w:hint="eastAsia" w:asciiTheme="minorEastAsia" w:hAnsiTheme="minorEastAsia" w:eastAsiaTheme="minorEastAsia"/>
          <w:color w:val="auto"/>
          <w:sz w:val="24"/>
          <w:highlight w:val="none"/>
        </w:rPr>
        <w:t>、最高投标限价</w:t>
      </w:r>
      <w:r>
        <w:rPr>
          <w:rFonts w:asciiTheme="minorEastAsia" w:hAnsiTheme="minorEastAsia" w:eastAsiaTheme="minorEastAsia"/>
          <w:color w:val="auto"/>
          <w:sz w:val="24"/>
          <w:highlight w:val="none"/>
        </w:rPr>
        <w:t>，否则其响应文件将被认定为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7006988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，其</w:t>
      </w:r>
      <w:r>
        <w:rPr>
          <w:rFonts w:hint="eastAsia" w:asciiTheme="minorEastAsia" w:hAnsiTheme="minorEastAsia" w:eastAsiaTheme="minorEastAsia"/>
          <w:color w:val="auto"/>
          <w:sz w:val="24"/>
          <w:highlight w:val="none"/>
        </w:rPr>
        <w:t>响应文件将被认定为</w:t>
      </w:r>
      <w:r>
        <w:rPr>
          <w:rFonts w:hint="eastAsia"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0871CA2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2D7375E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磋商保证金</w:t>
      </w:r>
    </w:p>
    <w:p w14:paraId="077B6AD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10</w:t>
      </w:r>
      <w:r>
        <w:rPr>
          <w:rFonts w:asciiTheme="minorEastAsia" w:hAnsiTheme="minorEastAsia" w:eastAsiaTheme="minorEastAsia"/>
          <w:color w:val="auto"/>
          <w:sz w:val="24"/>
          <w:highlight w:val="none"/>
        </w:rPr>
        <w:t>.1本项目不收取磋商保证金。</w:t>
      </w:r>
    </w:p>
    <w:p w14:paraId="551EB10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磋商有效期</w:t>
      </w:r>
    </w:p>
    <w:p w14:paraId="5411813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.1磋商有效期为从响应文件提交截止之日算起的日历天数，磋商有效期详见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74A27F3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.2在磋商有效期内，供应商的磋商保持有效，供应商不得要求撤销或修改其响应文件。磋商有效期不满足要求的响应，其响应文件将被认定为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6E5CD4E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为保证有充分时间签订合同，采购人或采购代理机构可根据实际情况，在原磋商有效期截止之前，要求供应商延长磋商有效期。接受该要求的供应商将不会被要求和允许修正其响应文件。供应商可以拒绝延长磋商有效期的要求，且不承担任何责任。上述要求和答复都应以书面形式提交。</w:t>
      </w:r>
    </w:p>
    <w:p w14:paraId="21BE2EC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4D943E4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.1供应商应当在</w:t>
      </w:r>
      <w:r>
        <w:rPr>
          <w:rFonts w:hint="eastAsia" w:asciiTheme="minorEastAsia" w:hAnsiTheme="minorEastAsia" w:eastAsiaTheme="minorEastAsia"/>
          <w:color w:val="auto"/>
          <w:sz w:val="24"/>
          <w:highlight w:val="none"/>
          <w:lang w:val="en-US" w:eastAsia="zh-CN"/>
        </w:rPr>
        <w:t>竞争性磋商公告</w:t>
      </w:r>
      <w:r>
        <w:rPr>
          <w:rFonts w:hint="eastAsia" w:asciiTheme="minorEastAsia" w:hAnsiTheme="minorEastAsia" w:eastAsiaTheme="minorEastAsia"/>
          <w:color w:val="auto"/>
          <w:sz w:val="24"/>
          <w:highlight w:val="none"/>
        </w:rPr>
        <w:t>规定的响应文件提交截止时间前</w:t>
      </w:r>
      <w:r>
        <w:rPr>
          <w:rFonts w:asciiTheme="minorEastAsia" w:hAnsiTheme="minorEastAsia" w:eastAsiaTheme="minorEastAsia"/>
          <w:color w:val="auto"/>
          <w:sz w:val="24"/>
          <w:highlight w:val="none"/>
        </w:rPr>
        <w:t>，将加密的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318AC5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供应商应当在响应文件提交截止时间前完成响应文件的传输提交（以接收到电子签收凭证为准），并可以补充、修改或者撤回响应文件。响应文件提交截止时间前未完成响应文件传输的，视为撤回响应文件。未按规定加密或响应文件提交截止时间后送达的响应文件，电子交易系统应当拒收。</w:t>
      </w:r>
    </w:p>
    <w:p w14:paraId="4FF97AE4">
      <w:pPr>
        <w:spacing w:line="360" w:lineRule="auto"/>
        <w:ind w:firstLine="435"/>
        <w:rPr>
          <w:rFonts w:hint="eastAsia" w:asciiTheme="minorEastAsia" w:hAnsiTheme="minorEastAsia" w:eastAsiaTheme="minorEastAsia"/>
          <w:color w:val="auto"/>
          <w:sz w:val="24"/>
          <w:highlight w:val="none"/>
          <w:lang w:eastAsia="zh-CN"/>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供应商应在</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规定的解密时间前对</w:t>
      </w:r>
      <w:r>
        <w:rPr>
          <w:rFonts w:hint="eastAsia" w:asciiTheme="minorEastAsia" w:hAnsiTheme="minorEastAsia" w:eastAsiaTheme="minorEastAsia"/>
          <w:color w:val="auto"/>
          <w:sz w:val="24"/>
          <w:highlight w:val="none"/>
          <w:lang w:val="en-US" w:eastAsia="zh-CN"/>
        </w:rPr>
        <w:t>其</w:t>
      </w:r>
      <w:r>
        <w:rPr>
          <w:rFonts w:hint="eastAsia" w:asciiTheme="minorEastAsia" w:hAnsiTheme="minorEastAsia" w:eastAsiaTheme="minorEastAsia"/>
          <w:color w:val="auto"/>
          <w:sz w:val="24"/>
          <w:highlight w:val="none"/>
        </w:rPr>
        <w:t>响应文件进行解密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未在规定时间内进行解密的，</w:t>
      </w:r>
      <w:r>
        <w:rPr>
          <w:rFonts w:hint="eastAsia" w:asciiTheme="minorEastAsia" w:hAnsiTheme="minorEastAsia" w:eastAsiaTheme="minorEastAsia"/>
          <w:b/>
          <w:color w:val="auto"/>
          <w:sz w:val="24"/>
          <w:highlight w:val="none"/>
        </w:rPr>
        <w:t>响应无效</w:t>
      </w:r>
      <w:r>
        <w:rPr>
          <w:rFonts w:hint="eastAsia" w:asciiTheme="minorEastAsia" w:hAnsiTheme="minorEastAsia" w:eastAsiaTheme="minorEastAsia"/>
          <w:b/>
          <w:color w:val="auto"/>
          <w:sz w:val="24"/>
          <w:highlight w:val="none"/>
          <w:lang w:eastAsia="zh-CN"/>
        </w:rPr>
        <w:t>。</w:t>
      </w:r>
    </w:p>
    <w:p w14:paraId="11DB85E2">
      <w:pPr>
        <w:spacing w:line="360" w:lineRule="auto"/>
        <w:ind w:firstLine="435"/>
        <w:rPr>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.4在响应文件提交截止时间之后，供应商不得对其响应文件做任何修改。</w:t>
      </w:r>
      <w:r>
        <w:rPr>
          <w:rFonts w:hint="eastAsia"/>
          <w:color w:val="auto"/>
          <w:sz w:val="24"/>
          <w:highlight w:val="none"/>
        </w:rPr>
        <w:t>但属于磋商小组在评审中发现的计算错误并进行核实的修改、按照磋商文件的变动情况和磋商小组的要求重新提交响应文件的，不在此列。</w:t>
      </w:r>
    </w:p>
    <w:p w14:paraId="2DBC1A9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磋商小组</w:t>
      </w:r>
    </w:p>
    <w:p w14:paraId="08B597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.1本项目将依法组建磋商小组，磋商小组成员由3人以上单数组成，磋商小组及其成员应当依照政府采购的有关规定履行相关职责和义务。</w:t>
      </w:r>
    </w:p>
    <w:p w14:paraId="07B5A2C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.2磋商小组依法对响应文件进行评审，并根据磋商文件规定的程序、评定成交的标准等事项与实质性响应磋商文件要求的供应商进行磋商。</w:t>
      </w:r>
    </w:p>
    <w:p w14:paraId="68EE9D8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.3磋商小组应当从质量和服务均能满足磋商文件实质性响应要求的供应商中，按照评审</w:t>
      </w:r>
      <w:r>
        <w:rPr>
          <w:rFonts w:hint="eastAsia" w:asciiTheme="minorEastAsia" w:hAnsiTheme="minorEastAsia" w:eastAsiaTheme="minorEastAsia"/>
          <w:color w:val="auto"/>
          <w:sz w:val="24"/>
          <w:highlight w:val="none"/>
        </w:rPr>
        <w:t>方</w:t>
      </w:r>
      <w:r>
        <w:rPr>
          <w:rFonts w:asciiTheme="minorEastAsia" w:hAnsiTheme="minorEastAsia" w:eastAsiaTheme="minorEastAsia"/>
          <w:color w:val="auto"/>
          <w:sz w:val="24"/>
          <w:highlight w:val="none"/>
        </w:rPr>
        <w:t>法</w:t>
      </w:r>
      <w:r>
        <w:rPr>
          <w:rFonts w:hint="eastAsia" w:asciiTheme="minorEastAsia" w:hAnsiTheme="minorEastAsia" w:eastAsiaTheme="minorEastAsia"/>
          <w:color w:val="auto"/>
          <w:sz w:val="24"/>
          <w:highlight w:val="none"/>
        </w:rPr>
        <w:t>和标准推荐</w:t>
      </w:r>
      <w:r>
        <w:rPr>
          <w:rFonts w:asciiTheme="minorEastAsia" w:hAnsiTheme="minorEastAsia" w:eastAsiaTheme="minorEastAsia"/>
          <w:color w:val="auto"/>
          <w:sz w:val="24"/>
          <w:highlight w:val="none"/>
        </w:rPr>
        <w:t>成交候选供应商，并编写</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报告。</w:t>
      </w:r>
    </w:p>
    <w:p w14:paraId="63B8F106">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.响应文件的评审与磋商</w:t>
      </w:r>
    </w:p>
    <w:p w14:paraId="4FC15F4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1采购人和采购代理机构将在</w:t>
      </w:r>
      <w:r>
        <w:rPr>
          <w:rFonts w:hint="eastAsia" w:cs="@仿宋_GB2312" w:asciiTheme="minorEastAsia" w:hAnsiTheme="minorEastAsia" w:eastAsiaTheme="minorEastAsia"/>
          <w:color w:val="auto"/>
          <w:kern w:val="2"/>
          <w:sz w:val="24"/>
          <w:highlight w:val="none"/>
          <w:u w:val="none"/>
          <w:lang w:val="en-US" w:eastAsia="zh-CN"/>
        </w:rPr>
        <w:t>竞争性磋商公告</w:t>
      </w:r>
      <w:r>
        <w:rPr>
          <w:rFonts w:hint="eastAsia" w:asciiTheme="minorEastAsia" w:hAnsiTheme="minorEastAsia" w:eastAsiaTheme="minorEastAsia"/>
          <w:color w:val="auto"/>
          <w:sz w:val="24"/>
          <w:highlight w:val="none"/>
        </w:rPr>
        <w:t>规定的时间和地点组织磋商。</w:t>
      </w:r>
    </w:p>
    <w:p w14:paraId="47F2A49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.2竞争性磋商活动采用综合评分法评审。</w:t>
      </w:r>
    </w:p>
    <w:p w14:paraId="24247DC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综合评分法，是指响应文件满足磋商文件全部实质性要求且按评审因素的量化指标评审得分最高的供应商为成交候选供应商的评审方法。</w:t>
      </w:r>
    </w:p>
    <w:p w14:paraId="5F1829B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.3磋商小组将按照磋商文件规定的</w:t>
      </w:r>
      <w:r>
        <w:rPr>
          <w:rFonts w:asciiTheme="minorEastAsia" w:hAnsiTheme="minorEastAsia" w:eastAsiaTheme="minorEastAsia"/>
          <w:color w:val="auto"/>
          <w:sz w:val="24"/>
          <w:highlight w:val="none"/>
        </w:rPr>
        <w:t>评审</w:t>
      </w:r>
      <w:r>
        <w:rPr>
          <w:rFonts w:hint="eastAsia" w:asciiTheme="minorEastAsia" w:hAnsiTheme="minorEastAsia" w:eastAsiaTheme="minorEastAsia"/>
          <w:color w:val="auto"/>
          <w:sz w:val="24"/>
          <w:highlight w:val="none"/>
        </w:rPr>
        <w:t>方</w:t>
      </w:r>
      <w:r>
        <w:rPr>
          <w:rFonts w:asciiTheme="minorEastAsia" w:hAnsiTheme="minorEastAsia" w:eastAsiaTheme="minorEastAsia"/>
          <w:color w:val="auto"/>
          <w:sz w:val="24"/>
          <w:highlight w:val="none"/>
        </w:rPr>
        <w:t>法</w:t>
      </w:r>
      <w:r>
        <w:rPr>
          <w:rFonts w:hint="eastAsia" w:asciiTheme="minorEastAsia" w:hAnsiTheme="minorEastAsia" w:eastAsiaTheme="minorEastAsia"/>
          <w:color w:val="auto"/>
          <w:sz w:val="24"/>
          <w:highlight w:val="none"/>
        </w:rPr>
        <w:t>和标准对供应商独立进行评审。评审程序如下：</w:t>
      </w:r>
    </w:p>
    <w:p w14:paraId="66011F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.3.1</w:t>
      </w:r>
      <w:r>
        <w:rPr>
          <w:rFonts w:hint="eastAsia" w:asciiTheme="minorEastAsia" w:hAnsiTheme="minorEastAsia" w:eastAsiaTheme="minorEastAsia"/>
          <w:b/>
          <w:color w:val="auto"/>
          <w:sz w:val="24"/>
          <w:highlight w:val="none"/>
        </w:rPr>
        <w:t>初审</w:t>
      </w:r>
      <w:r>
        <w:rPr>
          <w:rFonts w:hint="eastAsia" w:asciiTheme="minorEastAsia" w:hAnsiTheme="minorEastAsia" w:eastAsiaTheme="minorEastAsia"/>
          <w:color w:val="auto"/>
          <w:sz w:val="24"/>
          <w:highlight w:val="none"/>
        </w:rPr>
        <w:t>。磋商小组对供应商必须满足和实质性响应的内容进行评审，供应商未实质性响应磋商文件要求导致响应无效的，磋商小组将以书面询标的方式告知有关供应商。</w:t>
      </w:r>
    </w:p>
    <w:p w14:paraId="1BB805E8">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供应商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w:t>
      </w:r>
      <w:r>
        <w:rPr>
          <w:rFonts w:hint="eastAsia" w:ascii="宋体" w:hAnsi="宋体" w:eastAsia="宋体" w:cs="宋体"/>
          <w:b/>
          <w:color w:val="auto"/>
          <w:sz w:val="24"/>
          <w:szCs w:val="24"/>
          <w:highlight w:val="none"/>
        </w:rPr>
        <w:t>响应无效</w:t>
      </w:r>
      <w:r>
        <w:rPr>
          <w:rFonts w:hint="eastAsia" w:ascii="宋体" w:hAnsi="宋体" w:eastAsia="宋体" w:cs="宋体"/>
          <w:color w:val="auto"/>
          <w:sz w:val="24"/>
          <w:szCs w:val="24"/>
          <w:highlight w:val="none"/>
        </w:rPr>
        <w:t>。</w:t>
      </w:r>
    </w:p>
    <w:p w14:paraId="53EFFBDA">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的，联合体成员存在以上不良信用记录的，联合体</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1AA44579">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w:t>
      </w:r>
      <w:r>
        <w:rPr>
          <w:rFonts w:hint="eastAsia"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文件规定的查询时间之外，网站信息发生的任何变更均不作为初审依据。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w:t>
      </w:r>
      <w:r>
        <w:rPr>
          <w:rFonts w:hint="eastAsia" w:ascii="宋体" w:hAnsi="宋体" w:eastAsia="宋体" w:cs="宋体"/>
          <w:color w:val="auto"/>
          <w:sz w:val="24"/>
          <w:szCs w:val="24"/>
          <w:highlight w:val="none"/>
          <w:lang w:val="en-US" w:eastAsia="zh-CN"/>
        </w:rPr>
        <w:t>初审</w:t>
      </w:r>
      <w:r>
        <w:rPr>
          <w:rFonts w:hint="eastAsia" w:ascii="宋体" w:hAnsi="宋体" w:eastAsia="宋体" w:cs="宋体"/>
          <w:color w:val="auto"/>
          <w:sz w:val="24"/>
          <w:szCs w:val="24"/>
          <w:highlight w:val="none"/>
        </w:rPr>
        <w:t>依据。</w:t>
      </w:r>
    </w:p>
    <w:p w14:paraId="462AB3C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.3.2</w:t>
      </w:r>
      <w:r>
        <w:rPr>
          <w:rFonts w:hint="eastAsia" w:asciiTheme="minorEastAsia" w:hAnsiTheme="minorEastAsia" w:eastAsiaTheme="minorEastAsia"/>
          <w:b/>
          <w:color w:val="auto"/>
          <w:sz w:val="24"/>
          <w:highlight w:val="none"/>
        </w:rPr>
        <w:t>磋商</w:t>
      </w:r>
      <w:r>
        <w:rPr>
          <w:rFonts w:hint="eastAsia" w:asciiTheme="minorEastAsia" w:hAnsiTheme="minorEastAsia" w:eastAsiaTheme="minorEastAsia"/>
          <w:color w:val="auto"/>
          <w:sz w:val="24"/>
          <w:highlight w:val="none"/>
        </w:rPr>
        <w:t>。初审合格后，磋商小组将按网上加密电子响应文件提交顺序集中与单一供应商分别进行磋商，并给予所有参加磋商的供应商平等的磋商机会。</w:t>
      </w:r>
    </w:p>
    <w:p w14:paraId="3D0D54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.3.3</w:t>
      </w:r>
      <w:r>
        <w:rPr>
          <w:rFonts w:asciiTheme="minorEastAsia" w:hAnsiTheme="minorEastAsia" w:eastAsiaTheme="minorEastAsia"/>
          <w:b/>
          <w:color w:val="auto"/>
          <w:sz w:val="24"/>
          <w:highlight w:val="none"/>
        </w:rPr>
        <w:t>报价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磋商结束后，磋商小组应当要求所有</w:t>
      </w:r>
      <w:r>
        <w:rPr>
          <w:rFonts w:hint="eastAsia" w:asciiTheme="minorEastAsia" w:hAnsiTheme="minorEastAsia" w:eastAsiaTheme="minorEastAsia"/>
          <w:color w:val="auto"/>
          <w:sz w:val="24"/>
          <w:highlight w:val="none"/>
        </w:rPr>
        <w:t>实质性响应</w:t>
      </w:r>
      <w:r>
        <w:rPr>
          <w:rFonts w:asciiTheme="minorEastAsia" w:hAnsiTheme="minorEastAsia" w:eastAsiaTheme="minorEastAsia"/>
          <w:color w:val="auto"/>
          <w:sz w:val="24"/>
          <w:highlight w:val="none"/>
        </w:rPr>
        <w:t>的供应商在规定时间内提交最后报价</w:t>
      </w:r>
      <w:r>
        <w:rPr>
          <w:rFonts w:hint="eastAsia"/>
          <w:color w:val="auto"/>
          <w:sz w:val="24"/>
          <w:highlight w:val="none"/>
        </w:rPr>
        <w:t>。</w:t>
      </w:r>
    </w:p>
    <w:p w14:paraId="513DE094">
      <w:pPr>
        <w:spacing w:line="360" w:lineRule="auto"/>
        <w:ind w:firstLine="435"/>
        <w:rPr>
          <w:color w:val="auto"/>
          <w:highlight w:val="none"/>
        </w:rPr>
      </w:pPr>
      <w:r>
        <w:rPr>
          <w:rFonts w:hint="eastAsia" w:asciiTheme="minorEastAsia" w:hAnsiTheme="minorEastAsia" w:eastAsiaTheme="minorEastAsia"/>
          <w:color w:val="auto"/>
          <w:sz w:val="24"/>
          <w:highlight w:val="none"/>
          <w:lang w:val="en-US" w:eastAsia="zh-CN"/>
        </w:rPr>
        <w:t xml:space="preserve">14.3.4 </w:t>
      </w:r>
      <w:r>
        <w:rPr>
          <w:rFonts w:hint="eastAsia" w:asciiTheme="minorEastAsia" w:hAnsiTheme="minorEastAsia" w:eastAsiaTheme="minorEastAsia"/>
          <w:b/>
          <w:bCs/>
          <w:color w:val="auto"/>
          <w:sz w:val="24"/>
          <w:highlight w:val="none"/>
          <w:lang w:val="en-US" w:eastAsia="zh-CN"/>
        </w:rPr>
        <w:t>异常低价响应审查。</w:t>
      </w: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关于推进解决政府采购异常低价问题的通知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磋商小组进行异常低价响应审查。</w:t>
      </w:r>
    </w:p>
    <w:p w14:paraId="7DE43B5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b/>
          <w:color w:val="auto"/>
          <w:sz w:val="24"/>
          <w:highlight w:val="none"/>
        </w:rPr>
        <w:t>综合评分</w:t>
      </w:r>
      <w:r>
        <w:rPr>
          <w:rFonts w:hint="eastAsia" w:asciiTheme="minorEastAsia" w:hAnsiTheme="minorEastAsia" w:eastAsiaTheme="minorEastAsia"/>
          <w:color w:val="auto"/>
          <w:sz w:val="24"/>
          <w:highlight w:val="none"/>
        </w:rPr>
        <w:t>。磋商小组只对通过初审</w:t>
      </w:r>
      <w:r>
        <w:rPr>
          <w:rFonts w:hint="eastAsia" w:asciiTheme="minorEastAsia" w:hAnsiTheme="minorEastAsia" w:eastAsiaTheme="minorEastAsia"/>
          <w:color w:val="auto"/>
          <w:sz w:val="24"/>
          <w:highlight w:val="none"/>
          <w:lang w:eastAsia="zh-CN"/>
        </w:rPr>
        <w:t>、</w:t>
      </w:r>
      <w:r>
        <w:rPr>
          <w:rFonts w:hint="eastAsia" w:ascii="宋体" w:hAnsi="宋体" w:eastAsia="宋体"/>
          <w:color w:val="auto"/>
          <w:sz w:val="24"/>
          <w:highlight w:val="none"/>
          <w:lang w:val="en-US" w:eastAsia="zh-CN"/>
        </w:rPr>
        <w:t>异常低价响应审查</w:t>
      </w:r>
      <w:r>
        <w:rPr>
          <w:rFonts w:hint="eastAsia" w:asciiTheme="minorEastAsia" w:hAnsiTheme="minorEastAsia" w:eastAsiaTheme="minorEastAsia"/>
          <w:color w:val="auto"/>
          <w:sz w:val="24"/>
          <w:highlight w:val="none"/>
        </w:rPr>
        <w:t>，实质上响应磋商文件要求的响应文件进行综合评分。经磋商确定最终采购需求和提交最后报价的供应商后，由磋商小组采用综合评分法对提交最后报价的供应商的响应文件和最后报价进行综合评分。</w:t>
      </w:r>
    </w:p>
    <w:p w14:paraId="3D9CC1D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.4相关说明。</w:t>
      </w:r>
    </w:p>
    <w:p w14:paraId="4A494B5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 xml:space="preserve">.4.1为保证磋商活动顺利进行，供应商可派相关技术人员进行网上答疑； </w:t>
      </w:r>
    </w:p>
    <w:p w14:paraId="3F3FD5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.4.2磋</w:t>
      </w:r>
      <w:r>
        <w:rPr>
          <w:rFonts w:asciiTheme="minorEastAsia" w:hAnsiTheme="minorEastAsia" w:eastAsiaTheme="minorEastAsia"/>
          <w:color w:val="auto"/>
          <w:sz w:val="24"/>
          <w:highlight w:val="none"/>
        </w:rPr>
        <w:t>商小组根据与</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磋商情况可能实质性变动</w:t>
      </w:r>
      <w:r>
        <w:rPr>
          <w:rFonts w:hint="eastAsia" w:asciiTheme="minorEastAsia" w:hAnsiTheme="minorEastAsia" w:eastAsiaTheme="minorEastAsia"/>
          <w:color w:val="auto"/>
          <w:sz w:val="24"/>
          <w:highlight w:val="none"/>
        </w:rPr>
        <w:t>磋商文件</w:t>
      </w:r>
      <w:r>
        <w:rPr>
          <w:rFonts w:asciiTheme="minorEastAsia" w:hAnsiTheme="minorEastAsia" w:eastAsiaTheme="minorEastAsia"/>
          <w:color w:val="auto"/>
          <w:sz w:val="24"/>
          <w:highlight w:val="none"/>
        </w:rPr>
        <w:t>的内容，包括采购需求中的技术、服务要求以及合同草案条款。磋商文件有实质性变动的，</w:t>
      </w:r>
      <w:r>
        <w:rPr>
          <w:rFonts w:hint="eastAsia" w:asciiTheme="minorEastAsia" w:hAnsiTheme="minorEastAsia" w:eastAsiaTheme="minorEastAsia"/>
          <w:color w:val="auto"/>
          <w:sz w:val="24"/>
          <w:highlight w:val="none"/>
        </w:rPr>
        <w:t>经采购人代表确认作为磋商文件的有效组成部分，</w:t>
      </w:r>
      <w:r>
        <w:rPr>
          <w:rFonts w:asciiTheme="minorEastAsia" w:hAnsiTheme="minorEastAsia" w:eastAsiaTheme="minorEastAsia"/>
          <w:color w:val="auto"/>
          <w:sz w:val="24"/>
          <w:highlight w:val="none"/>
        </w:rPr>
        <w:t>磋商小组</w:t>
      </w:r>
      <w:r>
        <w:rPr>
          <w:rFonts w:hint="eastAsia" w:asciiTheme="minorEastAsia" w:hAnsiTheme="minorEastAsia" w:eastAsiaTheme="minorEastAsia"/>
          <w:color w:val="auto"/>
          <w:sz w:val="24"/>
          <w:highlight w:val="none"/>
        </w:rPr>
        <w:t>将</w:t>
      </w:r>
      <w:r>
        <w:rPr>
          <w:rFonts w:asciiTheme="minorEastAsia" w:hAnsiTheme="minorEastAsia" w:eastAsiaTheme="minorEastAsia"/>
          <w:color w:val="auto"/>
          <w:sz w:val="24"/>
          <w:highlight w:val="none"/>
        </w:rPr>
        <w:t>以书面形式通知所有参加磋商的供应商。</w:t>
      </w:r>
    </w:p>
    <w:p w14:paraId="7092B49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无论何种原因，即使供应商</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时携带了证书材料的原件，但响应文件中未提供与之内容完全一致的</w:t>
      </w:r>
      <w:r>
        <w:rPr>
          <w:rFonts w:hint="eastAsia" w:asciiTheme="minorEastAsia" w:hAnsiTheme="minorEastAsia" w:eastAsiaTheme="minorEastAsia"/>
          <w:color w:val="auto"/>
          <w:sz w:val="24"/>
          <w:highlight w:val="none"/>
        </w:rPr>
        <w:t>扫描件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小组可以视同其未提供。</w:t>
      </w:r>
    </w:p>
    <w:p w14:paraId="202588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小组决定响应文件的响应性及符合性只根据响应文件本身的内容，而不寻求其他外部证据。</w:t>
      </w:r>
    </w:p>
    <w:p w14:paraId="559BFBA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w:t>
      </w:r>
      <w:r>
        <w:rPr>
          <w:rFonts w:asciiTheme="minorEastAsia" w:hAnsiTheme="minorEastAsia" w:eastAsiaTheme="minorEastAsia"/>
          <w:color w:val="auto"/>
          <w:sz w:val="24"/>
          <w:highlight w:val="none"/>
        </w:rPr>
        <w:t>代表对</w:t>
      </w:r>
      <w:r>
        <w:rPr>
          <w:rFonts w:hint="eastAsia" w:asciiTheme="minorEastAsia" w:hAnsiTheme="minorEastAsia" w:eastAsiaTheme="minorEastAsia"/>
          <w:color w:val="auto"/>
          <w:sz w:val="24"/>
          <w:highlight w:val="none"/>
        </w:rPr>
        <w:t>磋商过程</w:t>
      </w:r>
      <w:r>
        <w:rPr>
          <w:rFonts w:asciiTheme="minorEastAsia" w:hAnsiTheme="minorEastAsia" w:eastAsiaTheme="minorEastAsia"/>
          <w:color w:val="auto"/>
          <w:sz w:val="24"/>
          <w:highlight w:val="none"/>
        </w:rPr>
        <w:t>有疑义，以及认为采购人、采购代理机构相关工作人员有需要回避的情形的，应当场提出询问或者回避申请</w:t>
      </w:r>
      <w:r>
        <w:rPr>
          <w:rFonts w:hint="eastAsia" w:asciiTheme="minorEastAsia" w:hAnsiTheme="minorEastAsia" w:eastAsiaTheme="minorEastAsia"/>
          <w:color w:val="auto"/>
          <w:sz w:val="24"/>
          <w:highlight w:val="none"/>
        </w:rPr>
        <w:t>，并说明理由。</w:t>
      </w:r>
      <w:r>
        <w:rPr>
          <w:rFonts w:asciiTheme="minorEastAsia" w:hAnsiTheme="minorEastAsia" w:eastAsiaTheme="minorEastAsia"/>
          <w:color w:val="auto"/>
          <w:sz w:val="24"/>
          <w:highlight w:val="none"/>
        </w:rPr>
        <w:t xml:space="preserve"> </w:t>
      </w:r>
    </w:p>
    <w:p w14:paraId="562531F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.终止竞争性磋商</w:t>
      </w:r>
    </w:p>
    <w:p w14:paraId="150F425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.1出现下列情况之一时，采购人和采购代理机构有权宣布终止竞争性磋商采购，并将理由通知所有供应商：</w:t>
      </w:r>
    </w:p>
    <w:p w14:paraId="04A67FC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（1）有效供应商数量不足，导致本次磋商缺乏竞争的；</w:t>
      </w:r>
    </w:p>
    <w:p w14:paraId="7FDAED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（2）出现影响采购公正的违法、违规行为的；</w:t>
      </w:r>
    </w:p>
    <w:p w14:paraId="746B606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（3）因重大变故，采购任务取消的；</w:t>
      </w:r>
    </w:p>
    <w:p w14:paraId="65261A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（4）政府采购法律法规规定的其他情形。</w:t>
      </w:r>
    </w:p>
    <w:p w14:paraId="56F7DA7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22FB1A2C">
      <w:pPr>
        <w:spacing w:line="360" w:lineRule="auto"/>
        <w:ind w:firstLine="470" w:firstLineChars="196"/>
        <w:rPr>
          <w:color w:val="auto"/>
          <w:sz w:val="24"/>
          <w:highlight w:val="none"/>
        </w:rPr>
      </w:pPr>
      <w:r>
        <w:rPr>
          <w:rFonts w:hint="eastAsia"/>
          <w:color w:val="auto"/>
          <w:sz w:val="24"/>
          <w:highlight w:val="none"/>
          <w:lang w:val="en-US" w:eastAsia="zh-CN"/>
        </w:rPr>
        <w:t>16</w:t>
      </w:r>
      <w:r>
        <w:rPr>
          <w:rFonts w:hint="eastAsia"/>
          <w:color w:val="auto"/>
          <w:sz w:val="24"/>
          <w:highlight w:val="none"/>
        </w:rPr>
        <w:t>.1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7B276BB1">
      <w:pPr>
        <w:spacing w:line="360" w:lineRule="auto"/>
        <w:ind w:firstLine="470" w:firstLineChars="196"/>
        <w:rPr>
          <w:color w:val="auto"/>
          <w:sz w:val="24"/>
          <w:highlight w:val="none"/>
        </w:rPr>
      </w:pPr>
      <w:r>
        <w:rPr>
          <w:rFonts w:hint="eastAsia"/>
          <w:color w:val="auto"/>
          <w:sz w:val="24"/>
          <w:highlight w:val="none"/>
          <w:lang w:val="en-US" w:eastAsia="zh-CN"/>
        </w:rPr>
        <w:t>16</w:t>
      </w:r>
      <w:r>
        <w:rPr>
          <w:rFonts w:hint="eastAsia"/>
          <w:color w:val="auto"/>
          <w:sz w:val="24"/>
          <w:highlight w:val="none"/>
        </w:rPr>
        <w:t>.2磋商小组要求供应商澄清、说明或者更正响应文件应当以书面形式（询标）作出。供应商的澄清、说明或者更正应当由法定代表人或其授权代表签字或者加盖公章</w:t>
      </w:r>
      <w:r>
        <w:rPr>
          <w:rFonts w:hint="eastAsia"/>
          <w:color w:val="auto"/>
          <w:sz w:val="24"/>
          <w:highlight w:val="none"/>
          <w:lang w:eastAsia="zh-CN"/>
        </w:rPr>
        <w:t>（</w:t>
      </w:r>
      <w:r>
        <w:rPr>
          <w:rFonts w:hint="eastAsia"/>
          <w:color w:val="auto"/>
          <w:sz w:val="24"/>
          <w:highlight w:val="none"/>
          <w:lang w:val="en-US" w:eastAsia="zh-CN"/>
        </w:rPr>
        <w:t>电子签章</w:t>
      </w:r>
      <w:r>
        <w:rPr>
          <w:rFonts w:hint="eastAsia"/>
          <w:color w:val="auto"/>
          <w:sz w:val="24"/>
          <w:highlight w:val="none"/>
          <w:lang w:eastAsia="zh-CN"/>
        </w:rPr>
        <w:t>）</w:t>
      </w:r>
      <w:r>
        <w:rPr>
          <w:rFonts w:hint="eastAsia"/>
          <w:color w:val="auto"/>
          <w:sz w:val="24"/>
          <w:highlight w:val="none"/>
        </w:rPr>
        <w:t>。</w:t>
      </w:r>
    </w:p>
    <w:p w14:paraId="75AA0571">
      <w:pPr>
        <w:spacing w:line="360" w:lineRule="auto"/>
        <w:ind w:firstLine="435"/>
        <w:rPr>
          <w:color w:val="auto"/>
          <w:sz w:val="24"/>
          <w:highlight w:val="none"/>
        </w:rPr>
      </w:pPr>
      <w:r>
        <w:rPr>
          <w:rFonts w:hint="eastAsia"/>
          <w:b/>
          <w:color w:val="auto"/>
          <w:sz w:val="24"/>
          <w:highlight w:val="none"/>
        </w:rPr>
        <w:t>如有询标，授权代表（或法定代表人）可通过远程登录的方式接受网上询标，也可凭本人有效身份证明参加询标。因授权代表联系不上</w:t>
      </w:r>
      <w:r>
        <w:rPr>
          <w:rFonts w:hint="eastAsia"/>
          <w:b/>
          <w:bCs/>
          <w:color w:val="auto"/>
          <w:sz w:val="24"/>
          <w:highlight w:val="none"/>
        </w:rPr>
        <w:t>、没有及时登录系统等情形</w:t>
      </w:r>
      <w:r>
        <w:rPr>
          <w:rFonts w:hint="eastAsia"/>
          <w:b/>
          <w:color w:val="auto"/>
          <w:sz w:val="24"/>
          <w:highlight w:val="none"/>
        </w:rPr>
        <w:t>而无法接受磋商小组询标的，供应商自行承担相关风险。</w:t>
      </w:r>
    </w:p>
    <w:p w14:paraId="68DDE5C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.最后报价</w:t>
      </w:r>
    </w:p>
    <w:p w14:paraId="168CCC07">
      <w:pPr>
        <w:keepNext w:val="0"/>
        <w:keepLines w:val="0"/>
        <w:pageBreakBefore w:val="0"/>
        <w:kinsoku/>
        <w:wordWrap w:val="0"/>
        <w:overflowPunct/>
        <w:topLinePunct w:val="0"/>
        <w:bidi w:val="0"/>
        <w:spacing w:line="360" w:lineRule="auto"/>
        <w:ind w:firstLine="435"/>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磋商并不限定只进行二轮报价，如果磋商小组认为有必要，可以要求供应商进行多轮报价。</w:t>
      </w:r>
      <w:r>
        <w:rPr>
          <w:rFonts w:hint="eastAsia" w:asciiTheme="minorEastAsia" w:hAnsiTheme="minorEastAsia" w:eastAsiaTheme="minorEastAsia"/>
          <w:b/>
          <w:bCs/>
          <w:color w:val="auto"/>
          <w:sz w:val="24"/>
          <w:highlight w:val="none"/>
          <w:lang w:val="en-US" w:eastAsia="zh-CN"/>
        </w:rPr>
        <w:t>本项目仅进行二轮报价。</w:t>
      </w:r>
    </w:p>
    <w:p w14:paraId="4C19D877">
      <w:pPr>
        <w:keepNext w:val="0"/>
        <w:keepLines w:val="0"/>
        <w:pageBreakBefore w:val="0"/>
        <w:kinsoku/>
        <w:wordWrap w:val="0"/>
        <w:overflowPunct/>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b/>
          <w:color w:val="auto"/>
          <w:kern w:val="0"/>
          <w:sz w:val="24"/>
          <w:highlight w:val="none"/>
        </w:rPr>
        <w:t>本次磋商实行二轮报价。第一次报价为供应商在响应文件中填报的报价，第二次报价在响应文件通过评审后，由磋商小组通过评标系统以询标方式，向响应文件评审有效的各供应商进行询标，各供应商应在评标系统询标规定的时间内，通过“评标澄清回复”进行二次报价。各供应商应及时查看系统质询问题并及时进行二次报价，第二次报价即为最后报价。供应商最后报价均不得高于磋商文件（公告）列明的项目预算、最高限价，否则其响应文件将被认定为响应无效。若供应商未在系统询标规定的时间内进行二次报价（最后报价）的，视同退出磋商；若二次报价（最后报价）被磋商小组认为不符合要求的，按响应无效处理。磋商价格分以供应商的最后报价为准，即满足磋商文件要求且最后报价最低的供应商的价格为磋商基准价，其价格分为满分。望各供应商务必全程在线，及时进行回复，否则，因此给其造成相关后果，自行承担。采用分项报价的项目，最后报价的各分项结合一次报价中的各项单价按总价同比例下浮，价款结算时按成交下浮比率进行调整。</w:t>
      </w:r>
    </w:p>
    <w:p w14:paraId="7BA61A9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在磋商内容不做实质性变更或重大调整的前提下，供应商下轮报价不得高于上一轮报价</w:t>
      </w:r>
      <w:r>
        <w:rPr>
          <w:rFonts w:hint="eastAsia" w:asciiTheme="minorEastAsia" w:hAnsiTheme="minorEastAsia" w:eastAsiaTheme="minorEastAsia"/>
          <w:color w:val="auto"/>
          <w:sz w:val="24"/>
          <w:highlight w:val="none"/>
        </w:rPr>
        <w:t>。</w:t>
      </w:r>
    </w:p>
    <w:p w14:paraId="5B86C63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最后报价是供应商响应文件的有效组成部分，最后报价也是签订合同的依据。</w:t>
      </w:r>
    </w:p>
    <w:p w14:paraId="1EB13C1A">
      <w:pPr>
        <w:spacing w:line="360" w:lineRule="auto"/>
        <w:ind w:firstLine="435"/>
        <w:rPr>
          <w:rFonts w:asciiTheme="majorEastAsia" w:hAnsiTheme="majorEastAsia" w:eastAsiaTheme="majorEastAsia"/>
          <w:color w:val="auto"/>
          <w:sz w:val="24"/>
          <w:highlight w:val="none"/>
        </w:rPr>
      </w:pPr>
      <w:bookmarkStart w:id="29" w:name="_Hlk60607655"/>
      <w:r>
        <w:rPr>
          <w:rFonts w:hint="eastAsia" w:asciiTheme="majorEastAsia" w:hAnsiTheme="majorEastAsia" w:eastAsiaTheme="majorEastAsia"/>
          <w:color w:val="auto"/>
          <w:sz w:val="24"/>
          <w:highlight w:val="none"/>
          <w:lang w:val="en-US" w:eastAsia="zh-CN"/>
        </w:rPr>
        <w:t>17</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4</w:t>
      </w:r>
      <w:r>
        <w:rPr>
          <w:rFonts w:hint="eastAsia" w:asciiTheme="majorEastAsia" w:hAnsiTheme="majorEastAsia" w:eastAsiaTheme="majorEastAsia"/>
          <w:color w:val="auto"/>
          <w:sz w:val="24"/>
          <w:highlight w:val="none"/>
        </w:rPr>
        <w:t>根据《政府采购促进中小企业发展管理办法》（财库〔</w:t>
      </w:r>
      <w:r>
        <w:rPr>
          <w:rFonts w:asciiTheme="majorEastAsia" w:hAnsiTheme="majorEastAsia" w:eastAsiaTheme="majorEastAsia"/>
          <w:color w:val="auto"/>
          <w:sz w:val="24"/>
          <w:highlight w:val="none"/>
        </w:rPr>
        <w:t>2020〕46号</w:t>
      </w:r>
      <w:r>
        <w:rPr>
          <w:rFonts w:hint="eastAsia" w:asciiTheme="majorEastAsia" w:hAnsiTheme="majorEastAsia" w:eastAsiaTheme="majorEastAsia"/>
          <w:color w:val="auto"/>
          <w:sz w:val="24"/>
          <w:highlight w:val="none"/>
        </w:rPr>
        <w:t>）、《三部门联合发布关于促进残疾人就业政府采购政策的通知》（财库〔2017〕141号）和《</w:t>
      </w:r>
      <w:r>
        <w:rPr>
          <w:rFonts w:asciiTheme="majorEastAsia" w:hAnsiTheme="majorEastAsia" w:eastAsiaTheme="majorEastAsia"/>
          <w:color w:val="auto"/>
          <w:sz w:val="24"/>
          <w:highlight w:val="none"/>
        </w:rPr>
        <w:t>财政部司法部关于政府采购支持监狱企业发展有关问题的通知</w:t>
      </w:r>
      <w:r>
        <w:rPr>
          <w:rFonts w:hint="eastAsia" w:asciiTheme="majorEastAsia" w:hAnsiTheme="majorEastAsia" w:eastAsiaTheme="majorEastAsia"/>
          <w:color w:val="auto"/>
          <w:sz w:val="24"/>
          <w:highlight w:val="none"/>
        </w:rPr>
        <w:t>》（财库〔2014〕68号）的规定，对满足价格扣除条件且在响应文件中提交了</w:t>
      </w:r>
      <w:r>
        <w:rPr>
          <w:rFonts w:asciiTheme="majorEastAsia" w:hAnsiTheme="majorEastAsia" w:eastAsiaTheme="majorEastAsia"/>
          <w:color w:val="auto"/>
          <w:sz w:val="24"/>
          <w:highlight w:val="none"/>
        </w:rPr>
        <w:t>《中小企业声明函》</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《残疾人福利性单位声明函》</w:t>
      </w:r>
      <w:r>
        <w:rPr>
          <w:rFonts w:hint="eastAsia" w:asciiTheme="majorEastAsia" w:hAnsiTheme="majorEastAsia" w:eastAsiaTheme="majorEastAsia"/>
          <w:color w:val="auto"/>
          <w:sz w:val="24"/>
          <w:highlight w:val="none"/>
        </w:rPr>
        <w:t>或省级以上监狱管理局、戒毒管理局（含新疆生产建设兵团）出具的属于监狱企业的证明文件的供应商，其最后报价按照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中规定的标准扣除后的价格参与评审。对于同时属于小微企业、监狱企业或残疾人福利性单位的，不重复进行最后报价扣除。</w:t>
      </w:r>
    </w:p>
    <w:p w14:paraId="29EADC82">
      <w:pPr>
        <w:spacing w:line="360" w:lineRule="auto"/>
        <w:ind w:firstLine="435"/>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Theme="majorEastAsia" w:hAnsiTheme="majorEastAsia" w:eastAsiaTheme="majorEastAsia"/>
          <w:color w:val="auto"/>
          <w:sz w:val="24"/>
          <w:highlight w:val="none"/>
        </w:rPr>
        <w:t>30%以上的，可给予联合体或者大中型企业的</w:t>
      </w:r>
      <w:r>
        <w:rPr>
          <w:rFonts w:hint="eastAsia" w:asciiTheme="majorEastAsia" w:hAnsiTheme="majorEastAsia" w:eastAsiaTheme="majorEastAsia"/>
          <w:color w:val="auto"/>
          <w:sz w:val="24"/>
          <w:highlight w:val="none"/>
        </w:rPr>
        <w:t>最后报价按照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w:t>
      </w:r>
      <w:r>
        <w:rPr>
          <w:rFonts w:asciiTheme="majorEastAsia" w:hAnsiTheme="majorEastAsia" w:eastAsiaTheme="majorEastAsia"/>
          <w:color w:val="auto"/>
          <w:sz w:val="24"/>
          <w:highlight w:val="none"/>
        </w:rPr>
        <w:t>。</w:t>
      </w:r>
      <w:r>
        <w:rPr>
          <w:rFonts w:hint="eastAsia" w:asciiTheme="majorEastAsia" w:hAnsiTheme="majorEastAsia" w:eastAsiaTheme="majorEastAsia"/>
          <w:color w:val="auto"/>
          <w:sz w:val="24"/>
          <w:highlight w:val="none"/>
        </w:rPr>
        <w:t>组成联合体或者接受分包的小微企业与联合体内其他企业、分包企业之间存在直接控股、管理关系的，不享受价格扣除优惠政策。</w:t>
      </w:r>
    </w:p>
    <w:p w14:paraId="4DF05B7C">
      <w:pPr>
        <w:spacing w:line="360" w:lineRule="auto"/>
        <w:ind w:firstLine="435"/>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以联合体形式参加政府采购活动，联合体各方均为中小企业的，联合体视同中小企业。其中，联合体各方均为小微企业的，联合体视同小微企业。</w:t>
      </w:r>
      <w:bookmarkEnd w:id="29"/>
    </w:p>
    <w:p w14:paraId="21694B57">
      <w:pPr>
        <w:spacing w:line="360" w:lineRule="auto"/>
        <w:ind w:firstLine="435"/>
        <w:rPr>
          <w:rFonts w:cs="@仿宋_GB2312"/>
          <w:color w:val="auto"/>
          <w:kern w:val="2"/>
          <w:sz w:val="24"/>
          <w:szCs w:val="22"/>
          <w:highlight w:val="none"/>
        </w:rPr>
      </w:pPr>
      <w:r>
        <w:rPr>
          <w:rFonts w:hint="eastAsia" w:cs="@仿宋_GB2312"/>
          <w:color w:val="auto"/>
          <w:kern w:val="2"/>
          <w:sz w:val="24"/>
          <w:szCs w:val="22"/>
          <w:highlight w:val="none"/>
          <w:lang w:val="en-US" w:eastAsia="zh-CN"/>
        </w:rPr>
        <w:t>17</w:t>
      </w:r>
      <w:r>
        <w:rPr>
          <w:rFonts w:hint="eastAsia" w:cs="@仿宋_GB2312"/>
          <w:color w:val="auto"/>
          <w:kern w:val="2"/>
          <w:sz w:val="24"/>
          <w:szCs w:val="22"/>
          <w:highlight w:val="none"/>
        </w:rPr>
        <w:t>.</w:t>
      </w:r>
      <w:r>
        <w:rPr>
          <w:rFonts w:hint="eastAsia" w:cs="@仿宋_GB2312"/>
          <w:color w:val="auto"/>
          <w:kern w:val="2"/>
          <w:sz w:val="24"/>
          <w:szCs w:val="22"/>
          <w:highlight w:val="none"/>
          <w:lang w:val="en-US" w:eastAsia="zh-CN"/>
        </w:rPr>
        <w:t>5</w:t>
      </w:r>
      <w:r>
        <w:rPr>
          <w:rFonts w:hint="eastAsia" w:cs="@仿宋_GB2312"/>
          <w:color w:val="auto"/>
          <w:kern w:val="2"/>
          <w:sz w:val="24"/>
          <w:szCs w:val="22"/>
          <w:highlight w:val="none"/>
        </w:rPr>
        <w:t>供应商应当按照企业定额或项目所在地最新建设工程计价依据以及材料市场价格信息等，结合自身实力、施工经验、现场环境以及磋商文件的要求自主报价。</w:t>
      </w:r>
    </w:p>
    <w:p w14:paraId="394F6A5D">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w:t>
      </w:r>
      <w:r>
        <w:rPr>
          <w:rFonts w:hint="eastAsia"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lang w:val="en-US" w:eastAsia="zh-CN"/>
        </w:rPr>
        <w:t>6</w:t>
      </w:r>
      <w:r>
        <w:rPr>
          <w:rFonts w:hint="eastAsia" w:cs="@仿宋_GB2312" w:asciiTheme="minorEastAsia" w:hAnsiTheme="minorEastAsia" w:eastAsiaTheme="minorEastAsia"/>
          <w:color w:val="auto"/>
          <w:kern w:val="2"/>
          <w:sz w:val="24"/>
          <w:highlight w:val="none"/>
        </w:rPr>
        <w:t>除非采购人对磋商文件予以澄清、修改，否则供应商应按采购人提供的工程量清单中列出的工程项目和工程量逐项填报综合单价和合价。供应商不得在工程量清单中任意增删、修改清单项目与工程量及项目排列顺序。</w:t>
      </w:r>
    </w:p>
    <w:p w14:paraId="0702EBB9">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w:t>
      </w:r>
      <w:r>
        <w:rPr>
          <w:rFonts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lang w:val="en-US" w:eastAsia="zh-CN"/>
        </w:rPr>
        <w:t>7</w:t>
      </w:r>
      <w:r>
        <w:rPr>
          <w:rFonts w:hint="eastAsia" w:cs="@仿宋_GB2312" w:asciiTheme="minorEastAsia" w:hAnsiTheme="minorEastAsia" w:eastAsiaTheme="minorEastAsia"/>
          <w:color w:val="auto"/>
          <w:kern w:val="2"/>
          <w:sz w:val="24"/>
          <w:highlight w:val="none"/>
        </w:rPr>
        <w:t>除非合同中另有规定，供应商在工程量清单报价书中所报的价格包括完成磋商文件规定的全部工程内容及为达到质量和工期目标、安全文明、环境保护等要求的分部分项工程费，措施项目费，不可竞争费，其他项目费，税金等所有费用。为满足工程建设标准和技术规范要求所发生的费用应包括在报价中。报价为供应商在响应文件中提出的各项支付金额的总和。每一清单项目只允许有一个报价，任何有选择的报价将不予接受。供应商未填综合单价或合价的清单项目，将被视为该项费用已包括在其他有价款的综合单价或合价以及总价内，供应商必须按合同要求完成工程量清单中未填综合单价或合价的工程项目，任何与未填综合单价或合价的工程项目有关的工程价款，采购人将不再另行支付。</w:t>
      </w:r>
    </w:p>
    <w:p w14:paraId="3461888A">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w:t>
      </w:r>
      <w:r>
        <w:rPr>
          <w:rFonts w:hint="eastAsia"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lang w:val="en-US" w:eastAsia="zh-CN"/>
        </w:rPr>
        <w:t>8</w:t>
      </w:r>
      <w:r>
        <w:rPr>
          <w:rFonts w:hint="eastAsia" w:cs="@仿宋_GB2312" w:asciiTheme="minorEastAsia" w:hAnsiTheme="minorEastAsia" w:eastAsiaTheme="minorEastAsia"/>
          <w:color w:val="auto"/>
          <w:kern w:val="2"/>
          <w:sz w:val="24"/>
          <w:highlight w:val="none"/>
        </w:rPr>
        <w:t>本项目的施工地点为本须知前附表所述，供应商可到施工现场踏勘以充分了解工地位置、情况、道路、储存空间、装卸限制及任何其它足以影响磋商报价的情况，任何因忽视或误解施工场地情况而导致的索赔或工期延长申请将不被批准。对于受施工现场场地限制，如需要另外寻找场地解决临时住宿、材料及设备堆放，由此所产生的费用应包含在磋商报价范围内，采购人不再承担该费用。</w:t>
      </w:r>
    </w:p>
    <w:p w14:paraId="05BB02F6">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hint="eastAsia" w:cs="@仿宋_GB2312" w:asciiTheme="minorEastAsia" w:hAnsiTheme="minorEastAsia" w:eastAsiaTheme="minorEastAsia"/>
          <w:color w:val="auto"/>
          <w:kern w:val="2"/>
          <w:sz w:val="24"/>
          <w:highlight w:val="none"/>
        </w:rPr>
        <w:t>工程造价的确定与控制</w:t>
      </w:r>
    </w:p>
    <w:p w14:paraId="7569A754">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hint="eastAsia" w:cs="@仿宋_GB2312" w:asciiTheme="minorEastAsia" w:hAnsiTheme="minorEastAsia" w:eastAsiaTheme="minorEastAsia"/>
          <w:color w:val="auto"/>
          <w:kern w:val="2"/>
          <w:sz w:val="24"/>
          <w:highlight w:val="none"/>
        </w:rPr>
        <w:t>.1本工程确定成交供应商后，工程总造价在磋商范围内包定，除经批准的设计变更、经济签证外，其它工程造价增减均不予签证计价。</w:t>
      </w:r>
    </w:p>
    <w:p w14:paraId="4C4A9372">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hint="eastAsia" w:cs="@仿宋_GB2312" w:asciiTheme="minorEastAsia" w:hAnsiTheme="minorEastAsia" w:eastAsiaTheme="minorEastAsia"/>
          <w:color w:val="auto"/>
          <w:kern w:val="2"/>
          <w:sz w:val="24"/>
          <w:highlight w:val="none"/>
        </w:rPr>
        <w:t>.2磋商前，供应商应认真对照施工设计图纸等文件核对采购人提供的工程量清单，发现工程量存在项目划分误差、计量单位误差、数量误差、遗漏项目的，必须在网上询问截止时间前向采购人提出疑问，否则采购人可不予答复。</w:t>
      </w:r>
    </w:p>
    <w:p w14:paraId="1555DE44">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lang w:val="en-US" w:eastAsia="zh-CN"/>
        </w:rPr>
        <w:t>3</w:t>
      </w:r>
      <w:r>
        <w:rPr>
          <w:rFonts w:hint="eastAsia" w:ascii="宋体" w:hAnsi="宋体" w:eastAsia="宋体" w:cs="宋体"/>
          <w:b w:val="0"/>
          <w:bCs w:val="0"/>
          <w:color w:val="auto"/>
          <w:kern w:val="2"/>
          <w:sz w:val="24"/>
          <w:szCs w:val="24"/>
          <w:highlight w:val="none"/>
        </w:rPr>
        <w:t>采购人对疑问应进行核实，确认工程量单项子目误差在±3%（含±3%）以内的，采购人可不予调整工程量，供应商应将其误差考虑在综合单价内；若有遗漏项目或单项子目工程量误差超过±3%的，采购人应进行修正并重新公布准确的工程量清单。</w:t>
      </w:r>
    </w:p>
    <w:p w14:paraId="1CCD766C">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lang w:val="en-US" w:eastAsia="zh-CN"/>
        </w:rPr>
        <w:t>4</w:t>
      </w:r>
      <w:r>
        <w:rPr>
          <w:rFonts w:hint="eastAsia" w:cs="@仿宋_GB2312" w:asciiTheme="minorEastAsia" w:hAnsiTheme="minorEastAsia" w:eastAsiaTheme="minorEastAsia"/>
          <w:color w:val="auto"/>
          <w:kern w:val="2"/>
          <w:sz w:val="24"/>
          <w:highlight w:val="none"/>
        </w:rPr>
        <w:t>供应商在规定时间内未对工程量清单提出疑问的，成交后，采购人不再对工程量清单的项目和数量进行校对调整。供应商必须按其报价完成竞争性磋商文件规定范围内的设计图纸规定的所有工程项目。</w:t>
      </w:r>
    </w:p>
    <w:p w14:paraId="4EA42E63">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17.10</w:t>
      </w:r>
      <w:r>
        <w:rPr>
          <w:rFonts w:hint="eastAsia" w:cs="@仿宋_GB2312" w:asciiTheme="minorEastAsia" w:hAnsiTheme="minorEastAsia" w:eastAsiaTheme="minorEastAsia"/>
          <w:color w:val="auto"/>
          <w:kern w:val="2"/>
          <w:sz w:val="24"/>
          <w:highlight w:val="none"/>
        </w:rPr>
        <w:t>成交供应商在工程量清单报价书中所报的综合单价一律不予调整。</w:t>
      </w:r>
    </w:p>
    <w:p w14:paraId="0997BF27">
      <w:pPr>
        <w:spacing w:line="360" w:lineRule="auto"/>
        <w:ind w:firstLine="435"/>
        <w:rPr>
          <w:rFonts w:asciiTheme="minorEastAsia" w:hAnsiTheme="minorEastAsia" w:eastAsiaTheme="minorEastAsia"/>
          <w:color w:val="auto"/>
          <w:sz w:val="24"/>
          <w:highlight w:val="none"/>
        </w:rPr>
      </w:pPr>
      <w:r>
        <w:rPr>
          <w:rFonts w:hint="eastAsia" w:cs="@仿宋_GB2312" w:asciiTheme="minorEastAsia" w:hAnsiTheme="minorEastAsia" w:eastAsiaTheme="minorEastAsia"/>
          <w:color w:val="auto"/>
          <w:kern w:val="2"/>
          <w:sz w:val="24"/>
          <w:highlight w:val="none"/>
          <w:lang w:val="en-US" w:eastAsia="zh-CN"/>
        </w:rPr>
        <w:t>17.11</w:t>
      </w:r>
      <w:r>
        <w:rPr>
          <w:rFonts w:hint="eastAsia" w:cs="@仿宋_GB2312" w:asciiTheme="minorEastAsia" w:hAnsiTheme="minorEastAsia" w:eastAsiaTheme="minorEastAsia"/>
          <w:color w:val="auto"/>
          <w:kern w:val="2"/>
          <w:sz w:val="24"/>
          <w:highlight w:val="none"/>
        </w:rPr>
        <w:t>本工程不接受恶意不平衡报价，不保证最低价成交。</w:t>
      </w:r>
    </w:p>
    <w:p w14:paraId="3E13C56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成交候选供应商的推荐原则及标准</w:t>
      </w:r>
    </w:p>
    <w:p w14:paraId="41D46DB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磋商小组</w:t>
      </w:r>
      <w:r>
        <w:rPr>
          <w:rFonts w:asciiTheme="minorEastAsia" w:hAnsiTheme="minorEastAsia" w:eastAsiaTheme="minorEastAsia"/>
          <w:color w:val="auto"/>
          <w:sz w:val="24"/>
          <w:highlight w:val="none"/>
        </w:rPr>
        <w:t>依据本项目</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文件所约定的</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方法</w:t>
      </w:r>
      <w:r>
        <w:rPr>
          <w:rFonts w:hint="eastAsia" w:asciiTheme="minorEastAsia" w:hAnsiTheme="minorEastAsia" w:eastAsiaTheme="minorEastAsia"/>
          <w:color w:val="auto"/>
          <w:sz w:val="24"/>
          <w:highlight w:val="none"/>
        </w:rPr>
        <w:t>和标准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14:paraId="6F5926A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确定成交候选供应商和成交供应商</w:t>
      </w:r>
    </w:p>
    <w:p w14:paraId="1AB7C89B">
      <w:pPr>
        <w:spacing w:line="360" w:lineRule="auto"/>
        <w:ind w:firstLine="470" w:firstLineChars="196"/>
        <w:rPr>
          <w:color w:val="auto"/>
          <w:sz w:val="24"/>
          <w:highlight w:val="none"/>
        </w:rPr>
      </w:pPr>
      <w:r>
        <w:rPr>
          <w:rFonts w:hint="eastAsia"/>
          <w:color w:val="auto"/>
          <w:sz w:val="24"/>
          <w:highlight w:val="none"/>
          <w:lang w:val="en-US" w:eastAsia="zh-CN"/>
        </w:rPr>
        <w:t>19</w:t>
      </w:r>
      <w:r>
        <w:rPr>
          <w:rFonts w:hint="eastAsia"/>
          <w:color w:val="auto"/>
          <w:sz w:val="24"/>
          <w:highlight w:val="none"/>
        </w:rPr>
        <w:t>.1磋商小组根据综合评分的结果和</w:t>
      </w:r>
      <w:r>
        <w:rPr>
          <w:rFonts w:hint="eastAsia" w:asciiTheme="minorEastAsia" w:hAnsiTheme="minorEastAsia" w:eastAsiaTheme="minorEastAsia"/>
          <w:color w:val="auto"/>
          <w:sz w:val="24"/>
          <w:highlight w:val="none"/>
          <w:u w:val="single"/>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w:t>
      </w:r>
      <w:r>
        <w:rPr>
          <w:rFonts w:hint="eastAsia"/>
          <w:color w:val="auto"/>
          <w:sz w:val="24"/>
          <w:highlight w:val="none"/>
        </w:rPr>
        <w:t>确定成交候选供应商，并标明排列顺序。</w:t>
      </w:r>
      <w:r>
        <w:rPr>
          <w:rFonts w:hint="eastAsia" w:asciiTheme="minorEastAsia" w:hAnsiTheme="minorEastAsia" w:eastAsiaTheme="minorEastAsia"/>
          <w:color w:val="auto"/>
          <w:sz w:val="24"/>
          <w:highlight w:val="none"/>
        </w:rPr>
        <w:t>按</w:t>
      </w:r>
      <w:r>
        <w:rPr>
          <w:rFonts w:hint="eastAsia" w:asciiTheme="minorEastAsia" w:hAnsiTheme="minorEastAsia" w:eastAsiaTheme="minorEastAsia"/>
          <w:color w:val="auto"/>
          <w:sz w:val="24"/>
          <w:highlight w:val="none"/>
          <w:u w:val="single"/>
          <w:lang w:val="en-US" w:eastAsia="zh-CN"/>
        </w:rPr>
        <w:t>供应商</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w:t>
      </w:r>
      <w:r>
        <w:rPr>
          <w:rFonts w:hint="eastAsia" w:asciiTheme="minorEastAsia" w:hAnsiTheme="minorEastAsia" w:eastAsiaTheme="minorEastAsia"/>
          <w:color w:val="auto"/>
          <w:sz w:val="24"/>
          <w:highlight w:val="none"/>
          <w:lang w:val="en-US" w:eastAsia="zh-CN"/>
        </w:rPr>
        <w:t>磋商小组</w:t>
      </w:r>
      <w:r>
        <w:rPr>
          <w:rFonts w:asciiTheme="minorEastAsia" w:hAnsiTheme="minorEastAsia" w:eastAsiaTheme="minorEastAsia"/>
          <w:color w:val="auto"/>
          <w:sz w:val="24"/>
          <w:highlight w:val="none"/>
        </w:rPr>
        <w:t>或采购人确定</w:t>
      </w:r>
      <w:r>
        <w:rPr>
          <w:rFonts w:hint="eastAsia" w:asciiTheme="minorEastAsia" w:hAnsiTheme="minorEastAsia" w:eastAsiaTheme="minorEastAsia"/>
          <w:color w:val="auto"/>
          <w:sz w:val="24"/>
          <w:highlight w:val="none"/>
          <w:lang w:val="en-US" w:eastAsia="zh-CN"/>
        </w:rPr>
        <w:t>成交供应商</w:t>
      </w:r>
      <w:r>
        <w:rPr>
          <w:rFonts w:asciiTheme="minorEastAsia" w:hAnsiTheme="minorEastAsia" w:eastAsiaTheme="minorEastAsia"/>
          <w:color w:val="auto"/>
          <w:sz w:val="24"/>
          <w:highlight w:val="none"/>
        </w:rPr>
        <w:t>。</w:t>
      </w:r>
    </w:p>
    <w:p w14:paraId="0D91681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20</w:t>
      </w:r>
      <w:r>
        <w:rPr>
          <w:rFonts w:asciiTheme="minorEastAsia" w:hAnsiTheme="minorEastAsia" w:eastAsiaTheme="minorEastAsia"/>
          <w:b/>
          <w:color w:val="auto"/>
          <w:sz w:val="24"/>
          <w:highlight w:val="none"/>
        </w:rPr>
        <w:t>.编写评审报告</w:t>
      </w:r>
    </w:p>
    <w:p w14:paraId="66EDC9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w:t>
      </w:r>
      <w:r>
        <w:rPr>
          <w:rFonts w:hint="eastAsia" w:asciiTheme="minorEastAsia" w:hAnsiTheme="minorEastAsia" w:eastAsiaTheme="minorEastAsia"/>
          <w:color w:val="auto"/>
          <w:sz w:val="24"/>
          <w:highlight w:val="none"/>
        </w:rPr>
        <w:t>.1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17790DF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8C51780">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1</w:t>
      </w:r>
      <w:r>
        <w:rPr>
          <w:rFonts w:hint="eastAsia"/>
          <w:color w:val="auto"/>
          <w:sz w:val="24"/>
          <w:highlight w:val="none"/>
        </w:rPr>
        <w:t>.1评审将在严格保密的情况下进行。</w:t>
      </w:r>
    </w:p>
    <w:p w14:paraId="2759BD65">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1</w:t>
      </w:r>
      <w:r>
        <w:rPr>
          <w:rFonts w:hint="eastAsia"/>
          <w:color w:val="auto"/>
          <w:sz w:val="24"/>
          <w:highlight w:val="none"/>
        </w:rPr>
        <w:t>.2有关人员</w:t>
      </w:r>
      <w:r>
        <w:rPr>
          <w:color w:val="auto"/>
          <w:sz w:val="24"/>
          <w:highlight w:val="none"/>
        </w:rPr>
        <w:t>应当</w:t>
      </w:r>
      <w:r>
        <w:rPr>
          <w:rFonts w:hint="eastAsia"/>
          <w:color w:val="auto"/>
          <w:sz w:val="24"/>
          <w:highlight w:val="none"/>
        </w:rPr>
        <w:t>遵</w:t>
      </w:r>
      <w:r>
        <w:rPr>
          <w:color w:val="auto"/>
          <w:sz w:val="24"/>
          <w:highlight w:val="none"/>
        </w:rPr>
        <w:t>守</w:t>
      </w:r>
      <w:r>
        <w:rPr>
          <w:rFonts w:hint="eastAsia"/>
          <w:color w:val="auto"/>
          <w:sz w:val="24"/>
          <w:highlight w:val="none"/>
        </w:rPr>
        <w:t>评审</w:t>
      </w:r>
      <w:r>
        <w:rPr>
          <w:color w:val="auto"/>
          <w:sz w:val="24"/>
          <w:highlight w:val="none"/>
        </w:rPr>
        <w:t>工作纪律，不得</w:t>
      </w:r>
      <w:r>
        <w:rPr>
          <w:rFonts w:hint="eastAsia"/>
          <w:color w:val="auto"/>
          <w:sz w:val="24"/>
          <w:highlight w:val="none"/>
        </w:rPr>
        <w:t>泄露评审文件</w:t>
      </w:r>
      <w:r>
        <w:rPr>
          <w:color w:val="auto"/>
          <w:sz w:val="24"/>
          <w:highlight w:val="none"/>
        </w:rPr>
        <w:t>、</w:t>
      </w:r>
      <w:r>
        <w:rPr>
          <w:rFonts w:hint="eastAsia"/>
          <w:color w:val="auto"/>
          <w:sz w:val="24"/>
          <w:highlight w:val="none"/>
        </w:rPr>
        <w:t>评审</w:t>
      </w:r>
      <w:r>
        <w:rPr>
          <w:color w:val="auto"/>
          <w:sz w:val="24"/>
          <w:highlight w:val="none"/>
        </w:rPr>
        <w:t>情况和</w:t>
      </w:r>
      <w:r>
        <w:rPr>
          <w:rFonts w:hint="eastAsia"/>
          <w:color w:val="auto"/>
          <w:sz w:val="24"/>
          <w:highlight w:val="none"/>
        </w:rPr>
        <w:t>评审</w:t>
      </w:r>
      <w:r>
        <w:rPr>
          <w:color w:val="auto"/>
          <w:sz w:val="24"/>
          <w:highlight w:val="none"/>
        </w:rPr>
        <w:t>中获悉的</w:t>
      </w:r>
      <w:r>
        <w:rPr>
          <w:rFonts w:hint="eastAsia"/>
          <w:color w:val="auto"/>
          <w:sz w:val="24"/>
          <w:highlight w:val="none"/>
        </w:rPr>
        <w:t>国家秘密、</w:t>
      </w:r>
      <w:r>
        <w:rPr>
          <w:color w:val="auto"/>
          <w:sz w:val="24"/>
          <w:highlight w:val="none"/>
        </w:rPr>
        <w:t>商业秘密。</w:t>
      </w:r>
    </w:p>
    <w:p w14:paraId="1629BA90">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.成交结果公告</w:t>
      </w:r>
    </w:p>
    <w:p w14:paraId="5A0A198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.1为体现“公开、公平、公正”的原则，磋商结束后，</w:t>
      </w:r>
      <w:r>
        <w:rPr>
          <w:rFonts w:hint="eastAsia" w:asciiTheme="minorEastAsia" w:hAnsiTheme="minorEastAsia" w:eastAsiaTheme="minorEastAsia"/>
          <w:color w:val="auto"/>
          <w:sz w:val="24"/>
          <w:highlight w:val="none"/>
        </w:rPr>
        <w:t>采购代理机构将</w:t>
      </w:r>
      <w:r>
        <w:rPr>
          <w:rFonts w:hint="eastAsia"/>
          <w:color w:val="auto"/>
          <w:sz w:val="24"/>
          <w:szCs w:val="18"/>
          <w:highlight w:val="none"/>
        </w:rPr>
        <w:t>在</w:t>
      </w:r>
      <w:r>
        <w:rPr>
          <w:rFonts w:hint="eastAsia"/>
          <w:color w:val="auto"/>
          <w:sz w:val="24"/>
          <w:szCs w:val="18"/>
          <w:highlight w:val="none"/>
          <w:lang w:eastAsia="zh-CN"/>
        </w:rPr>
        <w:t>滁州市</w:t>
      </w:r>
      <w:r>
        <w:rPr>
          <w:rFonts w:hint="eastAsia"/>
          <w:color w:val="auto"/>
          <w:sz w:val="24"/>
          <w:szCs w:val="18"/>
          <w:highlight w:val="none"/>
          <w:lang w:val="en-US" w:eastAsia="zh-CN"/>
        </w:rPr>
        <w:t>交通运输局</w:t>
      </w:r>
      <w:r>
        <w:rPr>
          <w:rFonts w:hint="eastAsia"/>
          <w:color w:val="auto"/>
          <w:sz w:val="24"/>
          <w:szCs w:val="18"/>
          <w:highlight w:val="none"/>
        </w:rPr>
        <w:t>（</w:t>
      </w:r>
      <w:r>
        <w:rPr>
          <w:rFonts w:hint="eastAsia"/>
          <w:color w:val="auto"/>
          <w:sz w:val="24"/>
          <w:szCs w:val="18"/>
          <w:highlight w:val="none"/>
          <w:lang w:eastAsia="zh-CN"/>
        </w:rPr>
        <w:t>https://jtj.chuzhou.gov.cn/xwdt/tzgg/index.html</w:t>
      </w:r>
      <w:r>
        <w:rPr>
          <w:rFonts w:hint="eastAsia"/>
          <w:color w:val="auto"/>
          <w:sz w:val="24"/>
          <w:szCs w:val="18"/>
          <w:highlight w:val="none"/>
        </w:rPr>
        <w:t>）</w:t>
      </w:r>
      <w:r>
        <w:rPr>
          <w:rFonts w:hint="eastAsia"/>
          <w:color w:val="auto"/>
          <w:sz w:val="24"/>
          <w:szCs w:val="18"/>
          <w:highlight w:val="none"/>
          <w:lang w:eastAsia="zh-CN"/>
        </w:rPr>
        <w:t>、滁州市城投工程咨询管理有限公司（https://www.czctgczx.com/）网站</w:t>
      </w:r>
      <w:r>
        <w:rPr>
          <w:rFonts w:hint="eastAsia"/>
          <w:color w:val="auto"/>
          <w:sz w:val="24"/>
          <w:szCs w:val="18"/>
          <w:highlight w:val="none"/>
        </w:rPr>
        <w:t>上</w:t>
      </w:r>
      <w:r>
        <w:rPr>
          <w:rFonts w:asciiTheme="minorEastAsia" w:hAnsiTheme="minorEastAsia" w:eastAsiaTheme="minorEastAsia"/>
          <w:color w:val="auto"/>
          <w:sz w:val="24"/>
          <w:highlight w:val="none"/>
        </w:rPr>
        <w:t>发布成交结果公告。</w:t>
      </w:r>
    </w:p>
    <w:p w14:paraId="3D723FD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.2成交结果公告内容应当包括采购人及其委托的采购代理机构的名称、地址、联系方式，项目名称和项目编号，成交供应商名称、地址和成交金额，主要成交标的的</w:t>
      </w:r>
      <w:r>
        <w:rPr>
          <w:rFonts w:hint="eastAsia" w:asciiTheme="minorEastAsia" w:hAnsiTheme="minorEastAsia" w:eastAsiaTheme="minorEastAsia"/>
          <w:color w:val="auto"/>
          <w:sz w:val="24"/>
          <w:highlight w:val="none"/>
        </w:rPr>
        <w:t>名称、施工范围、施工工期、项目经理、执业证书信息</w:t>
      </w:r>
      <w:r>
        <w:rPr>
          <w:rFonts w:asciiTheme="minorEastAsia" w:hAnsiTheme="minorEastAsia" w:eastAsiaTheme="minorEastAsia"/>
          <w:color w:val="auto"/>
          <w:sz w:val="24"/>
          <w:highlight w:val="none"/>
        </w:rPr>
        <w:t>，成交结果公告期限、评审专家名单以及</w:t>
      </w:r>
      <w:r>
        <w:rPr>
          <w:rFonts w:hint="eastAsia"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中约定进行公告的内容。</w:t>
      </w:r>
    </w:p>
    <w:p w14:paraId="55B16D61">
      <w:pPr>
        <w:spacing w:line="360" w:lineRule="auto"/>
        <w:ind w:firstLine="437"/>
        <w:outlineLvl w:val="2"/>
        <w:rPr>
          <w:b/>
          <w:color w:val="auto"/>
          <w:sz w:val="24"/>
          <w:highlight w:val="none"/>
        </w:rPr>
      </w:pPr>
      <w:r>
        <w:rPr>
          <w:rFonts w:hint="eastAsia"/>
          <w:b/>
          <w:color w:val="auto"/>
          <w:sz w:val="24"/>
          <w:highlight w:val="none"/>
          <w:lang w:val="en-US" w:eastAsia="zh-CN"/>
        </w:rPr>
        <w:t>23</w:t>
      </w:r>
      <w:r>
        <w:rPr>
          <w:b/>
          <w:color w:val="auto"/>
          <w:sz w:val="24"/>
          <w:highlight w:val="none"/>
        </w:rPr>
        <w:t>.成交通知书</w:t>
      </w:r>
    </w:p>
    <w:p w14:paraId="28BB77F5">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3</w:t>
      </w:r>
      <w:r>
        <w:rPr>
          <w:color w:val="auto"/>
          <w:sz w:val="24"/>
          <w:highlight w:val="none"/>
        </w:rPr>
        <w:t>.1采购代理机构发布成交结果公告的同时</w:t>
      </w:r>
      <w:r>
        <w:rPr>
          <w:rFonts w:asciiTheme="minorEastAsia" w:hAnsiTheme="minorEastAsia" w:eastAsiaTheme="minorEastAsia"/>
          <w:color w:val="auto"/>
          <w:sz w:val="24"/>
          <w:highlight w:val="none"/>
        </w:rPr>
        <w:t>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color w:val="auto"/>
          <w:sz w:val="24"/>
          <w:highlight w:val="none"/>
        </w:rPr>
        <w:t>向成交供应商发出成交通知书。</w:t>
      </w:r>
    </w:p>
    <w:p w14:paraId="1376564C">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3</w:t>
      </w:r>
      <w:r>
        <w:rPr>
          <w:color w:val="auto"/>
          <w:sz w:val="24"/>
          <w:highlight w:val="none"/>
        </w:rPr>
        <w:t>.2成交通知书对采购人和成交供应商具有同等法律效力。成交通知书发出以后，采购人改变成交结果或者成交供应商放弃成交资格，应当承担相应的法律责任。</w:t>
      </w:r>
    </w:p>
    <w:p w14:paraId="3ED38C09">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3</w:t>
      </w:r>
      <w:r>
        <w:rPr>
          <w:color w:val="auto"/>
          <w:sz w:val="24"/>
          <w:highlight w:val="none"/>
        </w:rPr>
        <w:t>.3成交通知书是合同的组成部分。</w:t>
      </w:r>
    </w:p>
    <w:p w14:paraId="5F28BBC3">
      <w:pPr>
        <w:spacing w:line="360" w:lineRule="auto"/>
        <w:ind w:firstLine="437"/>
        <w:outlineLvl w:val="2"/>
        <w:rPr>
          <w:b/>
          <w:color w:val="auto"/>
          <w:sz w:val="24"/>
          <w:highlight w:val="none"/>
        </w:rPr>
      </w:pPr>
      <w:r>
        <w:rPr>
          <w:rFonts w:hint="eastAsia"/>
          <w:b/>
          <w:color w:val="auto"/>
          <w:sz w:val="24"/>
          <w:highlight w:val="none"/>
        </w:rPr>
        <w:t>2</w:t>
      </w:r>
      <w:r>
        <w:rPr>
          <w:rFonts w:hint="eastAsia"/>
          <w:b/>
          <w:color w:val="auto"/>
          <w:sz w:val="24"/>
          <w:highlight w:val="none"/>
          <w:lang w:val="en-US" w:eastAsia="zh-CN"/>
        </w:rPr>
        <w:t>4</w:t>
      </w:r>
      <w:r>
        <w:rPr>
          <w:b/>
          <w:color w:val="auto"/>
          <w:sz w:val="24"/>
          <w:highlight w:val="none"/>
        </w:rPr>
        <w:t>.告知</w:t>
      </w:r>
      <w:r>
        <w:rPr>
          <w:rFonts w:hint="eastAsia" w:asciiTheme="minorEastAsia" w:hAnsiTheme="minorEastAsia" w:eastAsiaTheme="minorEastAsia"/>
          <w:b/>
          <w:color w:val="auto"/>
          <w:sz w:val="24"/>
          <w:highlight w:val="none"/>
        </w:rPr>
        <w:t>磋商</w:t>
      </w:r>
      <w:r>
        <w:rPr>
          <w:b/>
          <w:color w:val="auto"/>
          <w:sz w:val="24"/>
          <w:highlight w:val="none"/>
        </w:rPr>
        <w:t>结果</w:t>
      </w:r>
    </w:p>
    <w:p w14:paraId="53EFD189">
      <w:pPr>
        <w:spacing w:line="360" w:lineRule="auto"/>
        <w:ind w:firstLine="435"/>
        <w:rPr>
          <w:color w:val="auto"/>
          <w:sz w:val="24"/>
          <w:highlight w:val="none"/>
        </w:rPr>
      </w:pPr>
      <w:r>
        <w:rPr>
          <w:rFonts w:hint="eastAsia"/>
          <w:color w:val="auto"/>
          <w:sz w:val="24"/>
          <w:highlight w:val="none"/>
        </w:rPr>
        <w:t>2</w:t>
      </w:r>
      <w:r>
        <w:rPr>
          <w:rFonts w:hint="eastAsia"/>
          <w:color w:val="auto"/>
          <w:sz w:val="24"/>
          <w:highlight w:val="none"/>
          <w:lang w:val="en-US" w:eastAsia="zh-CN"/>
        </w:rPr>
        <w:t>4</w:t>
      </w:r>
      <w:r>
        <w:rPr>
          <w:color w:val="auto"/>
          <w:sz w:val="24"/>
          <w:highlight w:val="none"/>
        </w:rPr>
        <w:t>.1在公告</w:t>
      </w:r>
      <w:r>
        <w:rPr>
          <w:rFonts w:hint="eastAsia"/>
          <w:color w:val="auto"/>
          <w:sz w:val="24"/>
          <w:highlight w:val="none"/>
        </w:rPr>
        <w:t>成交</w:t>
      </w:r>
      <w:r>
        <w:rPr>
          <w:color w:val="auto"/>
          <w:sz w:val="24"/>
          <w:highlight w:val="none"/>
        </w:rPr>
        <w:t>结果的同时，采购代理机构同时以</w:t>
      </w:r>
      <w:r>
        <w:rPr>
          <w:rFonts w:hint="eastAsia"/>
          <w:color w:val="auto"/>
          <w:sz w:val="24"/>
          <w:highlight w:val="none"/>
          <w:u w:val="single"/>
        </w:rPr>
        <w:t>供应商</w:t>
      </w:r>
      <w:r>
        <w:rPr>
          <w:color w:val="auto"/>
          <w:sz w:val="24"/>
          <w:highlight w:val="none"/>
          <w:u w:val="single"/>
        </w:rPr>
        <w:t>须知前附表</w:t>
      </w:r>
      <w:r>
        <w:rPr>
          <w:color w:val="auto"/>
          <w:sz w:val="24"/>
          <w:highlight w:val="none"/>
        </w:rPr>
        <w:t>规定的形式告知未</w:t>
      </w:r>
      <w:r>
        <w:rPr>
          <w:rFonts w:hint="eastAsia"/>
          <w:color w:val="auto"/>
          <w:sz w:val="24"/>
          <w:highlight w:val="none"/>
        </w:rPr>
        <w:t>成交供应商</w:t>
      </w:r>
      <w:r>
        <w:rPr>
          <w:color w:val="auto"/>
          <w:sz w:val="24"/>
          <w:highlight w:val="none"/>
        </w:rPr>
        <w:t>本人的评审得分和排序。</w:t>
      </w:r>
    </w:p>
    <w:p w14:paraId="31E66F81">
      <w:pPr>
        <w:spacing w:line="360" w:lineRule="auto"/>
        <w:ind w:firstLine="480" w:firstLineChars="200"/>
        <w:rPr>
          <w:color w:val="auto"/>
          <w:sz w:val="24"/>
          <w:highlight w:val="none"/>
        </w:rPr>
      </w:pPr>
      <w:r>
        <w:rPr>
          <w:color w:val="auto"/>
          <w:sz w:val="24"/>
          <w:highlight w:val="none"/>
        </w:rPr>
        <w:t>2</w:t>
      </w:r>
      <w:r>
        <w:rPr>
          <w:rFonts w:hint="eastAsia"/>
          <w:color w:val="auto"/>
          <w:sz w:val="24"/>
          <w:highlight w:val="none"/>
          <w:lang w:val="en-US" w:eastAsia="zh-CN"/>
        </w:rPr>
        <w:t>4</w:t>
      </w:r>
      <w:r>
        <w:rPr>
          <w:color w:val="auto"/>
          <w:sz w:val="24"/>
          <w:highlight w:val="none"/>
        </w:rPr>
        <w:t>.</w:t>
      </w:r>
      <w:r>
        <w:rPr>
          <w:rFonts w:hint="eastAsia"/>
          <w:color w:val="auto"/>
          <w:sz w:val="24"/>
          <w:highlight w:val="none"/>
        </w:rPr>
        <w:t>2</w:t>
      </w:r>
      <w:r>
        <w:rPr>
          <w:color w:val="auto"/>
          <w:sz w:val="24"/>
          <w:highlight w:val="none"/>
        </w:rPr>
        <w:t>采购代理机构对未成交的供应商不做未成交原因的解释。</w:t>
      </w:r>
    </w:p>
    <w:p w14:paraId="5FF308F9">
      <w:pPr>
        <w:spacing w:line="360" w:lineRule="auto"/>
        <w:ind w:firstLine="437"/>
        <w:outlineLvl w:val="2"/>
        <w:rPr>
          <w:b/>
          <w:color w:val="auto"/>
          <w:sz w:val="24"/>
          <w:highlight w:val="none"/>
        </w:rPr>
      </w:pPr>
      <w:r>
        <w:rPr>
          <w:rFonts w:hint="eastAsia"/>
          <w:b/>
          <w:color w:val="auto"/>
          <w:sz w:val="24"/>
          <w:highlight w:val="none"/>
          <w:lang w:val="en-US" w:eastAsia="zh-CN"/>
        </w:rPr>
        <w:t>25</w:t>
      </w:r>
      <w:r>
        <w:rPr>
          <w:b/>
          <w:color w:val="auto"/>
          <w:sz w:val="24"/>
          <w:highlight w:val="none"/>
        </w:rPr>
        <w:t>.履约</w:t>
      </w:r>
      <w:r>
        <w:rPr>
          <w:rFonts w:asciiTheme="minorEastAsia" w:hAnsiTheme="minorEastAsia" w:eastAsiaTheme="minorEastAsia"/>
          <w:b/>
          <w:color w:val="auto"/>
          <w:sz w:val="24"/>
          <w:highlight w:val="none"/>
        </w:rPr>
        <w:t>保证金</w:t>
      </w:r>
    </w:p>
    <w:p w14:paraId="61247E70">
      <w:pPr>
        <w:spacing w:line="360" w:lineRule="auto"/>
        <w:ind w:firstLine="435"/>
        <w:rPr>
          <w:color w:val="auto"/>
          <w:sz w:val="24"/>
          <w:highlight w:val="none"/>
        </w:rPr>
      </w:pPr>
      <w:r>
        <w:rPr>
          <w:rFonts w:hint="eastAsia"/>
          <w:color w:val="auto"/>
          <w:sz w:val="24"/>
          <w:highlight w:val="none"/>
          <w:lang w:val="en-US" w:eastAsia="zh-CN"/>
        </w:rPr>
        <w:t>25</w:t>
      </w:r>
      <w:r>
        <w:rPr>
          <w:color w:val="auto"/>
          <w:sz w:val="24"/>
          <w:highlight w:val="none"/>
        </w:rPr>
        <w:t>.1成交供应商应按照</w:t>
      </w:r>
      <w:r>
        <w:rPr>
          <w:color w:val="auto"/>
          <w:sz w:val="24"/>
          <w:highlight w:val="none"/>
          <w:u w:val="single"/>
        </w:rPr>
        <w:t>供应商须知前附表</w:t>
      </w:r>
      <w:r>
        <w:rPr>
          <w:color w:val="auto"/>
          <w:sz w:val="24"/>
          <w:highlight w:val="none"/>
        </w:rPr>
        <w:t>规定</w:t>
      </w:r>
      <w:r>
        <w:rPr>
          <w:rFonts w:hint="eastAsia"/>
          <w:color w:val="auto"/>
          <w:sz w:val="24"/>
          <w:highlight w:val="none"/>
        </w:rPr>
        <w:t>缴纳</w:t>
      </w:r>
      <w:r>
        <w:rPr>
          <w:color w:val="auto"/>
          <w:sz w:val="24"/>
          <w:highlight w:val="none"/>
        </w:rPr>
        <w:t>履约保证金。</w:t>
      </w:r>
    </w:p>
    <w:p w14:paraId="22A92546">
      <w:pPr>
        <w:spacing w:line="360" w:lineRule="auto"/>
        <w:ind w:firstLine="435"/>
        <w:rPr>
          <w:color w:val="auto"/>
          <w:sz w:val="24"/>
          <w:highlight w:val="none"/>
        </w:rPr>
      </w:pPr>
      <w:r>
        <w:rPr>
          <w:rFonts w:hint="eastAsia"/>
          <w:color w:val="auto"/>
          <w:sz w:val="24"/>
          <w:highlight w:val="none"/>
          <w:lang w:val="en-US" w:eastAsia="zh-CN"/>
        </w:rPr>
        <w:t>25</w:t>
      </w:r>
      <w:r>
        <w:rPr>
          <w:color w:val="auto"/>
          <w:sz w:val="24"/>
          <w:highlight w:val="none"/>
        </w:rPr>
        <w:t>.2如果成交供应商没有按照上述履约保证金的规定执行，将视为放弃成交资格。在此情况下，采购人可确定下一成交候选供应商为成交供应商，也可以重新开展采购活动。</w:t>
      </w:r>
    </w:p>
    <w:p w14:paraId="16EF428C">
      <w:pPr>
        <w:spacing w:line="360" w:lineRule="auto"/>
        <w:ind w:firstLine="437"/>
        <w:outlineLvl w:val="2"/>
        <w:rPr>
          <w:rFonts w:hint="default" w:eastAsia="宋体"/>
          <w:b/>
          <w:color w:val="auto"/>
          <w:sz w:val="24"/>
          <w:highlight w:val="none"/>
          <w:lang w:val="en-US" w:eastAsia="zh-CN"/>
        </w:rPr>
      </w:pPr>
      <w:r>
        <w:rPr>
          <w:rFonts w:hint="eastAsia"/>
          <w:b/>
          <w:color w:val="auto"/>
          <w:sz w:val="24"/>
          <w:highlight w:val="none"/>
          <w:lang w:val="en-US" w:eastAsia="zh-CN"/>
        </w:rPr>
        <w:t>26</w:t>
      </w:r>
      <w:r>
        <w:rPr>
          <w:b/>
          <w:color w:val="auto"/>
          <w:sz w:val="24"/>
          <w:highlight w:val="none"/>
        </w:rPr>
        <w:t>.</w:t>
      </w:r>
      <w:r>
        <w:rPr>
          <w:rFonts w:hint="eastAsia"/>
          <w:b/>
          <w:color w:val="auto"/>
          <w:sz w:val="24"/>
          <w:highlight w:val="none"/>
          <w:lang w:val="en-US" w:eastAsia="zh-CN"/>
        </w:rPr>
        <w:t>代理费用</w:t>
      </w:r>
    </w:p>
    <w:p w14:paraId="04C79BCD">
      <w:pPr>
        <w:spacing w:line="360" w:lineRule="auto"/>
        <w:ind w:firstLine="435"/>
        <w:rPr>
          <w:color w:val="auto"/>
          <w:sz w:val="24"/>
          <w:highlight w:val="none"/>
        </w:rPr>
      </w:pPr>
      <w:r>
        <w:rPr>
          <w:rFonts w:hint="eastAsia"/>
          <w:color w:val="auto"/>
          <w:sz w:val="24"/>
          <w:highlight w:val="none"/>
          <w:lang w:val="en-US" w:eastAsia="zh-CN"/>
        </w:rPr>
        <w:t>26</w:t>
      </w:r>
      <w:r>
        <w:rPr>
          <w:color w:val="auto"/>
          <w:sz w:val="24"/>
          <w:highlight w:val="none"/>
        </w:rPr>
        <w:t>.1本项目</w:t>
      </w:r>
      <w:r>
        <w:rPr>
          <w:rFonts w:hint="eastAsia"/>
          <w:color w:val="auto"/>
          <w:sz w:val="24"/>
          <w:highlight w:val="none"/>
          <w:lang w:val="en-US" w:eastAsia="zh-CN"/>
        </w:rPr>
        <w:t>代理费用</w:t>
      </w:r>
      <w:r>
        <w:rPr>
          <w:color w:val="auto"/>
          <w:sz w:val="24"/>
          <w:highlight w:val="none"/>
        </w:rPr>
        <w:t>的收取按</w:t>
      </w:r>
      <w:r>
        <w:rPr>
          <w:rFonts w:hint="eastAsia"/>
          <w:color w:val="auto"/>
          <w:sz w:val="24"/>
          <w:highlight w:val="none"/>
          <w:u w:val="single"/>
        </w:rPr>
        <w:t>供应商</w:t>
      </w:r>
      <w:r>
        <w:rPr>
          <w:color w:val="auto"/>
          <w:sz w:val="24"/>
          <w:highlight w:val="none"/>
          <w:u w:val="single"/>
        </w:rPr>
        <w:t>须知前附表</w:t>
      </w:r>
      <w:r>
        <w:rPr>
          <w:color w:val="auto"/>
          <w:sz w:val="24"/>
          <w:highlight w:val="none"/>
        </w:rPr>
        <w:t>的规定执行。</w:t>
      </w:r>
    </w:p>
    <w:p w14:paraId="03595BEE">
      <w:pPr>
        <w:spacing w:line="360" w:lineRule="auto"/>
        <w:ind w:firstLine="437"/>
        <w:outlineLvl w:val="2"/>
        <w:rPr>
          <w:b/>
          <w:color w:val="auto"/>
          <w:sz w:val="24"/>
          <w:highlight w:val="none"/>
        </w:rPr>
      </w:pPr>
      <w:r>
        <w:rPr>
          <w:rFonts w:hint="eastAsia"/>
          <w:b/>
          <w:color w:val="auto"/>
          <w:sz w:val="24"/>
          <w:highlight w:val="none"/>
          <w:lang w:val="en-US" w:eastAsia="zh-CN"/>
        </w:rPr>
        <w:t>27</w:t>
      </w:r>
      <w:r>
        <w:rPr>
          <w:b/>
          <w:color w:val="auto"/>
          <w:sz w:val="24"/>
          <w:highlight w:val="none"/>
        </w:rPr>
        <w:t>.签订</w:t>
      </w:r>
      <w:r>
        <w:rPr>
          <w:rFonts w:asciiTheme="minorEastAsia" w:hAnsiTheme="minorEastAsia" w:eastAsiaTheme="minorEastAsia"/>
          <w:b/>
          <w:color w:val="auto"/>
          <w:sz w:val="24"/>
          <w:highlight w:val="none"/>
        </w:rPr>
        <w:t>合同</w:t>
      </w:r>
    </w:p>
    <w:p w14:paraId="11A45D8E">
      <w:pPr>
        <w:spacing w:line="360" w:lineRule="auto"/>
        <w:ind w:firstLine="435"/>
        <w:rPr>
          <w:color w:val="auto"/>
          <w:sz w:val="24"/>
          <w:highlight w:val="none"/>
        </w:rPr>
      </w:pPr>
      <w:r>
        <w:rPr>
          <w:rFonts w:hint="eastAsia"/>
          <w:color w:val="auto"/>
          <w:sz w:val="24"/>
          <w:highlight w:val="none"/>
          <w:lang w:val="en-US" w:eastAsia="zh-CN"/>
        </w:rPr>
        <w:t>27</w:t>
      </w:r>
      <w:r>
        <w:rPr>
          <w:color w:val="auto"/>
          <w:sz w:val="24"/>
          <w:highlight w:val="none"/>
        </w:rPr>
        <w:t>.1</w:t>
      </w:r>
      <w:r>
        <w:rPr>
          <w:rFonts w:hint="eastAsia" w:ascii="宋体" w:hAnsi="宋体" w:eastAsia="宋体" w:cs="宋体"/>
          <w:color w:val="auto"/>
          <w:sz w:val="24"/>
          <w:szCs w:val="24"/>
          <w:highlight w:val="none"/>
          <w:u w:val="none"/>
          <w:lang w:val="en-US" w:eastAsia="zh-CN"/>
        </w:rPr>
        <w:t>采购人与成交供应商应当按照</w:t>
      </w:r>
      <w:r>
        <w:rPr>
          <w:rFonts w:hint="eastAsia" w:ascii="宋体" w:hAnsi="宋体" w:eastAsia="宋体" w:cs="宋体"/>
          <w:color w:val="auto"/>
          <w:sz w:val="24"/>
          <w:szCs w:val="24"/>
          <w:highlight w:val="none"/>
          <w:u w:val="single"/>
          <w:lang w:val="en-US" w:eastAsia="zh-CN"/>
        </w:rPr>
        <w:t>供应商</w:t>
      </w:r>
      <w:r>
        <w:rPr>
          <w:rFonts w:hint="eastAsia" w:ascii="宋体" w:hAnsi="宋体" w:eastAsia="宋体" w:cs="宋体"/>
          <w:color w:val="auto"/>
          <w:sz w:val="24"/>
          <w:szCs w:val="24"/>
          <w:highlight w:val="none"/>
          <w:u w:val="single"/>
        </w:rPr>
        <w:t>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2A36227E">
      <w:pPr>
        <w:spacing w:line="360" w:lineRule="auto"/>
        <w:ind w:firstLine="435"/>
        <w:rPr>
          <w:color w:val="auto"/>
          <w:sz w:val="24"/>
          <w:highlight w:val="none"/>
        </w:rPr>
      </w:pPr>
      <w:r>
        <w:rPr>
          <w:rFonts w:hint="eastAsia"/>
          <w:color w:val="auto"/>
          <w:sz w:val="24"/>
          <w:highlight w:val="none"/>
          <w:lang w:val="en-US" w:eastAsia="zh-CN"/>
        </w:rPr>
        <w:t>27</w:t>
      </w:r>
      <w:r>
        <w:rPr>
          <w:color w:val="auto"/>
          <w:sz w:val="24"/>
          <w:highlight w:val="none"/>
        </w:rPr>
        <w:t>.2磋商文件、成交供应商的响应文件及其澄清文件等，均为签订合同的依据。</w:t>
      </w:r>
    </w:p>
    <w:p w14:paraId="68845CEA">
      <w:pPr>
        <w:spacing w:line="360" w:lineRule="auto"/>
        <w:ind w:firstLine="470" w:firstLineChars="196"/>
        <w:rPr>
          <w:color w:val="auto"/>
          <w:sz w:val="24"/>
          <w:highlight w:val="none"/>
        </w:rPr>
      </w:pPr>
      <w:r>
        <w:rPr>
          <w:rFonts w:hint="eastAsia"/>
          <w:color w:val="auto"/>
          <w:sz w:val="24"/>
          <w:highlight w:val="none"/>
          <w:lang w:val="en-US" w:eastAsia="zh-CN"/>
        </w:rPr>
        <w:t>27</w:t>
      </w:r>
      <w:r>
        <w:rPr>
          <w:color w:val="auto"/>
          <w:sz w:val="24"/>
          <w:highlight w:val="none"/>
        </w:rPr>
        <w:t>.3成交供应商拒绝与采购人签订合同的，采购人可以按照评审报告推荐的成交候选供应商名单排序，确定下一成交候选供应商为成交供应商，也可以重新开展采购活动。</w:t>
      </w:r>
      <w:r>
        <w:rPr>
          <w:rFonts w:hint="eastAsia"/>
          <w:color w:val="auto"/>
          <w:sz w:val="24"/>
          <w:highlight w:val="none"/>
        </w:rPr>
        <w:t>成交供应商拒绝签订政府采购合同的不得参加对该项目重新开展的采购活动。</w:t>
      </w:r>
    </w:p>
    <w:p w14:paraId="50BAA5F8">
      <w:pPr>
        <w:spacing w:line="360" w:lineRule="auto"/>
        <w:ind w:firstLine="470" w:firstLineChars="196"/>
        <w:rPr>
          <w:color w:val="auto"/>
          <w:sz w:val="24"/>
          <w:highlight w:val="none"/>
        </w:rPr>
      </w:pPr>
      <w:bookmarkStart w:id="30" w:name="_Hlk60264926"/>
      <w:r>
        <w:rPr>
          <w:rFonts w:hint="eastAsia"/>
          <w:color w:val="auto"/>
          <w:sz w:val="24"/>
          <w:highlight w:val="none"/>
          <w:lang w:val="en-US" w:eastAsia="zh-CN"/>
        </w:rPr>
        <w:t>27.4</w:t>
      </w:r>
      <w:r>
        <w:rPr>
          <w:rFonts w:hint="eastAsia"/>
          <w:color w:val="auto"/>
          <w:sz w:val="24"/>
          <w:highlight w:val="none"/>
        </w:rPr>
        <w:t>依据《政府采购促进中小企业发展管理办法》（财库〔</w:t>
      </w:r>
      <w:r>
        <w:rPr>
          <w:color w:val="auto"/>
          <w:sz w:val="24"/>
          <w:highlight w:val="none"/>
        </w:rPr>
        <w:t>2020〕46号</w:t>
      </w:r>
      <w:r>
        <w:rPr>
          <w:rFonts w:hint="eastAsia"/>
          <w:color w:val="auto"/>
          <w:sz w:val="24"/>
          <w:highlight w:val="none"/>
        </w:rPr>
        <w:t>）规定享受扶持政策获得政府采购合同的，小微企业不得将合同分包给大中型企业，中型企业不得将合同分包给大型企业。</w:t>
      </w:r>
      <w:bookmarkEnd w:id="30"/>
    </w:p>
    <w:p w14:paraId="0A6939D6">
      <w:pPr>
        <w:spacing w:line="360" w:lineRule="auto"/>
        <w:ind w:firstLine="437"/>
        <w:outlineLvl w:val="2"/>
        <w:rPr>
          <w:b/>
          <w:color w:val="auto"/>
          <w:sz w:val="24"/>
          <w:highlight w:val="none"/>
        </w:rPr>
      </w:pPr>
      <w:r>
        <w:rPr>
          <w:rFonts w:hint="eastAsia"/>
          <w:b/>
          <w:color w:val="auto"/>
          <w:sz w:val="24"/>
          <w:highlight w:val="none"/>
          <w:lang w:val="en-US" w:eastAsia="zh-CN"/>
        </w:rPr>
        <w:t>28</w:t>
      </w:r>
      <w:r>
        <w:rPr>
          <w:b/>
          <w:color w:val="auto"/>
          <w:sz w:val="24"/>
          <w:highlight w:val="none"/>
        </w:rPr>
        <w:t>.廉洁</w:t>
      </w:r>
      <w:r>
        <w:rPr>
          <w:rFonts w:asciiTheme="minorEastAsia" w:hAnsiTheme="minorEastAsia" w:eastAsiaTheme="minorEastAsia"/>
          <w:b/>
          <w:color w:val="auto"/>
          <w:sz w:val="24"/>
          <w:highlight w:val="none"/>
        </w:rPr>
        <w:t>自律</w:t>
      </w:r>
      <w:r>
        <w:rPr>
          <w:b/>
          <w:color w:val="auto"/>
          <w:sz w:val="24"/>
          <w:highlight w:val="none"/>
        </w:rPr>
        <w:t>规定</w:t>
      </w:r>
    </w:p>
    <w:p w14:paraId="45AA839B">
      <w:pPr>
        <w:spacing w:line="360" w:lineRule="auto"/>
        <w:ind w:firstLine="435"/>
        <w:rPr>
          <w:color w:val="auto"/>
          <w:sz w:val="24"/>
          <w:highlight w:val="none"/>
        </w:rPr>
      </w:pPr>
      <w:r>
        <w:rPr>
          <w:rFonts w:hint="eastAsia"/>
          <w:color w:val="auto"/>
          <w:sz w:val="24"/>
          <w:highlight w:val="none"/>
          <w:lang w:val="en-US" w:eastAsia="zh-CN"/>
        </w:rPr>
        <w:t>28</w:t>
      </w:r>
      <w:r>
        <w:rPr>
          <w:color w:val="auto"/>
          <w:sz w:val="24"/>
          <w:highlight w:val="none"/>
        </w:rPr>
        <w:t>.1采购代理机构工作人员不得以不正当手段获取政府采购代理业务，不得与采购人、供应商恶意串通。</w:t>
      </w:r>
    </w:p>
    <w:p w14:paraId="6F298712">
      <w:pPr>
        <w:spacing w:line="360" w:lineRule="auto"/>
        <w:ind w:firstLine="435"/>
        <w:rPr>
          <w:color w:val="auto"/>
          <w:sz w:val="24"/>
          <w:highlight w:val="none"/>
        </w:rPr>
      </w:pPr>
      <w:r>
        <w:rPr>
          <w:rFonts w:hint="eastAsia"/>
          <w:color w:val="auto"/>
          <w:sz w:val="24"/>
          <w:highlight w:val="none"/>
          <w:lang w:val="en-US" w:eastAsia="zh-CN"/>
        </w:rPr>
        <w:t>28</w:t>
      </w:r>
      <w:r>
        <w:rPr>
          <w:color w:val="auto"/>
          <w:sz w:val="24"/>
          <w:highlight w:val="none"/>
        </w:rPr>
        <w:t>.2采购代理机构工作人员不得接受采购人或者供应商组织的宴请、旅游、娱乐，不得收受礼品、现金、有价证券等，不得向采购人或者供应商报销应当由个人承担的费用。</w:t>
      </w:r>
    </w:p>
    <w:p w14:paraId="4FAF4E29">
      <w:pPr>
        <w:spacing w:line="360" w:lineRule="auto"/>
        <w:ind w:firstLine="437"/>
        <w:outlineLvl w:val="2"/>
        <w:rPr>
          <w:b/>
          <w:color w:val="auto"/>
          <w:sz w:val="24"/>
          <w:highlight w:val="none"/>
        </w:rPr>
      </w:pPr>
      <w:r>
        <w:rPr>
          <w:rFonts w:hint="eastAsia"/>
          <w:b/>
          <w:color w:val="auto"/>
          <w:sz w:val="24"/>
          <w:highlight w:val="none"/>
          <w:lang w:val="en-US" w:eastAsia="zh-CN"/>
        </w:rPr>
        <w:t>29</w:t>
      </w:r>
      <w:r>
        <w:rPr>
          <w:b/>
          <w:color w:val="auto"/>
          <w:sz w:val="24"/>
          <w:highlight w:val="none"/>
        </w:rPr>
        <w:t>.质疑的提出与接收</w:t>
      </w:r>
    </w:p>
    <w:p w14:paraId="35703A71">
      <w:pPr>
        <w:spacing w:line="360" w:lineRule="auto"/>
        <w:ind w:firstLine="435"/>
        <w:rPr>
          <w:color w:val="auto"/>
          <w:sz w:val="24"/>
          <w:highlight w:val="none"/>
        </w:rPr>
      </w:pPr>
      <w:r>
        <w:rPr>
          <w:rFonts w:hint="eastAsia"/>
          <w:color w:val="auto"/>
          <w:sz w:val="24"/>
          <w:highlight w:val="none"/>
          <w:lang w:val="en-US" w:eastAsia="zh-CN"/>
        </w:rPr>
        <w:t>29</w:t>
      </w:r>
      <w:r>
        <w:rPr>
          <w:rFonts w:hint="eastAsia"/>
          <w:color w:val="auto"/>
          <w:sz w:val="24"/>
          <w:highlight w:val="none"/>
        </w:rPr>
        <w:t>.1供应商认为磋商文件、采购过程和成交结果使自己的权益受到损害的，可以在知道或者应知其权益受到损害之日起七个工作日内，以书面形式向采购人或其委托的采购代理机构提出质疑。</w:t>
      </w:r>
    </w:p>
    <w:p w14:paraId="2F72927A">
      <w:pPr>
        <w:spacing w:line="360" w:lineRule="auto"/>
        <w:ind w:firstLine="435"/>
        <w:rPr>
          <w:color w:val="auto"/>
          <w:sz w:val="24"/>
          <w:highlight w:val="none"/>
        </w:rPr>
      </w:pPr>
      <w:r>
        <w:rPr>
          <w:rFonts w:hint="eastAsia"/>
          <w:color w:val="auto"/>
          <w:sz w:val="24"/>
          <w:highlight w:val="none"/>
          <w:lang w:val="en-US" w:eastAsia="zh-CN"/>
        </w:rPr>
        <w:t>29</w:t>
      </w:r>
      <w:r>
        <w:rPr>
          <w:rFonts w:hint="eastAsia"/>
          <w:color w:val="auto"/>
          <w:sz w:val="24"/>
          <w:highlight w:val="none"/>
        </w:rPr>
        <w:t>.</w:t>
      </w:r>
      <w:r>
        <w:rPr>
          <w:rFonts w:hint="eastAsia"/>
          <w:color w:val="auto"/>
          <w:sz w:val="24"/>
          <w:highlight w:val="none"/>
          <w:lang w:val="en-US" w:eastAsia="zh-CN"/>
        </w:rPr>
        <w:t>2</w:t>
      </w:r>
      <w:r>
        <w:rPr>
          <w:rFonts w:hint="eastAsia"/>
          <w:color w:val="auto"/>
          <w:sz w:val="24"/>
          <w:highlight w:val="none"/>
        </w:rPr>
        <w:t>质疑供应商应按照财政部制定的《政府采购质疑函范本》格式（详见磋商文件第八章）和《政府采购质疑和投诉办法》的要求，在法定质疑期内以书面形式提出质疑，超出法定质疑期提交的质疑将被拒绝。针对同一采购程序环节的质疑应一次性提出。</w:t>
      </w:r>
    </w:p>
    <w:p w14:paraId="5F16E4B5">
      <w:pPr>
        <w:spacing w:line="360" w:lineRule="auto"/>
        <w:ind w:firstLine="435"/>
        <w:rPr>
          <w:rFonts w:hint="eastAsia"/>
          <w:color w:val="auto"/>
          <w:sz w:val="24"/>
          <w:highlight w:val="none"/>
        </w:rPr>
      </w:pPr>
      <w:r>
        <w:rPr>
          <w:rFonts w:hint="eastAsia"/>
          <w:color w:val="auto"/>
          <w:sz w:val="24"/>
          <w:highlight w:val="none"/>
          <w:lang w:val="en-US" w:eastAsia="zh-CN"/>
        </w:rPr>
        <w:t>29</w:t>
      </w:r>
      <w:r>
        <w:rPr>
          <w:rFonts w:hint="eastAsia"/>
          <w:color w:val="auto"/>
          <w:sz w:val="24"/>
          <w:highlight w:val="none"/>
        </w:rPr>
        <w:t>.</w:t>
      </w:r>
      <w:r>
        <w:rPr>
          <w:rFonts w:hint="eastAsia"/>
          <w:color w:val="auto"/>
          <w:sz w:val="24"/>
          <w:highlight w:val="none"/>
          <w:lang w:val="en-US" w:eastAsia="zh-CN"/>
        </w:rPr>
        <w:t>3</w:t>
      </w:r>
      <w:r>
        <w:rPr>
          <w:rFonts w:hint="eastAsia"/>
          <w:color w:val="auto"/>
          <w:sz w:val="24"/>
          <w:highlight w:val="none"/>
        </w:rPr>
        <w:t>采购代理机构质疑函接收部门、联系电话和通讯地址，</w:t>
      </w:r>
      <w:r>
        <w:rPr>
          <w:rFonts w:hint="eastAsia" w:ascii="宋体" w:hAnsi="宋体" w:eastAsia="宋体"/>
          <w:color w:val="auto"/>
          <w:sz w:val="24"/>
          <w:highlight w:val="none"/>
        </w:rPr>
        <w:t>见</w:t>
      </w:r>
      <w:r>
        <w:rPr>
          <w:rFonts w:hint="eastAsia" w:ascii="宋体" w:hAnsi="宋体" w:eastAsia="宋体"/>
          <w:color w:val="auto"/>
          <w:sz w:val="24"/>
          <w:highlight w:val="none"/>
          <w:u w:val="single"/>
        </w:rPr>
        <w:t>供应商须知前附表</w:t>
      </w:r>
      <w:r>
        <w:rPr>
          <w:rFonts w:hint="eastAsia" w:ascii="宋体" w:hAnsi="宋体" w:eastAsia="宋体"/>
          <w:color w:val="auto"/>
          <w:sz w:val="24"/>
          <w:highlight w:val="none"/>
        </w:rPr>
        <w:t>。</w:t>
      </w:r>
    </w:p>
    <w:p w14:paraId="613788A6">
      <w:pPr>
        <w:spacing w:line="360" w:lineRule="auto"/>
        <w:ind w:firstLine="437"/>
        <w:outlineLvl w:val="2"/>
        <w:rPr>
          <w:b/>
          <w:color w:val="auto"/>
          <w:sz w:val="24"/>
          <w:highlight w:val="none"/>
        </w:rPr>
      </w:pPr>
      <w:r>
        <w:rPr>
          <w:b/>
          <w:color w:val="auto"/>
          <w:sz w:val="24"/>
          <w:highlight w:val="none"/>
        </w:rPr>
        <w:t>3</w:t>
      </w:r>
      <w:r>
        <w:rPr>
          <w:rFonts w:hint="eastAsia"/>
          <w:b/>
          <w:color w:val="auto"/>
          <w:sz w:val="24"/>
          <w:highlight w:val="none"/>
          <w:lang w:val="en-US" w:eastAsia="zh-CN"/>
        </w:rPr>
        <w:t>0</w:t>
      </w:r>
      <w:r>
        <w:rPr>
          <w:b/>
          <w:color w:val="auto"/>
          <w:sz w:val="24"/>
          <w:highlight w:val="none"/>
        </w:rPr>
        <w:t>.需要补充的其他内容</w:t>
      </w:r>
    </w:p>
    <w:p w14:paraId="49DC3F57">
      <w:pPr>
        <w:spacing w:line="360" w:lineRule="auto"/>
        <w:ind w:firstLine="435"/>
        <w:rPr>
          <w:color w:val="auto"/>
          <w:sz w:val="24"/>
          <w:highlight w:val="none"/>
        </w:rPr>
      </w:pPr>
      <w:r>
        <w:rPr>
          <w:rFonts w:hint="eastAsia"/>
          <w:color w:val="auto"/>
          <w:sz w:val="24"/>
          <w:highlight w:val="none"/>
        </w:rPr>
        <w:t>需要补充的其他内容，见</w:t>
      </w:r>
      <w:r>
        <w:rPr>
          <w:rFonts w:hint="eastAsia"/>
          <w:color w:val="auto"/>
          <w:sz w:val="24"/>
          <w:highlight w:val="none"/>
          <w:u w:val="single"/>
        </w:rPr>
        <w:t>供应商须知前附表</w:t>
      </w:r>
      <w:r>
        <w:rPr>
          <w:rFonts w:hint="eastAsia"/>
          <w:color w:val="auto"/>
          <w:sz w:val="24"/>
          <w:highlight w:val="none"/>
        </w:rPr>
        <w:t>。</w:t>
      </w:r>
    </w:p>
    <w:p w14:paraId="6B43D6DD">
      <w:pPr>
        <w:widowControl/>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13DD5809">
      <w:pPr>
        <w:spacing w:line="360" w:lineRule="auto"/>
        <w:jc w:val="center"/>
        <w:outlineLvl w:val="0"/>
        <w:rPr>
          <w:rFonts w:asciiTheme="minorEastAsia" w:hAnsiTheme="minorEastAsia" w:eastAsiaTheme="minorEastAsia"/>
          <w:b/>
          <w:color w:val="auto"/>
          <w:sz w:val="28"/>
          <w:highlight w:val="none"/>
        </w:rPr>
      </w:pPr>
      <w:bookmarkStart w:id="31" w:name="_Toc30873"/>
      <w:r>
        <w:rPr>
          <w:rFonts w:hint="eastAsia" w:asciiTheme="minorEastAsia" w:hAnsiTheme="minorEastAsia" w:eastAsiaTheme="minorEastAsia"/>
          <w:b/>
          <w:color w:val="auto"/>
          <w:sz w:val="28"/>
          <w:highlight w:val="none"/>
        </w:rPr>
        <w:t>第三章  采购需求</w:t>
      </w:r>
      <w:bookmarkEnd w:id="31"/>
    </w:p>
    <w:tbl>
      <w:tblPr>
        <w:tblStyle w:val="10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1277"/>
        <w:gridCol w:w="6287"/>
      </w:tblGrid>
      <w:tr w14:paraId="11128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7039C9FE">
            <w:pPr>
              <w:spacing w:line="360" w:lineRule="auto"/>
              <w:jc w:val="center"/>
              <w:rPr>
                <w:rFonts w:cs="@仿宋_GB2312" w:asciiTheme="minorEastAsia" w:hAnsiTheme="minorEastAsia" w:eastAsiaTheme="minorEastAsia"/>
                <w:b/>
                <w:color w:val="auto"/>
                <w:kern w:val="2"/>
                <w:sz w:val="24"/>
                <w:szCs w:val="22"/>
                <w:highlight w:val="none"/>
              </w:rPr>
            </w:pPr>
            <w:r>
              <w:rPr>
                <w:rFonts w:hint="eastAsia" w:cs="@仿宋_GB2312" w:asciiTheme="minorEastAsia" w:hAnsiTheme="minorEastAsia" w:eastAsiaTheme="minorEastAsia"/>
                <w:b/>
                <w:color w:val="auto"/>
                <w:kern w:val="2"/>
                <w:sz w:val="24"/>
                <w:szCs w:val="22"/>
                <w:highlight w:val="none"/>
              </w:rPr>
              <w:t>序号</w:t>
            </w:r>
          </w:p>
        </w:tc>
        <w:tc>
          <w:tcPr>
            <w:tcW w:w="1277" w:type="dxa"/>
            <w:vAlign w:val="center"/>
          </w:tcPr>
          <w:p w14:paraId="430D8D6C">
            <w:pPr>
              <w:spacing w:line="360" w:lineRule="auto"/>
              <w:ind w:firstLine="435"/>
              <w:jc w:val="center"/>
              <w:rPr>
                <w:rFonts w:cs="@仿宋_GB2312" w:asciiTheme="minorEastAsia" w:hAnsiTheme="minorEastAsia" w:eastAsiaTheme="minorEastAsia"/>
                <w:b/>
                <w:color w:val="auto"/>
                <w:kern w:val="2"/>
                <w:sz w:val="24"/>
                <w:szCs w:val="22"/>
                <w:highlight w:val="none"/>
              </w:rPr>
            </w:pPr>
            <w:r>
              <w:rPr>
                <w:rFonts w:hint="eastAsia" w:cs="@仿宋_GB2312" w:asciiTheme="minorEastAsia" w:hAnsiTheme="minorEastAsia" w:eastAsiaTheme="minorEastAsia"/>
                <w:b/>
                <w:color w:val="auto"/>
                <w:kern w:val="2"/>
                <w:sz w:val="24"/>
                <w:szCs w:val="22"/>
                <w:highlight w:val="none"/>
              </w:rPr>
              <w:t>内容</w:t>
            </w:r>
          </w:p>
        </w:tc>
        <w:tc>
          <w:tcPr>
            <w:tcW w:w="6287" w:type="dxa"/>
            <w:vAlign w:val="center"/>
          </w:tcPr>
          <w:p w14:paraId="0254B235">
            <w:pPr>
              <w:spacing w:line="360" w:lineRule="auto"/>
              <w:ind w:firstLine="435"/>
              <w:jc w:val="center"/>
              <w:rPr>
                <w:rFonts w:cs="@仿宋_GB2312" w:asciiTheme="minorEastAsia" w:hAnsiTheme="minorEastAsia" w:eastAsiaTheme="minorEastAsia"/>
                <w:b/>
                <w:color w:val="auto"/>
                <w:kern w:val="2"/>
                <w:sz w:val="24"/>
                <w:szCs w:val="22"/>
                <w:highlight w:val="none"/>
              </w:rPr>
            </w:pPr>
            <w:r>
              <w:rPr>
                <w:rFonts w:hint="eastAsia" w:cs="@仿宋_GB2312" w:asciiTheme="minorEastAsia" w:hAnsiTheme="minorEastAsia" w:eastAsiaTheme="minorEastAsia"/>
                <w:b/>
                <w:color w:val="auto"/>
                <w:kern w:val="2"/>
                <w:sz w:val="24"/>
                <w:szCs w:val="22"/>
                <w:highlight w:val="none"/>
              </w:rPr>
              <w:t>说明和要求</w:t>
            </w:r>
          </w:p>
        </w:tc>
      </w:tr>
      <w:tr w14:paraId="27D2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42C6F370">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1</w:t>
            </w:r>
          </w:p>
        </w:tc>
        <w:tc>
          <w:tcPr>
            <w:tcW w:w="1277" w:type="dxa"/>
            <w:vAlign w:val="center"/>
          </w:tcPr>
          <w:p w14:paraId="3583D823">
            <w:pPr>
              <w:keepNext w:val="0"/>
              <w:keepLines w:val="0"/>
              <w:pageBreakBefore w:val="0"/>
              <w:widowControl w:val="0"/>
              <w:kinsoku/>
              <w:wordWrap/>
              <w:overflowPunct/>
              <w:topLinePunct w:val="0"/>
              <w:autoSpaceDE/>
              <w:autoSpaceDN/>
              <w:bidi w:val="0"/>
              <w:adjustRightInd/>
              <w:snapToGrid/>
              <w:spacing w:line="500" w:lineRule="exact"/>
              <w:textAlignment w:val="auto"/>
              <w:rPr>
                <w:rFonts w:cs="@仿宋_GB2312" w:asciiTheme="minorEastAsia" w:hAnsiTheme="minorEastAsia" w:eastAsiaTheme="minorEastAsia"/>
                <w:color w:val="auto"/>
                <w:kern w:val="2"/>
                <w:sz w:val="24"/>
                <w:szCs w:val="22"/>
                <w:highlight w:val="none"/>
              </w:rPr>
            </w:pPr>
            <w:r>
              <w:rPr>
                <w:rFonts w:hint="eastAsia" w:ascii="宋体" w:hAnsi="宋体" w:eastAsia="宋体" w:cs="宋体"/>
                <w:color w:val="auto"/>
                <w:kern w:val="2"/>
                <w:sz w:val="24"/>
                <w:szCs w:val="24"/>
                <w:highlight w:val="none"/>
              </w:rPr>
              <w:t>人员到岗及履约要求</w:t>
            </w:r>
          </w:p>
        </w:tc>
        <w:tc>
          <w:tcPr>
            <w:tcW w:w="6287" w:type="dxa"/>
            <w:vAlign w:val="center"/>
          </w:tcPr>
          <w:p w14:paraId="59B69B52">
            <w:pPr>
              <w:keepNext w:val="0"/>
              <w:keepLines w:val="0"/>
              <w:pageBreakBefore w:val="0"/>
              <w:widowControl w:val="0"/>
              <w:kinsoku/>
              <w:wordWrap/>
              <w:overflowPunct/>
              <w:topLinePunct w:val="0"/>
              <w:autoSpaceDE/>
              <w:autoSpaceDN/>
              <w:bidi w:val="0"/>
              <w:adjustRightInd/>
              <w:snapToGrid/>
              <w:spacing w:line="500" w:lineRule="exact"/>
              <w:textAlignment w:val="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lang w:val="en-US" w:eastAsia="zh-CN"/>
              </w:rPr>
              <w:t>人员必须按照施工需要及采购人要求按时到岗</w:t>
            </w:r>
          </w:p>
        </w:tc>
      </w:tr>
      <w:tr w14:paraId="42AD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0C56437D">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2</w:t>
            </w:r>
          </w:p>
        </w:tc>
        <w:tc>
          <w:tcPr>
            <w:tcW w:w="1277" w:type="dxa"/>
            <w:vAlign w:val="center"/>
          </w:tcPr>
          <w:p w14:paraId="2858AFDB">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材料要求</w:t>
            </w:r>
          </w:p>
        </w:tc>
        <w:tc>
          <w:tcPr>
            <w:tcW w:w="6287" w:type="dxa"/>
            <w:vAlign w:val="center"/>
          </w:tcPr>
          <w:p w14:paraId="18E8725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cs="宋体"/>
                <w:color w:val="auto"/>
                <w:kern w:val="2"/>
                <w:sz w:val="24"/>
                <w:szCs w:val="24"/>
                <w:highlight w:val="none"/>
                <w:lang w:val="en-US" w:eastAsia="zh-CN"/>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lang w:val="en-US" w:eastAsia="zh-CN"/>
              </w:rPr>
              <w:t>所有主材和辅材、主件和配件应为市面可见的全新正规产品，不得使用二手产品；所购设备及材料必须符合招标要求和国家相关安全、环保标准。</w:t>
            </w:r>
          </w:p>
          <w:p w14:paraId="244B4143">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2.所有的原材料规格等要求应不低于磋商文件要求及图纸、清单的相关要求。</w:t>
            </w:r>
          </w:p>
        </w:tc>
      </w:tr>
      <w:tr w14:paraId="4D7A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396CDDA7">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3</w:t>
            </w:r>
          </w:p>
        </w:tc>
        <w:tc>
          <w:tcPr>
            <w:tcW w:w="1277" w:type="dxa"/>
            <w:vAlign w:val="center"/>
          </w:tcPr>
          <w:p w14:paraId="372F20F6">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工程施工重点难点</w:t>
            </w:r>
          </w:p>
        </w:tc>
        <w:tc>
          <w:tcPr>
            <w:tcW w:w="6287" w:type="dxa"/>
            <w:vAlign w:val="center"/>
          </w:tcPr>
          <w:p w14:paraId="00B08D2B">
            <w:pPr>
              <w:spacing w:line="360" w:lineRule="auto"/>
              <w:rPr>
                <w:rFonts w:hint="eastAsia" w:cs="@仿宋_GB2312" w:asciiTheme="minorEastAsia" w:hAnsiTheme="minorEastAsia" w:eastAsiaTheme="minorEastAsia"/>
                <w:color w:val="auto"/>
                <w:kern w:val="2"/>
                <w:sz w:val="24"/>
                <w:szCs w:val="22"/>
                <w:highlight w:val="none"/>
                <w:lang w:eastAsia="zh-CN"/>
              </w:rPr>
            </w:pPr>
            <w:r>
              <w:rPr>
                <w:rFonts w:hint="eastAsia" w:cs="@仿宋_GB2312" w:asciiTheme="minorEastAsia" w:hAnsiTheme="minorEastAsia" w:eastAsiaTheme="minorEastAsia"/>
                <w:color w:val="auto"/>
                <w:kern w:val="2"/>
                <w:sz w:val="24"/>
                <w:szCs w:val="22"/>
                <w:highlight w:val="none"/>
                <w:lang w:val="en-US" w:eastAsia="zh-CN"/>
              </w:rPr>
              <w:t>供应商</w:t>
            </w:r>
            <w:r>
              <w:rPr>
                <w:rFonts w:hint="default" w:cs="@仿宋_GB2312" w:asciiTheme="minorEastAsia" w:hAnsiTheme="minorEastAsia" w:eastAsiaTheme="minorEastAsia"/>
                <w:color w:val="auto"/>
                <w:kern w:val="2"/>
                <w:sz w:val="24"/>
                <w:szCs w:val="22"/>
                <w:highlight w:val="none"/>
                <w:lang w:val="en-US" w:eastAsia="zh-CN"/>
              </w:rPr>
              <w:t>结合图纸和现场情况自行考虑</w:t>
            </w:r>
          </w:p>
        </w:tc>
      </w:tr>
      <w:tr w14:paraId="07801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0F6C96DC">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4</w:t>
            </w:r>
          </w:p>
        </w:tc>
        <w:tc>
          <w:tcPr>
            <w:tcW w:w="1277" w:type="dxa"/>
            <w:vAlign w:val="center"/>
          </w:tcPr>
          <w:p w14:paraId="474F1F15">
            <w:pPr>
              <w:keepNext w:val="0"/>
              <w:keepLines w:val="0"/>
              <w:pageBreakBefore w:val="0"/>
              <w:widowControl w:val="0"/>
              <w:kinsoku/>
              <w:wordWrap/>
              <w:overflowPunct/>
              <w:topLinePunct w:val="0"/>
              <w:autoSpaceDE/>
              <w:autoSpaceDN/>
              <w:bidi w:val="0"/>
              <w:adjustRightInd/>
              <w:snapToGrid/>
              <w:spacing w:line="500" w:lineRule="exact"/>
              <w:textAlignment w:val="auto"/>
              <w:rPr>
                <w:rFonts w:cs="@仿宋_GB2312" w:asciiTheme="minorEastAsia" w:hAnsiTheme="minorEastAsia" w:eastAsiaTheme="minorEastAsia"/>
                <w:color w:val="auto"/>
                <w:kern w:val="2"/>
                <w:sz w:val="24"/>
                <w:szCs w:val="22"/>
                <w:highlight w:val="none"/>
              </w:rPr>
            </w:pPr>
            <w:r>
              <w:rPr>
                <w:rFonts w:hint="eastAsia" w:ascii="宋体" w:hAnsi="宋体" w:eastAsia="宋体" w:cs="宋体"/>
                <w:color w:val="auto"/>
                <w:kern w:val="2"/>
                <w:sz w:val="24"/>
                <w:szCs w:val="24"/>
                <w:highlight w:val="none"/>
              </w:rPr>
              <w:t>报价须知</w:t>
            </w:r>
          </w:p>
        </w:tc>
        <w:tc>
          <w:tcPr>
            <w:tcW w:w="6287" w:type="dxa"/>
            <w:vAlign w:val="center"/>
          </w:tcPr>
          <w:p w14:paraId="7E76039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0" w:firstLineChars="0"/>
              <w:textAlignment w:val="auto"/>
              <w:rPr>
                <w:rFonts w:hint="eastAsia" w:eastAsia="@微软简标宋"/>
                <w:color w:val="auto"/>
                <w:kern w:val="2"/>
                <w:sz w:val="21"/>
                <w:szCs w:val="22"/>
                <w:highlight w:val="none"/>
                <w:lang w:eastAsia="zh-CN"/>
              </w:rPr>
            </w:pP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供应商最后报价均不得高于磋商文件（公告）列明的项目预算、最高投标限价，否则其响应文件将被认定为响应无效。</w:t>
            </w:r>
          </w:p>
        </w:tc>
      </w:tr>
      <w:tr w14:paraId="1875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1EC00EAC">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5</w:t>
            </w:r>
          </w:p>
        </w:tc>
        <w:tc>
          <w:tcPr>
            <w:tcW w:w="1277" w:type="dxa"/>
            <w:vAlign w:val="center"/>
          </w:tcPr>
          <w:p w14:paraId="2890CD6C">
            <w:pPr>
              <w:keepNext w:val="0"/>
              <w:keepLines w:val="0"/>
              <w:pageBreakBefore w:val="0"/>
              <w:widowControl w:val="0"/>
              <w:kinsoku/>
              <w:wordWrap/>
              <w:overflowPunct/>
              <w:topLinePunct w:val="0"/>
              <w:autoSpaceDE/>
              <w:autoSpaceDN/>
              <w:bidi w:val="0"/>
              <w:adjustRightInd/>
              <w:snapToGrid/>
              <w:spacing w:line="500" w:lineRule="exact"/>
              <w:textAlignment w:val="auto"/>
              <w:rPr>
                <w:rFonts w:cs="@仿宋_GB2312" w:asciiTheme="minorEastAsia" w:hAnsiTheme="minorEastAsia" w:eastAsiaTheme="minorEastAsia"/>
                <w:color w:val="auto"/>
                <w:kern w:val="2"/>
                <w:sz w:val="24"/>
                <w:szCs w:val="22"/>
                <w:highlight w:val="none"/>
              </w:rPr>
            </w:pPr>
            <w:r>
              <w:rPr>
                <w:rFonts w:hint="eastAsia" w:ascii="宋体" w:hAnsi="宋体" w:eastAsia="宋体" w:cs="宋体"/>
                <w:color w:val="auto"/>
                <w:kern w:val="2"/>
                <w:sz w:val="24"/>
                <w:szCs w:val="24"/>
                <w:highlight w:val="none"/>
              </w:rPr>
              <w:t>重要说明</w:t>
            </w:r>
          </w:p>
        </w:tc>
        <w:tc>
          <w:tcPr>
            <w:tcW w:w="6287" w:type="dxa"/>
            <w:vAlign w:val="center"/>
          </w:tcPr>
          <w:p w14:paraId="4EC2A8F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政府采购政策（包括但不限于下列具体政策要求</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w:t>
            </w:r>
          </w:p>
          <w:p w14:paraId="3B6504C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（1）如属于《节能产品政府采购品目清单》中政府强制采购的节能产品，则</w:t>
            </w:r>
            <w:r>
              <w:rPr>
                <w:rFonts w:hint="eastAsia" w:ascii="宋体" w:hAnsi="宋体" w:eastAsia="宋体" w:cs="宋体"/>
                <w:color w:val="auto"/>
                <w:kern w:val="2"/>
                <w:sz w:val="24"/>
                <w:szCs w:val="24"/>
                <w:highlight w:val="none"/>
                <w:lang w:val="en-US" w:eastAsia="zh-CN"/>
              </w:rPr>
              <w:t>供应商</w:t>
            </w:r>
            <w:r>
              <w:rPr>
                <w:rFonts w:hint="eastAsia" w:ascii="宋体" w:hAnsi="宋体" w:eastAsia="宋体" w:cs="宋体"/>
                <w:color w:val="auto"/>
                <w:kern w:val="2"/>
                <w:sz w:val="24"/>
                <w:szCs w:val="24"/>
                <w:highlight w:val="none"/>
              </w:rPr>
              <w:t>所投产品须具有市场监管总局公布的《参与实施政府采购节能产品认证机构目录》中的认证机构出具的、处于有效期内的节能产品认证证书。</w:t>
            </w:r>
          </w:p>
          <w:p w14:paraId="7C3063EE">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cs="@仿宋_GB2312" w:asciiTheme="minorEastAsia" w:hAnsiTheme="minorEastAsia" w:eastAsiaTheme="minorEastAsia"/>
                <w:color w:val="auto"/>
                <w:kern w:val="2"/>
                <w:sz w:val="24"/>
                <w:szCs w:val="22"/>
                <w:highlight w:val="none"/>
                <w:lang w:val="en-US"/>
              </w:rPr>
            </w:pPr>
            <w:r>
              <w:rPr>
                <w:rFonts w:hint="eastAsia" w:ascii="宋体" w:hAnsi="宋体" w:eastAsia="宋体" w:cs="宋体"/>
                <w:color w:val="auto"/>
                <w:kern w:val="2"/>
                <w:sz w:val="24"/>
                <w:szCs w:val="24"/>
                <w:highlight w:val="none"/>
              </w:rPr>
              <w:t>（2）如涉及商品包装和快递包装，</w:t>
            </w:r>
            <w:r>
              <w:rPr>
                <w:rFonts w:hint="eastAsia" w:ascii="宋体" w:hAnsi="宋体" w:eastAsia="宋体" w:cs="宋体"/>
                <w:color w:val="auto"/>
                <w:kern w:val="2"/>
                <w:sz w:val="24"/>
                <w:szCs w:val="24"/>
                <w:highlight w:val="none"/>
                <w:lang w:val="en-US" w:eastAsia="zh-CN"/>
              </w:rPr>
              <w:t>供应商</w:t>
            </w:r>
            <w:r>
              <w:rPr>
                <w:rFonts w:hint="eastAsia" w:ascii="宋体" w:hAnsi="宋体" w:eastAsia="宋体" w:cs="宋体"/>
                <w:color w:val="auto"/>
                <w:kern w:val="2"/>
                <w:sz w:val="24"/>
                <w:szCs w:val="24"/>
                <w:highlight w:val="none"/>
              </w:rPr>
              <w:t>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tc>
      </w:tr>
      <w:tr w14:paraId="695FB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7D1EA320">
            <w:pPr>
              <w:spacing w:line="360" w:lineRule="auto"/>
              <w:jc w:val="center"/>
              <w:rPr>
                <w:rFonts w:cs="@仿宋_GB2312" w:asciiTheme="minorEastAsia" w:hAnsiTheme="minorEastAsia" w:eastAsiaTheme="minorEastAsia"/>
                <w:color w:val="auto"/>
                <w:kern w:val="2"/>
                <w:sz w:val="24"/>
                <w:szCs w:val="22"/>
                <w:highlight w:val="none"/>
              </w:rPr>
            </w:pPr>
            <w:r>
              <w:rPr>
                <w:rFonts w:cs="@仿宋_GB2312" w:asciiTheme="minorEastAsia" w:hAnsiTheme="minorEastAsia" w:eastAsiaTheme="minorEastAsia"/>
                <w:color w:val="auto"/>
                <w:kern w:val="2"/>
                <w:sz w:val="24"/>
                <w:szCs w:val="22"/>
                <w:highlight w:val="none"/>
              </w:rPr>
              <w:t>6</w:t>
            </w:r>
          </w:p>
        </w:tc>
        <w:tc>
          <w:tcPr>
            <w:tcW w:w="1277" w:type="dxa"/>
            <w:vAlign w:val="center"/>
          </w:tcPr>
          <w:p w14:paraId="3EA7D190">
            <w:pPr>
              <w:keepNext w:val="0"/>
              <w:keepLines w:val="0"/>
              <w:pageBreakBefore w:val="0"/>
              <w:widowControl w:val="0"/>
              <w:kinsoku/>
              <w:wordWrap/>
              <w:overflowPunct/>
              <w:topLinePunct w:val="0"/>
              <w:autoSpaceDE/>
              <w:autoSpaceDN/>
              <w:bidi w:val="0"/>
              <w:adjustRightInd/>
              <w:snapToGrid/>
              <w:spacing w:line="500" w:lineRule="exact"/>
              <w:textAlignment w:val="auto"/>
              <w:rPr>
                <w:rFonts w:cs="@仿宋_GB2312" w:asciiTheme="minorEastAsia" w:hAnsiTheme="minorEastAsia" w:eastAsiaTheme="minorEastAsia"/>
                <w:color w:val="auto"/>
                <w:kern w:val="2"/>
                <w:sz w:val="24"/>
                <w:szCs w:val="22"/>
                <w:highlight w:val="none"/>
              </w:rPr>
            </w:pPr>
            <w:r>
              <w:rPr>
                <w:rFonts w:hint="eastAsia" w:ascii="宋体" w:hAnsi="宋体" w:eastAsia="宋体" w:cs="宋体"/>
                <w:color w:val="auto"/>
                <w:kern w:val="2"/>
                <w:sz w:val="24"/>
                <w:szCs w:val="24"/>
                <w:highlight w:val="none"/>
              </w:rPr>
              <w:t>项目经理</w:t>
            </w:r>
          </w:p>
        </w:tc>
        <w:tc>
          <w:tcPr>
            <w:tcW w:w="6287" w:type="dxa"/>
            <w:vAlign w:val="center"/>
          </w:tcPr>
          <w:p w14:paraId="71F12F88">
            <w:pPr>
              <w:keepNext w:val="0"/>
              <w:keepLines w:val="0"/>
              <w:pageBreakBefore w:val="0"/>
              <w:widowControl w:val="0"/>
              <w:kinsoku/>
              <w:wordWrap/>
              <w:overflowPunct/>
              <w:topLinePunct w:val="0"/>
              <w:autoSpaceDE/>
              <w:autoSpaceDN/>
              <w:bidi w:val="0"/>
              <w:adjustRightInd/>
              <w:snapToGrid/>
              <w:spacing w:line="500" w:lineRule="exact"/>
              <w:textAlignment w:val="auto"/>
              <w:rPr>
                <w:rFonts w:cs="@仿宋_GB2312" w:asciiTheme="minorEastAsia" w:hAnsiTheme="minorEastAsia" w:eastAsiaTheme="minorEastAsia"/>
                <w:color w:val="auto"/>
                <w:kern w:val="2"/>
                <w:sz w:val="24"/>
                <w:szCs w:val="22"/>
                <w:highlight w:val="none"/>
              </w:rPr>
            </w:pPr>
            <w:r>
              <w:rPr>
                <w:rFonts w:hint="eastAsia" w:ascii="宋体" w:hAnsi="宋体" w:eastAsia="宋体" w:cs="宋体"/>
                <w:color w:val="auto"/>
                <w:kern w:val="2"/>
                <w:sz w:val="24"/>
                <w:szCs w:val="24"/>
                <w:highlight w:val="none"/>
                <w:lang w:val="en-US" w:eastAsia="zh-CN"/>
              </w:rPr>
              <w:t>见第一章《磋商邀请》</w:t>
            </w:r>
          </w:p>
        </w:tc>
      </w:tr>
      <w:tr w14:paraId="7CA7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3C3A799F">
            <w:pPr>
              <w:spacing w:line="360" w:lineRule="auto"/>
              <w:jc w:val="center"/>
              <w:rPr>
                <w:rFonts w:hint="eastAsia"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7</w:t>
            </w:r>
          </w:p>
        </w:tc>
        <w:tc>
          <w:tcPr>
            <w:tcW w:w="1277" w:type="dxa"/>
            <w:vAlign w:val="center"/>
          </w:tcPr>
          <w:p w14:paraId="340F16A0">
            <w:pPr>
              <w:pStyle w:val="7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textAlignment w:val="auto"/>
              <w:rPr>
                <w:rFonts w:cs="@仿宋_GB2312" w:asciiTheme="minorEastAsia" w:hAnsiTheme="minorEastAsia" w:eastAsiaTheme="minorEastAsia"/>
                <w:color w:val="auto"/>
                <w:kern w:val="2"/>
                <w:sz w:val="24"/>
                <w:highlight w:val="none"/>
              </w:rPr>
            </w:pPr>
            <w:r>
              <w:rPr>
                <w:rFonts w:hint="eastAsia" w:ascii="宋体" w:hAnsi="宋体" w:eastAsia="宋体" w:cs="宋体"/>
                <w:b w:val="0"/>
                <w:color w:val="auto"/>
                <w:kern w:val="2"/>
                <w:sz w:val="24"/>
                <w:szCs w:val="24"/>
                <w:highlight w:val="none"/>
              </w:rPr>
              <w:t>本项目采购标的名称及所属行业</w:t>
            </w:r>
          </w:p>
        </w:tc>
        <w:tc>
          <w:tcPr>
            <w:tcW w:w="6287" w:type="dxa"/>
            <w:vAlign w:val="center"/>
          </w:tcPr>
          <w:p w14:paraId="07738A1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rPr>
              <w:t>标的名称：</w:t>
            </w:r>
            <w:r>
              <w:rPr>
                <w:rFonts w:hint="eastAsia" w:cs="宋体"/>
                <w:color w:val="auto"/>
                <w:kern w:val="2"/>
                <w:sz w:val="24"/>
                <w:szCs w:val="24"/>
                <w:highlight w:val="none"/>
                <w:lang w:eastAsia="zh-CN"/>
              </w:rPr>
              <w:t>2026年市直代两区管养县道安全隐患整治项目</w:t>
            </w:r>
          </w:p>
          <w:p w14:paraId="1488BFA9">
            <w:pPr>
              <w:keepNext w:val="0"/>
              <w:keepLines w:val="0"/>
              <w:pageBreakBefore w:val="0"/>
              <w:widowControl w:val="0"/>
              <w:kinsoku/>
              <w:wordWrap/>
              <w:overflowPunct/>
              <w:topLinePunct w:val="0"/>
              <w:autoSpaceDE/>
              <w:autoSpaceDN/>
              <w:bidi w:val="0"/>
              <w:adjustRightInd/>
              <w:snapToGrid/>
              <w:spacing w:line="500" w:lineRule="exact"/>
              <w:textAlignment w:val="auto"/>
              <w:rPr>
                <w:rFonts w:asciiTheme="minorHAnsi" w:hAnsiTheme="minorHAnsi" w:eastAsiaTheme="minorEastAsia"/>
                <w:color w:val="auto"/>
                <w:kern w:val="2"/>
                <w:sz w:val="24"/>
                <w:szCs w:val="22"/>
                <w:highlight w:val="none"/>
              </w:rPr>
            </w:pPr>
            <w:r>
              <w:rPr>
                <w:rFonts w:hint="eastAsia" w:ascii="宋体" w:hAnsi="宋体" w:eastAsia="宋体" w:cs="宋体"/>
                <w:color w:val="auto"/>
                <w:kern w:val="2"/>
                <w:sz w:val="24"/>
                <w:szCs w:val="24"/>
                <w:highlight w:val="none"/>
              </w:rPr>
              <w:t>所属行业：</w:t>
            </w:r>
            <w:r>
              <w:rPr>
                <w:rFonts w:hint="eastAsia" w:ascii="宋体" w:hAnsi="宋体" w:eastAsia="宋体" w:cs="宋体"/>
                <w:b/>
                <w:bCs/>
                <w:color w:val="auto"/>
                <w:kern w:val="2"/>
                <w:sz w:val="24"/>
                <w:szCs w:val="24"/>
                <w:highlight w:val="none"/>
              </w:rPr>
              <w:t>建筑业</w:t>
            </w:r>
          </w:p>
        </w:tc>
      </w:tr>
      <w:tr w14:paraId="58C68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0510A7D2">
            <w:pPr>
              <w:spacing w:line="360" w:lineRule="auto"/>
              <w:jc w:val="center"/>
              <w:rPr>
                <w:rFonts w:hint="default"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8</w:t>
            </w:r>
          </w:p>
        </w:tc>
        <w:tc>
          <w:tcPr>
            <w:tcW w:w="1277" w:type="dxa"/>
            <w:shd w:val="clear" w:color="auto" w:fill="auto"/>
            <w:vAlign w:val="center"/>
          </w:tcPr>
          <w:p w14:paraId="61340C07">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val="0"/>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rPr>
              <w:t>其他要求</w:t>
            </w:r>
          </w:p>
        </w:tc>
        <w:tc>
          <w:tcPr>
            <w:tcW w:w="6287" w:type="dxa"/>
            <w:shd w:val="clear" w:color="auto" w:fill="auto"/>
            <w:vAlign w:val="center"/>
          </w:tcPr>
          <w:p w14:paraId="31D0384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rPr>
              <w:t>成交人在施工期间，做好采购人既有设施设备的保护和管理，因施工给采购人带来损失的，应予以修复或赔偿，赔偿款从工程结算款价中抵扣。工程结束后提交验收前应做好现场保洁，确保整洁干净。</w:t>
            </w:r>
          </w:p>
        </w:tc>
      </w:tr>
    </w:tbl>
    <w:p w14:paraId="27C43674">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工程量清单详见附件。</w:t>
      </w:r>
      <w:r>
        <w:rPr>
          <w:rFonts w:asciiTheme="minorEastAsia" w:hAnsiTheme="minorEastAsia" w:eastAsiaTheme="minorEastAsia"/>
          <w:color w:val="auto"/>
          <w:sz w:val="24"/>
          <w:highlight w:val="none"/>
        </w:rPr>
        <w:br w:type="page"/>
      </w:r>
    </w:p>
    <w:p w14:paraId="4D3BF364">
      <w:pPr>
        <w:spacing w:line="360" w:lineRule="auto"/>
        <w:jc w:val="center"/>
        <w:outlineLvl w:val="0"/>
        <w:rPr>
          <w:rFonts w:asciiTheme="minorEastAsia" w:hAnsiTheme="minorEastAsia" w:eastAsiaTheme="minorEastAsia"/>
          <w:b/>
          <w:color w:val="auto"/>
          <w:sz w:val="28"/>
          <w:highlight w:val="none"/>
        </w:rPr>
      </w:pPr>
      <w:bookmarkStart w:id="32" w:name="_Toc11353"/>
      <w:r>
        <w:rPr>
          <w:rFonts w:hint="eastAsia" w:asciiTheme="minorEastAsia" w:hAnsiTheme="minorEastAsia" w:eastAsiaTheme="minorEastAsia"/>
          <w:b/>
          <w:color w:val="auto"/>
          <w:sz w:val="28"/>
          <w:highlight w:val="none"/>
        </w:rPr>
        <w:t>第四章  评审方法和标准</w:t>
      </w:r>
      <w:bookmarkEnd w:id="32"/>
    </w:p>
    <w:p w14:paraId="3625FD65">
      <w:pPr>
        <w:spacing w:line="360" w:lineRule="auto"/>
        <w:ind w:firstLine="437"/>
        <w:outlineLvl w:val="1"/>
        <w:rPr>
          <w:rFonts w:asciiTheme="minorEastAsia" w:hAnsiTheme="minorEastAsia" w:eastAsiaTheme="minorEastAsia"/>
          <w:b/>
          <w:color w:val="auto"/>
          <w:sz w:val="24"/>
          <w:highlight w:val="none"/>
        </w:rPr>
      </w:pPr>
      <w:bookmarkStart w:id="33" w:name="_Toc3679"/>
      <w:bookmarkStart w:id="34" w:name="_Toc31533"/>
      <w:r>
        <w:rPr>
          <w:rFonts w:hint="eastAsia" w:asciiTheme="minorEastAsia" w:hAnsiTheme="minorEastAsia" w:eastAsiaTheme="minorEastAsia"/>
          <w:b/>
          <w:color w:val="auto"/>
          <w:sz w:val="24"/>
          <w:highlight w:val="none"/>
        </w:rPr>
        <w:t>一、总则</w:t>
      </w:r>
      <w:bookmarkEnd w:id="33"/>
      <w:bookmarkEnd w:id="34"/>
    </w:p>
    <w:p w14:paraId="3C3B82F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本项目将按照磋商文件第二章供应商须知的相关要求</w:t>
      </w:r>
      <w:r>
        <w:rPr>
          <w:rFonts w:asciiTheme="minorEastAsia" w:hAnsiTheme="minorEastAsia" w:eastAsiaTheme="minorEastAsia"/>
          <w:color w:val="auto"/>
          <w:sz w:val="24"/>
          <w:highlight w:val="none"/>
        </w:rPr>
        <w:t>及本章的规定</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w:t>
      </w:r>
    </w:p>
    <w:p w14:paraId="05EDD804">
      <w:pPr>
        <w:spacing w:line="360" w:lineRule="auto"/>
        <w:ind w:firstLine="437"/>
        <w:outlineLvl w:val="1"/>
        <w:rPr>
          <w:rFonts w:asciiTheme="minorEastAsia" w:hAnsiTheme="minorEastAsia" w:eastAsiaTheme="minorEastAsia"/>
          <w:b/>
          <w:color w:val="auto"/>
          <w:sz w:val="24"/>
          <w:highlight w:val="none"/>
        </w:rPr>
      </w:pPr>
      <w:bookmarkStart w:id="35" w:name="_Toc16232"/>
      <w:bookmarkStart w:id="36" w:name="_Toc13405"/>
      <w:r>
        <w:rPr>
          <w:rFonts w:hint="eastAsia" w:asciiTheme="minorEastAsia" w:hAnsiTheme="minorEastAsia" w:eastAsiaTheme="minorEastAsia"/>
          <w:b/>
          <w:color w:val="auto"/>
          <w:sz w:val="24"/>
          <w:highlight w:val="none"/>
        </w:rPr>
        <w:t>二、评审方法</w:t>
      </w:r>
      <w:bookmarkEnd w:id="35"/>
      <w:bookmarkEnd w:id="36"/>
    </w:p>
    <w:p w14:paraId="7053F6B8">
      <w:pPr>
        <w:spacing w:line="360" w:lineRule="auto"/>
        <w:ind w:firstLine="435"/>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2.1初审</w:t>
      </w:r>
    </w:p>
    <w:p w14:paraId="5C26AB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磋商小组对供应商的响应文件进行初审，以确定其是否满足磋商文件的实质性要求。初审表如下：</w:t>
      </w:r>
    </w:p>
    <w:tbl>
      <w:tblPr>
        <w:tblStyle w:val="5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357"/>
        <w:gridCol w:w="3867"/>
        <w:gridCol w:w="2599"/>
      </w:tblGrid>
      <w:tr w14:paraId="73E5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522" w:type="dxa"/>
            <w:gridSpan w:val="4"/>
            <w:tcBorders>
              <w:bottom w:val="single" w:color="auto" w:sz="4" w:space="0"/>
            </w:tcBorders>
            <w:vAlign w:val="center"/>
          </w:tcPr>
          <w:p w14:paraId="27905889">
            <w:pPr>
              <w:adjustRightInd w:val="0"/>
              <w:snapToGrid w:val="0"/>
              <w:ind w:right="-10"/>
              <w:jc w:val="center"/>
              <w:rPr>
                <w:rFonts w:hint="eastAsia" w:ascii="Calibri" w:hAnsi="Calibri" w:cs="Times New Roman"/>
                <w:b/>
                <w:color w:val="auto"/>
                <w:kern w:val="2"/>
                <w:sz w:val="24"/>
                <w:szCs w:val="22"/>
                <w:highlight w:val="none"/>
              </w:rPr>
            </w:pPr>
            <w:r>
              <w:rPr>
                <w:rFonts w:hint="eastAsia" w:ascii="Calibri" w:hAnsi="Calibri" w:cs="Times New Roman"/>
                <w:b/>
                <w:color w:val="auto"/>
                <w:kern w:val="2"/>
                <w:sz w:val="24"/>
                <w:szCs w:val="22"/>
                <w:highlight w:val="none"/>
              </w:rPr>
              <w:t>初审表</w:t>
            </w:r>
          </w:p>
        </w:tc>
      </w:tr>
      <w:tr w14:paraId="5759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699" w:type="dxa"/>
            <w:tcBorders>
              <w:bottom w:val="single" w:color="auto" w:sz="4" w:space="0"/>
            </w:tcBorders>
            <w:vAlign w:val="center"/>
          </w:tcPr>
          <w:p w14:paraId="0F6C6654">
            <w:pPr>
              <w:adjustRightInd w:val="0"/>
              <w:snapToGrid w:val="0"/>
              <w:spacing w:line="360" w:lineRule="auto"/>
              <w:ind w:right="-10" w:rightChars="0"/>
              <w:jc w:val="center"/>
              <w:rPr>
                <w:rFonts w:ascii="Calibri" w:hAnsi="Calibri" w:cs="Times New Roman"/>
                <w:b/>
                <w:bCs/>
                <w:color w:val="auto"/>
                <w:kern w:val="2"/>
                <w:sz w:val="24"/>
                <w:szCs w:val="22"/>
                <w:highlight w:val="none"/>
              </w:rPr>
            </w:pPr>
            <w:r>
              <w:rPr>
                <w:rFonts w:hint="eastAsia" w:ascii="宋体" w:hAnsi="宋体" w:eastAsia="宋体"/>
                <w:b/>
                <w:bCs/>
                <w:color w:val="auto"/>
                <w:sz w:val="24"/>
                <w:highlight w:val="none"/>
              </w:rPr>
              <w:t>序号</w:t>
            </w:r>
          </w:p>
        </w:tc>
        <w:tc>
          <w:tcPr>
            <w:tcW w:w="1357" w:type="dxa"/>
            <w:tcBorders>
              <w:bottom w:val="single" w:color="auto" w:sz="4" w:space="0"/>
            </w:tcBorders>
            <w:vAlign w:val="center"/>
          </w:tcPr>
          <w:p w14:paraId="226EA995">
            <w:pPr>
              <w:pStyle w:val="77"/>
              <w:pBdr>
                <w:bottom w:val="none" w:color="auto" w:sz="0" w:space="0"/>
              </w:pBdr>
              <w:tabs>
                <w:tab w:val="clear" w:pos="4153"/>
                <w:tab w:val="clear" w:pos="8306"/>
              </w:tabs>
              <w:snapToGrid w:val="0"/>
              <w:spacing w:line="360" w:lineRule="auto"/>
              <w:ind w:right="-10" w:rightChars="0"/>
              <w:textAlignment w:val="auto"/>
              <w:rPr>
                <w:rFonts w:ascii="Calibri" w:hAnsi="Calibri" w:cs="Times New Roman"/>
                <w:b/>
                <w:bCs/>
                <w:color w:val="auto"/>
                <w:kern w:val="2"/>
                <w:sz w:val="24"/>
                <w:szCs w:val="24"/>
                <w:highlight w:val="none"/>
              </w:rPr>
            </w:pPr>
            <w:r>
              <w:rPr>
                <w:rFonts w:hint="eastAsia" w:ascii="宋体" w:hAnsi="宋体" w:eastAsia="宋体"/>
                <w:b/>
                <w:bCs/>
                <w:color w:val="auto"/>
                <w:kern w:val="2"/>
                <w:szCs w:val="24"/>
                <w:highlight w:val="none"/>
                <w:lang w:val="en-US" w:eastAsia="zh-CN"/>
              </w:rPr>
              <w:t>审查因素</w:t>
            </w:r>
          </w:p>
        </w:tc>
        <w:tc>
          <w:tcPr>
            <w:tcW w:w="3867" w:type="dxa"/>
            <w:tcBorders>
              <w:bottom w:val="single" w:color="auto" w:sz="4" w:space="0"/>
            </w:tcBorders>
            <w:vAlign w:val="center"/>
          </w:tcPr>
          <w:p w14:paraId="4D2D383B">
            <w:pPr>
              <w:adjustRightInd w:val="0"/>
              <w:snapToGrid w:val="0"/>
              <w:spacing w:line="360" w:lineRule="auto"/>
              <w:ind w:right="-10" w:rightChars="0"/>
              <w:jc w:val="center"/>
              <w:rPr>
                <w:rFonts w:ascii="Calibri" w:hAnsi="Calibri" w:cs="Times New Roman"/>
                <w:b/>
                <w:bCs/>
                <w:color w:val="auto"/>
                <w:kern w:val="2"/>
                <w:sz w:val="24"/>
                <w:szCs w:val="22"/>
                <w:highlight w:val="none"/>
              </w:rPr>
            </w:pPr>
            <w:r>
              <w:rPr>
                <w:rFonts w:hint="eastAsia" w:ascii="宋体" w:hAnsi="宋体" w:eastAsia="宋体"/>
                <w:b/>
                <w:bCs/>
                <w:color w:val="auto"/>
                <w:sz w:val="24"/>
                <w:highlight w:val="none"/>
                <w:lang w:val="en-US" w:eastAsia="zh-CN"/>
              </w:rPr>
              <w:t>审查内容</w:t>
            </w:r>
          </w:p>
        </w:tc>
        <w:tc>
          <w:tcPr>
            <w:tcW w:w="2599" w:type="dxa"/>
            <w:tcBorders>
              <w:bottom w:val="single" w:color="auto" w:sz="4" w:space="0"/>
            </w:tcBorders>
            <w:vAlign w:val="center"/>
          </w:tcPr>
          <w:p w14:paraId="1920240C">
            <w:pPr>
              <w:adjustRightInd w:val="0"/>
              <w:snapToGrid w:val="0"/>
              <w:spacing w:line="360" w:lineRule="auto"/>
              <w:ind w:right="-10" w:rightChars="0"/>
              <w:jc w:val="center"/>
              <w:rPr>
                <w:rFonts w:hint="eastAsia" w:ascii="Calibri" w:hAnsi="Calibri" w:cs="Times New Roman"/>
                <w:b/>
                <w:bCs/>
                <w:color w:val="auto"/>
                <w:kern w:val="2"/>
                <w:sz w:val="24"/>
                <w:szCs w:val="22"/>
                <w:highlight w:val="none"/>
              </w:rPr>
            </w:pPr>
            <w:r>
              <w:rPr>
                <w:rFonts w:hint="eastAsia" w:ascii="宋体" w:hAnsi="宋体" w:eastAsia="宋体"/>
                <w:b/>
                <w:bCs/>
                <w:color w:val="auto"/>
                <w:sz w:val="24"/>
                <w:highlight w:val="none"/>
              </w:rPr>
              <w:t>格式要求</w:t>
            </w:r>
          </w:p>
        </w:tc>
      </w:tr>
      <w:tr w14:paraId="1BF3D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699" w:type="dxa"/>
            <w:tcBorders>
              <w:bottom w:val="single" w:color="auto" w:sz="4" w:space="0"/>
            </w:tcBorders>
            <w:vAlign w:val="center"/>
          </w:tcPr>
          <w:p w14:paraId="7284C176">
            <w:pPr>
              <w:adjustRightInd w:val="0"/>
              <w:snapToGrid w:val="0"/>
              <w:spacing w:line="360" w:lineRule="auto"/>
              <w:ind w:right="-10" w:rightChars="0"/>
              <w:jc w:val="center"/>
              <w:rPr>
                <w:rFonts w:cs="Times New Roman"/>
                <w:color w:val="auto"/>
                <w:kern w:val="2"/>
                <w:sz w:val="24"/>
                <w:szCs w:val="22"/>
                <w:highlight w:val="none"/>
              </w:rPr>
            </w:pPr>
            <w:r>
              <w:rPr>
                <w:rFonts w:hint="eastAsia" w:ascii="宋体" w:hAnsi="宋体" w:eastAsia="宋体"/>
                <w:color w:val="auto"/>
                <w:sz w:val="24"/>
                <w:highlight w:val="none"/>
              </w:rPr>
              <w:t>1</w:t>
            </w:r>
          </w:p>
        </w:tc>
        <w:tc>
          <w:tcPr>
            <w:tcW w:w="1357" w:type="dxa"/>
            <w:tcBorders>
              <w:bottom w:val="single" w:color="auto" w:sz="4" w:space="0"/>
            </w:tcBorders>
            <w:vAlign w:val="center"/>
          </w:tcPr>
          <w:p w14:paraId="53D3CA45">
            <w:pPr>
              <w:keepNext w:val="0"/>
              <w:keepLines w:val="0"/>
              <w:pageBreakBefore w:val="0"/>
              <w:widowControl w:val="0"/>
              <w:kinsoku/>
              <w:wordWrap/>
              <w:overflowPunct/>
              <w:topLinePunct w:val="0"/>
              <w:autoSpaceDE/>
              <w:autoSpaceDN/>
              <w:bidi w:val="0"/>
              <w:spacing w:line="360" w:lineRule="auto"/>
              <w:ind w:right="-10" w:rightChars="0"/>
              <w:jc w:val="center"/>
              <w:textAlignment w:val="auto"/>
              <w:rPr>
                <w:rFonts w:ascii="Calibri" w:hAnsi="Calibri" w:cs="Times New Roman"/>
                <w:color w:val="auto"/>
                <w:kern w:val="2"/>
                <w:sz w:val="24"/>
                <w:szCs w:val="24"/>
                <w:highlight w:val="none"/>
              </w:rPr>
            </w:pPr>
            <w:r>
              <w:rPr>
                <w:rFonts w:hint="eastAsia" w:ascii="宋体" w:hAnsi="宋体" w:eastAsia="宋体" w:cs="宋体"/>
                <w:color w:val="auto"/>
                <w:spacing w:val="9"/>
                <w:sz w:val="24"/>
                <w:szCs w:val="24"/>
                <w:highlight w:val="none"/>
              </w:rPr>
              <w:t>营业执照等证明</w:t>
            </w:r>
            <w:r>
              <w:rPr>
                <w:rFonts w:hint="eastAsia" w:ascii="宋体" w:hAnsi="宋体" w:eastAsia="宋体" w:cs="宋体"/>
                <w:color w:val="auto"/>
                <w:spacing w:val="-3"/>
                <w:sz w:val="24"/>
                <w:szCs w:val="24"/>
                <w:highlight w:val="none"/>
              </w:rPr>
              <w:t>文件</w:t>
            </w:r>
          </w:p>
        </w:tc>
        <w:tc>
          <w:tcPr>
            <w:tcW w:w="3867" w:type="dxa"/>
            <w:tcBorders>
              <w:bottom w:val="single" w:color="auto" w:sz="4" w:space="0"/>
            </w:tcBorders>
            <w:vAlign w:val="center"/>
          </w:tcPr>
          <w:p w14:paraId="19410A97">
            <w:pPr>
              <w:keepNext w:val="0"/>
              <w:keepLines w:val="0"/>
              <w:pageBreakBefore w:val="0"/>
              <w:widowControl w:val="0"/>
              <w:kinsoku/>
              <w:wordWrap/>
              <w:overflowPunct/>
              <w:topLinePunct w:val="0"/>
              <w:autoSpaceDE/>
              <w:autoSpaceDN/>
              <w:bidi w:val="0"/>
              <w:spacing w:line="360" w:lineRule="auto"/>
              <w:ind w:right="-1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供有效的营业执照；</w:t>
            </w:r>
          </w:p>
          <w:p w14:paraId="4143E2AD">
            <w:pPr>
              <w:keepNext w:val="0"/>
              <w:keepLines w:val="0"/>
              <w:pageBreakBefore w:val="0"/>
              <w:widowControl w:val="0"/>
              <w:kinsoku/>
              <w:wordWrap/>
              <w:overflowPunct/>
              <w:topLinePunct w:val="0"/>
              <w:autoSpaceDE/>
              <w:autoSpaceDN/>
              <w:bidi w:val="0"/>
              <w:spacing w:line="360" w:lineRule="auto"/>
              <w:ind w:right="-1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供有效的事业单位法人证书；</w:t>
            </w:r>
          </w:p>
          <w:p w14:paraId="0251077B">
            <w:pPr>
              <w:keepNext w:val="0"/>
              <w:keepLines w:val="0"/>
              <w:pageBreakBefore w:val="0"/>
              <w:widowControl w:val="0"/>
              <w:kinsoku/>
              <w:wordWrap/>
              <w:overflowPunct/>
              <w:topLinePunct w:val="0"/>
              <w:autoSpaceDE/>
              <w:autoSpaceDN/>
              <w:bidi w:val="0"/>
              <w:spacing w:line="360" w:lineRule="auto"/>
              <w:ind w:right="-1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登记证书等证明文件；</w:t>
            </w:r>
          </w:p>
          <w:p w14:paraId="5877EFC4">
            <w:pPr>
              <w:keepNext w:val="0"/>
              <w:keepLines w:val="0"/>
              <w:pageBreakBefore w:val="0"/>
              <w:widowControl w:val="0"/>
              <w:kinsoku/>
              <w:wordWrap/>
              <w:overflowPunct/>
              <w:topLinePunct w:val="0"/>
              <w:autoSpaceDE/>
              <w:autoSpaceDN/>
              <w:bidi w:val="0"/>
              <w:spacing w:line="360" w:lineRule="auto"/>
              <w:ind w:right="-1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供有效的个体工商户营业执照；</w:t>
            </w:r>
          </w:p>
          <w:p w14:paraId="59FE5155">
            <w:pPr>
              <w:keepNext w:val="0"/>
              <w:keepLines w:val="0"/>
              <w:pageBreakBefore w:val="0"/>
              <w:widowControl w:val="0"/>
              <w:kinsoku/>
              <w:wordWrap/>
              <w:overflowPunct/>
              <w:topLinePunct w:val="0"/>
              <w:autoSpaceDE/>
              <w:autoSpaceDN/>
              <w:bidi w:val="0"/>
              <w:spacing w:line="360" w:lineRule="auto"/>
              <w:ind w:right="-10" w:rightChars="0"/>
              <w:jc w:val="left"/>
              <w:textAlignment w:val="auto"/>
              <w:rPr>
                <w:rFonts w:ascii="Calibri" w:hAnsi="Calibri" w:cs="Times New Roman"/>
                <w:color w:val="auto"/>
                <w:kern w:val="2"/>
                <w:sz w:val="24"/>
                <w:szCs w:val="22"/>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是自然人的，应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供有效的自然人身份证明。</w:t>
            </w:r>
          </w:p>
        </w:tc>
        <w:tc>
          <w:tcPr>
            <w:tcW w:w="2599" w:type="dxa"/>
            <w:tcBorders>
              <w:bottom w:val="single" w:color="auto" w:sz="4" w:space="0"/>
            </w:tcBorders>
            <w:vAlign w:val="center"/>
          </w:tcPr>
          <w:p w14:paraId="38B993A3">
            <w:pPr>
              <w:spacing w:line="360" w:lineRule="auto"/>
              <w:jc w:val="left"/>
              <w:rPr>
                <w:rFonts w:hint="eastAsia" w:cs="Times New Roman"/>
                <w:color w:val="auto"/>
                <w:kern w:val="2"/>
                <w:sz w:val="24"/>
                <w:szCs w:val="22"/>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的联合体各方均须提供。</w:t>
            </w:r>
          </w:p>
        </w:tc>
      </w:tr>
      <w:tr w14:paraId="570F6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1FBCDA33">
            <w:pPr>
              <w:adjustRightInd w:val="0"/>
              <w:snapToGrid w:val="0"/>
              <w:spacing w:line="360" w:lineRule="auto"/>
              <w:ind w:right="-10" w:rightChars="0"/>
              <w:jc w:val="center"/>
              <w:rPr>
                <w:rFonts w:cs="Times New Roman"/>
                <w:color w:val="auto"/>
                <w:kern w:val="2"/>
                <w:sz w:val="24"/>
                <w:szCs w:val="22"/>
                <w:highlight w:val="none"/>
              </w:rPr>
            </w:pPr>
            <w:r>
              <w:rPr>
                <w:rFonts w:hint="eastAsia" w:ascii="宋体" w:hAnsi="宋体" w:eastAsia="宋体"/>
                <w:color w:val="auto"/>
                <w:sz w:val="24"/>
                <w:highlight w:val="none"/>
                <w:lang w:val="en-US" w:eastAsia="zh-CN"/>
              </w:rPr>
              <w:t>2</w:t>
            </w:r>
          </w:p>
        </w:tc>
        <w:tc>
          <w:tcPr>
            <w:tcW w:w="1357" w:type="dxa"/>
            <w:vAlign w:val="center"/>
          </w:tcPr>
          <w:p w14:paraId="4B0A6B63">
            <w:pPr>
              <w:spacing w:after="50" w:line="360" w:lineRule="auto"/>
              <w:ind w:right="-10" w:rightChars="0"/>
              <w:jc w:val="center"/>
              <w:rPr>
                <w:rFonts w:ascii="Calibri" w:hAnsi="Calibri" w:cs="Times New Roman"/>
                <w:color w:val="auto"/>
                <w:kern w:val="2"/>
                <w:sz w:val="24"/>
                <w:szCs w:val="24"/>
                <w:highlight w:val="none"/>
              </w:rPr>
            </w:pPr>
            <w:r>
              <w:rPr>
                <w:rFonts w:hint="eastAsia" w:ascii="宋体" w:hAnsi="宋体" w:eastAsia="宋体"/>
                <w:color w:val="auto"/>
                <w:sz w:val="24"/>
                <w:szCs w:val="18"/>
                <w:highlight w:val="none"/>
                <w:lang w:val="en-US" w:eastAsia="zh-CN"/>
              </w:rPr>
              <w:t>供应商资格声明书</w:t>
            </w:r>
          </w:p>
        </w:tc>
        <w:tc>
          <w:tcPr>
            <w:tcW w:w="3867" w:type="dxa"/>
            <w:vAlign w:val="center"/>
          </w:tcPr>
          <w:p w14:paraId="7A4D5401">
            <w:pPr>
              <w:spacing w:after="50" w:line="360" w:lineRule="auto"/>
              <w:ind w:right="-10" w:rightChars="0"/>
              <w:jc w:val="left"/>
              <w:rPr>
                <w:rFonts w:ascii="Calibri" w:hAnsi="Calibri" w:cs="Times New Roman"/>
                <w:color w:val="auto"/>
                <w:kern w:val="2"/>
                <w:sz w:val="24"/>
                <w:szCs w:val="22"/>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w:t>
            </w:r>
            <w:r>
              <w:rPr>
                <w:rFonts w:hint="eastAsia" w:cs="宋体"/>
                <w:color w:val="auto"/>
                <w:sz w:val="24"/>
                <w:szCs w:val="24"/>
                <w:highlight w:val="none"/>
                <w:lang w:val="en-US" w:eastAsia="zh-CN"/>
              </w:rPr>
              <w:t>磋商</w:t>
            </w:r>
            <w:r>
              <w:rPr>
                <w:rFonts w:ascii="宋体" w:hAnsi="宋体" w:eastAsia="宋体" w:cs="宋体"/>
                <w:color w:val="auto"/>
                <w:sz w:val="24"/>
                <w:szCs w:val="24"/>
                <w:highlight w:val="none"/>
              </w:rPr>
              <w:t>文件要求的《</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lang w:eastAsia="zh-CN"/>
              </w:rPr>
              <w:t>。</w:t>
            </w:r>
          </w:p>
        </w:tc>
        <w:tc>
          <w:tcPr>
            <w:tcW w:w="2599" w:type="dxa"/>
            <w:vAlign w:val="center"/>
          </w:tcPr>
          <w:p w14:paraId="5BF5AA9E">
            <w:pPr>
              <w:spacing w:line="360" w:lineRule="auto"/>
              <w:jc w:val="left"/>
              <w:rPr>
                <w:rFonts w:hint="eastAsia" w:cs="Times New Roman"/>
                <w:color w:val="auto"/>
                <w:kern w:val="2"/>
                <w:sz w:val="24"/>
                <w:szCs w:val="22"/>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25B5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0CFDE9E5">
            <w:pPr>
              <w:adjustRightInd w:val="0"/>
              <w:snapToGrid w:val="0"/>
              <w:spacing w:line="360" w:lineRule="auto"/>
              <w:ind w:right="-10" w:rightChars="0"/>
              <w:jc w:val="center"/>
              <w:rPr>
                <w:rFonts w:cs="Times New Roman"/>
                <w:color w:val="auto"/>
                <w:kern w:val="2"/>
                <w:sz w:val="24"/>
                <w:szCs w:val="22"/>
                <w:highlight w:val="none"/>
              </w:rPr>
            </w:pPr>
            <w:r>
              <w:rPr>
                <w:rFonts w:hint="eastAsia" w:ascii="宋体" w:hAnsi="宋体" w:eastAsia="宋体"/>
                <w:color w:val="auto"/>
                <w:sz w:val="24"/>
                <w:highlight w:val="none"/>
                <w:lang w:val="en-US" w:eastAsia="zh-CN"/>
              </w:rPr>
              <w:t>3</w:t>
            </w:r>
          </w:p>
        </w:tc>
        <w:tc>
          <w:tcPr>
            <w:tcW w:w="1357" w:type="dxa"/>
            <w:vAlign w:val="center"/>
          </w:tcPr>
          <w:p w14:paraId="072565EE">
            <w:pPr>
              <w:spacing w:after="50" w:line="360" w:lineRule="auto"/>
              <w:ind w:right="-10" w:rightChars="0"/>
              <w:jc w:val="center"/>
              <w:rPr>
                <w:rFonts w:ascii="Calibri" w:hAnsi="Calibri" w:cs="Times New Roman"/>
                <w:color w:val="auto"/>
                <w:kern w:val="2"/>
                <w:sz w:val="24"/>
                <w:szCs w:val="24"/>
                <w:highlight w:val="none"/>
              </w:rPr>
            </w:pPr>
            <w:r>
              <w:rPr>
                <w:rFonts w:hint="eastAsia" w:ascii="宋体" w:hAnsi="宋体" w:eastAsia="宋体"/>
                <w:color w:val="auto"/>
                <w:sz w:val="24"/>
                <w:szCs w:val="18"/>
                <w:highlight w:val="none"/>
                <w:lang w:val="en-US" w:eastAsia="zh-CN"/>
              </w:rPr>
              <w:t>供应商</w:t>
            </w:r>
            <w:r>
              <w:rPr>
                <w:rFonts w:hint="eastAsia" w:ascii="宋体" w:hAnsi="宋体" w:eastAsia="宋体" w:cs="宋体"/>
                <w:color w:val="auto"/>
                <w:sz w:val="24"/>
                <w:szCs w:val="24"/>
                <w:highlight w:val="none"/>
              </w:rPr>
              <w:t>信用记录</w:t>
            </w:r>
          </w:p>
        </w:tc>
        <w:tc>
          <w:tcPr>
            <w:tcW w:w="3867" w:type="dxa"/>
            <w:vAlign w:val="center"/>
          </w:tcPr>
          <w:p w14:paraId="5E114A10">
            <w:pPr>
              <w:spacing w:after="50" w:line="360" w:lineRule="auto"/>
              <w:ind w:right="-10" w:rightChars="0"/>
              <w:jc w:val="left"/>
              <w:rPr>
                <w:rFonts w:ascii="Calibri" w:hAnsi="Calibri" w:cs="Times New Roman"/>
                <w:color w:val="auto"/>
                <w:kern w:val="2"/>
                <w:sz w:val="24"/>
                <w:szCs w:val="22"/>
                <w:highlight w:val="none"/>
              </w:rPr>
            </w:pPr>
            <w:r>
              <w:rPr>
                <w:rFonts w:hint="eastAsia"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不得存在</w:t>
            </w:r>
            <w:r>
              <w:rPr>
                <w:rFonts w:hint="eastAsia"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须知正文第1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zh-CN" w:eastAsia="zh-CN"/>
              </w:rPr>
              <w:t>.</w:t>
            </w:r>
            <w:r>
              <w:rPr>
                <w:rFonts w:hint="eastAsia" w:ascii="宋体" w:hAnsi="宋体" w:eastAsia="宋体" w:cs="宋体"/>
                <w:color w:val="auto"/>
                <w:sz w:val="24"/>
                <w:szCs w:val="24"/>
                <w:highlight w:val="none"/>
                <w:lang w:val="en-US" w:eastAsia="zh-CN"/>
              </w:rPr>
              <w:t>3条中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2599" w:type="dxa"/>
            <w:vAlign w:val="center"/>
          </w:tcPr>
          <w:p w14:paraId="75574909">
            <w:pPr>
              <w:spacing w:line="360" w:lineRule="auto"/>
              <w:jc w:val="left"/>
              <w:rPr>
                <w:rFonts w:hint="eastAsia" w:cs="Times New Roman"/>
                <w:color w:val="auto"/>
                <w:kern w:val="2"/>
                <w:sz w:val="24"/>
                <w:szCs w:val="22"/>
                <w:highlight w:val="none"/>
              </w:rPr>
            </w:pPr>
            <w:r>
              <w:rPr>
                <w:rFonts w:hint="eastAsia" w:ascii="宋体" w:hAnsi="宋体" w:eastAsia="宋体" w:cs="宋体"/>
                <w:color w:val="auto"/>
                <w:sz w:val="24"/>
                <w:szCs w:val="24"/>
                <w:highlight w:val="none"/>
              </w:rPr>
              <w:t>无须</w:t>
            </w:r>
            <w:r>
              <w:rPr>
                <w:rFonts w:hint="eastAsia" w:ascii="宋体" w:hAnsi="宋体" w:eastAsia="宋体" w:cs="宋体"/>
                <w:color w:val="auto"/>
                <w:sz w:val="24"/>
                <w:szCs w:val="24"/>
                <w:highlight w:val="none"/>
                <w:lang w:val="en-US" w:eastAsia="zh-CN"/>
              </w:rPr>
              <w:t>供应商提</w:t>
            </w:r>
            <w:r>
              <w:rPr>
                <w:rFonts w:hint="eastAsia" w:ascii="宋体" w:hAnsi="宋体" w:eastAsia="宋体" w:cs="宋体"/>
                <w:color w:val="auto"/>
                <w:sz w:val="24"/>
                <w:szCs w:val="24"/>
                <w:highlight w:val="none"/>
              </w:rPr>
              <w:t>供，由采购人或采购代理机构查询。</w:t>
            </w:r>
          </w:p>
        </w:tc>
      </w:tr>
      <w:tr w14:paraId="60B9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525D30FB">
            <w:pPr>
              <w:adjustRightInd w:val="0"/>
              <w:snapToGrid w:val="0"/>
              <w:spacing w:line="360" w:lineRule="auto"/>
              <w:ind w:right="-10" w:rightChars="0"/>
              <w:jc w:val="center"/>
              <w:rPr>
                <w:rFonts w:cs="Times New Roman"/>
                <w:color w:val="auto"/>
                <w:kern w:val="2"/>
                <w:sz w:val="24"/>
                <w:szCs w:val="22"/>
                <w:highlight w:val="none"/>
              </w:rPr>
            </w:pPr>
            <w:r>
              <w:rPr>
                <w:rFonts w:hint="eastAsia" w:ascii="宋体" w:hAnsi="宋体" w:eastAsia="宋体"/>
                <w:color w:val="auto"/>
                <w:sz w:val="24"/>
                <w:highlight w:val="none"/>
                <w:lang w:val="en-US" w:eastAsia="zh-CN"/>
              </w:rPr>
              <w:t>4</w:t>
            </w:r>
          </w:p>
        </w:tc>
        <w:tc>
          <w:tcPr>
            <w:tcW w:w="1357" w:type="dxa"/>
            <w:vAlign w:val="center"/>
          </w:tcPr>
          <w:p w14:paraId="0EF5DD63">
            <w:pPr>
              <w:keepNext w:val="0"/>
              <w:keepLines w:val="0"/>
              <w:pageBreakBefore w:val="0"/>
              <w:widowControl w:val="0"/>
              <w:kinsoku/>
              <w:wordWrap/>
              <w:overflowPunct/>
              <w:topLinePunct w:val="0"/>
              <w:autoSpaceDE/>
              <w:autoSpaceDN/>
              <w:bidi w:val="0"/>
              <w:spacing w:line="360" w:lineRule="auto"/>
              <w:ind w:right="-10" w:rightChars="0"/>
              <w:jc w:val="center"/>
              <w:textAlignment w:val="auto"/>
              <w:rPr>
                <w:rFonts w:ascii="Calibri" w:hAnsi="Calibri" w:cs="Times New Roman"/>
                <w:color w:val="auto"/>
                <w:kern w:val="2"/>
                <w:sz w:val="24"/>
                <w:szCs w:val="24"/>
                <w:highlight w:val="none"/>
              </w:rPr>
            </w:pPr>
            <w:r>
              <w:rPr>
                <w:rFonts w:hint="eastAsia" w:ascii="宋体" w:hAnsi="宋体" w:eastAsia="宋体" w:cs="宋体"/>
                <w:color w:val="auto"/>
                <w:sz w:val="24"/>
                <w:szCs w:val="24"/>
                <w:highlight w:val="none"/>
              </w:rPr>
              <w:t>中小企业证明文件</w:t>
            </w:r>
          </w:p>
        </w:tc>
        <w:tc>
          <w:tcPr>
            <w:tcW w:w="3867" w:type="dxa"/>
            <w:vAlign w:val="top"/>
          </w:tcPr>
          <w:p w14:paraId="0B0A3F8D">
            <w:pPr>
              <w:keepNext w:val="0"/>
              <w:keepLines w:val="0"/>
              <w:pageBreakBefore w:val="0"/>
              <w:widowControl w:val="0"/>
              <w:kinsoku/>
              <w:wordWrap/>
              <w:overflowPunct/>
              <w:topLinePunct w:val="0"/>
              <w:autoSpaceDE/>
              <w:autoSpaceDN/>
              <w:bidi w:val="0"/>
              <w:spacing w:line="360" w:lineRule="auto"/>
              <w:ind w:right="-1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val="en-US" w:eastAsia="zh-CN"/>
              </w:rPr>
              <w:t>申请人的</w:t>
            </w:r>
            <w:r>
              <w:rPr>
                <w:rFonts w:hint="eastAsia" w:ascii="宋体" w:hAnsi="宋体" w:eastAsia="宋体" w:cs="宋体"/>
                <w:color w:val="auto"/>
                <w:sz w:val="24"/>
                <w:szCs w:val="24"/>
                <w:highlight w:val="none"/>
              </w:rPr>
              <w:t>资格</w:t>
            </w:r>
            <w:r>
              <w:rPr>
                <w:rFonts w:hint="eastAsia" w:ascii="宋体" w:hAnsi="宋体" w:eastAsia="宋体" w:cs="宋体"/>
                <w:color w:val="auto"/>
                <w:sz w:val="24"/>
                <w:szCs w:val="24"/>
                <w:highlight w:val="none"/>
                <w:lang w:val="en-US" w:eastAsia="zh-CN"/>
              </w:rPr>
              <w:t>要求</w:t>
            </w:r>
            <w:r>
              <w:rPr>
                <w:rFonts w:hint="eastAsia" w:ascii="宋体" w:hAnsi="宋体" w:eastAsia="宋体" w:cs="宋体"/>
                <w:color w:val="auto"/>
                <w:sz w:val="24"/>
                <w:szCs w:val="24"/>
                <w:highlight w:val="none"/>
              </w:rPr>
              <w:t>中落实政府采购政策需满足的资格要求</w:t>
            </w:r>
            <w:r>
              <w:rPr>
                <w:rFonts w:hint="eastAsia" w:ascii="宋体" w:hAnsi="宋体" w:eastAsia="宋体" w:cs="宋体"/>
                <w:color w:val="auto"/>
                <w:sz w:val="24"/>
                <w:szCs w:val="24"/>
                <w:highlight w:val="none"/>
                <w:lang w:eastAsia="zh-CN"/>
              </w:rPr>
              <w:t>：</w:t>
            </w:r>
          </w:p>
          <w:p w14:paraId="21543686">
            <w:pPr>
              <w:keepNext w:val="0"/>
              <w:keepLines w:val="0"/>
              <w:pageBreakBefore w:val="0"/>
              <w:widowControl w:val="0"/>
              <w:kinsoku/>
              <w:wordWrap/>
              <w:overflowPunct/>
              <w:topLinePunct w:val="0"/>
              <w:autoSpaceDE/>
              <w:autoSpaceDN/>
              <w:bidi w:val="0"/>
              <w:spacing w:line="360" w:lineRule="auto"/>
              <w:ind w:right="-10"/>
              <w:jc w:val="left"/>
              <w:textAlignment w:val="auto"/>
              <w:rPr>
                <w:rFonts w:ascii="Calibri" w:hAnsi="Calibri" w:cs="Times New Roman"/>
                <w:color w:val="auto"/>
                <w:kern w:val="2"/>
                <w:sz w:val="24"/>
                <w:szCs w:val="22"/>
                <w:highlight w:val="none"/>
              </w:rPr>
            </w:pPr>
            <w:r>
              <w:rPr>
                <w:rFonts w:hint="eastAsia" w:ascii="宋体" w:hAnsi="宋体" w:eastAsia="宋体" w:cs="宋体"/>
                <w:color w:val="auto"/>
                <w:sz w:val="24"/>
                <w:szCs w:val="24"/>
                <w:highlight w:val="none"/>
              </w:rPr>
              <w:t>专门面向中小企业采购</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供《中小企业声明函》或《残疾人福利性单位声明函》或由省级以上监狱管理局、戒毒管理局（含新疆 生产建设兵团）出具的属于监狱企业的证明文件。</w:t>
            </w:r>
          </w:p>
        </w:tc>
        <w:tc>
          <w:tcPr>
            <w:tcW w:w="2599" w:type="dxa"/>
            <w:vAlign w:val="center"/>
          </w:tcPr>
          <w:p w14:paraId="0378EC78">
            <w:pPr>
              <w:spacing w:after="50" w:line="360" w:lineRule="auto"/>
              <w:ind w:right="-10" w:rightChars="0"/>
              <w:jc w:val="center"/>
              <w:rPr>
                <w:rFonts w:hint="eastAsia" w:cs="Times New Roman"/>
                <w:color w:val="auto"/>
                <w:kern w:val="2"/>
                <w:sz w:val="24"/>
                <w:szCs w:val="22"/>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3742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1348B1EA">
            <w:pPr>
              <w:adjustRightInd w:val="0"/>
              <w:snapToGrid w:val="0"/>
              <w:spacing w:line="360" w:lineRule="auto"/>
              <w:ind w:right="-10" w:rightChars="0"/>
              <w:jc w:val="center"/>
              <w:rPr>
                <w:rFonts w:cs="Times New Roman"/>
                <w:color w:val="auto"/>
                <w:kern w:val="2"/>
                <w:sz w:val="24"/>
                <w:szCs w:val="22"/>
                <w:highlight w:val="none"/>
              </w:rPr>
            </w:pPr>
            <w:r>
              <w:rPr>
                <w:rFonts w:hint="eastAsia"/>
                <w:color w:val="auto"/>
                <w:sz w:val="24"/>
                <w:highlight w:val="none"/>
                <w:lang w:val="en-US" w:eastAsia="zh-CN"/>
              </w:rPr>
              <w:t>5</w:t>
            </w:r>
          </w:p>
        </w:tc>
        <w:tc>
          <w:tcPr>
            <w:tcW w:w="1357" w:type="dxa"/>
            <w:vAlign w:val="center"/>
          </w:tcPr>
          <w:p w14:paraId="7CA02DC6">
            <w:pPr>
              <w:spacing w:after="50" w:line="360" w:lineRule="auto"/>
              <w:ind w:right="-10" w:rightChars="0"/>
              <w:jc w:val="both"/>
              <w:rPr>
                <w:rFonts w:ascii="Calibri" w:hAnsi="Calibri" w:cs="Times New Roman"/>
                <w:color w:val="auto"/>
                <w:kern w:val="2"/>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3867" w:type="dxa"/>
            <w:vAlign w:val="center"/>
          </w:tcPr>
          <w:p w14:paraId="0A3A21A7">
            <w:pPr>
              <w:spacing w:after="50" w:line="360" w:lineRule="auto"/>
              <w:ind w:right="-10" w:rightChars="0"/>
              <w:jc w:val="both"/>
              <w:rPr>
                <w:rFonts w:ascii="Calibri" w:hAnsi="Calibri" w:cs="Times New Roman"/>
                <w:color w:val="auto"/>
                <w:kern w:val="2"/>
                <w:sz w:val="24"/>
                <w:szCs w:val="22"/>
                <w:highlight w:val="none"/>
              </w:rPr>
            </w:pPr>
            <w:r>
              <w:rPr>
                <w:rFonts w:ascii="宋体" w:hAnsi="宋体" w:eastAsia="宋体" w:cs="宋体"/>
                <w:color w:val="auto"/>
                <w:spacing w:val="-2"/>
                <w:sz w:val="24"/>
                <w:szCs w:val="24"/>
                <w:highlight w:val="none"/>
              </w:rPr>
              <w:t>如有，见第一章《投标邀请》</w:t>
            </w:r>
          </w:p>
        </w:tc>
        <w:tc>
          <w:tcPr>
            <w:tcW w:w="2599" w:type="dxa"/>
            <w:vAlign w:val="center"/>
          </w:tcPr>
          <w:p w14:paraId="731A641B">
            <w:pPr>
              <w:spacing w:after="50" w:line="360" w:lineRule="auto"/>
              <w:ind w:right="-10" w:rightChars="0"/>
              <w:jc w:val="both"/>
              <w:rPr>
                <w:rFonts w:hint="eastAsia" w:cs="Times New Roman"/>
                <w:color w:val="auto"/>
                <w:kern w:val="2"/>
                <w:sz w:val="24"/>
                <w:szCs w:val="22"/>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6C340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699" w:type="dxa"/>
            <w:vAlign w:val="center"/>
          </w:tcPr>
          <w:p w14:paraId="269152E8">
            <w:pPr>
              <w:adjustRightInd w:val="0"/>
              <w:snapToGrid w:val="0"/>
              <w:spacing w:line="360" w:lineRule="auto"/>
              <w:ind w:right="-10" w:rightChars="0"/>
              <w:jc w:val="center"/>
              <w:rPr>
                <w:rFonts w:cs="Times New Roman"/>
                <w:color w:val="auto"/>
                <w:kern w:val="2"/>
                <w:sz w:val="24"/>
                <w:szCs w:val="22"/>
                <w:highlight w:val="none"/>
              </w:rPr>
            </w:pPr>
            <w:r>
              <w:rPr>
                <w:rFonts w:hint="eastAsia"/>
                <w:color w:val="auto"/>
                <w:sz w:val="24"/>
                <w:highlight w:val="none"/>
                <w:lang w:val="en-US" w:eastAsia="zh-CN"/>
              </w:rPr>
              <w:t>6</w:t>
            </w:r>
          </w:p>
        </w:tc>
        <w:tc>
          <w:tcPr>
            <w:tcW w:w="1357" w:type="dxa"/>
            <w:vAlign w:val="center"/>
          </w:tcPr>
          <w:p w14:paraId="1B081C11">
            <w:pPr>
              <w:spacing w:after="50" w:line="360" w:lineRule="auto"/>
              <w:ind w:right="-10" w:rightChars="0"/>
              <w:jc w:val="both"/>
              <w:rPr>
                <w:rFonts w:ascii="Calibri" w:hAnsi="Calibri" w:cs="Times New Roman"/>
                <w:color w:val="auto"/>
                <w:kern w:val="2"/>
                <w:sz w:val="24"/>
                <w:szCs w:val="24"/>
                <w:highlight w:val="none"/>
              </w:rPr>
            </w:pPr>
            <w:r>
              <w:rPr>
                <w:rFonts w:hint="eastAsia" w:ascii="宋体" w:hAnsi="宋体" w:eastAsia="宋体" w:cs="宋体"/>
                <w:color w:val="auto"/>
                <w:spacing w:val="10"/>
                <w:sz w:val="24"/>
                <w:szCs w:val="24"/>
                <w:highlight w:val="none"/>
                <w:lang w:eastAsia="zh-CN"/>
              </w:rPr>
              <w:t>本项目的</w:t>
            </w:r>
            <w:r>
              <w:rPr>
                <w:rFonts w:ascii="宋体" w:hAnsi="宋体" w:eastAsia="宋体" w:cs="宋体"/>
                <w:color w:val="auto"/>
                <w:spacing w:val="10"/>
                <w:sz w:val="24"/>
                <w:szCs w:val="24"/>
                <w:highlight w:val="none"/>
              </w:rPr>
              <w:t>特定资格要求</w:t>
            </w:r>
          </w:p>
        </w:tc>
        <w:tc>
          <w:tcPr>
            <w:tcW w:w="3867" w:type="dxa"/>
            <w:vAlign w:val="center"/>
          </w:tcPr>
          <w:p w14:paraId="751C53DF">
            <w:pPr>
              <w:spacing w:after="50" w:line="360" w:lineRule="auto"/>
              <w:ind w:right="-10" w:rightChars="0"/>
              <w:jc w:val="both"/>
              <w:rPr>
                <w:rFonts w:ascii="Calibri" w:hAnsi="Calibri" w:cs="Times New Roman"/>
                <w:color w:val="auto"/>
                <w:kern w:val="2"/>
                <w:sz w:val="24"/>
                <w:szCs w:val="22"/>
                <w:highlight w:val="none"/>
              </w:rPr>
            </w:pPr>
            <w:r>
              <w:rPr>
                <w:rFonts w:ascii="宋体" w:hAnsi="宋体" w:eastAsia="宋体" w:cs="宋体"/>
                <w:color w:val="auto"/>
                <w:spacing w:val="10"/>
                <w:sz w:val="24"/>
                <w:szCs w:val="24"/>
                <w:highlight w:val="none"/>
              </w:rPr>
              <w:t>如有，见第一章</w:t>
            </w:r>
          </w:p>
        </w:tc>
        <w:tc>
          <w:tcPr>
            <w:tcW w:w="2599" w:type="dxa"/>
            <w:vAlign w:val="center"/>
          </w:tcPr>
          <w:p w14:paraId="29D1616D">
            <w:pPr>
              <w:spacing w:after="50" w:line="360" w:lineRule="auto"/>
              <w:ind w:right="-10" w:rightChars="0"/>
              <w:jc w:val="both"/>
              <w:rPr>
                <w:rFonts w:hint="eastAsia" w:cs="Times New Roman"/>
                <w:color w:val="auto"/>
                <w:kern w:val="2"/>
                <w:sz w:val="24"/>
                <w:szCs w:val="28"/>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27DE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51470F8B">
            <w:pPr>
              <w:adjustRightInd w:val="0"/>
              <w:snapToGrid w:val="0"/>
              <w:spacing w:line="360" w:lineRule="auto"/>
              <w:ind w:right="-10" w:rightChars="0"/>
              <w:jc w:val="center"/>
              <w:rPr>
                <w:rFonts w:cs="Times New Roman"/>
                <w:color w:val="auto"/>
                <w:kern w:val="2"/>
                <w:sz w:val="24"/>
                <w:szCs w:val="22"/>
                <w:highlight w:val="none"/>
              </w:rPr>
            </w:pPr>
            <w:r>
              <w:rPr>
                <w:rFonts w:hint="eastAsia" w:cs="Times New Roman" w:asciiTheme="minorEastAsia" w:hAnsiTheme="minorEastAsia" w:eastAsiaTheme="minorEastAsia"/>
                <w:color w:val="auto"/>
                <w:kern w:val="2"/>
                <w:sz w:val="24"/>
                <w:szCs w:val="22"/>
                <w:highlight w:val="none"/>
              </w:rPr>
              <w:t>9</w:t>
            </w:r>
          </w:p>
        </w:tc>
        <w:tc>
          <w:tcPr>
            <w:tcW w:w="1357" w:type="dxa"/>
            <w:vAlign w:val="center"/>
          </w:tcPr>
          <w:p w14:paraId="62879DED">
            <w:pPr>
              <w:adjustRightInd w:val="0"/>
              <w:snapToGrid w:val="0"/>
              <w:spacing w:line="360" w:lineRule="auto"/>
              <w:ind w:right="-10" w:rightChars="0"/>
              <w:jc w:val="center"/>
              <w:rPr>
                <w:rFonts w:ascii="Calibri" w:hAnsi="Calibri" w:cs="Times New Roman"/>
                <w:color w:val="auto"/>
                <w:kern w:val="2"/>
                <w:sz w:val="24"/>
                <w:szCs w:val="24"/>
                <w:highlight w:val="none"/>
              </w:rPr>
            </w:pPr>
            <w:r>
              <w:rPr>
                <w:rFonts w:hint="eastAsia" w:cs="Times New Roman"/>
                <w:color w:val="auto"/>
                <w:kern w:val="2"/>
                <w:sz w:val="24"/>
                <w:highlight w:val="none"/>
              </w:rPr>
              <w:t>授权书</w:t>
            </w:r>
          </w:p>
        </w:tc>
        <w:tc>
          <w:tcPr>
            <w:tcW w:w="3867" w:type="dxa"/>
            <w:vAlign w:val="center"/>
          </w:tcPr>
          <w:p w14:paraId="2C30A6B5">
            <w:pPr>
              <w:adjustRightInd w:val="0"/>
              <w:snapToGrid w:val="0"/>
              <w:spacing w:line="360" w:lineRule="auto"/>
              <w:ind w:right="-10" w:rightChars="0"/>
              <w:jc w:val="left"/>
              <w:rPr>
                <w:rFonts w:ascii="Calibri" w:hAnsi="Calibri" w:cs="Times New Roman"/>
                <w:color w:val="auto"/>
                <w:kern w:val="2"/>
                <w:sz w:val="24"/>
                <w:szCs w:val="22"/>
                <w:highlight w:val="none"/>
              </w:rPr>
            </w:pPr>
            <w:r>
              <w:rPr>
                <w:rFonts w:hint="eastAsia" w:cs="Times New Roman"/>
                <w:color w:val="auto"/>
                <w:kern w:val="2"/>
                <w:sz w:val="24"/>
                <w:szCs w:val="22"/>
                <w:highlight w:val="none"/>
              </w:rPr>
              <w:t>符合</w:t>
            </w:r>
            <w:r>
              <w:rPr>
                <w:rFonts w:hint="eastAsia" w:cs="Times New Roman"/>
                <w:color w:val="auto"/>
                <w:kern w:val="2"/>
                <w:sz w:val="24"/>
                <w:szCs w:val="22"/>
                <w:highlight w:val="none"/>
                <w:lang w:val="en-US" w:eastAsia="zh-CN"/>
              </w:rPr>
              <w:t>磋商</w:t>
            </w:r>
            <w:r>
              <w:rPr>
                <w:rFonts w:hint="eastAsia" w:cs="Times New Roman"/>
                <w:color w:val="auto"/>
                <w:kern w:val="2"/>
                <w:sz w:val="24"/>
                <w:szCs w:val="22"/>
                <w:highlight w:val="none"/>
              </w:rPr>
              <w:t>文件要求。</w:t>
            </w:r>
          </w:p>
        </w:tc>
        <w:tc>
          <w:tcPr>
            <w:tcW w:w="2599" w:type="dxa"/>
            <w:vAlign w:val="center"/>
          </w:tcPr>
          <w:p w14:paraId="06526AA3">
            <w:pPr>
              <w:adjustRightInd w:val="0"/>
              <w:snapToGrid w:val="0"/>
              <w:spacing w:line="360" w:lineRule="auto"/>
              <w:ind w:right="-10" w:rightChars="0"/>
              <w:jc w:val="left"/>
              <w:rPr>
                <w:rFonts w:hint="eastAsia" w:cs="Times New Roman"/>
                <w:color w:val="auto"/>
                <w:kern w:val="2"/>
                <w:sz w:val="24"/>
                <w:szCs w:val="22"/>
                <w:highlight w:val="none"/>
              </w:rPr>
            </w:pPr>
          </w:p>
        </w:tc>
      </w:tr>
      <w:tr w14:paraId="1971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16D8847E">
            <w:pPr>
              <w:adjustRightInd w:val="0"/>
              <w:snapToGrid w:val="0"/>
              <w:spacing w:line="360" w:lineRule="auto"/>
              <w:ind w:right="-10" w:rightChars="0"/>
              <w:jc w:val="center"/>
              <w:rPr>
                <w:rFonts w:cs="Times New Roman"/>
                <w:color w:val="auto"/>
                <w:kern w:val="2"/>
                <w:sz w:val="24"/>
                <w:szCs w:val="22"/>
                <w:highlight w:val="none"/>
              </w:rPr>
            </w:pPr>
            <w:r>
              <w:rPr>
                <w:rFonts w:hint="eastAsia" w:cs="Times New Roman" w:asciiTheme="minorEastAsia" w:hAnsiTheme="minorEastAsia" w:eastAsiaTheme="minorEastAsia"/>
                <w:color w:val="auto"/>
                <w:kern w:val="2"/>
                <w:sz w:val="24"/>
                <w:szCs w:val="22"/>
                <w:highlight w:val="none"/>
              </w:rPr>
              <w:t>10</w:t>
            </w:r>
          </w:p>
        </w:tc>
        <w:tc>
          <w:tcPr>
            <w:tcW w:w="1357" w:type="dxa"/>
            <w:vAlign w:val="center"/>
          </w:tcPr>
          <w:p w14:paraId="7D93BBFB">
            <w:pPr>
              <w:adjustRightInd w:val="0"/>
              <w:snapToGrid w:val="0"/>
              <w:spacing w:line="360" w:lineRule="auto"/>
              <w:ind w:right="-10" w:rightChars="0"/>
              <w:jc w:val="center"/>
              <w:rPr>
                <w:rFonts w:ascii="Calibri" w:hAnsi="Calibri" w:cs="Times New Roman"/>
                <w:color w:val="auto"/>
                <w:kern w:val="2"/>
                <w:sz w:val="24"/>
                <w:szCs w:val="24"/>
                <w:highlight w:val="none"/>
              </w:rPr>
            </w:pPr>
            <w:r>
              <w:rPr>
                <w:rFonts w:hint="eastAsia" w:cs="Times New Roman"/>
                <w:color w:val="auto"/>
                <w:kern w:val="2"/>
                <w:sz w:val="24"/>
                <w:highlight w:val="none"/>
                <w:lang w:val="en-US" w:eastAsia="zh-CN"/>
              </w:rPr>
              <w:t>磋商</w:t>
            </w:r>
            <w:r>
              <w:rPr>
                <w:rFonts w:hint="eastAsia" w:cs="Times New Roman"/>
                <w:color w:val="auto"/>
                <w:kern w:val="2"/>
                <w:sz w:val="24"/>
                <w:highlight w:val="none"/>
              </w:rPr>
              <w:t>响应函</w:t>
            </w:r>
          </w:p>
        </w:tc>
        <w:tc>
          <w:tcPr>
            <w:tcW w:w="3867" w:type="dxa"/>
            <w:vAlign w:val="center"/>
          </w:tcPr>
          <w:p w14:paraId="4076C997">
            <w:pPr>
              <w:adjustRightInd w:val="0"/>
              <w:snapToGrid w:val="0"/>
              <w:spacing w:line="360" w:lineRule="auto"/>
              <w:ind w:right="-10" w:rightChars="0"/>
              <w:jc w:val="left"/>
              <w:rPr>
                <w:rFonts w:ascii="Calibri" w:hAnsi="Calibri" w:cs="Times New Roman"/>
                <w:color w:val="auto"/>
                <w:kern w:val="2"/>
                <w:sz w:val="24"/>
                <w:szCs w:val="22"/>
                <w:highlight w:val="none"/>
              </w:rPr>
            </w:pPr>
            <w:r>
              <w:rPr>
                <w:rFonts w:hint="eastAsia" w:cs="Times New Roman"/>
                <w:color w:val="auto"/>
                <w:kern w:val="2"/>
                <w:sz w:val="24"/>
                <w:szCs w:val="22"/>
                <w:highlight w:val="none"/>
              </w:rPr>
              <w:t>符合</w:t>
            </w:r>
            <w:r>
              <w:rPr>
                <w:rFonts w:hint="eastAsia" w:cs="Times New Roman"/>
                <w:color w:val="auto"/>
                <w:kern w:val="2"/>
                <w:sz w:val="24"/>
                <w:szCs w:val="22"/>
                <w:highlight w:val="none"/>
                <w:lang w:val="en-US" w:eastAsia="zh-CN"/>
              </w:rPr>
              <w:t>磋商</w:t>
            </w:r>
            <w:r>
              <w:rPr>
                <w:rFonts w:hint="eastAsia" w:cs="Times New Roman"/>
                <w:color w:val="auto"/>
                <w:kern w:val="2"/>
                <w:sz w:val="24"/>
                <w:szCs w:val="22"/>
                <w:highlight w:val="none"/>
              </w:rPr>
              <w:t>文件要求。</w:t>
            </w:r>
          </w:p>
        </w:tc>
        <w:tc>
          <w:tcPr>
            <w:tcW w:w="2599" w:type="dxa"/>
            <w:vAlign w:val="center"/>
          </w:tcPr>
          <w:p w14:paraId="18ADFC6B">
            <w:pPr>
              <w:adjustRightInd w:val="0"/>
              <w:snapToGrid w:val="0"/>
              <w:spacing w:line="360" w:lineRule="auto"/>
              <w:ind w:right="-10" w:rightChars="0"/>
              <w:jc w:val="left"/>
              <w:rPr>
                <w:rFonts w:hint="eastAsia" w:cs="Times New Roman"/>
                <w:color w:val="auto"/>
                <w:kern w:val="2"/>
                <w:sz w:val="24"/>
                <w:szCs w:val="22"/>
                <w:highlight w:val="none"/>
              </w:rPr>
            </w:pPr>
          </w:p>
        </w:tc>
      </w:tr>
      <w:tr w14:paraId="3F52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56CDA05A">
            <w:pPr>
              <w:adjustRightInd w:val="0"/>
              <w:snapToGrid w:val="0"/>
              <w:spacing w:line="360" w:lineRule="auto"/>
              <w:ind w:right="-10" w:rightChars="0"/>
              <w:jc w:val="center"/>
              <w:rPr>
                <w:rFonts w:cs="Times New Roman"/>
                <w:color w:val="auto"/>
                <w:kern w:val="2"/>
                <w:sz w:val="24"/>
                <w:szCs w:val="22"/>
                <w:highlight w:val="none"/>
              </w:rPr>
            </w:pPr>
            <w:r>
              <w:rPr>
                <w:rFonts w:hint="eastAsia" w:ascii="宋体" w:hAnsi="宋体" w:eastAsia="宋体"/>
                <w:color w:val="auto"/>
                <w:sz w:val="24"/>
                <w:highlight w:val="none"/>
              </w:rPr>
              <w:t>11</w:t>
            </w:r>
          </w:p>
        </w:tc>
        <w:tc>
          <w:tcPr>
            <w:tcW w:w="1357" w:type="dxa"/>
            <w:vAlign w:val="center"/>
          </w:tcPr>
          <w:p w14:paraId="55935D02">
            <w:pPr>
              <w:spacing w:after="50" w:line="360" w:lineRule="auto"/>
              <w:ind w:right="-10" w:rightChars="0"/>
              <w:jc w:val="center"/>
              <w:rPr>
                <w:rFonts w:ascii="Calibri" w:hAnsi="Calibri" w:cs="Times New Roman"/>
                <w:color w:val="auto"/>
                <w:kern w:val="2"/>
                <w:sz w:val="24"/>
                <w:szCs w:val="24"/>
                <w:highlight w:val="none"/>
              </w:rPr>
            </w:pPr>
            <w:r>
              <w:rPr>
                <w:rFonts w:hint="eastAsia" w:asciiTheme="minorEastAsia" w:hAnsiTheme="minorEastAsia" w:eastAsiaTheme="minorEastAsia"/>
                <w:color w:val="auto"/>
                <w:sz w:val="24"/>
                <w:szCs w:val="28"/>
                <w:highlight w:val="none"/>
                <w:lang w:val="en-US" w:eastAsia="zh-CN"/>
              </w:rPr>
              <w:t>磋商</w:t>
            </w:r>
            <w:r>
              <w:rPr>
                <w:rFonts w:hint="eastAsia" w:asciiTheme="minorEastAsia" w:hAnsiTheme="minorEastAsia" w:eastAsiaTheme="minorEastAsia"/>
                <w:color w:val="auto"/>
                <w:sz w:val="24"/>
                <w:szCs w:val="28"/>
                <w:highlight w:val="none"/>
              </w:rPr>
              <w:t>报价</w:t>
            </w:r>
          </w:p>
        </w:tc>
        <w:tc>
          <w:tcPr>
            <w:tcW w:w="3867" w:type="dxa"/>
            <w:vAlign w:val="center"/>
          </w:tcPr>
          <w:p w14:paraId="25FEA87A">
            <w:pPr>
              <w:spacing w:after="50" w:line="360" w:lineRule="auto"/>
              <w:ind w:right="-10" w:rightChars="0"/>
              <w:jc w:val="both"/>
              <w:rPr>
                <w:rFonts w:ascii="Calibri" w:hAnsi="Calibri" w:cs="Times New Roman"/>
                <w:color w:val="auto"/>
                <w:kern w:val="2"/>
                <w:sz w:val="24"/>
                <w:szCs w:val="22"/>
                <w:highlight w:val="none"/>
              </w:rPr>
            </w:pPr>
            <w:r>
              <w:rPr>
                <w:rFonts w:hint="eastAsia" w:asciiTheme="minorEastAsia" w:hAnsiTheme="minorEastAsia" w:eastAsiaTheme="minorEastAsia"/>
                <w:color w:val="auto"/>
                <w:sz w:val="24"/>
                <w:szCs w:val="28"/>
                <w:highlight w:val="none"/>
              </w:rPr>
              <w:t>符合</w:t>
            </w:r>
            <w:r>
              <w:rPr>
                <w:rFonts w:hint="eastAsia" w:cs="Times New Roman"/>
                <w:color w:val="auto"/>
                <w:kern w:val="2"/>
                <w:sz w:val="24"/>
                <w:szCs w:val="22"/>
                <w:highlight w:val="none"/>
                <w:lang w:val="en-US" w:eastAsia="zh-CN"/>
              </w:rPr>
              <w:t>磋商</w:t>
            </w:r>
            <w:r>
              <w:rPr>
                <w:rFonts w:hint="eastAsia"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lang w:val="en-US" w:eastAsia="zh-CN"/>
              </w:rPr>
              <w:t>要求</w:t>
            </w:r>
          </w:p>
        </w:tc>
        <w:tc>
          <w:tcPr>
            <w:tcW w:w="2599" w:type="dxa"/>
            <w:vAlign w:val="center"/>
          </w:tcPr>
          <w:p w14:paraId="1910F102">
            <w:pPr>
              <w:adjustRightInd w:val="0"/>
              <w:snapToGrid w:val="0"/>
              <w:spacing w:line="360" w:lineRule="auto"/>
              <w:ind w:right="-10" w:rightChars="0"/>
              <w:jc w:val="center"/>
              <w:rPr>
                <w:rFonts w:hint="eastAsia" w:cs="Times New Roman"/>
                <w:color w:val="auto"/>
                <w:kern w:val="2"/>
                <w:sz w:val="24"/>
                <w:szCs w:val="22"/>
                <w:highlight w:val="none"/>
              </w:rPr>
            </w:pPr>
          </w:p>
        </w:tc>
      </w:tr>
      <w:tr w14:paraId="4A9C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923" w:type="dxa"/>
            <w:gridSpan w:val="3"/>
            <w:tcBorders>
              <w:bottom w:val="single" w:color="auto" w:sz="4" w:space="0"/>
            </w:tcBorders>
            <w:vAlign w:val="center"/>
          </w:tcPr>
          <w:p w14:paraId="34F92CB5">
            <w:pPr>
              <w:adjustRightInd w:val="0"/>
              <w:snapToGrid w:val="0"/>
              <w:ind w:right="-10"/>
              <w:jc w:val="left"/>
              <w:rPr>
                <w:rFonts w:ascii="Calibri" w:hAnsi="Calibri" w:cs="Times New Roman"/>
                <w:color w:val="auto"/>
                <w:kern w:val="2"/>
                <w:sz w:val="24"/>
                <w:szCs w:val="22"/>
                <w:highlight w:val="none"/>
              </w:rPr>
            </w:pPr>
            <w:r>
              <w:rPr>
                <w:rFonts w:hint="eastAsia" w:ascii="Calibri" w:hAnsi="Calibri" w:cs="Times New Roman"/>
                <w:color w:val="auto"/>
                <w:kern w:val="2"/>
                <w:sz w:val="24"/>
                <w:szCs w:val="22"/>
                <w:highlight w:val="none"/>
              </w:rPr>
              <w:t>评审指标通过标准：供应商必须通过上述全部指标。</w:t>
            </w:r>
          </w:p>
        </w:tc>
        <w:tc>
          <w:tcPr>
            <w:tcW w:w="2599" w:type="dxa"/>
            <w:tcBorders>
              <w:bottom w:val="single" w:color="auto" w:sz="4" w:space="0"/>
            </w:tcBorders>
            <w:vAlign w:val="center"/>
          </w:tcPr>
          <w:p w14:paraId="54AB6538">
            <w:pPr>
              <w:adjustRightInd w:val="0"/>
              <w:snapToGrid w:val="0"/>
              <w:ind w:right="-10"/>
              <w:jc w:val="left"/>
              <w:rPr>
                <w:rFonts w:hint="eastAsia" w:ascii="Calibri" w:hAnsi="Calibri" w:cs="Times New Roman"/>
                <w:color w:val="auto"/>
                <w:kern w:val="2"/>
                <w:sz w:val="24"/>
                <w:szCs w:val="22"/>
                <w:highlight w:val="none"/>
              </w:rPr>
            </w:pPr>
          </w:p>
        </w:tc>
      </w:tr>
    </w:tbl>
    <w:p w14:paraId="352CED1E">
      <w:pPr>
        <w:keepNext w:val="0"/>
        <w:keepLines w:val="0"/>
        <w:pageBreakBefore w:val="0"/>
        <w:kinsoku/>
        <w:wordWrap/>
        <w:overflowPunct/>
        <w:topLinePunct w:val="0"/>
        <w:autoSpaceDE/>
        <w:autoSpaceDN/>
        <w:bidi w:val="0"/>
        <w:spacing w:line="520" w:lineRule="exact"/>
        <w:ind w:firstLine="581" w:firstLineChars="241"/>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val="en-US" w:eastAsia="zh-CN"/>
        </w:rPr>
        <w:t>注：</w:t>
      </w:r>
      <w:r>
        <w:rPr>
          <w:rFonts w:hint="eastAsia" w:ascii="宋体" w:hAnsi="宋体" w:eastAsia="宋体" w:cs="宋体"/>
          <w:b/>
          <w:color w:val="auto"/>
          <w:sz w:val="24"/>
          <w:szCs w:val="24"/>
          <w:highlight w:val="none"/>
        </w:rPr>
        <w:t>供应商拟委任</w:t>
      </w:r>
      <w:r>
        <w:rPr>
          <w:rFonts w:hint="eastAsia" w:ascii="宋体" w:hAnsi="宋体" w:eastAsia="宋体" w:cs="宋体"/>
          <w:b/>
          <w:color w:val="auto"/>
          <w:sz w:val="24"/>
          <w:szCs w:val="24"/>
          <w:highlight w:val="none"/>
          <w:lang w:val="en-US" w:eastAsia="zh-CN"/>
        </w:rPr>
        <w:t>项目经理</w:t>
      </w:r>
      <w:r>
        <w:rPr>
          <w:rFonts w:hint="eastAsia" w:ascii="宋体" w:hAnsi="宋体" w:eastAsia="宋体" w:cs="宋体"/>
          <w:b/>
          <w:color w:val="auto"/>
          <w:sz w:val="24"/>
          <w:szCs w:val="24"/>
          <w:highlight w:val="none"/>
        </w:rPr>
        <w:t>为注册建造师（含一级、二级）的，须提供有效的纸质版电子证书。一级建造师打印电子证书后，应在个人签名处手写本人签名，未手写签名或与签名图像笔迹不一致的，该电子证书无效。</w:t>
      </w:r>
    </w:p>
    <w:p w14:paraId="6C626C1F">
      <w:pPr>
        <w:keepNext w:val="0"/>
        <w:keepLines w:val="0"/>
        <w:pageBreakBefore w:val="0"/>
        <w:kinsoku/>
        <w:wordWrap/>
        <w:overflowPunct/>
        <w:topLinePunct w:val="0"/>
        <w:autoSpaceDE/>
        <w:autoSpaceDN/>
        <w:bidi w:val="0"/>
        <w:spacing w:line="520" w:lineRule="exact"/>
        <w:ind w:firstLine="581" w:firstLineChars="241"/>
        <w:jc w:val="left"/>
        <w:rPr>
          <w:rFonts w:hint="eastAsia" w:ascii="宋体" w:hAnsi="宋体" w:eastAsia="宋体" w:cs="宋体"/>
          <w:b/>
          <w:bCs/>
          <w:color w:val="auto"/>
          <w:sz w:val="24"/>
          <w:highlight w:val="none"/>
        </w:rPr>
      </w:pPr>
      <w:r>
        <w:rPr>
          <w:rFonts w:hint="eastAsia" w:ascii="宋体" w:hAnsi="宋体" w:eastAsia="宋体" w:cs="宋体"/>
          <w:b/>
          <w:color w:val="auto"/>
          <w:sz w:val="24"/>
          <w:szCs w:val="24"/>
          <w:highlight w:val="none"/>
        </w:rPr>
        <w:t>供应商提供的安徽省新版二级建造师电子注册证书纸质版需在安徽省住房和城乡建设执业资格注册管理系统中打印，打印后应由二级建造师本人在证书的个人签名处手写本人签名，或在新版二级建造师电子注册证书纸质版后附其本人知情承诺（视为个人签名处的手写本人签名），格式自拟。未手写个人签名或未提供二级建造师本人知情承诺的，个人签名或知情承诺签字与签名图片笔迹不一致，此证书无效。其他省份按各省相关规定执行。</w:t>
      </w:r>
    </w:p>
    <w:p w14:paraId="55F960E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初审指标通过标准：</w:t>
      </w:r>
      <w:r>
        <w:rPr>
          <w:rFonts w:hint="eastAsia" w:asciiTheme="minorEastAsia" w:hAnsiTheme="minorEastAsia" w:eastAsiaTheme="minorEastAsia"/>
          <w:color w:val="auto"/>
          <w:sz w:val="24"/>
          <w:highlight w:val="none"/>
        </w:rPr>
        <w:t>供应商必须通过初审表中的全部评审指标。</w:t>
      </w:r>
    </w:p>
    <w:p w14:paraId="77318668">
      <w:pPr>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2.2</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审查</w:t>
      </w:r>
    </w:p>
    <w:tbl>
      <w:tblPr>
        <w:tblStyle w:val="55"/>
        <w:tblW w:w="8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1450"/>
        <w:gridCol w:w="4438"/>
        <w:gridCol w:w="2260"/>
      </w:tblGrid>
      <w:tr w14:paraId="0D4D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3" w:type="dxa"/>
            <w:gridSpan w:val="4"/>
            <w:tcBorders>
              <w:bottom w:val="single" w:color="auto" w:sz="4" w:space="0"/>
            </w:tcBorders>
            <w:vAlign w:val="center"/>
          </w:tcPr>
          <w:p w14:paraId="37BA37E9">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异常低价响应审查表</w:t>
            </w:r>
          </w:p>
        </w:tc>
      </w:tr>
      <w:tr w14:paraId="16A49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52D84455">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6C79C264">
            <w:pPr>
              <w:spacing w:line="360" w:lineRule="auto"/>
              <w:ind w:firstLine="240" w:firstLineChars="100"/>
              <w:jc w:val="center"/>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8" w:type="dxa"/>
            <w:tcBorders>
              <w:bottom w:val="single" w:color="auto" w:sz="4" w:space="0"/>
            </w:tcBorders>
            <w:vAlign w:val="center"/>
          </w:tcPr>
          <w:p w14:paraId="13CC2C4F">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18F702BC">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40F1E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5F0D2039">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70AC2A73">
            <w:pPr>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异常低价响应审查</w:t>
            </w:r>
          </w:p>
        </w:tc>
        <w:tc>
          <w:tcPr>
            <w:tcW w:w="4438" w:type="dxa"/>
            <w:tcBorders>
              <w:bottom w:val="single" w:color="auto" w:sz="4" w:space="0"/>
            </w:tcBorders>
            <w:vAlign w:val="center"/>
          </w:tcPr>
          <w:p w14:paraId="0AAB11A0">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color w:val="auto"/>
                <w:sz w:val="24"/>
                <w:szCs w:val="24"/>
                <w:highlight w:val="none"/>
                <w:u w:val="none"/>
                <w:lang w:val="en-US" w:eastAsia="zh-CN"/>
              </w:rPr>
              <w:t>；</w:t>
            </w:r>
          </w:p>
          <w:p w14:paraId="3EEC2D48">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color w:val="auto"/>
                <w:sz w:val="24"/>
                <w:szCs w:val="24"/>
                <w:highlight w:val="none"/>
                <w:u w:val="none"/>
                <w:lang w:val="en-US" w:eastAsia="zh-CN"/>
              </w:rPr>
              <w:t>；</w:t>
            </w:r>
          </w:p>
          <w:p w14:paraId="54626E8D">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FF0000"/>
                <w:sz w:val="24"/>
                <w:szCs w:val="24"/>
                <w:highlight w:val="none"/>
                <w:u w:val="single"/>
                <w:lang w:val="en-US" w:eastAsia="zh-CN"/>
              </w:rPr>
              <w:t>45%</w:t>
            </w:r>
            <w:r>
              <w:rPr>
                <w:rFonts w:hint="eastAsia" w:ascii="宋体" w:hAnsi="宋体" w:eastAsia="宋体" w:cs="宋体"/>
                <w:b w:val="0"/>
                <w:bCs w:val="0"/>
                <w:i w:val="0"/>
                <w:iCs w:val="0"/>
                <w:color w:val="auto"/>
                <w:sz w:val="24"/>
                <w:szCs w:val="24"/>
                <w:highlight w:val="none"/>
                <w:u w:val="none"/>
                <w:lang w:val="en-US" w:eastAsia="zh-CN"/>
              </w:rPr>
              <w:t>；</w:t>
            </w:r>
          </w:p>
          <w:p w14:paraId="19EE100D">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（4）磋商小组基于专业判断，认为供应商报价过低，有可能影响产品质量或者不能诚信履约的其他情形。</w:t>
            </w:r>
          </w:p>
          <w:p w14:paraId="1B2131EF">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提醒：</w:t>
            </w:r>
          </w:p>
          <w:p w14:paraId="11F21940">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（1）上述第（1）项数值计算：涉及总价、单价的精确到“分”并四舍五入，涉及费率的精确到小数点后两位，第三位四舍五入（例：如平均值为123.456元，即为123.46元；如平均值为80.126%，即为80.13%）。</w:t>
            </w:r>
          </w:p>
          <w:p w14:paraId="30A6CBC0">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（2）上述报价均为供应商最后报价。</w:t>
            </w:r>
          </w:p>
        </w:tc>
        <w:tc>
          <w:tcPr>
            <w:tcW w:w="2260" w:type="dxa"/>
            <w:vAlign w:val="center"/>
          </w:tcPr>
          <w:p w14:paraId="143F8093">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6C513C09">
      <w:pPr>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7BFD5047">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rPr>
        <w:t>根据《关于推</w:t>
      </w:r>
      <w:r>
        <w:rPr>
          <w:rFonts w:hint="eastAsia" w:ascii="宋体" w:hAnsi="宋体" w:eastAsia="宋体"/>
          <w:color w:val="auto"/>
          <w:sz w:val="24"/>
          <w:highlight w:val="none"/>
          <w:lang w:val="en-US" w:eastAsia="zh-CN"/>
        </w:rPr>
        <w:t>动</w:t>
      </w:r>
      <w:r>
        <w:rPr>
          <w:rFonts w:hint="eastAsia" w:ascii="宋体" w:hAnsi="宋体" w:eastAsia="宋体"/>
          <w:color w:val="auto"/>
          <w:sz w:val="24"/>
          <w:highlight w:val="none"/>
        </w:rPr>
        <w:t>解决政府采购异常低价问题的通知》（财库〔2026〕2号），</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2439A0C9">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rPr>
        <w:t>磋商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项情形，供应商已随响应文件一并提交相关书面说明及必要的证明材料的，在评审现场可不再重复提交。</w:t>
      </w:r>
    </w:p>
    <w:p w14:paraId="4677B92C">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b/>
          <w:color w:val="auto"/>
          <w:sz w:val="24"/>
          <w:highlight w:val="none"/>
        </w:rPr>
      </w:pPr>
      <w:r>
        <w:rPr>
          <w:rFonts w:hint="eastAsia" w:ascii="宋体" w:hAnsi="宋体" w:eastAsia="宋体"/>
          <w:color w:val="auto"/>
          <w:sz w:val="24"/>
          <w:highlight w:val="none"/>
        </w:rPr>
        <w:t xml:space="preserve">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 </w:t>
      </w:r>
    </w:p>
    <w:p w14:paraId="491ECEC4">
      <w:pPr>
        <w:spacing w:line="360" w:lineRule="auto"/>
        <w:ind w:firstLine="435"/>
        <w:outlineLvl w:val="2"/>
        <w:rPr>
          <w:rFonts w:hint="eastAsia" w:asciiTheme="minorEastAsia" w:hAnsiTheme="minorEastAsia" w:eastAsiaTheme="minorEastAsia"/>
          <w:b/>
          <w:color w:val="auto"/>
          <w:sz w:val="24"/>
          <w:highlight w:val="none"/>
        </w:rPr>
      </w:pPr>
      <w:r>
        <w:rPr>
          <w:rFonts w:hint="eastAsia" w:ascii="宋体" w:hAnsi="宋体" w:eastAsia="宋体"/>
          <w:color w:val="auto"/>
          <w:sz w:val="24"/>
          <w:highlight w:val="none"/>
        </w:rPr>
        <w:t>磋商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磋商小组有关互联网浏览、查询历史一并归档。</w:t>
      </w:r>
    </w:p>
    <w:p w14:paraId="1876840F">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hint="eastAsia" w:asciiTheme="minorEastAsia" w:hAnsiTheme="minorEastAsia" w:eastAsiaTheme="minorEastAsia"/>
          <w:b/>
          <w:color w:val="auto"/>
          <w:sz w:val="24"/>
          <w:highlight w:val="none"/>
        </w:rPr>
        <w:t>综合评分</w:t>
      </w:r>
    </w:p>
    <w:p w14:paraId="7E904C7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磋商小组按照下表对</w:t>
      </w:r>
      <w:r>
        <w:rPr>
          <w:rFonts w:hint="eastAsia"/>
          <w:color w:val="auto"/>
          <w:sz w:val="24"/>
          <w:highlight w:val="none"/>
        </w:rPr>
        <w:t>进入综合评分的所有供应商的</w:t>
      </w:r>
      <w:r>
        <w:rPr>
          <w:rFonts w:hint="eastAsia" w:asciiTheme="minorEastAsia" w:hAnsiTheme="minorEastAsia" w:eastAsiaTheme="minorEastAsia"/>
          <w:color w:val="auto"/>
          <w:sz w:val="24"/>
          <w:highlight w:val="none"/>
        </w:rPr>
        <w:t>响应文件进行综合评分。</w:t>
      </w:r>
    </w:p>
    <w:p w14:paraId="67F78AE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本项目综合评分满分为100分，其中：技术资信分值占总分值的权重为90 %，价格分值占总分值的权重为10%。具体评分细则如下</w:t>
      </w:r>
      <w:r>
        <w:rPr>
          <w:rFonts w:asciiTheme="minorEastAsia" w:hAnsiTheme="minorEastAsia" w:eastAsiaTheme="minorEastAsia"/>
          <w:color w:val="auto"/>
          <w:sz w:val="24"/>
          <w:highlight w:val="none"/>
        </w:rPr>
        <w:t>：</w:t>
      </w:r>
    </w:p>
    <w:tbl>
      <w:tblPr>
        <w:tblStyle w:val="55"/>
        <w:tblpPr w:leftFromText="180" w:rightFromText="180" w:vertAnchor="text" w:horzAnchor="page" w:tblpX="1094" w:tblpY="47"/>
        <w:tblOverlap w:val="never"/>
        <w:tblW w:w="9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3"/>
        <w:gridCol w:w="1227"/>
        <w:gridCol w:w="7530"/>
      </w:tblGrid>
      <w:tr w14:paraId="0D706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43" w:type="dxa"/>
            <w:noWrap w:val="0"/>
            <w:vAlign w:val="center"/>
          </w:tcPr>
          <w:p w14:paraId="0153AFDC">
            <w:pPr>
              <w:keepNext w:val="0"/>
              <w:keepLines w:val="0"/>
              <w:pageBreakBefore w:val="0"/>
              <w:widowControl w:val="0"/>
              <w:kinsoku/>
              <w:wordWrap/>
              <w:overflowPunct/>
              <w:topLinePunct w:val="0"/>
              <w:autoSpaceDE/>
              <w:autoSpaceDN/>
              <w:bidi w:val="0"/>
              <w:spacing w:line="440" w:lineRule="exact"/>
              <w:jc w:val="center"/>
              <w:textAlignment w:val="auto"/>
              <w:rPr>
                <w:rFonts w:ascii="宋体" w:hAnsi="宋体" w:cs="宋体"/>
                <w:b/>
                <w:color w:val="auto"/>
                <w:szCs w:val="21"/>
                <w:highlight w:val="none"/>
              </w:rPr>
            </w:pPr>
            <w:r>
              <w:rPr>
                <w:rFonts w:hint="eastAsia" w:asciiTheme="minorEastAsia" w:hAnsiTheme="minorEastAsia" w:eastAsiaTheme="minorEastAsia"/>
                <w:b/>
                <w:bCs/>
                <w:color w:val="auto"/>
                <w:sz w:val="24"/>
                <w:highlight w:val="none"/>
              </w:rPr>
              <w:t>类别</w:t>
            </w:r>
          </w:p>
        </w:tc>
        <w:tc>
          <w:tcPr>
            <w:tcW w:w="1227" w:type="dxa"/>
            <w:noWrap w:val="0"/>
            <w:vAlign w:val="center"/>
          </w:tcPr>
          <w:p w14:paraId="54029556">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bCs/>
                <w:szCs w:val="21"/>
                <w:lang w:val="en-US" w:eastAsia="zh-CN"/>
              </w:rPr>
            </w:pPr>
            <w:r>
              <w:rPr>
                <w:rFonts w:hint="eastAsia" w:asciiTheme="minorEastAsia" w:hAnsiTheme="minorEastAsia" w:eastAsiaTheme="minorEastAsia"/>
                <w:b/>
                <w:bCs/>
                <w:color w:val="auto"/>
                <w:sz w:val="24"/>
                <w:highlight w:val="none"/>
              </w:rPr>
              <w:t>评分内容</w:t>
            </w:r>
          </w:p>
        </w:tc>
        <w:tc>
          <w:tcPr>
            <w:tcW w:w="7530" w:type="dxa"/>
            <w:noWrap w:val="0"/>
            <w:vAlign w:val="center"/>
          </w:tcPr>
          <w:p w14:paraId="1F1A7B61">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bCs/>
                <w:szCs w:val="21"/>
                <w:lang w:val="en-US" w:eastAsia="zh-CN"/>
              </w:rPr>
            </w:pPr>
            <w:r>
              <w:rPr>
                <w:rFonts w:hint="eastAsia" w:asciiTheme="minorEastAsia" w:hAnsiTheme="minorEastAsia" w:eastAsiaTheme="minorEastAsia"/>
                <w:b/>
                <w:bCs/>
                <w:color w:val="auto"/>
                <w:sz w:val="24"/>
                <w:highlight w:val="none"/>
              </w:rPr>
              <w:t>评分标准</w:t>
            </w:r>
          </w:p>
        </w:tc>
      </w:tr>
      <w:tr w14:paraId="4CE6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43" w:type="dxa"/>
            <w:vMerge w:val="restart"/>
            <w:noWrap w:val="0"/>
            <w:vAlign w:val="center"/>
          </w:tcPr>
          <w:p w14:paraId="3542E81D">
            <w:pPr>
              <w:keepNext w:val="0"/>
              <w:keepLines w:val="0"/>
              <w:pageBreakBefore w:val="0"/>
              <w:widowControl w:val="0"/>
              <w:kinsoku/>
              <w:wordWrap/>
              <w:overflowPunct/>
              <w:topLinePunct w:val="0"/>
              <w:autoSpaceDE/>
              <w:autoSpaceDN/>
              <w:bidi w:val="0"/>
              <w:spacing w:line="440" w:lineRule="exact"/>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技术资信分</w:t>
            </w:r>
          </w:p>
          <w:p w14:paraId="3D69B079">
            <w:pPr>
              <w:keepNext w:val="0"/>
              <w:keepLines w:val="0"/>
              <w:pageBreakBefore w:val="0"/>
              <w:widowControl w:val="0"/>
              <w:kinsoku/>
              <w:wordWrap/>
              <w:overflowPunct/>
              <w:topLinePunct w:val="0"/>
              <w:autoSpaceDE/>
              <w:autoSpaceDN/>
              <w:bidi w:val="0"/>
              <w:spacing w:line="440" w:lineRule="exact"/>
              <w:jc w:val="center"/>
              <w:textAlignment w:val="auto"/>
              <w:rPr>
                <w:rFonts w:hint="default" w:ascii="宋体" w:hAnsi="宋体" w:cs="宋体"/>
                <w:bCs/>
                <w:color w:val="auto"/>
                <w:szCs w:val="21"/>
                <w:highlight w:val="none"/>
                <w:lang w:val="en-US" w:eastAsia="zh-CN"/>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lang w:val="en-US" w:eastAsia="zh-CN"/>
              </w:rPr>
              <w:t>90</w:t>
            </w:r>
            <w:r>
              <w:rPr>
                <w:rFonts w:hint="eastAsia" w:asciiTheme="minorEastAsia" w:hAnsiTheme="minorEastAsia" w:eastAsiaTheme="minorEastAsia"/>
                <w:color w:val="auto"/>
                <w:sz w:val="24"/>
                <w:highlight w:val="none"/>
              </w:rPr>
              <w:t>分）</w:t>
            </w:r>
          </w:p>
        </w:tc>
        <w:tc>
          <w:tcPr>
            <w:tcW w:w="1227" w:type="dxa"/>
            <w:noWrap w:val="0"/>
            <w:vAlign w:val="center"/>
          </w:tcPr>
          <w:p w14:paraId="7FCD5D27">
            <w:pPr>
              <w:pStyle w:val="20"/>
              <w:keepNext w:val="0"/>
              <w:keepLines w:val="0"/>
              <w:pageBreakBefore w:val="0"/>
              <w:widowControl w:val="0"/>
              <w:kinsoku/>
              <w:wordWrap/>
              <w:overflowPunct/>
              <w:topLinePunct w:val="0"/>
              <w:autoSpaceDE/>
              <w:autoSpaceDN/>
              <w:bidi w:val="0"/>
              <w:spacing w:line="440" w:lineRule="exact"/>
              <w:ind w:left="0" w:leftChars="0"/>
              <w:jc w:val="center"/>
              <w:textAlignment w:val="auto"/>
              <w:rPr>
                <w:rFonts w:hint="eastAsia" w:ascii="宋体" w:hAnsi="宋体" w:eastAsia="宋体" w:cstheme="minorBidi"/>
                <w:bCs/>
                <w:color w:val="auto"/>
                <w:kern w:val="2"/>
                <w:sz w:val="24"/>
                <w:szCs w:val="24"/>
                <w:lang w:val="en-US" w:eastAsia="zh-CN" w:bidi="ar-SA"/>
              </w:rPr>
            </w:pPr>
            <w:r>
              <w:rPr>
                <w:rFonts w:hint="eastAsia" w:ascii="宋体" w:hAnsi="宋体" w:eastAsia="宋体"/>
                <w:bCs/>
                <w:color w:val="auto"/>
                <w:sz w:val="24"/>
                <w:szCs w:val="24"/>
                <w:lang w:val="en-US" w:eastAsia="zh-CN"/>
              </w:rPr>
              <w:t>供应商业绩（</w:t>
            </w:r>
            <w:r>
              <w:rPr>
                <w:rFonts w:hint="eastAsia" w:ascii="宋体" w:hAnsi="宋体"/>
                <w:bCs/>
                <w:color w:val="auto"/>
                <w:sz w:val="24"/>
                <w:szCs w:val="24"/>
                <w:lang w:val="en-US" w:eastAsia="zh-CN"/>
              </w:rPr>
              <w:t>4</w:t>
            </w:r>
            <w:r>
              <w:rPr>
                <w:rFonts w:hint="eastAsia" w:ascii="宋体" w:hAnsi="宋体" w:eastAsia="宋体"/>
                <w:bCs/>
                <w:color w:val="auto"/>
                <w:sz w:val="24"/>
                <w:szCs w:val="24"/>
                <w:lang w:val="en-US" w:eastAsia="zh-CN"/>
              </w:rPr>
              <w:t>分）</w:t>
            </w:r>
          </w:p>
        </w:tc>
        <w:tc>
          <w:tcPr>
            <w:tcW w:w="7530" w:type="dxa"/>
            <w:noWrap w:val="0"/>
            <w:vAlign w:val="center"/>
          </w:tcPr>
          <w:p w14:paraId="7417F2F2">
            <w:pPr>
              <w:pStyle w:val="20"/>
              <w:keepNext w:val="0"/>
              <w:keepLines w:val="0"/>
              <w:pageBreakBefore w:val="0"/>
              <w:widowControl w:val="0"/>
              <w:kinsoku/>
              <w:wordWrap/>
              <w:overflowPunct/>
              <w:topLinePunct w:val="0"/>
              <w:autoSpaceDE/>
              <w:autoSpaceDN/>
              <w:bidi w:val="0"/>
              <w:spacing w:line="440" w:lineRule="exact"/>
              <w:ind w:left="0" w:leftChars="0" w:right="-10" w:rightChars="0"/>
              <w:textAlignment w:val="auto"/>
              <w:rPr>
                <w:rFonts w:hint="default" w:ascii="宋体" w:hAnsi="宋体" w:eastAsia="宋体" w:cstheme="minorBidi"/>
                <w:bCs/>
                <w:color w:val="auto"/>
                <w:kern w:val="2"/>
                <w:sz w:val="24"/>
                <w:szCs w:val="24"/>
                <w:lang w:val="en-US" w:eastAsia="zh-CN" w:bidi="ar-SA"/>
              </w:rPr>
            </w:pPr>
            <w:r>
              <w:rPr>
                <w:rFonts w:hint="eastAsia" w:ascii="宋体" w:hAnsi="宋体"/>
                <w:bCs/>
                <w:color w:val="auto"/>
                <w:sz w:val="24"/>
                <w:szCs w:val="24"/>
                <w:lang w:val="en-US" w:eastAsia="zh-CN"/>
              </w:rPr>
              <w:t>供应商自2022年1月1日至今每提供</w:t>
            </w:r>
            <w:r>
              <w:rPr>
                <w:rFonts w:hint="eastAsia" w:ascii="宋体" w:hAnsi="宋体" w:eastAsia="宋体"/>
                <w:bCs/>
                <w:color w:val="auto"/>
                <w:sz w:val="24"/>
                <w:szCs w:val="24"/>
                <w:lang w:val="en-US" w:eastAsia="zh-CN"/>
              </w:rPr>
              <w:t>1个公路安全设施（或安全隐患整治或交安设施）等相关工程</w:t>
            </w:r>
            <w:r>
              <w:rPr>
                <w:rFonts w:hint="eastAsia" w:ascii="宋体" w:hAnsi="宋体"/>
                <w:bCs/>
                <w:color w:val="auto"/>
                <w:sz w:val="24"/>
                <w:szCs w:val="24"/>
                <w:lang w:val="en-US" w:eastAsia="zh-CN"/>
              </w:rPr>
              <w:t>施工业绩的，得2分，本项满分4分。提供</w:t>
            </w:r>
            <w:r>
              <w:rPr>
                <w:rFonts w:hint="eastAsia" w:ascii="宋体" w:hAnsi="宋体"/>
                <w:bCs/>
                <w:color w:val="auto"/>
                <w:sz w:val="24"/>
                <w:szCs w:val="24"/>
              </w:rPr>
              <w:t>合同扫描件</w:t>
            </w:r>
            <w:r>
              <w:rPr>
                <w:rFonts w:hint="eastAsia" w:ascii="宋体" w:hAnsi="宋体"/>
                <w:bCs/>
                <w:color w:val="auto"/>
                <w:sz w:val="24"/>
                <w:szCs w:val="24"/>
                <w:lang w:eastAsia="zh-CN"/>
              </w:rPr>
              <w:t>，</w:t>
            </w:r>
            <w:r>
              <w:rPr>
                <w:rFonts w:hint="eastAsia" w:ascii="宋体" w:hAnsi="宋体"/>
                <w:bCs/>
                <w:color w:val="auto"/>
                <w:sz w:val="24"/>
                <w:szCs w:val="24"/>
                <w:lang w:val="en-US" w:eastAsia="zh-CN"/>
              </w:rPr>
              <w:t>时间以合同签订时间为准。</w:t>
            </w:r>
          </w:p>
        </w:tc>
      </w:tr>
      <w:tr w14:paraId="72DC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43" w:type="dxa"/>
            <w:vMerge w:val="continue"/>
            <w:noWrap w:val="0"/>
            <w:vAlign w:val="center"/>
          </w:tcPr>
          <w:p w14:paraId="26AFC142">
            <w:pPr>
              <w:keepNext w:val="0"/>
              <w:keepLines w:val="0"/>
              <w:pageBreakBefore w:val="0"/>
              <w:widowControl w:val="0"/>
              <w:kinsoku/>
              <w:wordWrap/>
              <w:overflowPunct/>
              <w:topLinePunct w:val="0"/>
              <w:autoSpaceDE/>
              <w:autoSpaceDN/>
              <w:bidi w:val="0"/>
              <w:spacing w:line="440" w:lineRule="exact"/>
              <w:jc w:val="center"/>
              <w:textAlignment w:val="auto"/>
              <w:rPr>
                <w:rFonts w:ascii="宋体" w:hAnsi="宋体" w:cs="宋体"/>
                <w:b/>
                <w:color w:val="auto"/>
                <w:szCs w:val="21"/>
                <w:highlight w:val="none"/>
              </w:rPr>
            </w:pPr>
          </w:p>
        </w:tc>
        <w:tc>
          <w:tcPr>
            <w:tcW w:w="1227" w:type="dxa"/>
            <w:noWrap w:val="0"/>
            <w:vAlign w:val="center"/>
          </w:tcPr>
          <w:p w14:paraId="7C953A6C">
            <w:pPr>
              <w:pStyle w:val="20"/>
              <w:keepNext w:val="0"/>
              <w:keepLines w:val="0"/>
              <w:pageBreakBefore w:val="0"/>
              <w:widowControl w:val="0"/>
              <w:kinsoku/>
              <w:wordWrap/>
              <w:overflowPunct/>
              <w:topLinePunct w:val="0"/>
              <w:autoSpaceDE/>
              <w:autoSpaceDN/>
              <w:bidi w:val="0"/>
              <w:spacing w:line="440" w:lineRule="exact"/>
              <w:ind w:left="0" w:leftChars="0"/>
              <w:jc w:val="center"/>
              <w:textAlignment w:val="auto"/>
              <w:rPr>
                <w:rFonts w:hint="default" w:ascii="宋体" w:hAnsi="宋体" w:eastAsia="宋体" w:cstheme="minorBidi"/>
                <w:bCs/>
                <w:color w:val="auto"/>
                <w:kern w:val="2"/>
                <w:sz w:val="24"/>
                <w:szCs w:val="24"/>
                <w:lang w:val="en-US" w:eastAsia="zh-CN" w:bidi="ar-SA"/>
              </w:rPr>
            </w:pPr>
            <w:r>
              <w:rPr>
                <w:rFonts w:hint="eastAsia" w:ascii="宋体" w:hAnsi="宋体" w:eastAsia="宋体"/>
                <w:bCs/>
                <w:color w:val="auto"/>
                <w:sz w:val="24"/>
                <w:szCs w:val="24"/>
                <w:lang w:val="en-US" w:eastAsia="zh-CN"/>
              </w:rPr>
              <w:t>人员证书（6分）</w:t>
            </w:r>
          </w:p>
        </w:tc>
        <w:tc>
          <w:tcPr>
            <w:tcW w:w="7530" w:type="dxa"/>
            <w:noWrap w:val="0"/>
            <w:vAlign w:val="center"/>
          </w:tcPr>
          <w:p w14:paraId="4994D4D6">
            <w:pPr>
              <w:pStyle w:val="20"/>
              <w:keepNext w:val="0"/>
              <w:keepLines w:val="0"/>
              <w:pageBreakBefore w:val="0"/>
              <w:widowControl w:val="0"/>
              <w:kinsoku/>
              <w:wordWrap/>
              <w:overflowPunct/>
              <w:topLinePunct w:val="0"/>
              <w:autoSpaceDE/>
              <w:autoSpaceDN/>
              <w:bidi w:val="0"/>
              <w:spacing w:line="440" w:lineRule="exact"/>
              <w:ind w:left="0" w:leftChars="0" w:right="-10" w:rightChars="0"/>
              <w:textAlignment w:val="auto"/>
              <w:rPr>
                <w:rFonts w:hint="default" w:eastAsia="宋体" w:asciiTheme="minorHAnsi" w:hAnsiTheme="minorHAnsi" w:cstheme="minorBidi"/>
                <w:color w:val="auto"/>
                <w:kern w:val="2"/>
                <w:sz w:val="24"/>
                <w:szCs w:val="24"/>
                <w:lang w:val="en-US" w:eastAsia="zh-CN" w:bidi="ar-SA"/>
              </w:rPr>
            </w:pPr>
            <w:r>
              <w:rPr>
                <w:rFonts w:hint="eastAsia" w:ascii="宋体" w:hAnsi="宋体" w:eastAsia="宋体" w:cs="Times New Roman"/>
                <w:bCs/>
                <w:color w:val="auto"/>
                <w:sz w:val="24"/>
                <w:szCs w:val="24"/>
                <w:lang w:val="en-US" w:eastAsia="zh-CN"/>
              </w:rPr>
              <w:t>供应商拟派人员（含项目负责人）中每具有一个</w:t>
            </w:r>
            <w:r>
              <w:rPr>
                <w:rFonts w:hint="eastAsia" w:ascii="宋体" w:hAnsi="宋体" w:cs="Times New Roman"/>
                <w:bCs/>
                <w:color w:val="auto"/>
                <w:sz w:val="24"/>
                <w:szCs w:val="24"/>
                <w:lang w:val="en-US" w:eastAsia="zh-CN"/>
              </w:rPr>
              <w:t>公路</w:t>
            </w:r>
            <w:r>
              <w:rPr>
                <w:rFonts w:hint="eastAsia" w:ascii="宋体" w:hAnsi="宋体" w:eastAsia="宋体" w:cs="Times New Roman"/>
                <w:bCs/>
                <w:color w:val="auto"/>
                <w:sz w:val="24"/>
                <w:szCs w:val="24"/>
                <w:lang w:val="en-US" w:eastAsia="zh-CN"/>
              </w:rPr>
              <w:t>工程</w:t>
            </w:r>
            <w:r>
              <w:rPr>
                <w:rFonts w:hint="eastAsia" w:ascii="宋体" w:hAnsi="宋体" w:cs="Times New Roman"/>
                <w:bCs/>
                <w:color w:val="auto"/>
                <w:sz w:val="24"/>
                <w:szCs w:val="24"/>
                <w:lang w:val="en-US" w:eastAsia="zh-CN"/>
              </w:rPr>
              <w:t>相关专业</w:t>
            </w:r>
            <w:r>
              <w:rPr>
                <w:rFonts w:hint="eastAsia" w:ascii="宋体" w:hAnsi="宋体" w:eastAsia="宋体" w:cs="Times New Roman"/>
                <w:bCs/>
                <w:color w:val="auto"/>
                <w:sz w:val="24"/>
                <w:szCs w:val="24"/>
                <w:lang w:val="en-US" w:eastAsia="zh-CN"/>
              </w:rPr>
              <w:t>中级及以上职称的得2分，满分6分；</w:t>
            </w:r>
            <w:r>
              <w:rPr>
                <w:rFonts w:hint="eastAsia" w:ascii="宋体" w:hAnsi="宋体" w:eastAsia="宋体" w:cs="宋体"/>
                <w:b w:val="0"/>
                <w:bCs w:val="0"/>
                <w:color w:val="auto"/>
                <w:sz w:val="24"/>
                <w:szCs w:val="24"/>
                <w:highlight w:val="none"/>
                <w:lang w:val="en-US" w:eastAsia="en-US"/>
              </w:rPr>
              <w:t>提供证书</w:t>
            </w:r>
            <w:r>
              <w:rPr>
                <w:rFonts w:hint="eastAsia" w:ascii="宋体" w:hAnsi="宋体" w:eastAsia="宋体" w:cs="宋体"/>
                <w:b w:val="0"/>
                <w:bCs w:val="0"/>
                <w:color w:val="auto"/>
                <w:sz w:val="24"/>
                <w:szCs w:val="24"/>
                <w:highlight w:val="none"/>
                <w:lang w:val="en-US" w:eastAsia="zh-CN"/>
              </w:rPr>
              <w:t>扫描件</w:t>
            </w:r>
            <w:r>
              <w:rPr>
                <w:rFonts w:hint="eastAsia" w:ascii="宋体" w:hAnsi="宋体" w:eastAsia="宋体" w:cs="宋体"/>
                <w:b w:val="0"/>
                <w:bCs w:val="0"/>
                <w:color w:val="auto"/>
                <w:sz w:val="24"/>
                <w:szCs w:val="24"/>
                <w:highlight w:val="none"/>
                <w:lang w:val="en-US" w:eastAsia="en-US"/>
              </w:rPr>
              <w:t>。</w:t>
            </w:r>
          </w:p>
        </w:tc>
      </w:tr>
      <w:tr w14:paraId="6ACC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43" w:type="dxa"/>
            <w:vMerge w:val="continue"/>
            <w:noWrap w:val="0"/>
            <w:vAlign w:val="center"/>
          </w:tcPr>
          <w:p w14:paraId="4C10244F">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cs="宋体"/>
                <w:bCs/>
                <w:color w:val="auto"/>
                <w:kern w:val="2"/>
                <w:sz w:val="21"/>
                <w:szCs w:val="21"/>
                <w:highlight w:val="none"/>
                <w:lang w:val="en-US" w:eastAsia="zh-CN" w:bidi="ar-SA"/>
              </w:rPr>
            </w:pPr>
          </w:p>
        </w:tc>
        <w:tc>
          <w:tcPr>
            <w:tcW w:w="1227" w:type="dxa"/>
            <w:noWrap w:val="0"/>
            <w:vAlign w:val="center"/>
          </w:tcPr>
          <w:p w14:paraId="5E47CB9A">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cs="宋体"/>
                <w:b/>
                <w:color w:val="auto"/>
                <w:szCs w:val="21"/>
                <w:highlight w:val="none"/>
              </w:rPr>
            </w:pPr>
            <w:r>
              <w:rPr>
                <w:rFonts w:hint="eastAsia" w:ascii="宋体" w:hAnsi="宋体" w:eastAsia="宋体" w:cs="宋体"/>
                <w:color w:val="auto"/>
                <w:sz w:val="24"/>
                <w:szCs w:val="24"/>
                <w:highlight w:val="none"/>
                <w:lang w:eastAsia="zh-CN"/>
              </w:rPr>
              <w:t>总体</w:t>
            </w:r>
            <w:r>
              <w:rPr>
                <w:rFonts w:hint="eastAsia" w:ascii="宋体" w:hAnsi="宋体" w:eastAsia="宋体" w:cs="宋体"/>
                <w:color w:val="auto"/>
                <w:sz w:val="24"/>
                <w:szCs w:val="24"/>
                <w:highlight w:val="none"/>
                <w:lang w:val="en-US" w:eastAsia="zh-CN"/>
              </w:rPr>
              <w:t>规划</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10分</w:t>
            </w:r>
            <w:r>
              <w:rPr>
                <w:rFonts w:hint="eastAsia" w:ascii="宋体" w:hAnsi="宋体" w:eastAsia="宋体" w:cs="宋体"/>
                <w:color w:val="auto"/>
                <w:sz w:val="24"/>
                <w:szCs w:val="24"/>
                <w:highlight w:val="none"/>
                <w:lang w:eastAsia="zh-CN"/>
              </w:rPr>
              <w:t>）</w:t>
            </w:r>
          </w:p>
        </w:tc>
        <w:tc>
          <w:tcPr>
            <w:tcW w:w="7530" w:type="dxa"/>
            <w:noWrap w:val="0"/>
            <w:vAlign w:val="center"/>
          </w:tcPr>
          <w:p w14:paraId="36740D74">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①根据工程特点和各种影响因素，以方便、合理、经济、施工总体要求和适合施工需要为原则，进行施工区域划分和施工现场总体布置。布置的主要临时设施包括材料场、水、电、生活区、办公区等</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总体</w:t>
            </w:r>
            <w:r>
              <w:rPr>
                <w:rFonts w:hint="eastAsia" w:ascii="宋体" w:hAnsi="宋体" w:eastAsia="宋体" w:cs="宋体"/>
                <w:color w:val="auto"/>
                <w:sz w:val="24"/>
                <w:szCs w:val="24"/>
                <w:highlight w:val="none"/>
                <w:lang w:val="en-US" w:eastAsia="zh-CN"/>
              </w:rPr>
              <w:t>规划</w:t>
            </w:r>
            <w:r>
              <w:rPr>
                <w:rFonts w:hint="eastAsia" w:ascii="宋体" w:hAnsi="宋体" w:cs="宋体"/>
                <w:color w:val="auto"/>
                <w:sz w:val="24"/>
                <w:szCs w:val="24"/>
                <w:highlight w:val="none"/>
                <w:lang w:val="en-US" w:eastAsia="zh-CN"/>
              </w:rPr>
              <w:t>方案</w:t>
            </w:r>
            <w:r>
              <w:rPr>
                <w:rFonts w:hint="eastAsia" w:ascii="宋体" w:hAnsi="宋体" w:cs="宋体"/>
                <w:color w:val="auto"/>
                <w:sz w:val="24"/>
                <w:szCs w:val="24"/>
                <w:highlight w:val="none"/>
              </w:rPr>
              <w:t>合理、可行</w:t>
            </w:r>
            <w:r>
              <w:rPr>
                <w:rFonts w:hint="eastAsia" w:ascii="宋体" w:hAnsi="宋体" w:cs="宋体"/>
                <w:color w:val="auto"/>
                <w:sz w:val="24"/>
                <w:szCs w:val="24"/>
                <w:highlight w:val="none"/>
                <w:lang w:val="en-US" w:eastAsia="zh-CN"/>
              </w:rPr>
              <w:t>得10分；</w:t>
            </w:r>
          </w:p>
          <w:p w14:paraId="158293EB">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②根据工程特点和各种影响因素，以方便、合理、经济、施工总体要求和适合施工需要为原则，进行施工区域划分和施工现场总体布置，</w:t>
            </w:r>
            <w:r>
              <w:rPr>
                <w:rFonts w:hint="eastAsia" w:ascii="宋体" w:hAnsi="宋体" w:eastAsia="宋体" w:cs="宋体"/>
                <w:color w:val="auto"/>
                <w:sz w:val="24"/>
                <w:szCs w:val="24"/>
                <w:highlight w:val="none"/>
                <w:lang w:eastAsia="zh-CN"/>
              </w:rPr>
              <w:t>总体</w:t>
            </w:r>
            <w:r>
              <w:rPr>
                <w:rFonts w:hint="eastAsia" w:ascii="宋体" w:hAnsi="宋体" w:eastAsia="宋体" w:cs="宋体"/>
                <w:color w:val="auto"/>
                <w:sz w:val="24"/>
                <w:szCs w:val="24"/>
                <w:highlight w:val="none"/>
                <w:lang w:val="en-US" w:eastAsia="zh-CN"/>
              </w:rPr>
              <w:t>规划</w:t>
            </w:r>
            <w:r>
              <w:rPr>
                <w:rFonts w:hint="eastAsia" w:ascii="宋体" w:hAnsi="宋体" w:cs="宋体"/>
                <w:color w:val="auto"/>
                <w:sz w:val="24"/>
                <w:szCs w:val="24"/>
                <w:highlight w:val="none"/>
              </w:rPr>
              <w:t>方案</w:t>
            </w:r>
            <w:r>
              <w:rPr>
                <w:rFonts w:hint="eastAsia" w:ascii="宋体" w:hAnsi="宋体" w:cs="宋体"/>
                <w:color w:val="auto"/>
                <w:sz w:val="24"/>
                <w:szCs w:val="24"/>
                <w:highlight w:val="none"/>
                <w:lang w:val="en-US" w:eastAsia="zh-CN"/>
              </w:rPr>
              <w:t>能够满足施工需求的得8分；</w:t>
            </w:r>
          </w:p>
          <w:p w14:paraId="18AB4C7E">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③</w:t>
            </w:r>
            <w:r>
              <w:rPr>
                <w:rFonts w:hint="eastAsia" w:ascii="宋体" w:hAnsi="宋体" w:cs="宋体"/>
                <w:color w:val="auto"/>
                <w:sz w:val="24"/>
                <w:szCs w:val="24"/>
                <w:highlight w:val="none"/>
                <w:lang w:val="en-US" w:eastAsia="zh-CN"/>
              </w:rPr>
              <w:t>方案清晰，</w:t>
            </w:r>
            <w:r>
              <w:rPr>
                <w:rFonts w:hint="eastAsia" w:ascii="宋体" w:hAnsi="宋体" w:cs="宋体"/>
                <w:color w:val="auto"/>
                <w:sz w:val="24"/>
                <w:szCs w:val="24"/>
                <w:highlight w:val="none"/>
              </w:rPr>
              <w:t>但缺项或关键点缺失</w:t>
            </w:r>
            <w:r>
              <w:rPr>
                <w:rFonts w:hint="eastAsia" w:ascii="宋体" w:hAnsi="宋体" w:cs="宋体"/>
                <w:color w:val="auto"/>
                <w:sz w:val="24"/>
                <w:szCs w:val="24"/>
                <w:highlight w:val="none"/>
                <w:lang w:val="en-US" w:eastAsia="zh-CN"/>
              </w:rPr>
              <w:t>或</w:t>
            </w:r>
            <w:r>
              <w:rPr>
                <w:rFonts w:hint="eastAsia" w:ascii="宋体" w:hAnsi="宋体" w:cs="宋体"/>
                <w:color w:val="auto"/>
                <w:sz w:val="24"/>
                <w:szCs w:val="24"/>
                <w:highlight w:val="none"/>
              </w:rPr>
              <w:t>出现非专门针对本项目特性内容的得</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分；</w:t>
            </w:r>
          </w:p>
          <w:p w14:paraId="481D4ED3">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cs="宋体"/>
                <w:b/>
                <w:color w:val="auto"/>
                <w:szCs w:val="21"/>
                <w:highlight w:val="none"/>
              </w:rPr>
            </w:pPr>
            <w:r>
              <w:rPr>
                <w:rFonts w:hint="eastAsia" w:ascii="宋体" w:hAnsi="宋体" w:cs="宋体"/>
                <w:color w:val="auto"/>
                <w:sz w:val="24"/>
                <w:szCs w:val="24"/>
                <w:highlight w:val="none"/>
                <w:lang w:val="en-US" w:eastAsia="zh-CN"/>
              </w:rPr>
              <w:t>④方案不能满足项目实施要求或未提供的不得分。</w:t>
            </w:r>
          </w:p>
        </w:tc>
      </w:tr>
      <w:tr w14:paraId="00CC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43" w:type="dxa"/>
            <w:vMerge w:val="continue"/>
            <w:noWrap w:val="0"/>
            <w:vAlign w:val="center"/>
          </w:tcPr>
          <w:p w14:paraId="55EC0394">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1227" w:type="dxa"/>
            <w:noWrap w:val="0"/>
            <w:vAlign w:val="center"/>
          </w:tcPr>
          <w:p w14:paraId="37E3DAC3">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ascii="宋体" w:hAnsi="宋体" w:cs="宋体"/>
                <w:b/>
                <w:color w:val="auto"/>
                <w:szCs w:val="21"/>
                <w:highlight w:val="none"/>
              </w:rPr>
            </w:pPr>
            <w:r>
              <w:rPr>
                <w:rFonts w:hint="eastAsia" w:ascii="宋体" w:hAnsi="宋体" w:cs="宋体"/>
                <w:color w:val="auto"/>
                <w:sz w:val="24"/>
                <w:szCs w:val="24"/>
                <w:highlight w:val="none"/>
              </w:rPr>
              <w:t>主要施工</w:t>
            </w:r>
            <w:r>
              <w:rPr>
                <w:rFonts w:hint="eastAsia" w:ascii="宋体" w:hAnsi="宋体" w:cs="宋体"/>
                <w:color w:val="auto"/>
                <w:sz w:val="24"/>
                <w:szCs w:val="24"/>
                <w:highlight w:val="none"/>
                <w:lang w:val="en-US" w:eastAsia="zh-CN"/>
              </w:rPr>
              <w:t>方案</w:t>
            </w:r>
            <w:r>
              <w:rPr>
                <w:rFonts w:hint="eastAsia" w:ascii="宋体" w:hAnsi="宋体" w:cs="宋体"/>
                <w:color w:val="auto"/>
                <w:sz w:val="24"/>
                <w:szCs w:val="24"/>
                <w:highlight w:val="none"/>
                <w:lang w:eastAsia="zh-CN"/>
              </w:rPr>
              <w:t>（</w:t>
            </w:r>
            <w:r>
              <w:rPr>
                <w:rFonts w:hint="eastAsia" w:ascii="宋体" w:hAnsi="宋体"/>
                <w:color w:val="auto"/>
                <w:sz w:val="24"/>
                <w:szCs w:val="24"/>
                <w:highlight w:val="none"/>
                <w:lang w:val="en-US" w:eastAsia="zh-CN"/>
              </w:rPr>
              <w:t>10分</w:t>
            </w:r>
            <w:r>
              <w:rPr>
                <w:rFonts w:hint="eastAsia" w:ascii="宋体" w:hAnsi="宋体" w:cs="宋体"/>
                <w:color w:val="auto"/>
                <w:sz w:val="24"/>
                <w:szCs w:val="24"/>
                <w:highlight w:val="none"/>
                <w:lang w:eastAsia="zh-CN"/>
              </w:rPr>
              <w:t>）</w:t>
            </w:r>
          </w:p>
        </w:tc>
        <w:tc>
          <w:tcPr>
            <w:tcW w:w="7530" w:type="dxa"/>
            <w:noWrap w:val="0"/>
            <w:vAlign w:val="center"/>
          </w:tcPr>
          <w:p w14:paraId="4FB665D0">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①各主要分部施工</w:t>
            </w:r>
            <w:r>
              <w:rPr>
                <w:rFonts w:hint="eastAsia" w:ascii="宋体" w:hAnsi="宋体" w:cs="宋体"/>
                <w:color w:val="auto"/>
                <w:sz w:val="24"/>
                <w:szCs w:val="24"/>
                <w:highlight w:val="none"/>
                <w:lang w:val="en-US" w:eastAsia="zh-CN"/>
              </w:rPr>
              <w:t>方案贴合项目实际</w:t>
            </w:r>
            <w:r>
              <w:rPr>
                <w:rFonts w:hint="eastAsia" w:ascii="宋体" w:hAnsi="宋体" w:cs="宋体"/>
                <w:color w:val="auto"/>
                <w:sz w:val="24"/>
                <w:szCs w:val="24"/>
                <w:highlight w:val="none"/>
              </w:rPr>
              <w:t>，施工技术方案</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方法</w:t>
            </w:r>
            <w:r>
              <w:rPr>
                <w:rFonts w:hint="eastAsia" w:ascii="宋体" w:hAnsi="宋体" w:cs="宋体"/>
                <w:color w:val="auto"/>
                <w:sz w:val="24"/>
                <w:szCs w:val="24"/>
                <w:highlight w:val="none"/>
              </w:rPr>
              <w:t>详尽</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结合目前先进</w:t>
            </w:r>
            <w:r>
              <w:rPr>
                <w:rFonts w:hint="eastAsia" w:ascii="宋体" w:hAnsi="宋体" w:cs="宋体"/>
                <w:color w:val="auto"/>
                <w:sz w:val="24"/>
                <w:szCs w:val="24"/>
                <w:highlight w:val="none"/>
              </w:rPr>
              <w:t>工艺、</w:t>
            </w:r>
            <w:r>
              <w:rPr>
                <w:rFonts w:hint="eastAsia" w:ascii="宋体" w:hAnsi="宋体" w:cs="宋体"/>
                <w:color w:val="auto"/>
                <w:sz w:val="24"/>
                <w:szCs w:val="24"/>
                <w:highlight w:val="none"/>
                <w:lang w:val="en-US" w:eastAsia="zh-CN"/>
              </w:rPr>
              <w:t>施工实施</w:t>
            </w:r>
            <w:r>
              <w:rPr>
                <w:rFonts w:hint="eastAsia" w:ascii="宋体" w:hAnsi="宋体" w:cs="宋体"/>
                <w:color w:val="auto"/>
                <w:sz w:val="24"/>
                <w:szCs w:val="24"/>
                <w:highlight w:val="none"/>
              </w:rPr>
              <w:t>方法</w:t>
            </w:r>
            <w:r>
              <w:rPr>
                <w:rFonts w:hint="eastAsia" w:cs="宋体"/>
                <w:color w:val="auto"/>
                <w:sz w:val="24"/>
                <w:szCs w:val="24"/>
                <w:highlight w:val="none"/>
                <w:lang w:val="en-US" w:eastAsia="zh-CN"/>
              </w:rPr>
              <w:t>有针对性</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施工方案高质高效</w:t>
            </w:r>
            <w:r>
              <w:rPr>
                <w:rFonts w:hint="eastAsia" w:ascii="宋体" w:hAnsi="宋体" w:cs="宋体"/>
                <w:color w:val="auto"/>
                <w:sz w:val="24"/>
                <w:szCs w:val="24"/>
                <w:highlight w:val="none"/>
              </w:rPr>
              <w:t>并确保安全</w:t>
            </w:r>
            <w:r>
              <w:rPr>
                <w:rFonts w:hint="eastAsia" w:ascii="宋体" w:hAnsi="宋体" w:cs="宋体"/>
                <w:color w:val="auto"/>
                <w:sz w:val="24"/>
                <w:szCs w:val="24"/>
                <w:highlight w:val="none"/>
                <w:lang w:val="en-US" w:eastAsia="zh-CN"/>
              </w:rPr>
              <w:t>得10分；</w:t>
            </w:r>
          </w:p>
          <w:p w14:paraId="1AA0F46B">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②各主要分部施工</w:t>
            </w:r>
            <w:r>
              <w:rPr>
                <w:rFonts w:hint="eastAsia" w:ascii="宋体" w:hAnsi="宋体" w:cs="宋体"/>
                <w:color w:val="auto"/>
                <w:sz w:val="24"/>
                <w:szCs w:val="24"/>
                <w:highlight w:val="none"/>
                <w:lang w:val="en-US" w:eastAsia="zh-CN"/>
              </w:rPr>
              <w:t>方案</w:t>
            </w:r>
            <w:r>
              <w:rPr>
                <w:rFonts w:hint="eastAsia" w:ascii="宋体" w:hAnsi="宋体" w:cs="宋体"/>
                <w:color w:val="auto"/>
                <w:sz w:val="24"/>
                <w:szCs w:val="24"/>
                <w:highlight w:val="none"/>
              </w:rPr>
              <w:t>符合项目实际，施工技术方案</w:t>
            </w:r>
            <w:r>
              <w:rPr>
                <w:rFonts w:hint="eastAsia" w:ascii="宋体" w:hAnsi="宋体" w:cs="宋体"/>
                <w:color w:val="auto"/>
                <w:sz w:val="24"/>
                <w:szCs w:val="24"/>
                <w:highlight w:val="none"/>
                <w:lang w:val="en-US" w:eastAsia="zh-CN"/>
              </w:rPr>
              <w:t>完整</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对项目实施流程有相关把控，施工方案中的</w:t>
            </w:r>
            <w:r>
              <w:rPr>
                <w:rFonts w:hint="eastAsia" w:ascii="宋体" w:hAnsi="宋体" w:cs="宋体"/>
                <w:color w:val="auto"/>
                <w:sz w:val="24"/>
                <w:szCs w:val="24"/>
                <w:highlight w:val="none"/>
              </w:rPr>
              <w:t>工艺</w:t>
            </w:r>
            <w:r>
              <w:rPr>
                <w:rFonts w:hint="eastAsia" w:ascii="宋体" w:hAnsi="宋体" w:cs="宋体"/>
                <w:color w:val="auto"/>
                <w:sz w:val="24"/>
                <w:szCs w:val="24"/>
                <w:highlight w:val="none"/>
                <w:lang w:val="en-US" w:eastAsia="zh-CN"/>
              </w:rPr>
              <w:t>符合施工需求得8分；</w:t>
            </w:r>
          </w:p>
          <w:p w14:paraId="68E54A68">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③各主要分部施工</w:t>
            </w:r>
            <w:r>
              <w:rPr>
                <w:rFonts w:hint="eastAsia" w:ascii="宋体" w:hAnsi="宋体" w:cs="宋体"/>
                <w:color w:val="auto"/>
                <w:sz w:val="24"/>
                <w:szCs w:val="24"/>
                <w:highlight w:val="none"/>
                <w:lang w:val="en-US" w:eastAsia="zh-CN"/>
              </w:rPr>
              <w:t>方案清晰，但</w:t>
            </w:r>
            <w:r>
              <w:rPr>
                <w:rFonts w:hint="eastAsia" w:ascii="宋体" w:hAnsi="宋体" w:cs="宋体"/>
                <w:color w:val="auto"/>
                <w:sz w:val="24"/>
                <w:szCs w:val="24"/>
                <w:highlight w:val="none"/>
              </w:rPr>
              <w:t>施工技术方案</w:t>
            </w:r>
            <w:r>
              <w:rPr>
                <w:rFonts w:hint="eastAsia" w:ascii="宋体" w:hAnsi="宋体" w:cs="宋体"/>
                <w:color w:val="auto"/>
                <w:sz w:val="24"/>
                <w:szCs w:val="24"/>
                <w:highlight w:val="none"/>
                <w:lang w:val="en-US" w:eastAsia="zh-CN"/>
              </w:rPr>
              <w:t>中的实施步骤混乱欠缺或出现非专门针对本项目特性内容</w:t>
            </w:r>
            <w:r>
              <w:rPr>
                <w:rFonts w:hint="eastAsia" w:ascii="宋体" w:hAnsi="宋体" w:cs="宋体"/>
                <w:color w:val="auto"/>
                <w:sz w:val="24"/>
                <w:szCs w:val="24"/>
                <w:highlight w:val="none"/>
              </w:rPr>
              <w:t>，工艺</w:t>
            </w:r>
            <w:r>
              <w:rPr>
                <w:rFonts w:hint="eastAsia" w:ascii="宋体" w:hAnsi="宋体" w:cs="宋体"/>
                <w:color w:val="auto"/>
                <w:sz w:val="24"/>
                <w:szCs w:val="24"/>
                <w:highlight w:val="none"/>
                <w:lang w:val="en-US" w:eastAsia="zh-CN"/>
              </w:rPr>
              <w:t>描述较为落后得6分；</w:t>
            </w:r>
          </w:p>
          <w:p w14:paraId="60FF7525">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default" w:ascii="宋体" w:hAnsi="宋体" w:eastAsia="宋体" w:cs="Times New Roman"/>
                <w:color w:val="auto"/>
                <w:kern w:val="2"/>
                <w:sz w:val="21"/>
                <w:szCs w:val="21"/>
                <w:highlight w:val="none"/>
                <w:lang w:val="en-US" w:eastAsia="zh-CN" w:bidi="ar-SA"/>
              </w:rPr>
            </w:pPr>
            <w:r>
              <w:rPr>
                <w:rFonts w:hint="eastAsia" w:ascii="宋体" w:hAnsi="宋体" w:cs="宋体"/>
                <w:color w:val="auto"/>
                <w:sz w:val="24"/>
                <w:szCs w:val="24"/>
                <w:highlight w:val="none"/>
                <w:lang w:val="en-US" w:eastAsia="zh-CN"/>
              </w:rPr>
              <w:t>④方案不能满足项目实施要求或未提供的不得分。</w:t>
            </w:r>
          </w:p>
        </w:tc>
      </w:tr>
      <w:tr w14:paraId="5C06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43" w:type="dxa"/>
            <w:vMerge w:val="continue"/>
            <w:noWrap w:val="0"/>
            <w:vAlign w:val="center"/>
          </w:tcPr>
          <w:p w14:paraId="1A3236B5">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1227" w:type="dxa"/>
            <w:noWrap w:val="0"/>
            <w:vAlign w:val="center"/>
          </w:tcPr>
          <w:p w14:paraId="07A7A0AA">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ascii="宋体" w:hAnsi="宋体" w:cs="宋体"/>
                <w:b/>
                <w:color w:val="auto"/>
                <w:szCs w:val="21"/>
                <w:highlight w:val="none"/>
              </w:rPr>
            </w:pPr>
            <w:r>
              <w:rPr>
                <w:rFonts w:hint="eastAsia" w:ascii="宋体" w:hAnsi="宋体" w:cs="宋体"/>
                <w:color w:val="auto"/>
                <w:sz w:val="24"/>
                <w:szCs w:val="24"/>
                <w:highlight w:val="none"/>
              </w:rPr>
              <w:t>拟投入的主要施工机械、设备计划</w:t>
            </w:r>
            <w:r>
              <w:rPr>
                <w:rFonts w:hint="eastAsia" w:ascii="宋体" w:hAnsi="宋体" w:cs="宋体"/>
                <w:color w:val="auto"/>
                <w:sz w:val="24"/>
                <w:szCs w:val="24"/>
                <w:highlight w:val="none"/>
                <w:lang w:eastAsia="zh-CN"/>
              </w:rPr>
              <w:t>（</w:t>
            </w:r>
            <w:r>
              <w:rPr>
                <w:rFonts w:hint="eastAsia" w:ascii="宋体" w:hAnsi="宋体"/>
                <w:color w:val="auto"/>
                <w:sz w:val="24"/>
                <w:szCs w:val="24"/>
                <w:highlight w:val="none"/>
                <w:lang w:val="en-US" w:eastAsia="zh-CN"/>
              </w:rPr>
              <w:t>10分</w:t>
            </w:r>
            <w:r>
              <w:rPr>
                <w:rFonts w:hint="eastAsia" w:ascii="宋体" w:hAnsi="宋体" w:cs="宋体"/>
                <w:color w:val="auto"/>
                <w:sz w:val="24"/>
                <w:szCs w:val="24"/>
                <w:highlight w:val="none"/>
                <w:lang w:eastAsia="zh-CN"/>
              </w:rPr>
              <w:t>）</w:t>
            </w:r>
          </w:p>
        </w:tc>
        <w:tc>
          <w:tcPr>
            <w:tcW w:w="7530" w:type="dxa"/>
            <w:noWrap w:val="0"/>
            <w:vAlign w:val="center"/>
          </w:tcPr>
          <w:p w14:paraId="51439B5F">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①投入的施工机械、设备、机具有详细计划且计划周密，设备数量、选型配置、进场数量、时间合理、满足施工需要</w:t>
            </w:r>
            <w:r>
              <w:rPr>
                <w:rFonts w:hint="eastAsia" w:ascii="宋体" w:hAnsi="宋体" w:cs="宋体"/>
                <w:color w:val="auto"/>
                <w:sz w:val="24"/>
                <w:szCs w:val="24"/>
                <w:highlight w:val="none"/>
                <w:lang w:val="en-US" w:eastAsia="zh-CN"/>
              </w:rPr>
              <w:t>得10分；</w:t>
            </w:r>
          </w:p>
          <w:p w14:paraId="17ED573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②投入的施工机械、设备、机具有计划且计划</w:t>
            </w:r>
            <w:r>
              <w:rPr>
                <w:rFonts w:hint="eastAsia" w:ascii="宋体" w:hAnsi="宋体" w:cs="宋体"/>
                <w:color w:val="auto"/>
                <w:sz w:val="24"/>
                <w:szCs w:val="24"/>
                <w:highlight w:val="none"/>
                <w:lang w:val="en-US" w:eastAsia="zh-CN"/>
              </w:rPr>
              <w:t>完整</w:t>
            </w:r>
            <w:r>
              <w:rPr>
                <w:rFonts w:hint="eastAsia" w:ascii="宋体" w:hAnsi="宋体" w:cs="宋体"/>
                <w:color w:val="auto"/>
                <w:sz w:val="24"/>
                <w:szCs w:val="24"/>
                <w:highlight w:val="none"/>
              </w:rPr>
              <w:t>，设备数量、选型配置、进场数量、时间合理</w:t>
            </w:r>
            <w:r>
              <w:rPr>
                <w:rFonts w:hint="eastAsia" w:ascii="宋体" w:hAnsi="宋体" w:cs="宋体"/>
                <w:color w:val="auto"/>
                <w:sz w:val="24"/>
                <w:szCs w:val="24"/>
                <w:highlight w:val="none"/>
                <w:lang w:val="en-US" w:eastAsia="zh-CN"/>
              </w:rPr>
              <w:t>得8分；</w:t>
            </w:r>
          </w:p>
          <w:p w14:paraId="2FB6AD1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③</w:t>
            </w:r>
            <w:r>
              <w:rPr>
                <w:rFonts w:hint="eastAsia" w:ascii="宋体" w:hAnsi="宋体" w:cs="宋体"/>
                <w:color w:val="auto"/>
                <w:sz w:val="24"/>
                <w:szCs w:val="24"/>
                <w:highlight w:val="none"/>
                <w:lang w:val="en-US" w:eastAsia="zh-CN"/>
              </w:rPr>
              <w:t>投入的施工机械、设备、机具设备描述不清、缺项，</w:t>
            </w:r>
            <w:r>
              <w:rPr>
                <w:rFonts w:hint="eastAsia" w:ascii="宋体" w:hAnsi="宋体" w:cs="宋体"/>
                <w:color w:val="auto"/>
                <w:sz w:val="24"/>
                <w:szCs w:val="24"/>
                <w:highlight w:val="none"/>
              </w:rPr>
              <w:t>选型配置、进场数量、时间</w:t>
            </w:r>
            <w:r>
              <w:rPr>
                <w:rFonts w:hint="eastAsia" w:ascii="宋体" w:hAnsi="宋体" w:cs="宋体"/>
                <w:color w:val="auto"/>
                <w:sz w:val="24"/>
                <w:szCs w:val="24"/>
                <w:highlight w:val="none"/>
                <w:lang w:val="en-US" w:eastAsia="zh-CN"/>
              </w:rPr>
              <w:t>、关键点混乱欠缺</w:t>
            </w:r>
            <w:r>
              <w:rPr>
                <w:rFonts w:hint="eastAsia" w:cs="宋体"/>
                <w:color w:val="auto"/>
                <w:sz w:val="24"/>
                <w:szCs w:val="24"/>
                <w:highlight w:val="none"/>
                <w:lang w:val="en-US" w:eastAsia="zh-CN"/>
              </w:rPr>
              <w:t>的</w:t>
            </w:r>
            <w:r>
              <w:rPr>
                <w:rFonts w:hint="eastAsia" w:ascii="宋体" w:hAnsi="宋体" w:cs="宋体"/>
                <w:color w:val="auto"/>
                <w:sz w:val="24"/>
                <w:szCs w:val="24"/>
                <w:highlight w:val="none"/>
                <w:lang w:val="en-US" w:eastAsia="zh-CN"/>
              </w:rPr>
              <w:t>得6分。</w:t>
            </w:r>
          </w:p>
          <w:p w14:paraId="325EE018">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default" w:ascii="宋体" w:hAnsi="宋体" w:eastAsia="宋体" w:cs="Times New Roman"/>
                <w:color w:val="auto"/>
                <w:kern w:val="2"/>
                <w:sz w:val="21"/>
                <w:szCs w:val="21"/>
                <w:highlight w:val="none"/>
                <w:lang w:val="en-US" w:eastAsia="zh-CN" w:bidi="ar-SA"/>
              </w:rPr>
            </w:pPr>
            <w:r>
              <w:rPr>
                <w:rFonts w:hint="eastAsia" w:ascii="宋体" w:hAnsi="宋体" w:cs="宋体"/>
                <w:color w:val="auto"/>
                <w:sz w:val="24"/>
                <w:szCs w:val="24"/>
                <w:highlight w:val="none"/>
                <w:lang w:val="en-US" w:eastAsia="zh-CN"/>
              </w:rPr>
              <w:t>④不能满足项目实施要求或未提供的不得分。</w:t>
            </w:r>
          </w:p>
        </w:tc>
      </w:tr>
      <w:tr w14:paraId="7225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43" w:type="dxa"/>
            <w:vMerge w:val="continue"/>
            <w:noWrap w:val="0"/>
            <w:vAlign w:val="center"/>
          </w:tcPr>
          <w:p w14:paraId="20DF8DA5">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1227" w:type="dxa"/>
            <w:noWrap w:val="0"/>
            <w:vAlign w:val="center"/>
          </w:tcPr>
          <w:p w14:paraId="61ED6455">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ascii="宋体" w:hAnsi="宋体" w:cs="宋体"/>
                <w:b/>
                <w:color w:val="auto"/>
                <w:szCs w:val="21"/>
                <w:highlight w:val="none"/>
              </w:rPr>
            </w:pPr>
            <w:r>
              <w:rPr>
                <w:rFonts w:hint="eastAsia" w:ascii="宋体" w:hAnsi="宋体" w:cs="宋体"/>
                <w:color w:val="auto"/>
                <w:sz w:val="24"/>
                <w:szCs w:val="24"/>
                <w:highlight w:val="none"/>
                <w:lang w:val="en-US" w:eastAsia="zh-CN"/>
              </w:rPr>
              <w:t>质量保证措施</w:t>
            </w:r>
            <w:r>
              <w:rPr>
                <w:rFonts w:hint="eastAsia" w:ascii="宋体" w:hAnsi="宋体" w:cs="宋体"/>
                <w:color w:val="auto"/>
                <w:sz w:val="24"/>
                <w:szCs w:val="24"/>
                <w:highlight w:val="none"/>
                <w:lang w:eastAsia="zh-CN"/>
              </w:rPr>
              <w:t>（</w:t>
            </w:r>
            <w:r>
              <w:rPr>
                <w:rFonts w:hint="eastAsia" w:ascii="宋体" w:hAnsi="宋体"/>
                <w:color w:val="auto"/>
                <w:sz w:val="24"/>
                <w:szCs w:val="24"/>
                <w:highlight w:val="none"/>
                <w:lang w:val="en-US" w:eastAsia="zh-CN"/>
              </w:rPr>
              <w:t>10分</w:t>
            </w:r>
            <w:r>
              <w:rPr>
                <w:rFonts w:hint="eastAsia" w:ascii="宋体" w:hAnsi="宋体" w:cs="宋体"/>
                <w:color w:val="auto"/>
                <w:sz w:val="24"/>
                <w:szCs w:val="24"/>
                <w:highlight w:val="none"/>
                <w:lang w:eastAsia="zh-CN"/>
              </w:rPr>
              <w:t>）</w:t>
            </w:r>
          </w:p>
        </w:tc>
        <w:tc>
          <w:tcPr>
            <w:tcW w:w="7530" w:type="dxa"/>
            <w:noWrap w:val="0"/>
            <w:vAlign w:val="center"/>
          </w:tcPr>
          <w:p w14:paraId="4BB940B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①施工项目应有专门的质量技术管理班子和制度，且人员配备合理，制度健全，主要工序应有质量技术保证措施和手段，自控体系完整，能有效的保证技术质量，达到承诺的质量标准</w:t>
            </w:r>
            <w:r>
              <w:rPr>
                <w:rFonts w:hint="eastAsia" w:ascii="宋体" w:hAnsi="宋体" w:cs="宋体"/>
                <w:color w:val="auto"/>
                <w:sz w:val="24"/>
                <w:szCs w:val="24"/>
                <w:highlight w:val="none"/>
                <w:lang w:val="en-US" w:eastAsia="zh-CN"/>
              </w:rPr>
              <w:t>的能满足施工需要得10分；</w:t>
            </w:r>
          </w:p>
          <w:p w14:paraId="697F3C5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②施工项目</w:t>
            </w:r>
            <w:r>
              <w:rPr>
                <w:rFonts w:hint="eastAsia" w:ascii="宋体" w:hAnsi="宋体" w:cs="宋体"/>
                <w:color w:val="auto"/>
                <w:sz w:val="24"/>
                <w:szCs w:val="24"/>
                <w:highlight w:val="none"/>
                <w:lang w:val="en-US" w:eastAsia="zh-CN"/>
              </w:rPr>
              <w:t>有</w:t>
            </w:r>
            <w:r>
              <w:rPr>
                <w:rFonts w:hint="eastAsia" w:ascii="宋体" w:hAnsi="宋体" w:cs="宋体"/>
                <w:color w:val="auto"/>
                <w:sz w:val="24"/>
                <w:szCs w:val="24"/>
                <w:highlight w:val="none"/>
              </w:rPr>
              <w:t>专门的质量技术管理班子和制度，主要工序应有质量技术保证措施和手段，自控体系完整，能</w:t>
            </w:r>
            <w:r>
              <w:rPr>
                <w:rFonts w:hint="eastAsia" w:ascii="宋体" w:hAnsi="宋体" w:cs="宋体"/>
                <w:color w:val="auto"/>
                <w:sz w:val="24"/>
                <w:szCs w:val="24"/>
                <w:highlight w:val="none"/>
                <w:lang w:val="en-US" w:eastAsia="zh-CN"/>
              </w:rPr>
              <w:t>够</w:t>
            </w:r>
            <w:r>
              <w:rPr>
                <w:rFonts w:hint="eastAsia" w:ascii="宋体" w:hAnsi="宋体" w:cs="宋体"/>
                <w:color w:val="auto"/>
                <w:sz w:val="24"/>
                <w:szCs w:val="24"/>
                <w:highlight w:val="none"/>
              </w:rPr>
              <w:t>保证技术质量，达到承诺的质量标准</w:t>
            </w:r>
            <w:r>
              <w:rPr>
                <w:rFonts w:hint="eastAsia" w:ascii="宋体" w:hAnsi="宋体" w:cs="宋体"/>
                <w:color w:val="auto"/>
                <w:sz w:val="24"/>
                <w:szCs w:val="24"/>
                <w:highlight w:val="none"/>
                <w:lang w:val="en-US" w:eastAsia="zh-CN"/>
              </w:rPr>
              <w:t>得8分；</w:t>
            </w:r>
          </w:p>
          <w:p w14:paraId="613DD43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③施工项目</w:t>
            </w:r>
            <w:r>
              <w:rPr>
                <w:rFonts w:hint="eastAsia" w:ascii="宋体" w:hAnsi="宋体" w:cs="宋体"/>
                <w:color w:val="auto"/>
                <w:sz w:val="24"/>
                <w:szCs w:val="24"/>
                <w:highlight w:val="none"/>
                <w:lang w:val="en-US" w:eastAsia="zh-CN"/>
              </w:rPr>
              <w:t>有</w:t>
            </w:r>
            <w:r>
              <w:rPr>
                <w:rFonts w:hint="eastAsia" w:ascii="宋体" w:hAnsi="宋体" w:cs="宋体"/>
                <w:color w:val="auto"/>
                <w:sz w:val="24"/>
                <w:szCs w:val="24"/>
                <w:highlight w:val="none"/>
              </w:rPr>
              <w:t>专门的质量技术管理班子和制度，</w:t>
            </w:r>
            <w:r>
              <w:rPr>
                <w:rFonts w:hint="eastAsia" w:ascii="宋体" w:hAnsi="宋体" w:cs="宋体"/>
                <w:color w:val="auto"/>
                <w:sz w:val="24"/>
                <w:szCs w:val="24"/>
                <w:highlight w:val="none"/>
                <w:lang w:val="en-US" w:eastAsia="zh-CN"/>
              </w:rPr>
              <w:t>有</w:t>
            </w:r>
            <w:r>
              <w:rPr>
                <w:rFonts w:hint="eastAsia" w:ascii="宋体" w:hAnsi="宋体" w:cs="宋体"/>
                <w:color w:val="auto"/>
                <w:sz w:val="24"/>
                <w:szCs w:val="24"/>
                <w:highlight w:val="none"/>
              </w:rPr>
              <w:t>人员配备，</w:t>
            </w:r>
            <w:r>
              <w:rPr>
                <w:rFonts w:hint="eastAsia" w:ascii="宋体" w:hAnsi="宋体" w:cs="宋体"/>
                <w:color w:val="auto"/>
                <w:sz w:val="24"/>
                <w:szCs w:val="24"/>
                <w:highlight w:val="none"/>
                <w:lang w:val="en-US" w:eastAsia="zh-CN"/>
              </w:rPr>
              <w:t>有</w:t>
            </w:r>
            <w:r>
              <w:rPr>
                <w:rFonts w:hint="eastAsia" w:ascii="宋体" w:hAnsi="宋体" w:cs="宋体"/>
                <w:color w:val="auto"/>
                <w:sz w:val="24"/>
                <w:szCs w:val="24"/>
                <w:highlight w:val="none"/>
              </w:rPr>
              <w:t>制度，</w:t>
            </w:r>
            <w:r>
              <w:rPr>
                <w:rFonts w:hint="eastAsia" w:ascii="宋体" w:hAnsi="宋体" w:cs="宋体"/>
                <w:color w:val="auto"/>
                <w:sz w:val="24"/>
                <w:szCs w:val="24"/>
                <w:highlight w:val="none"/>
                <w:lang w:val="en-US" w:eastAsia="zh-CN"/>
              </w:rPr>
              <w:t>但缺项或关键点缺失、出现非专门针对本项目特性内容的得6分；</w:t>
            </w:r>
          </w:p>
          <w:p w14:paraId="1CB6D4F9">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default" w:ascii="宋体" w:hAnsi="宋体" w:eastAsia="宋体" w:cs="Times New Roman"/>
                <w:color w:val="auto"/>
                <w:kern w:val="2"/>
                <w:sz w:val="21"/>
                <w:szCs w:val="21"/>
                <w:highlight w:val="none"/>
                <w:lang w:val="en-US" w:eastAsia="zh-CN" w:bidi="ar-SA"/>
              </w:rPr>
            </w:pPr>
            <w:r>
              <w:rPr>
                <w:rFonts w:hint="eastAsia" w:ascii="宋体" w:hAnsi="宋体" w:cs="宋体"/>
                <w:color w:val="auto"/>
                <w:sz w:val="24"/>
                <w:szCs w:val="24"/>
                <w:highlight w:val="none"/>
                <w:lang w:val="en-US" w:eastAsia="zh-CN"/>
              </w:rPr>
              <w:t>④不能满足项目实施要求或未提供的不得分。</w:t>
            </w:r>
          </w:p>
        </w:tc>
      </w:tr>
      <w:tr w14:paraId="249A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43" w:type="dxa"/>
            <w:vMerge w:val="continue"/>
            <w:noWrap w:val="0"/>
            <w:vAlign w:val="center"/>
          </w:tcPr>
          <w:p w14:paraId="43C132D2">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cs="宋体"/>
                <w:bCs/>
                <w:color w:val="auto"/>
                <w:kern w:val="2"/>
                <w:sz w:val="21"/>
                <w:szCs w:val="21"/>
                <w:highlight w:val="none"/>
                <w:lang w:val="en-US" w:eastAsia="zh-CN" w:bidi="ar-SA"/>
              </w:rPr>
            </w:pPr>
          </w:p>
        </w:tc>
        <w:tc>
          <w:tcPr>
            <w:tcW w:w="1227" w:type="dxa"/>
            <w:noWrap w:val="0"/>
            <w:vAlign w:val="center"/>
          </w:tcPr>
          <w:p w14:paraId="075EE24F">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ascii="宋体" w:hAnsi="宋体" w:cs="宋体"/>
                <w:b/>
                <w:color w:val="auto"/>
                <w:szCs w:val="21"/>
                <w:highlight w:val="none"/>
              </w:rPr>
            </w:pPr>
            <w:r>
              <w:rPr>
                <w:rFonts w:hint="eastAsia" w:ascii="宋体" w:hAnsi="宋体" w:cs="宋体"/>
                <w:color w:val="auto"/>
                <w:sz w:val="24"/>
                <w:szCs w:val="24"/>
                <w:highlight w:val="none"/>
                <w:lang w:val="en-US" w:eastAsia="zh-CN"/>
              </w:rPr>
              <w:t>施工进度控制</w:t>
            </w:r>
            <w:r>
              <w:rPr>
                <w:rFonts w:hint="eastAsia" w:ascii="宋体" w:hAnsi="宋体" w:cs="宋体"/>
                <w:color w:val="auto"/>
                <w:sz w:val="24"/>
                <w:szCs w:val="24"/>
                <w:highlight w:val="none"/>
                <w:lang w:eastAsia="zh-CN"/>
              </w:rPr>
              <w:t>（</w:t>
            </w:r>
            <w:r>
              <w:rPr>
                <w:rFonts w:hint="eastAsia" w:ascii="宋体" w:hAnsi="宋体"/>
                <w:color w:val="auto"/>
                <w:sz w:val="24"/>
                <w:szCs w:val="24"/>
                <w:highlight w:val="none"/>
                <w:lang w:val="en-US" w:eastAsia="zh-CN"/>
              </w:rPr>
              <w:t>10分</w:t>
            </w:r>
            <w:r>
              <w:rPr>
                <w:rFonts w:hint="eastAsia" w:ascii="宋体" w:hAnsi="宋体" w:cs="宋体"/>
                <w:color w:val="auto"/>
                <w:sz w:val="24"/>
                <w:szCs w:val="24"/>
                <w:highlight w:val="none"/>
                <w:lang w:eastAsia="zh-CN"/>
              </w:rPr>
              <w:t>）</w:t>
            </w:r>
          </w:p>
        </w:tc>
        <w:tc>
          <w:tcPr>
            <w:tcW w:w="7530" w:type="dxa"/>
            <w:noWrap w:val="0"/>
            <w:vAlign w:val="center"/>
          </w:tcPr>
          <w:p w14:paraId="356304B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①在施工工艺、施工方法、材料选用、劳动力安排、技术等方面有保证工期的具体措施且措施得当。有控制工期的施工进度计划。应有施工总进度表或施工网络图，各项计划图表编制完善，安排合理，符合本项目施工实际要求</w:t>
            </w:r>
            <w:r>
              <w:rPr>
                <w:rFonts w:hint="eastAsia" w:ascii="宋体" w:hAnsi="宋体" w:cs="宋体"/>
                <w:color w:val="auto"/>
                <w:sz w:val="24"/>
                <w:szCs w:val="24"/>
                <w:highlight w:val="none"/>
                <w:lang w:val="en-US" w:eastAsia="zh-CN"/>
              </w:rPr>
              <w:t>得10分；</w:t>
            </w:r>
          </w:p>
          <w:p w14:paraId="4F5CD7E7">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②在施工工艺、施工方法、材料选用、劳动力安排、技术等方面有保证工期的措施且措施</w:t>
            </w:r>
            <w:r>
              <w:rPr>
                <w:rFonts w:hint="eastAsia" w:ascii="宋体" w:hAnsi="宋体" w:cs="宋体"/>
                <w:color w:val="auto"/>
                <w:sz w:val="24"/>
                <w:szCs w:val="24"/>
                <w:highlight w:val="none"/>
                <w:lang w:val="en-US" w:eastAsia="zh-CN"/>
              </w:rPr>
              <w:t>得当</w:t>
            </w:r>
            <w:r>
              <w:rPr>
                <w:rFonts w:hint="eastAsia" w:ascii="宋体" w:hAnsi="宋体" w:cs="宋体"/>
                <w:color w:val="auto"/>
                <w:sz w:val="24"/>
                <w:szCs w:val="24"/>
                <w:highlight w:val="none"/>
              </w:rPr>
              <w:t>。符合本项目施工实际要求</w:t>
            </w:r>
            <w:r>
              <w:rPr>
                <w:rFonts w:hint="eastAsia" w:ascii="宋体" w:hAnsi="宋体" w:cs="宋体"/>
                <w:color w:val="auto"/>
                <w:sz w:val="24"/>
                <w:szCs w:val="24"/>
                <w:highlight w:val="none"/>
                <w:lang w:val="en-US" w:eastAsia="zh-CN"/>
              </w:rPr>
              <w:t>得8分；</w:t>
            </w:r>
          </w:p>
          <w:p w14:paraId="1762BD81">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③在施工工艺、施工方法、材料选用、劳动力安排、技术等方面有保证工期的措施。有控制工期的施工进度计划。有施工总进度表或施工网络图，</w:t>
            </w:r>
            <w:r>
              <w:rPr>
                <w:rFonts w:hint="eastAsia" w:ascii="宋体" w:hAnsi="宋体" w:cs="宋体"/>
                <w:color w:val="auto"/>
                <w:sz w:val="24"/>
                <w:szCs w:val="24"/>
                <w:highlight w:val="none"/>
                <w:lang w:val="en-US" w:eastAsia="zh-CN"/>
              </w:rPr>
              <w:t>但缺项或关键点缺失</w:t>
            </w:r>
            <w:r>
              <w:rPr>
                <w:rFonts w:hint="eastAsia" w:cs="宋体"/>
                <w:color w:val="auto"/>
                <w:sz w:val="24"/>
                <w:szCs w:val="24"/>
                <w:highlight w:val="none"/>
                <w:lang w:val="en-US" w:eastAsia="zh-CN"/>
              </w:rPr>
              <w:t>，措施有待完善</w:t>
            </w:r>
            <w:r>
              <w:rPr>
                <w:rFonts w:hint="eastAsia" w:ascii="宋体" w:hAnsi="宋体" w:cs="宋体"/>
                <w:color w:val="auto"/>
                <w:sz w:val="24"/>
                <w:szCs w:val="24"/>
                <w:highlight w:val="none"/>
                <w:lang w:val="en-US" w:eastAsia="zh-CN"/>
              </w:rPr>
              <w:t>的得6分；</w:t>
            </w:r>
          </w:p>
          <w:p w14:paraId="192AE0F9">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default" w:ascii="宋体" w:hAnsi="宋体" w:eastAsia="宋体" w:cs="Times New Roman"/>
                <w:color w:val="auto"/>
                <w:kern w:val="2"/>
                <w:sz w:val="21"/>
                <w:szCs w:val="21"/>
                <w:highlight w:val="none"/>
                <w:lang w:val="en-US" w:eastAsia="zh-CN" w:bidi="ar-SA"/>
              </w:rPr>
            </w:pPr>
            <w:r>
              <w:rPr>
                <w:rFonts w:hint="eastAsia" w:ascii="宋体" w:hAnsi="宋体" w:cs="宋体"/>
                <w:color w:val="auto"/>
                <w:sz w:val="24"/>
                <w:szCs w:val="24"/>
                <w:highlight w:val="none"/>
                <w:lang w:val="en-US" w:eastAsia="zh-CN"/>
              </w:rPr>
              <w:t>④不能满足项目实施要求或未提供的不得分。</w:t>
            </w:r>
          </w:p>
        </w:tc>
      </w:tr>
      <w:tr w14:paraId="5D34C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43" w:type="dxa"/>
            <w:vMerge w:val="continue"/>
            <w:noWrap w:val="0"/>
            <w:vAlign w:val="center"/>
          </w:tcPr>
          <w:p w14:paraId="161C4B55">
            <w:pPr>
              <w:keepNext w:val="0"/>
              <w:keepLines w:val="0"/>
              <w:pageBreakBefore w:val="0"/>
              <w:widowControl w:val="0"/>
              <w:kinsoku/>
              <w:wordWrap/>
              <w:overflowPunct/>
              <w:topLinePunct w:val="0"/>
              <w:autoSpaceDE/>
              <w:autoSpaceDN/>
              <w:bidi w:val="0"/>
              <w:spacing w:line="440" w:lineRule="exact"/>
              <w:jc w:val="center"/>
              <w:textAlignment w:val="auto"/>
              <w:rPr>
                <w:rFonts w:hint="default" w:ascii="宋体" w:hAnsi="宋体" w:cs="宋体"/>
                <w:bCs/>
                <w:color w:val="auto"/>
                <w:kern w:val="2"/>
                <w:sz w:val="21"/>
                <w:szCs w:val="21"/>
                <w:highlight w:val="none"/>
                <w:lang w:val="en-US" w:eastAsia="zh-CN" w:bidi="ar-SA"/>
              </w:rPr>
            </w:pPr>
          </w:p>
        </w:tc>
        <w:tc>
          <w:tcPr>
            <w:tcW w:w="1227" w:type="dxa"/>
            <w:noWrap w:val="0"/>
            <w:vAlign w:val="center"/>
          </w:tcPr>
          <w:p w14:paraId="0D273416">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eastAsia" w:ascii="宋体" w:hAnsi="宋体" w:cs="宋体"/>
                <w:color w:val="auto"/>
                <w:szCs w:val="21"/>
                <w:highlight w:val="none"/>
              </w:rPr>
            </w:pPr>
            <w:r>
              <w:rPr>
                <w:rFonts w:hint="eastAsia" w:ascii="宋体" w:hAnsi="宋体" w:cs="宋体"/>
                <w:color w:val="auto"/>
                <w:sz w:val="24"/>
                <w:szCs w:val="24"/>
                <w:highlight w:val="none"/>
              </w:rPr>
              <w:t>重</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难</w:t>
            </w:r>
            <w:r>
              <w:rPr>
                <w:rFonts w:hint="eastAsia" w:ascii="宋体" w:hAnsi="宋体" w:cs="宋体"/>
                <w:color w:val="auto"/>
                <w:sz w:val="24"/>
                <w:szCs w:val="24"/>
                <w:highlight w:val="none"/>
              </w:rPr>
              <w:t>点及保证措施</w:t>
            </w:r>
            <w:r>
              <w:rPr>
                <w:rFonts w:hint="eastAsia" w:ascii="宋体" w:hAnsi="宋体" w:cs="宋体"/>
                <w:color w:val="auto"/>
                <w:sz w:val="24"/>
                <w:szCs w:val="24"/>
                <w:highlight w:val="none"/>
                <w:lang w:eastAsia="zh-CN"/>
              </w:rPr>
              <w:t>（</w:t>
            </w:r>
            <w:r>
              <w:rPr>
                <w:rFonts w:hint="eastAsia" w:ascii="宋体" w:hAnsi="宋体"/>
                <w:color w:val="auto"/>
                <w:sz w:val="24"/>
                <w:szCs w:val="24"/>
                <w:highlight w:val="none"/>
                <w:lang w:val="en-US" w:eastAsia="zh-CN"/>
              </w:rPr>
              <w:t>10分</w:t>
            </w:r>
            <w:r>
              <w:rPr>
                <w:rFonts w:hint="eastAsia" w:ascii="宋体" w:hAnsi="宋体" w:cs="宋体"/>
                <w:color w:val="auto"/>
                <w:sz w:val="24"/>
                <w:szCs w:val="24"/>
                <w:highlight w:val="none"/>
                <w:lang w:eastAsia="zh-CN"/>
              </w:rPr>
              <w:t>）</w:t>
            </w:r>
          </w:p>
        </w:tc>
        <w:tc>
          <w:tcPr>
            <w:tcW w:w="7530" w:type="dxa"/>
            <w:noWrap w:val="0"/>
            <w:vAlign w:val="center"/>
          </w:tcPr>
          <w:p w14:paraId="2E422DEF">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①针对本工程特点，列出本工程的重点、难点，并且有具体的保证措施。</w:t>
            </w:r>
            <w:r>
              <w:rPr>
                <w:rFonts w:hint="eastAsia" w:ascii="宋体" w:hAnsi="宋体" w:cs="宋体"/>
                <w:color w:val="auto"/>
                <w:sz w:val="24"/>
                <w:szCs w:val="24"/>
                <w:highlight w:val="none"/>
              </w:rPr>
              <w:t>各项措施周全、具体、有效</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有针对性的得10分；</w:t>
            </w:r>
          </w:p>
          <w:p w14:paraId="78860E13">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②针对本工程特点，列出本工程的重点、难点，并且有具体的保证措施。</w:t>
            </w:r>
            <w:r>
              <w:rPr>
                <w:rFonts w:hint="eastAsia" w:ascii="宋体" w:hAnsi="宋体" w:cs="宋体"/>
                <w:color w:val="auto"/>
                <w:sz w:val="24"/>
                <w:szCs w:val="24"/>
                <w:highlight w:val="none"/>
              </w:rPr>
              <w:t>各项措施内容</w:t>
            </w:r>
            <w:r>
              <w:rPr>
                <w:rFonts w:hint="eastAsia" w:ascii="宋体" w:hAnsi="宋体" w:cs="宋体"/>
                <w:color w:val="auto"/>
                <w:sz w:val="24"/>
                <w:szCs w:val="24"/>
                <w:highlight w:val="none"/>
                <w:lang w:val="en-US" w:eastAsia="zh-CN"/>
              </w:rPr>
              <w:t>清晰、完善的得8分；</w:t>
            </w:r>
          </w:p>
          <w:p w14:paraId="428B072E">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color w:val="auto"/>
                <w:sz w:val="24"/>
                <w:szCs w:val="24"/>
                <w:highlight w:val="none"/>
                <w:lang w:val="en-US" w:eastAsia="zh-CN"/>
              </w:rPr>
            </w:pPr>
            <w:r>
              <w:rPr>
                <w:rFonts w:hint="eastAsia" w:ascii="宋体" w:hAnsi="宋体" w:cs="宋体"/>
                <w:color w:val="auto"/>
                <w:sz w:val="24"/>
                <w:szCs w:val="24"/>
                <w:highlight w:val="none"/>
                <w:lang w:val="en-US" w:eastAsia="zh-CN"/>
              </w:rPr>
              <w:t>③针对本工程特点，列出本工程的重点、难点，并且有具体的保证措施。但</w:t>
            </w:r>
            <w:r>
              <w:rPr>
                <w:rFonts w:hint="eastAsia" w:cs="宋体"/>
                <w:color w:val="auto"/>
                <w:sz w:val="24"/>
                <w:szCs w:val="24"/>
                <w:highlight w:val="none"/>
                <w:lang w:val="en-US" w:eastAsia="zh-CN"/>
              </w:rPr>
              <w:t>措施</w:t>
            </w:r>
            <w:r>
              <w:rPr>
                <w:rFonts w:hint="eastAsia" w:ascii="宋体" w:hAnsi="宋体" w:cs="宋体"/>
                <w:color w:val="auto"/>
                <w:sz w:val="24"/>
                <w:szCs w:val="24"/>
                <w:highlight w:val="none"/>
                <w:lang w:val="en-US" w:eastAsia="zh-CN"/>
              </w:rPr>
              <w:t>缺项或关键点缺失的得6分；</w:t>
            </w:r>
          </w:p>
          <w:p w14:paraId="24B54E5F">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cs="宋体"/>
                <w:color w:val="auto"/>
                <w:szCs w:val="21"/>
                <w:highlight w:val="none"/>
                <w:lang w:val="en-US" w:eastAsia="zh-CN"/>
              </w:rPr>
            </w:pPr>
            <w:r>
              <w:rPr>
                <w:rFonts w:hint="eastAsia" w:ascii="宋体" w:hAnsi="宋体" w:cs="宋体"/>
                <w:color w:val="auto"/>
                <w:sz w:val="24"/>
                <w:szCs w:val="24"/>
                <w:highlight w:val="none"/>
                <w:lang w:val="en-US" w:eastAsia="zh-CN"/>
              </w:rPr>
              <w:t>④不能满足项目实施要求或未提供的不得分。</w:t>
            </w:r>
          </w:p>
        </w:tc>
      </w:tr>
      <w:tr w14:paraId="5367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43" w:type="dxa"/>
            <w:vMerge w:val="continue"/>
            <w:noWrap w:val="0"/>
            <w:vAlign w:val="center"/>
          </w:tcPr>
          <w:p w14:paraId="4CB3428F">
            <w:pPr>
              <w:keepNext w:val="0"/>
              <w:keepLines w:val="0"/>
              <w:pageBreakBefore w:val="0"/>
              <w:widowControl w:val="0"/>
              <w:kinsoku/>
              <w:wordWrap/>
              <w:overflowPunct/>
              <w:topLinePunct w:val="0"/>
              <w:autoSpaceDE/>
              <w:autoSpaceDN/>
              <w:bidi w:val="0"/>
              <w:spacing w:line="440" w:lineRule="exact"/>
              <w:jc w:val="center"/>
              <w:textAlignment w:val="auto"/>
              <w:rPr>
                <w:rFonts w:hint="default" w:ascii="宋体" w:hAnsi="宋体" w:cs="宋体"/>
                <w:bCs/>
                <w:color w:val="auto"/>
                <w:szCs w:val="21"/>
                <w:highlight w:val="none"/>
                <w:lang w:val="en-US" w:eastAsia="zh-CN"/>
              </w:rPr>
            </w:pPr>
          </w:p>
        </w:tc>
        <w:tc>
          <w:tcPr>
            <w:tcW w:w="1227" w:type="dxa"/>
            <w:noWrap w:val="0"/>
            <w:vAlign w:val="center"/>
          </w:tcPr>
          <w:p w14:paraId="4D53E914">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default" w:ascii="宋体" w:hAnsi="宋体" w:cs="宋体"/>
                <w:color w:val="auto"/>
                <w:szCs w:val="21"/>
                <w:highlight w:val="none"/>
                <w:lang w:val="en-US" w:eastAsia="zh-CN"/>
              </w:rPr>
            </w:pPr>
            <w:r>
              <w:rPr>
                <w:rFonts w:hint="eastAsia" w:ascii="宋体" w:hAnsi="宋体" w:cs="宋体"/>
                <w:color w:val="auto"/>
                <w:sz w:val="24"/>
                <w:szCs w:val="24"/>
                <w:highlight w:val="none"/>
                <w:lang w:val="en-US" w:eastAsia="zh-CN"/>
              </w:rPr>
              <w:t>成本控制措施（10分）</w:t>
            </w:r>
          </w:p>
        </w:tc>
        <w:tc>
          <w:tcPr>
            <w:tcW w:w="7530" w:type="dxa"/>
            <w:noWrap w:val="0"/>
            <w:vAlign w:val="center"/>
          </w:tcPr>
          <w:p w14:paraId="3D15395D">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①</w:t>
            </w:r>
            <w:r>
              <w:rPr>
                <w:rFonts w:hint="eastAsia" w:ascii="宋体" w:hAnsi="宋体" w:cs="宋体"/>
                <w:color w:val="auto"/>
                <w:sz w:val="24"/>
                <w:szCs w:val="24"/>
                <w:highlight w:val="none"/>
                <w:lang w:val="en-US" w:eastAsia="zh-CN"/>
              </w:rPr>
              <w:t>有详细的成本控制</w:t>
            </w:r>
            <w:r>
              <w:rPr>
                <w:rFonts w:hint="eastAsia" w:ascii="宋体" w:hAnsi="宋体" w:cs="宋体"/>
                <w:color w:val="auto"/>
                <w:sz w:val="24"/>
                <w:szCs w:val="24"/>
                <w:highlight w:val="none"/>
              </w:rPr>
              <w:t>措施，在施工过程中,对影响施工</w:t>
            </w:r>
            <w:r>
              <w:rPr>
                <w:rFonts w:hint="eastAsia" w:ascii="宋体" w:hAnsi="宋体" w:cs="宋体"/>
                <w:color w:val="auto"/>
                <w:sz w:val="24"/>
                <w:szCs w:val="24"/>
                <w:highlight w:val="none"/>
                <w:lang w:val="en-US" w:eastAsia="zh-CN"/>
              </w:rPr>
              <w:t>的</w:t>
            </w:r>
            <w:r>
              <w:rPr>
                <w:rFonts w:hint="eastAsia" w:ascii="宋体" w:hAnsi="宋体" w:cs="宋体"/>
                <w:color w:val="auto"/>
                <w:sz w:val="24"/>
                <w:szCs w:val="24"/>
                <w:highlight w:val="none"/>
              </w:rPr>
              <w:t>各种因素增强管理并采用各种有效举措,将施工中实际发生</w:t>
            </w:r>
            <w:r>
              <w:rPr>
                <w:rFonts w:hint="eastAsia" w:ascii="宋体" w:hAnsi="宋体" w:cs="宋体"/>
                <w:color w:val="auto"/>
                <w:sz w:val="24"/>
                <w:szCs w:val="24"/>
                <w:highlight w:val="none"/>
                <w:lang w:val="en-US" w:eastAsia="zh-CN"/>
              </w:rPr>
              <w:t>的</w:t>
            </w:r>
            <w:r>
              <w:rPr>
                <w:rFonts w:hint="eastAsia" w:ascii="宋体" w:hAnsi="宋体" w:cs="宋体"/>
                <w:color w:val="auto"/>
                <w:sz w:val="24"/>
                <w:szCs w:val="24"/>
                <w:highlight w:val="none"/>
              </w:rPr>
              <w:t>各种消耗和支出严格控制在范围内,随时揭示并及时反应,严格审查各项费用是否符合标准消除施工中</w:t>
            </w:r>
            <w:r>
              <w:rPr>
                <w:rFonts w:hint="eastAsia" w:ascii="宋体" w:hAnsi="宋体" w:cs="宋体"/>
                <w:color w:val="auto"/>
                <w:sz w:val="24"/>
                <w:szCs w:val="24"/>
                <w:highlight w:val="none"/>
                <w:lang w:val="en-US" w:eastAsia="zh-CN"/>
              </w:rPr>
              <w:t>的</w:t>
            </w:r>
            <w:r>
              <w:rPr>
                <w:rFonts w:hint="eastAsia" w:ascii="宋体" w:hAnsi="宋体" w:cs="宋体"/>
                <w:color w:val="auto"/>
                <w:sz w:val="24"/>
                <w:szCs w:val="24"/>
                <w:highlight w:val="none"/>
              </w:rPr>
              <w:t>损失浪费现象并尽可能地将实际</w:t>
            </w:r>
            <w:r>
              <w:rPr>
                <w:rFonts w:hint="eastAsia" w:ascii="宋体" w:hAnsi="宋体" w:cs="宋体"/>
                <w:color w:val="auto"/>
                <w:sz w:val="24"/>
                <w:szCs w:val="24"/>
                <w:highlight w:val="none"/>
                <w:lang w:val="en-US" w:eastAsia="zh-CN"/>
              </w:rPr>
              <w:t>成本</w:t>
            </w:r>
            <w:r>
              <w:rPr>
                <w:rFonts w:hint="eastAsia" w:ascii="宋体" w:hAnsi="宋体" w:cs="宋体"/>
                <w:color w:val="auto"/>
                <w:sz w:val="24"/>
                <w:szCs w:val="24"/>
                <w:highlight w:val="none"/>
              </w:rPr>
              <w:t>降到最低</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方案有针对性</w:t>
            </w:r>
            <w:r>
              <w:rPr>
                <w:rFonts w:hint="eastAsia" w:ascii="宋体" w:hAnsi="宋体" w:cs="宋体"/>
                <w:color w:val="auto"/>
                <w:sz w:val="24"/>
                <w:szCs w:val="24"/>
                <w:highlight w:val="none"/>
              </w:rPr>
              <w:t>合理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满足施工需要</w:t>
            </w:r>
            <w:r>
              <w:rPr>
                <w:rFonts w:hint="eastAsia" w:cs="宋体"/>
                <w:color w:val="auto"/>
                <w:sz w:val="24"/>
                <w:szCs w:val="24"/>
                <w:highlight w:val="none"/>
                <w:lang w:val="en-US" w:eastAsia="zh-CN"/>
              </w:rPr>
              <w:t>且对施工有利的</w:t>
            </w:r>
            <w:r>
              <w:rPr>
                <w:rFonts w:hint="eastAsia" w:ascii="宋体" w:hAnsi="宋体" w:cs="宋体"/>
                <w:color w:val="auto"/>
                <w:sz w:val="24"/>
                <w:szCs w:val="24"/>
                <w:highlight w:val="none"/>
                <w:lang w:val="en-US" w:eastAsia="zh-CN"/>
              </w:rPr>
              <w:t>得10分；</w:t>
            </w:r>
          </w:p>
          <w:p w14:paraId="317E180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②</w:t>
            </w:r>
            <w:r>
              <w:rPr>
                <w:rFonts w:hint="eastAsia" w:ascii="宋体" w:hAnsi="宋体" w:cs="宋体"/>
                <w:color w:val="auto"/>
                <w:sz w:val="24"/>
                <w:szCs w:val="24"/>
                <w:highlight w:val="none"/>
                <w:lang w:val="en-US" w:eastAsia="zh-CN"/>
              </w:rPr>
              <w:t>有详细的成本控制</w:t>
            </w:r>
            <w:r>
              <w:rPr>
                <w:rFonts w:hint="eastAsia" w:ascii="宋体" w:hAnsi="宋体" w:cs="宋体"/>
                <w:color w:val="auto"/>
                <w:sz w:val="24"/>
                <w:szCs w:val="24"/>
                <w:highlight w:val="none"/>
              </w:rPr>
              <w:t>措施，</w:t>
            </w:r>
            <w:r>
              <w:rPr>
                <w:rFonts w:hint="eastAsia" w:ascii="宋体" w:hAnsi="宋体" w:cs="宋体"/>
                <w:color w:val="auto"/>
                <w:sz w:val="24"/>
                <w:szCs w:val="24"/>
                <w:highlight w:val="none"/>
                <w:lang w:val="en-US" w:eastAsia="zh-CN"/>
              </w:rPr>
              <w:t>成本控制</w:t>
            </w:r>
            <w:r>
              <w:rPr>
                <w:rFonts w:hint="eastAsia" w:ascii="宋体" w:hAnsi="宋体" w:cs="宋体"/>
                <w:color w:val="auto"/>
                <w:sz w:val="24"/>
                <w:szCs w:val="24"/>
                <w:highlight w:val="none"/>
              </w:rPr>
              <w:t>措施合理，</w:t>
            </w:r>
            <w:r>
              <w:rPr>
                <w:rFonts w:hint="eastAsia" w:ascii="宋体" w:hAnsi="宋体" w:cs="宋体"/>
                <w:color w:val="auto"/>
                <w:sz w:val="24"/>
                <w:szCs w:val="24"/>
                <w:highlight w:val="none"/>
                <w:lang w:val="en-US" w:eastAsia="zh-CN"/>
              </w:rPr>
              <w:t>能</w:t>
            </w:r>
            <w:r>
              <w:rPr>
                <w:rFonts w:hint="eastAsia" w:ascii="宋体" w:hAnsi="宋体" w:cs="宋体"/>
                <w:color w:val="auto"/>
                <w:sz w:val="24"/>
                <w:szCs w:val="24"/>
                <w:highlight w:val="none"/>
              </w:rPr>
              <w:t>满足施工需要</w:t>
            </w:r>
            <w:r>
              <w:rPr>
                <w:rFonts w:hint="eastAsia" w:ascii="宋体" w:hAnsi="宋体" w:cs="宋体"/>
                <w:color w:val="auto"/>
                <w:sz w:val="24"/>
                <w:szCs w:val="24"/>
                <w:highlight w:val="none"/>
                <w:lang w:val="en-US" w:eastAsia="zh-CN"/>
              </w:rPr>
              <w:t>得8分；</w:t>
            </w:r>
          </w:p>
          <w:p w14:paraId="3E11DF8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③</w:t>
            </w:r>
            <w:r>
              <w:rPr>
                <w:rFonts w:hint="eastAsia" w:ascii="宋体" w:hAnsi="宋体" w:cs="宋体"/>
                <w:color w:val="auto"/>
                <w:sz w:val="24"/>
                <w:szCs w:val="24"/>
                <w:highlight w:val="none"/>
                <w:lang w:val="en-US" w:eastAsia="zh-CN"/>
              </w:rPr>
              <w:t>有详细的成本控制</w:t>
            </w:r>
            <w:r>
              <w:rPr>
                <w:rFonts w:hint="eastAsia" w:ascii="宋体" w:hAnsi="宋体" w:cs="宋体"/>
                <w:color w:val="auto"/>
                <w:sz w:val="24"/>
                <w:szCs w:val="24"/>
                <w:highlight w:val="none"/>
              </w:rPr>
              <w:t>措施，</w:t>
            </w:r>
            <w:r>
              <w:rPr>
                <w:rFonts w:hint="eastAsia" w:ascii="宋体" w:hAnsi="宋体" w:cs="宋体"/>
                <w:color w:val="auto"/>
                <w:sz w:val="24"/>
                <w:szCs w:val="24"/>
                <w:highlight w:val="none"/>
                <w:lang w:val="en-US" w:eastAsia="zh-CN"/>
              </w:rPr>
              <w:t>但</w:t>
            </w:r>
            <w:r>
              <w:rPr>
                <w:rFonts w:hint="eastAsia" w:cs="宋体"/>
                <w:color w:val="auto"/>
                <w:sz w:val="24"/>
                <w:szCs w:val="24"/>
                <w:highlight w:val="none"/>
                <w:lang w:val="en-US" w:eastAsia="zh-CN"/>
              </w:rPr>
              <w:t>措施</w:t>
            </w:r>
            <w:r>
              <w:rPr>
                <w:rFonts w:hint="eastAsia" w:ascii="宋体" w:hAnsi="宋体" w:cs="宋体"/>
                <w:color w:val="auto"/>
                <w:sz w:val="24"/>
                <w:szCs w:val="24"/>
                <w:highlight w:val="none"/>
                <w:lang w:val="en-US" w:eastAsia="zh-CN"/>
              </w:rPr>
              <w:t>缺项</w:t>
            </w:r>
            <w:r>
              <w:rPr>
                <w:rFonts w:hint="eastAsia" w:cs="宋体"/>
                <w:color w:val="auto"/>
                <w:sz w:val="24"/>
                <w:szCs w:val="24"/>
                <w:highlight w:val="none"/>
                <w:lang w:val="en-US" w:eastAsia="zh-CN"/>
              </w:rPr>
              <w:t>有待完善</w:t>
            </w:r>
            <w:r>
              <w:rPr>
                <w:rFonts w:hint="eastAsia" w:ascii="宋体" w:hAnsi="宋体" w:cs="宋体"/>
                <w:color w:val="auto"/>
                <w:sz w:val="24"/>
                <w:szCs w:val="24"/>
                <w:highlight w:val="none"/>
                <w:lang w:val="en-US" w:eastAsia="zh-CN"/>
              </w:rPr>
              <w:t>的得6分。</w:t>
            </w:r>
          </w:p>
          <w:p w14:paraId="19680657">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cs="宋体"/>
                <w:color w:val="auto"/>
                <w:szCs w:val="21"/>
                <w:highlight w:val="none"/>
                <w:lang w:val="en-US" w:eastAsia="zh-CN"/>
              </w:rPr>
            </w:pPr>
            <w:r>
              <w:rPr>
                <w:rFonts w:hint="eastAsia" w:ascii="宋体" w:hAnsi="宋体" w:cs="宋体"/>
                <w:color w:val="auto"/>
                <w:sz w:val="24"/>
                <w:szCs w:val="24"/>
                <w:highlight w:val="none"/>
                <w:lang w:val="en-US" w:eastAsia="zh-CN"/>
              </w:rPr>
              <w:t>④</w:t>
            </w:r>
            <w:r>
              <w:rPr>
                <w:rFonts w:hint="default" w:ascii="宋体" w:hAnsi="Times New Roman" w:eastAsia="宋体" w:cs="Times New Roman"/>
                <w:b w:val="0"/>
                <w:bCs w:val="0"/>
                <w:color w:val="auto"/>
                <w:sz w:val="24"/>
                <w:szCs w:val="24"/>
                <w:highlight w:val="none"/>
                <w:lang w:val="en-US" w:eastAsia="zh-CN"/>
              </w:rPr>
              <w:t>工作内容偏离项目需求、偏离客观现实或未提供的不得分。</w:t>
            </w:r>
          </w:p>
        </w:tc>
      </w:tr>
      <w:tr w14:paraId="47F7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43" w:type="dxa"/>
            <w:vMerge w:val="continue"/>
            <w:noWrap w:val="0"/>
            <w:vAlign w:val="center"/>
          </w:tcPr>
          <w:p w14:paraId="5E50E925">
            <w:pPr>
              <w:keepNext w:val="0"/>
              <w:keepLines w:val="0"/>
              <w:pageBreakBefore w:val="0"/>
              <w:widowControl w:val="0"/>
              <w:kinsoku/>
              <w:wordWrap/>
              <w:overflowPunct/>
              <w:topLinePunct w:val="0"/>
              <w:autoSpaceDE/>
              <w:autoSpaceDN/>
              <w:bidi w:val="0"/>
              <w:spacing w:line="440" w:lineRule="exact"/>
              <w:jc w:val="center"/>
              <w:textAlignment w:val="auto"/>
              <w:rPr>
                <w:rFonts w:hint="default" w:ascii="宋体" w:hAnsi="宋体" w:cs="宋体"/>
                <w:bCs/>
                <w:color w:val="auto"/>
                <w:szCs w:val="21"/>
                <w:highlight w:val="none"/>
                <w:lang w:val="en-US" w:eastAsia="zh-CN"/>
              </w:rPr>
            </w:pPr>
          </w:p>
        </w:tc>
        <w:tc>
          <w:tcPr>
            <w:tcW w:w="1227" w:type="dxa"/>
            <w:noWrap w:val="0"/>
            <w:vAlign w:val="center"/>
          </w:tcPr>
          <w:p w14:paraId="6F829AD3">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eastAsia" w:ascii="宋体" w:hAnsi="宋体" w:cs="宋体"/>
                <w:color w:val="auto"/>
                <w:szCs w:val="21"/>
                <w:highlight w:val="none"/>
                <w:lang w:val="en-US" w:eastAsia="zh-CN"/>
              </w:rPr>
            </w:pPr>
            <w:r>
              <w:rPr>
                <w:rFonts w:hint="eastAsia" w:ascii="宋体" w:hAnsi="宋体" w:cs="宋体"/>
                <w:color w:val="auto"/>
                <w:sz w:val="24"/>
                <w:szCs w:val="24"/>
                <w:highlight w:val="none"/>
                <w:lang w:val="en-US" w:eastAsia="zh-CN"/>
              </w:rPr>
              <w:t>缺陷期服务（10分）</w:t>
            </w:r>
          </w:p>
        </w:tc>
        <w:tc>
          <w:tcPr>
            <w:tcW w:w="7530" w:type="dxa"/>
            <w:noWrap w:val="0"/>
            <w:vAlign w:val="center"/>
          </w:tcPr>
          <w:p w14:paraId="21F95D2C">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①有详细的施工缺陷责任期服务计划，包括但不限于维修、响应时间、人员安排等。</w:t>
            </w:r>
            <w:r>
              <w:rPr>
                <w:rFonts w:hint="eastAsia" w:ascii="宋体" w:hAnsi="宋体" w:cs="宋体"/>
                <w:color w:val="auto"/>
                <w:sz w:val="24"/>
                <w:szCs w:val="24"/>
                <w:highlight w:val="none"/>
              </w:rPr>
              <w:t>各项</w:t>
            </w:r>
            <w:r>
              <w:rPr>
                <w:rFonts w:hint="eastAsia" w:ascii="宋体" w:hAnsi="宋体" w:cs="宋体"/>
                <w:color w:val="auto"/>
                <w:sz w:val="24"/>
                <w:szCs w:val="24"/>
                <w:highlight w:val="none"/>
                <w:lang w:val="en-US" w:eastAsia="zh-CN"/>
              </w:rPr>
              <w:t>服务</w:t>
            </w:r>
            <w:r>
              <w:rPr>
                <w:rFonts w:hint="eastAsia" w:ascii="宋体" w:hAnsi="宋体" w:cs="宋体"/>
                <w:color w:val="auto"/>
                <w:sz w:val="24"/>
                <w:szCs w:val="24"/>
                <w:highlight w:val="none"/>
              </w:rPr>
              <w:t>周全、具体、有效</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有针对性的得10分；</w:t>
            </w:r>
          </w:p>
          <w:p w14:paraId="61FBB612">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②有详细的施工缺陷责任期服务计划，</w:t>
            </w:r>
            <w:r>
              <w:rPr>
                <w:rFonts w:hint="eastAsia" w:ascii="宋体" w:hAnsi="宋体" w:cs="宋体"/>
                <w:color w:val="auto"/>
                <w:sz w:val="24"/>
                <w:szCs w:val="24"/>
                <w:highlight w:val="none"/>
              </w:rPr>
              <w:t>各项</w:t>
            </w:r>
            <w:r>
              <w:rPr>
                <w:rFonts w:hint="eastAsia" w:ascii="宋体" w:hAnsi="宋体" w:cs="宋体"/>
                <w:color w:val="auto"/>
                <w:sz w:val="24"/>
                <w:szCs w:val="24"/>
                <w:highlight w:val="none"/>
                <w:lang w:val="en-US" w:eastAsia="zh-CN"/>
              </w:rPr>
              <w:t>服务</w:t>
            </w:r>
            <w:r>
              <w:rPr>
                <w:rFonts w:hint="eastAsia" w:ascii="宋体" w:hAnsi="宋体" w:cs="宋体"/>
                <w:color w:val="auto"/>
                <w:sz w:val="24"/>
                <w:szCs w:val="24"/>
                <w:highlight w:val="none"/>
              </w:rPr>
              <w:t>内容</w:t>
            </w:r>
            <w:r>
              <w:rPr>
                <w:rFonts w:hint="eastAsia" w:ascii="宋体" w:hAnsi="宋体" w:cs="宋体"/>
                <w:color w:val="auto"/>
                <w:sz w:val="24"/>
                <w:szCs w:val="24"/>
                <w:highlight w:val="none"/>
                <w:lang w:val="en-US" w:eastAsia="zh-CN"/>
              </w:rPr>
              <w:t>清晰、完善的得8分；</w:t>
            </w:r>
          </w:p>
          <w:p w14:paraId="5261B466">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color w:val="auto"/>
                <w:sz w:val="24"/>
                <w:szCs w:val="24"/>
                <w:highlight w:val="none"/>
                <w:lang w:val="en-US" w:eastAsia="zh-CN"/>
              </w:rPr>
            </w:pPr>
            <w:r>
              <w:rPr>
                <w:rFonts w:hint="eastAsia" w:ascii="宋体" w:hAnsi="宋体" w:cs="宋体"/>
                <w:color w:val="auto"/>
                <w:sz w:val="24"/>
                <w:szCs w:val="24"/>
                <w:highlight w:val="none"/>
                <w:lang w:val="en-US" w:eastAsia="zh-CN"/>
              </w:rPr>
              <w:t>③有详细的施工缺陷责任期服务计划，但</w:t>
            </w:r>
            <w:r>
              <w:rPr>
                <w:rFonts w:hint="eastAsia" w:cs="宋体"/>
                <w:color w:val="auto"/>
                <w:sz w:val="24"/>
                <w:szCs w:val="24"/>
                <w:highlight w:val="none"/>
                <w:lang w:val="en-US" w:eastAsia="zh-CN"/>
              </w:rPr>
              <w:t>明显</w:t>
            </w:r>
            <w:r>
              <w:rPr>
                <w:rFonts w:hint="eastAsia" w:ascii="宋体" w:hAnsi="宋体" w:cs="宋体"/>
                <w:color w:val="auto"/>
                <w:sz w:val="24"/>
                <w:szCs w:val="24"/>
                <w:highlight w:val="none"/>
                <w:lang w:val="en-US" w:eastAsia="zh-CN"/>
              </w:rPr>
              <w:t>缺项或关键点缺失的得6分；</w:t>
            </w:r>
          </w:p>
          <w:p w14:paraId="46D5F45D">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default" w:ascii="宋体" w:hAnsi="宋体" w:cs="宋体"/>
                <w:color w:val="auto"/>
                <w:szCs w:val="21"/>
                <w:highlight w:val="none"/>
                <w:lang w:val="en-US" w:eastAsia="zh-CN"/>
              </w:rPr>
            </w:pPr>
            <w:r>
              <w:rPr>
                <w:rFonts w:hint="eastAsia" w:ascii="宋体" w:hAnsi="宋体" w:cs="宋体"/>
                <w:color w:val="auto"/>
                <w:sz w:val="24"/>
                <w:szCs w:val="24"/>
                <w:highlight w:val="none"/>
                <w:lang w:val="en-US" w:eastAsia="zh-CN"/>
              </w:rPr>
              <w:t>④不能满足项目实施要求或未提供的不得分。</w:t>
            </w:r>
          </w:p>
        </w:tc>
      </w:tr>
      <w:tr w14:paraId="3C0D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43" w:type="dxa"/>
            <w:noWrap w:val="0"/>
            <w:vAlign w:val="center"/>
          </w:tcPr>
          <w:p w14:paraId="76E8BE54">
            <w:pPr>
              <w:keepNext w:val="0"/>
              <w:keepLines w:val="0"/>
              <w:pageBreakBefore w:val="0"/>
              <w:widowControl w:val="0"/>
              <w:kinsoku/>
              <w:wordWrap/>
              <w:overflowPunct/>
              <w:topLinePunct w:val="0"/>
              <w:autoSpaceDE/>
              <w:autoSpaceDN/>
              <w:bidi w:val="0"/>
              <w:spacing w:line="440" w:lineRule="exact"/>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w:t>
            </w:r>
          </w:p>
          <w:p w14:paraId="61116853">
            <w:pPr>
              <w:keepNext w:val="0"/>
              <w:keepLines w:val="0"/>
              <w:pageBreakBefore w:val="0"/>
              <w:widowControl w:val="0"/>
              <w:kinsoku/>
              <w:wordWrap/>
              <w:overflowPunct/>
              <w:topLinePunct w:val="0"/>
              <w:autoSpaceDE/>
              <w:autoSpaceDN/>
              <w:bidi w:val="0"/>
              <w:spacing w:line="440" w:lineRule="exact"/>
              <w:jc w:val="center"/>
              <w:textAlignment w:val="auto"/>
              <w:rPr>
                <w:rFonts w:hint="default" w:asciiTheme="minorEastAsia" w:hAnsiTheme="minorEastAsia" w:eastAsiaTheme="minorEastAsia" w:cstheme="minorBidi"/>
                <w:b/>
                <w:bCs/>
                <w:color w:val="auto"/>
                <w:sz w:val="24"/>
                <w:highlight w:val="none"/>
                <w:lang w:val="en-US" w:eastAsia="zh-CN" w:bidi="ar-SA"/>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lang w:val="en-US" w:eastAsia="zh-CN"/>
              </w:rPr>
              <w:t>10</w:t>
            </w:r>
            <w:r>
              <w:rPr>
                <w:rFonts w:hint="eastAsia" w:asciiTheme="minorEastAsia" w:hAnsiTheme="minorEastAsia" w:eastAsiaTheme="minorEastAsia"/>
                <w:color w:val="auto"/>
                <w:sz w:val="24"/>
                <w:highlight w:val="none"/>
              </w:rPr>
              <w:t>分）</w:t>
            </w:r>
          </w:p>
        </w:tc>
        <w:tc>
          <w:tcPr>
            <w:tcW w:w="8757" w:type="dxa"/>
            <w:gridSpan w:val="2"/>
            <w:noWrap w:val="0"/>
            <w:vAlign w:val="center"/>
          </w:tcPr>
          <w:p w14:paraId="6930D778">
            <w:pPr>
              <w:keepNext w:val="0"/>
              <w:keepLines w:val="0"/>
              <w:pageBreakBefore w:val="0"/>
              <w:widowControl w:val="0"/>
              <w:kinsoku/>
              <w:wordWrap/>
              <w:overflowPunct/>
              <w:topLinePunct w:val="0"/>
              <w:autoSpaceDE/>
              <w:autoSpaceDN/>
              <w:bidi w:val="0"/>
              <w:spacing w:line="440" w:lineRule="exact"/>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价格分统一采用低价优先法，即满足磋商文件要求且最后报价最低的供应商的价格为磋商基准价，其价格分为满分</w:t>
            </w:r>
            <w:r>
              <w:rPr>
                <w:rFonts w:hint="eastAsia" w:asciiTheme="minorEastAsia" w:hAnsiTheme="minorEastAsia" w:eastAsiaTheme="minorEastAsia"/>
                <w:color w:val="auto"/>
                <w:sz w:val="24"/>
                <w:highlight w:val="none"/>
                <w:u w:val="single"/>
                <w:lang w:val="en-US" w:eastAsia="zh-CN"/>
              </w:rPr>
              <w:t>10</w:t>
            </w:r>
            <w:r>
              <w:rPr>
                <w:rFonts w:hint="eastAsia" w:asciiTheme="minorEastAsia" w:hAnsiTheme="minorEastAsia" w:eastAsiaTheme="minorEastAsia"/>
                <w:color w:val="auto"/>
                <w:sz w:val="24"/>
                <w:highlight w:val="none"/>
              </w:rPr>
              <w:t>分。其他供应商的价格分统一按照下列公式计算：</w:t>
            </w:r>
          </w:p>
          <w:p w14:paraId="3C764570">
            <w:pPr>
              <w:keepNext w:val="0"/>
              <w:keepLines w:val="0"/>
              <w:pageBreakBefore w:val="0"/>
              <w:widowControl w:val="0"/>
              <w:kinsoku/>
              <w:wordWrap/>
              <w:overflowPunct/>
              <w:topLinePunct w:val="0"/>
              <w:autoSpaceDE/>
              <w:autoSpaceDN/>
              <w:bidi w:val="0"/>
              <w:spacing w:line="440" w:lineRule="exact"/>
              <w:textAlignment w:val="auto"/>
              <w:rPr>
                <w:rFonts w:hint="eastAsia" w:asciiTheme="minorEastAsia" w:hAnsiTheme="minorEastAsia" w:eastAsiaTheme="minorEastAsia" w:cstheme="minorBidi"/>
                <w:b/>
                <w:bCs/>
                <w:color w:val="auto"/>
                <w:sz w:val="24"/>
                <w:highlight w:val="none"/>
                <w:lang w:val="en-US" w:eastAsia="zh-CN" w:bidi="ar-SA"/>
              </w:rPr>
            </w:pPr>
            <w:r>
              <w:rPr>
                <w:rFonts w:hint="eastAsia" w:asciiTheme="minorEastAsia" w:hAnsiTheme="minorEastAsia" w:eastAsiaTheme="minorEastAsia"/>
                <w:color w:val="auto"/>
                <w:sz w:val="24"/>
                <w:highlight w:val="none"/>
              </w:rPr>
              <w:t>磋商报价得分＝（磋商基准价/</w:t>
            </w:r>
            <w:r>
              <w:rPr>
                <w:rFonts w:hint="eastAsia"/>
                <w:color w:val="auto"/>
                <w:sz w:val="24"/>
                <w:highlight w:val="none"/>
              </w:rPr>
              <w:t>最后磋商</w:t>
            </w:r>
            <w:r>
              <w:rPr>
                <w:rFonts w:hint="eastAsia" w:asciiTheme="minorEastAsia" w:hAnsiTheme="minorEastAsia" w:eastAsiaTheme="minorEastAsia"/>
                <w:color w:val="auto"/>
                <w:sz w:val="24"/>
                <w:highlight w:val="none"/>
              </w:rPr>
              <w:t>报价）×</w:t>
            </w:r>
            <w:r>
              <w:rPr>
                <w:rFonts w:hint="eastAsia" w:asciiTheme="minorEastAsia" w:hAnsiTheme="minorEastAsia" w:eastAsiaTheme="minorEastAsia"/>
                <w:color w:val="auto"/>
                <w:sz w:val="24"/>
                <w:highlight w:val="none"/>
                <w:u w:val="single"/>
                <w:lang w:val="en-US" w:eastAsia="zh-CN"/>
              </w:rPr>
              <w:t>10</w:t>
            </w:r>
            <w:r>
              <w:rPr>
                <w:rFonts w:hint="eastAsia" w:asciiTheme="minorEastAsia" w:hAnsiTheme="minorEastAsia" w:eastAsiaTheme="minorEastAsia"/>
                <w:color w:val="auto"/>
                <w:sz w:val="24"/>
                <w:highlight w:val="none"/>
              </w:rPr>
              <w:t>％×100</w:t>
            </w:r>
          </w:p>
        </w:tc>
      </w:tr>
    </w:tbl>
    <w:p w14:paraId="79F880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2D9B873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1）磋商小组各成员应当独立对每个有效响应的文件进行评价、打分，然后汇总每个供应商每项评分因素的得分，再取各位评委评分之平均值，四舍五入保留至小数点后两位数，得到该供应商的技术资信分。</w:t>
      </w:r>
    </w:p>
    <w:p w14:paraId="382813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2）将每个供应商的技术资信分加上根据上述标准计算出的价格分，即为该供应商的综合总得分。</w:t>
      </w:r>
    </w:p>
    <w:p w14:paraId="1532BD43">
      <w:pPr>
        <w:spacing w:line="360" w:lineRule="auto"/>
        <w:ind w:firstLine="437"/>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三、无效投标条款</w:t>
      </w:r>
    </w:p>
    <w:p w14:paraId="06CED5F7">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3.</w:t>
      </w:r>
      <w:r>
        <w:rPr>
          <w:rFonts w:hint="eastAsia" w:asciiTheme="minorEastAsia" w:hAnsiTheme="minorEastAsia" w:eastAsiaTheme="minorEastAsia"/>
          <w:color w:val="auto"/>
          <w:sz w:val="24"/>
          <w:highlight w:val="none"/>
          <w:lang w:val="en-US" w:eastAsia="zh-CN"/>
        </w:rPr>
        <w:t>1响应</w:t>
      </w:r>
      <w:r>
        <w:rPr>
          <w:rFonts w:hint="eastAsia" w:asciiTheme="minorEastAsia" w:hAnsiTheme="minorEastAsia" w:eastAsiaTheme="minorEastAsia"/>
          <w:color w:val="auto"/>
          <w:sz w:val="24"/>
          <w:highlight w:val="none"/>
          <w:lang w:eastAsia="zh-CN"/>
        </w:rPr>
        <w:t>文件有下列情形之一的,其</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文件拒收:</w:t>
      </w:r>
    </w:p>
    <w:p w14:paraId="786906ED">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(1) 未在开</w:t>
      </w:r>
      <w:r>
        <w:rPr>
          <w:rFonts w:hint="eastAsia" w:asciiTheme="minorEastAsia" w:hAnsiTheme="minorEastAsia" w:eastAsiaTheme="minorEastAsia"/>
          <w:color w:val="auto"/>
          <w:sz w:val="24"/>
          <w:highlight w:val="none"/>
          <w:lang w:val="en-US" w:eastAsia="zh-CN"/>
        </w:rPr>
        <w:t>启</w:t>
      </w:r>
      <w:r>
        <w:rPr>
          <w:rFonts w:hint="eastAsia" w:asciiTheme="minorEastAsia" w:hAnsiTheme="minorEastAsia" w:eastAsiaTheme="minorEastAsia"/>
          <w:color w:val="auto"/>
          <w:sz w:val="24"/>
          <w:highlight w:val="none"/>
          <w:lang w:eastAsia="zh-CN"/>
        </w:rPr>
        <w:t>截止时间前通过网上招标投标系统递交有效电子</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文件的，开标系统不予接收，</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将被拒绝。</w:t>
      </w:r>
    </w:p>
    <w:p w14:paraId="3FC9B11A">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lang w:eastAsia="zh-CN"/>
        </w:rPr>
        <w:t>2</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接到远程解密指令后，须在规定时间内解密。因</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自身原因导致</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文件在规定时间内未能解密、解密失败或解密超时，</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文件无效；解密时间：从本项目解密程序开始时计时，至完成</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文件解密时间，不得超过</w:t>
      </w:r>
      <w:r>
        <w:rPr>
          <w:rFonts w:hint="eastAsia" w:asciiTheme="minorEastAsia" w:hAnsiTheme="minorEastAsia" w:eastAsiaTheme="minorEastAsia"/>
          <w:color w:val="auto"/>
          <w:sz w:val="24"/>
          <w:highlight w:val="none"/>
          <w:lang w:val="en-US" w:eastAsia="zh-CN"/>
        </w:rPr>
        <w:t>30</w:t>
      </w:r>
      <w:r>
        <w:rPr>
          <w:rFonts w:hint="eastAsia" w:asciiTheme="minorEastAsia" w:hAnsiTheme="minorEastAsia" w:eastAsiaTheme="minorEastAsia"/>
          <w:color w:val="auto"/>
          <w:sz w:val="24"/>
          <w:highlight w:val="none"/>
          <w:lang w:eastAsia="zh-CN"/>
        </w:rPr>
        <w:t>分钟，否则</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文件将被拒绝。</w:t>
      </w:r>
    </w:p>
    <w:p w14:paraId="1C8B5B9D">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3.2</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有下列情形之一的,资格审查后其投标作无效</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处理：</w:t>
      </w:r>
    </w:p>
    <w:p w14:paraId="757C36D8">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(1)</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为本项目提供招标代理服务的；</w:t>
      </w:r>
    </w:p>
    <w:p w14:paraId="1998A5CB">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(2)</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与在本项目代理机构存在相互任职或工作的；</w:t>
      </w:r>
    </w:p>
    <w:p w14:paraId="12D90576">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与采购人存在利害关系可能影响采购公正性的法人、其他组织或者个人；</w:t>
      </w:r>
    </w:p>
    <w:p w14:paraId="2FCF35D7">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采购</w:t>
      </w:r>
      <w:r>
        <w:rPr>
          <w:rFonts w:hint="eastAsia" w:asciiTheme="minorEastAsia" w:hAnsiTheme="minorEastAsia" w:eastAsiaTheme="minorEastAsia"/>
          <w:color w:val="auto"/>
          <w:sz w:val="24"/>
          <w:highlight w:val="none"/>
          <w:lang w:eastAsia="zh-CN"/>
        </w:rPr>
        <w:t>公告写明专门面向中小企业采购，投标人提供的货物非中小企业制造的；</w:t>
      </w:r>
    </w:p>
    <w:p w14:paraId="7EF5B58D">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lang w:eastAsia="zh-CN"/>
        </w:rPr>
        <w:t>)要求供应商以联合体形式参加采购活动，</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非联合体或者联合协议中中小企业合同金额未达到应当达到的比例；</w:t>
      </w:r>
    </w:p>
    <w:p w14:paraId="3042BC3C">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lang w:eastAsia="zh-CN"/>
        </w:rPr>
        <w:t>)要求获得采购合同的供应商向中小企业分包，</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未提供分包意向协议或者分包意向协议中中小企业合同金额未达到应当达到的比例；</w:t>
      </w:r>
    </w:p>
    <w:p w14:paraId="5902200B">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lang w:eastAsia="zh-CN"/>
        </w:rPr>
        <w:t>)评</w:t>
      </w:r>
      <w:r>
        <w:rPr>
          <w:rFonts w:hint="eastAsia" w:asciiTheme="minorEastAsia" w:hAnsiTheme="minorEastAsia" w:eastAsiaTheme="minorEastAsia"/>
          <w:color w:val="auto"/>
          <w:sz w:val="24"/>
          <w:highlight w:val="none"/>
          <w:lang w:val="en-US" w:eastAsia="zh-CN"/>
        </w:rPr>
        <w:t>审</w:t>
      </w:r>
      <w:r>
        <w:rPr>
          <w:rFonts w:hint="eastAsia" w:asciiTheme="minorEastAsia" w:hAnsiTheme="minorEastAsia" w:eastAsiaTheme="minorEastAsia"/>
          <w:color w:val="auto"/>
          <w:sz w:val="24"/>
          <w:highlight w:val="none"/>
          <w:lang w:eastAsia="zh-CN"/>
        </w:rPr>
        <w:t>专家无法查看并检验电子</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文件中相关资料的；</w:t>
      </w:r>
    </w:p>
    <w:p w14:paraId="2516CB97">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8</w:t>
      </w:r>
      <w:r>
        <w:rPr>
          <w:rFonts w:hint="eastAsia" w:asciiTheme="minorEastAsia" w:hAnsiTheme="minorEastAsia" w:eastAsiaTheme="minorEastAsia"/>
          <w:color w:val="auto"/>
          <w:sz w:val="24"/>
          <w:highlight w:val="none"/>
          <w:lang w:eastAsia="zh-CN"/>
        </w:rPr>
        <w:t>)联合体</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未提交联合体协议的；</w:t>
      </w:r>
    </w:p>
    <w:p w14:paraId="0C56FD82">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lang w:eastAsia="zh-CN"/>
        </w:rPr>
        <w:t>)责令停产停业的；</w:t>
      </w:r>
    </w:p>
    <w:p w14:paraId="5AFABD8A">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10</w:t>
      </w:r>
      <w:r>
        <w:rPr>
          <w:rFonts w:hint="eastAsia" w:asciiTheme="minorEastAsia" w:hAnsiTheme="minorEastAsia" w:eastAsiaTheme="minorEastAsia"/>
          <w:color w:val="auto"/>
          <w:sz w:val="24"/>
          <w:highlight w:val="none"/>
          <w:lang w:eastAsia="zh-CN"/>
        </w:rPr>
        <w:t>)暂停或者取消参与政府采购项目资格的；</w:t>
      </w:r>
    </w:p>
    <w:p w14:paraId="3F911732">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11</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单位负责人为同一人或者存在直接控股、管理关系的不同单位的；</w:t>
      </w:r>
    </w:p>
    <w:p w14:paraId="4E32EA60">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基本资格条件和特定资格条件中有一项及以上不符合要求的；</w:t>
      </w:r>
    </w:p>
    <w:p w14:paraId="3EB22B9A">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13</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单方面出现其他</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材料的；</w:t>
      </w:r>
    </w:p>
    <w:p w14:paraId="276681F4">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供应商联系人或联系电话相同的，</w:t>
      </w:r>
      <w:r>
        <w:rPr>
          <w:rFonts w:hint="eastAsia" w:asciiTheme="minorEastAsia" w:hAnsiTheme="minorEastAsia" w:eastAsiaTheme="minorEastAsia"/>
          <w:color w:val="auto"/>
          <w:sz w:val="24"/>
          <w:highlight w:val="none"/>
          <w:lang w:eastAsia="zh-CN"/>
        </w:rPr>
        <w:t>由评</w:t>
      </w:r>
      <w:r>
        <w:rPr>
          <w:rFonts w:hint="eastAsia" w:asciiTheme="minorEastAsia" w:hAnsiTheme="minorEastAsia" w:eastAsiaTheme="minorEastAsia"/>
          <w:color w:val="auto"/>
          <w:sz w:val="24"/>
          <w:highlight w:val="none"/>
          <w:lang w:val="en-US" w:eastAsia="zh-CN"/>
        </w:rPr>
        <w:t>审</w:t>
      </w:r>
      <w:r>
        <w:rPr>
          <w:rFonts w:hint="eastAsia" w:asciiTheme="minorEastAsia" w:hAnsiTheme="minorEastAsia" w:eastAsiaTheme="minorEastAsia"/>
          <w:color w:val="auto"/>
          <w:sz w:val="24"/>
          <w:highlight w:val="none"/>
          <w:lang w:eastAsia="zh-CN"/>
        </w:rPr>
        <w:t>委员会否决其</w:t>
      </w:r>
      <w:r>
        <w:rPr>
          <w:rFonts w:hint="eastAsia" w:asciiTheme="minorEastAsia" w:hAnsiTheme="minorEastAsia" w:eastAsiaTheme="minorEastAsia"/>
          <w:color w:val="auto"/>
          <w:sz w:val="24"/>
          <w:highlight w:val="none"/>
          <w:lang w:val="en-US" w:eastAsia="zh-CN"/>
        </w:rPr>
        <w:t>响应，并报告监管部门作不良行为处理和进一步调查；</w:t>
      </w:r>
    </w:p>
    <w:p w14:paraId="67E8813B">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采购</w:t>
      </w:r>
      <w:r>
        <w:rPr>
          <w:rFonts w:hint="eastAsia" w:asciiTheme="minorEastAsia" w:hAnsiTheme="minorEastAsia" w:eastAsiaTheme="minorEastAsia"/>
          <w:color w:val="auto"/>
          <w:sz w:val="24"/>
          <w:highlight w:val="none"/>
          <w:lang w:eastAsia="zh-CN"/>
        </w:rPr>
        <w:t>公告未写明允许采购进口产品，</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所投产品为进口产品的；</w:t>
      </w:r>
    </w:p>
    <w:p w14:paraId="6C3F99F2">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(1</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采购</w:t>
      </w:r>
      <w:r>
        <w:rPr>
          <w:rFonts w:hint="eastAsia" w:asciiTheme="minorEastAsia" w:hAnsiTheme="minorEastAsia" w:eastAsiaTheme="minorEastAsia"/>
          <w:color w:val="auto"/>
          <w:sz w:val="24"/>
          <w:highlight w:val="none"/>
          <w:lang w:eastAsia="zh-CN"/>
        </w:rPr>
        <w:t>文件规定的其它无效</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情形。</w:t>
      </w:r>
    </w:p>
    <w:p w14:paraId="28E5A599">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 xml:space="preserve">3.3 </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有下列情形之一的,符合性审查后其</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按无效</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处理：</w:t>
      </w:r>
    </w:p>
    <w:p w14:paraId="16E42CDC">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(1)</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文件签字、盖章不全，经评</w:t>
      </w:r>
      <w:r>
        <w:rPr>
          <w:rFonts w:hint="eastAsia" w:asciiTheme="minorEastAsia" w:hAnsiTheme="minorEastAsia" w:eastAsiaTheme="minorEastAsia"/>
          <w:color w:val="auto"/>
          <w:sz w:val="24"/>
          <w:highlight w:val="none"/>
          <w:lang w:val="en-US" w:eastAsia="zh-CN"/>
        </w:rPr>
        <w:t>审</w:t>
      </w:r>
      <w:r>
        <w:rPr>
          <w:rFonts w:hint="eastAsia" w:asciiTheme="minorEastAsia" w:hAnsiTheme="minorEastAsia" w:eastAsiaTheme="minorEastAsia"/>
          <w:color w:val="auto"/>
          <w:sz w:val="24"/>
          <w:highlight w:val="none"/>
          <w:lang w:eastAsia="zh-CN"/>
        </w:rPr>
        <w:t>委员会一致认定对开评</w:t>
      </w:r>
      <w:r>
        <w:rPr>
          <w:rFonts w:hint="eastAsia" w:asciiTheme="minorEastAsia" w:hAnsiTheme="minorEastAsia" w:eastAsiaTheme="minorEastAsia"/>
          <w:color w:val="auto"/>
          <w:sz w:val="24"/>
          <w:highlight w:val="none"/>
          <w:lang w:val="en-US" w:eastAsia="zh-CN"/>
        </w:rPr>
        <w:t>审</w:t>
      </w:r>
      <w:r>
        <w:rPr>
          <w:rFonts w:hint="eastAsia" w:asciiTheme="minorEastAsia" w:hAnsiTheme="minorEastAsia" w:eastAsiaTheme="minorEastAsia"/>
          <w:color w:val="auto"/>
          <w:sz w:val="24"/>
          <w:highlight w:val="none"/>
          <w:lang w:eastAsia="zh-CN"/>
        </w:rPr>
        <w:t>内容有实质性影响；</w:t>
      </w:r>
    </w:p>
    <w:p w14:paraId="2417DA76">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(2)未按规定的格式填写导致实质性内容不全以及实质上不响应，或者关键字迹模糊、无法辨认；</w:t>
      </w:r>
    </w:p>
    <w:p w14:paraId="4040C7A6">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(3)同一</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提交两个以上不同的</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文件或者</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报价，但</w:t>
      </w:r>
      <w:r>
        <w:rPr>
          <w:rFonts w:hint="eastAsia" w:asciiTheme="minorEastAsia" w:hAnsiTheme="minorEastAsia" w:eastAsiaTheme="minorEastAsia"/>
          <w:color w:val="auto"/>
          <w:sz w:val="24"/>
          <w:highlight w:val="none"/>
          <w:lang w:val="en-US" w:eastAsia="zh-CN"/>
        </w:rPr>
        <w:t>采购</w:t>
      </w:r>
      <w:r>
        <w:rPr>
          <w:rFonts w:hint="eastAsia" w:asciiTheme="minorEastAsia" w:hAnsiTheme="minorEastAsia" w:eastAsiaTheme="minorEastAsia"/>
          <w:color w:val="auto"/>
          <w:sz w:val="24"/>
          <w:highlight w:val="none"/>
          <w:lang w:eastAsia="zh-CN"/>
        </w:rPr>
        <w:t>文件规定提交备选方案的除外；</w:t>
      </w:r>
    </w:p>
    <w:p w14:paraId="6D7206BA">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(4)</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文件没有对</w:t>
      </w:r>
      <w:r>
        <w:rPr>
          <w:rFonts w:hint="eastAsia" w:asciiTheme="minorEastAsia" w:hAnsiTheme="minorEastAsia" w:eastAsiaTheme="minorEastAsia"/>
          <w:color w:val="auto"/>
          <w:sz w:val="24"/>
          <w:highlight w:val="none"/>
          <w:lang w:val="en-US" w:eastAsia="zh-CN"/>
        </w:rPr>
        <w:t>采购</w:t>
      </w:r>
      <w:r>
        <w:rPr>
          <w:rFonts w:hint="eastAsia" w:asciiTheme="minorEastAsia" w:hAnsiTheme="minorEastAsia" w:eastAsiaTheme="minorEastAsia"/>
          <w:color w:val="auto"/>
          <w:sz w:val="24"/>
          <w:highlight w:val="none"/>
          <w:lang w:eastAsia="zh-CN"/>
        </w:rPr>
        <w:t>文件的实质性要求和条件作出响应;</w:t>
      </w:r>
    </w:p>
    <w:p w14:paraId="7B3136F7">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(5)</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报价超出规定的限价或公布的采购预算的或</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的</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报价各项单价高于</w:t>
      </w:r>
      <w:r>
        <w:rPr>
          <w:rFonts w:hint="eastAsia" w:asciiTheme="minorEastAsia" w:hAnsiTheme="minorEastAsia" w:eastAsiaTheme="minorEastAsia"/>
          <w:color w:val="auto"/>
          <w:sz w:val="24"/>
          <w:highlight w:val="none"/>
          <w:lang w:val="en-US" w:eastAsia="zh-CN"/>
        </w:rPr>
        <w:t>采购</w:t>
      </w:r>
      <w:r>
        <w:rPr>
          <w:rFonts w:hint="eastAsia" w:asciiTheme="minorEastAsia" w:hAnsiTheme="minorEastAsia" w:eastAsiaTheme="minorEastAsia"/>
          <w:color w:val="auto"/>
          <w:sz w:val="24"/>
          <w:highlight w:val="none"/>
          <w:lang w:eastAsia="zh-CN"/>
        </w:rPr>
        <w:t>文件给定的单价最高限价；</w:t>
      </w:r>
    </w:p>
    <w:p w14:paraId="4B12C48D">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(6)不按评</w:t>
      </w:r>
      <w:r>
        <w:rPr>
          <w:rFonts w:hint="eastAsia" w:asciiTheme="minorEastAsia" w:hAnsiTheme="minorEastAsia" w:eastAsiaTheme="minorEastAsia"/>
          <w:color w:val="auto"/>
          <w:sz w:val="24"/>
          <w:highlight w:val="none"/>
          <w:lang w:val="en-US" w:eastAsia="zh-CN"/>
        </w:rPr>
        <w:t>审</w:t>
      </w:r>
      <w:r>
        <w:rPr>
          <w:rFonts w:hint="eastAsia" w:asciiTheme="minorEastAsia" w:hAnsiTheme="minorEastAsia" w:eastAsiaTheme="minorEastAsia"/>
          <w:color w:val="auto"/>
          <w:sz w:val="24"/>
          <w:highlight w:val="none"/>
          <w:lang w:eastAsia="zh-CN"/>
        </w:rPr>
        <w:t>委员会要求澄清、说明或补正的，或者评</w:t>
      </w:r>
      <w:r>
        <w:rPr>
          <w:rFonts w:hint="eastAsia" w:asciiTheme="minorEastAsia" w:hAnsiTheme="minorEastAsia" w:eastAsiaTheme="minorEastAsia"/>
          <w:color w:val="auto"/>
          <w:sz w:val="24"/>
          <w:highlight w:val="none"/>
          <w:lang w:val="en-US" w:eastAsia="zh-CN"/>
        </w:rPr>
        <w:t>审</w:t>
      </w:r>
      <w:r>
        <w:rPr>
          <w:rFonts w:hint="eastAsia" w:asciiTheme="minorEastAsia" w:hAnsiTheme="minorEastAsia" w:eastAsiaTheme="minorEastAsia"/>
          <w:color w:val="auto"/>
          <w:sz w:val="24"/>
          <w:highlight w:val="none"/>
          <w:lang w:eastAsia="zh-CN"/>
        </w:rPr>
        <w:t>委员会根据</w:t>
      </w:r>
      <w:r>
        <w:rPr>
          <w:rFonts w:hint="eastAsia" w:asciiTheme="minorEastAsia" w:hAnsiTheme="minorEastAsia" w:eastAsiaTheme="minorEastAsia"/>
          <w:color w:val="auto"/>
          <w:sz w:val="24"/>
          <w:highlight w:val="none"/>
          <w:lang w:val="en-US" w:eastAsia="zh-CN"/>
        </w:rPr>
        <w:t>采购</w:t>
      </w:r>
      <w:r>
        <w:rPr>
          <w:rFonts w:hint="eastAsia" w:asciiTheme="minorEastAsia" w:hAnsiTheme="minorEastAsia" w:eastAsiaTheme="minorEastAsia"/>
          <w:color w:val="auto"/>
          <w:sz w:val="24"/>
          <w:highlight w:val="none"/>
          <w:lang w:eastAsia="zh-CN"/>
        </w:rPr>
        <w:t>文件的规定对</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文件的计算错误进行修正后，</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不接受修正的</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报价的。</w:t>
      </w:r>
    </w:p>
    <w:p w14:paraId="03338FFC">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(7)其它情形，经评</w:t>
      </w:r>
      <w:r>
        <w:rPr>
          <w:rFonts w:hint="eastAsia" w:asciiTheme="minorEastAsia" w:hAnsiTheme="minorEastAsia" w:eastAsiaTheme="minorEastAsia"/>
          <w:color w:val="auto"/>
          <w:sz w:val="24"/>
          <w:highlight w:val="none"/>
          <w:lang w:val="en-US" w:eastAsia="zh-CN"/>
        </w:rPr>
        <w:t>审</w:t>
      </w:r>
      <w:r>
        <w:rPr>
          <w:rFonts w:hint="eastAsia" w:asciiTheme="minorEastAsia" w:hAnsiTheme="minorEastAsia" w:eastAsiaTheme="minorEastAsia"/>
          <w:color w:val="auto"/>
          <w:sz w:val="24"/>
          <w:highlight w:val="none"/>
          <w:lang w:eastAsia="zh-CN"/>
        </w:rPr>
        <w:t>委员会提出按无效</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处理；</w:t>
      </w:r>
    </w:p>
    <w:p w14:paraId="46798F9A">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(8)</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文件含有采购人不能接受的附加条件的；</w:t>
      </w:r>
    </w:p>
    <w:p w14:paraId="76EA1539">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(9)</w:t>
      </w:r>
      <w:r>
        <w:rPr>
          <w:rFonts w:hint="eastAsia" w:asciiTheme="minorEastAsia" w:hAnsiTheme="minorEastAsia" w:eastAsiaTheme="minorEastAsia"/>
          <w:color w:val="auto"/>
          <w:sz w:val="24"/>
          <w:highlight w:val="none"/>
          <w:lang w:val="en-US" w:eastAsia="zh-CN"/>
        </w:rPr>
        <w:t>采购</w:t>
      </w:r>
      <w:r>
        <w:rPr>
          <w:rFonts w:hint="eastAsia" w:asciiTheme="minorEastAsia" w:hAnsiTheme="minorEastAsia" w:eastAsiaTheme="minorEastAsia"/>
          <w:color w:val="auto"/>
          <w:sz w:val="24"/>
          <w:highlight w:val="none"/>
          <w:lang w:eastAsia="zh-CN"/>
        </w:rPr>
        <w:t>文件规定的其它无效</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情形。</w:t>
      </w:r>
    </w:p>
    <w:p w14:paraId="5B19BE38">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 xml:space="preserve">3.4 </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有下列情形之一的, 详细评审后其</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按无效处理：</w:t>
      </w:r>
    </w:p>
    <w:p w14:paraId="0B517D5C">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(1)</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产品不符合必须强制执行的国家标准的；</w:t>
      </w:r>
    </w:p>
    <w:p w14:paraId="37082FF9">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(2)</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lang w:eastAsia="zh-CN"/>
        </w:rPr>
        <w:t>有串通投标、弄虚作假、行贿等违法行为；</w:t>
      </w:r>
    </w:p>
    <w:p w14:paraId="59A411BA">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(3)</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文件含有违反国家法律、法规的内容，或附有采购人不能接受的条件的；</w:t>
      </w:r>
    </w:p>
    <w:p w14:paraId="3B0A46E2">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lang w:eastAsia="zh-CN"/>
        </w:rPr>
        <w:t>)拒不确认评</w:t>
      </w:r>
      <w:r>
        <w:rPr>
          <w:rFonts w:hint="eastAsia" w:asciiTheme="minorEastAsia" w:hAnsiTheme="minorEastAsia" w:eastAsiaTheme="minorEastAsia"/>
          <w:color w:val="auto"/>
          <w:sz w:val="24"/>
          <w:highlight w:val="none"/>
          <w:lang w:val="en-US" w:eastAsia="zh-CN"/>
        </w:rPr>
        <w:t>审</w:t>
      </w:r>
      <w:r>
        <w:rPr>
          <w:rFonts w:hint="eastAsia" w:asciiTheme="minorEastAsia" w:hAnsiTheme="minorEastAsia" w:eastAsiaTheme="minorEastAsia"/>
          <w:color w:val="auto"/>
          <w:sz w:val="24"/>
          <w:highlight w:val="none"/>
          <w:lang w:eastAsia="zh-CN"/>
        </w:rPr>
        <w:t>委员会评审修正的</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eastAsia="zh-CN"/>
        </w:rPr>
        <w:t>无效；</w:t>
      </w:r>
    </w:p>
    <w:p w14:paraId="1E22FACD">
      <w:pPr>
        <w:widowControl/>
        <w:ind w:firstLine="480" w:firstLineChars="20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3DC922FB">
      <w:pPr>
        <w:spacing w:line="360" w:lineRule="auto"/>
        <w:jc w:val="center"/>
        <w:outlineLvl w:val="0"/>
        <w:rPr>
          <w:rFonts w:asciiTheme="minorEastAsia" w:hAnsiTheme="minorEastAsia" w:eastAsiaTheme="minorEastAsia"/>
          <w:b/>
          <w:color w:val="auto"/>
          <w:sz w:val="28"/>
          <w:highlight w:val="none"/>
        </w:rPr>
      </w:pPr>
      <w:bookmarkStart w:id="37" w:name="_Toc31277"/>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37"/>
    </w:p>
    <w:p w14:paraId="2B447C46">
      <w:pPr>
        <w:spacing w:line="480" w:lineRule="auto"/>
        <w:jc w:val="center"/>
        <w:rPr>
          <w:b/>
          <w:sz w:val="32"/>
        </w:rPr>
      </w:pPr>
      <w:bookmarkStart w:id="38" w:name="_Toc470528208"/>
      <w:bookmarkStart w:id="39" w:name="_Toc29918569"/>
      <w:bookmarkStart w:id="40" w:name="_Toc246996996"/>
      <w:bookmarkStart w:id="41" w:name="_Toc247085768"/>
      <w:bookmarkStart w:id="42" w:name="_Toc152042388"/>
      <w:bookmarkStart w:id="43" w:name="_Toc179632628"/>
      <w:bookmarkStart w:id="44" w:name="_Toc144974578"/>
      <w:bookmarkStart w:id="45" w:name="_Toc152045610"/>
      <w:bookmarkStart w:id="46" w:name="_Toc246996253"/>
      <w:r>
        <w:rPr>
          <w:rFonts w:hint="eastAsia"/>
          <w:b/>
          <w:sz w:val="32"/>
        </w:rPr>
        <w:t>第一节 合同协议书</w:t>
      </w:r>
      <w:bookmarkEnd w:id="38"/>
      <w:bookmarkEnd w:id="39"/>
    </w:p>
    <w:bookmarkEnd w:id="40"/>
    <w:bookmarkEnd w:id="41"/>
    <w:bookmarkEnd w:id="42"/>
    <w:bookmarkEnd w:id="43"/>
    <w:bookmarkEnd w:id="44"/>
    <w:bookmarkEnd w:id="45"/>
    <w:bookmarkEnd w:id="46"/>
    <w:p w14:paraId="43651B03">
      <w:pPr>
        <w:spacing w:line="480" w:lineRule="exact"/>
        <w:ind w:firstLine="480" w:firstLineChars="200"/>
        <w:rPr>
          <w:rStyle w:val="96"/>
          <w:rFonts w:hint="eastAsia" w:ascii="宋体" w:hAnsi="宋体" w:eastAsia="宋体" w:cs="宋体"/>
          <w:sz w:val="24"/>
          <w:szCs w:val="24"/>
          <w:lang w:eastAsia="zh-CN"/>
        </w:rPr>
      </w:pPr>
      <w:r>
        <w:rPr>
          <w:rFonts w:hint="eastAsia" w:ascii="宋体" w:hAnsi="宋体" w:eastAsia="宋体" w:cs="宋体"/>
          <w:color w:val="000000"/>
          <w:sz w:val="24"/>
          <w:szCs w:val="24"/>
        </w:rPr>
        <w:t>_____________</w:t>
      </w:r>
      <w:r>
        <w:rPr>
          <w:rStyle w:val="96"/>
          <w:rFonts w:hint="eastAsia" w:ascii="宋体" w:hAnsi="宋体" w:eastAsia="宋体" w:cs="宋体"/>
          <w:sz w:val="24"/>
          <w:szCs w:val="24"/>
        </w:rPr>
        <w:t>（发包人名称，以下简称</w:t>
      </w:r>
      <w:r>
        <w:rPr>
          <w:rStyle w:val="283"/>
          <w:rFonts w:hint="eastAsia" w:ascii="宋体" w:hAnsi="宋体" w:eastAsia="宋体" w:cs="宋体"/>
          <w:sz w:val="24"/>
          <w:szCs w:val="24"/>
        </w:rPr>
        <w:t>“</w:t>
      </w:r>
      <w:r>
        <w:rPr>
          <w:rStyle w:val="96"/>
          <w:rFonts w:hint="eastAsia" w:ascii="宋体" w:hAnsi="宋体" w:eastAsia="宋体" w:cs="宋体"/>
          <w:sz w:val="24"/>
          <w:szCs w:val="24"/>
        </w:rPr>
        <w:t>发包人</w:t>
      </w:r>
      <w:r>
        <w:rPr>
          <w:rStyle w:val="283"/>
          <w:rFonts w:hint="eastAsia" w:ascii="宋体" w:hAnsi="宋体" w:eastAsia="宋体" w:cs="宋体"/>
          <w:sz w:val="24"/>
          <w:szCs w:val="24"/>
        </w:rPr>
        <w:t>”</w:t>
      </w:r>
      <w:r>
        <w:rPr>
          <w:rStyle w:val="96"/>
          <w:rFonts w:hint="eastAsia" w:ascii="宋体" w:hAnsi="宋体" w:eastAsia="宋体" w:cs="宋体"/>
          <w:sz w:val="24"/>
          <w:szCs w:val="24"/>
        </w:rPr>
        <w:t>） 为实施__________（项目名称），已接受_____________（承包人名称，以下简称</w:t>
      </w:r>
      <w:r>
        <w:rPr>
          <w:rStyle w:val="283"/>
          <w:rFonts w:hint="eastAsia" w:ascii="宋体" w:hAnsi="宋体" w:eastAsia="宋体" w:cs="宋体"/>
          <w:sz w:val="24"/>
          <w:szCs w:val="24"/>
        </w:rPr>
        <w:t>“</w:t>
      </w:r>
      <w:r>
        <w:rPr>
          <w:rStyle w:val="96"/>
          <w:rFonts w:hint="eastAsia" w:ascii="宋体" w:hAnsi="宋体" w:eastAsia="宋体" w:cs="宋体"/>
          <w:sz w:val="24"/>
          <w:szCs w:val="24"/>
        </w:rPr>
        <w:t>承包人</w:t>
      </w:r>
      <w:r>
        <w:rPr>
          <w:rStyle w:val="283"/>
          <w:rFonts w:hint="eastAsia" w:ascii="宋体" w:hAnsi="宋体" w:eastAsia="宋体" w:cs="宋体"/>
          <w:sz w:val="24"/>
          <w:szCs w:val="24"/>
        </w:rPr>
        <w:t>”</w:t>
      </w:r>
      <w:r>
        <w:rPr>
          <w:rStyle w:val="96"/>
          <w:rFonts w:hint="eastAsia" w:ascii="宋体" w:hAnsi="宋体" w:eastAsia="宋体" w:cs="宋体"/>
          <w:sz w:val="24"/>
          <w:szCs w:val="24"/>
        </w:rPr>
        <w:t>）对该项目_________施工的投标。发包人和承包人共同达成如下协议。</w:t>
      </w:r>
    </w:p>
    <w:p w14:paraId="264C7597">
      <w:pPr>
        <w:spacing w:line="480" w:lineRule="exact"/>
        <w:ind w:firstLine="480" w:firstLineChars="200"/>
        <w:rPr>
          <w:rStyle w:val="283"/>
          <w:rFonts w:hint="eastAsia" w:ascii="宋体" w:hAnsi="宋体" w:eastAsia="宋体" w:cs="宋体"/>
          <w:sz w:val="24"/>
          <w:szCs w:val="24"/>
          <w:lang w:eastAsia="zh-CN"/>
        </w:rPr>
      </w:pPr>
      <w:r>
        <w:rPr>
          <w:rStyle w:val="283"/>
          <w:rFonts w:hint="eastAsia" w:ascii="宋体" w:hAnsi="宋体" w:eastAsia="宋体" w:cs="宋体"/>
          <w:sz w:val="24"/>
          <w:szCs w:val="24"/>
        </w:rPr>
        <w:t>1.项目概况：</w:t>
      </w:r>
    </w:p>
    <w:p w14:paraId="06244A7C">
      <w:pPr>
        <w:spacing w:line="480" w:lineRule="exact"/>
        <w:ind w:firstLine="480" w:firstLineChars="200"/>
        <w:rPr>
          <w:rStyle w:val="96"/>
          <w:rFonts w:hint="eastAsia" w:ascii="宋体" w:hAnsi="宋体" w:eastAsia="宋体" w:cs="宋体"/>
          <w:sz w:val="24"/>
          <w:szCs w:val="24"/>
          <w:lang w:eastAsia="zh-CN"/>
        </w:rPr>
      </w:pPr>
      <w:r>
        <w:rPr>
          <w:rStyle w:val="283"/>
          <w:rFonts w:hint="eastAsia" w:ascii="宋体" w:hAnsi="宋体" w:eastAsia="宋体" w:cs="宋体"/>
          <w:sz w:val="24"/>
          <w:szCs w:val="24"/>
        </w:rPr>
        <w:t>2.</w:t>
      </w:r>
      <w:r>
        <w:rPr>
          <w:rStyle w:val="96"/>
          <w:rFonts w:hint="eastAsia" w:ascii="宋体" w:hAnsi="宋体" w:eastAsia="宋体" w:cs="宋体"/>
          <w:sz w:val="24"/>
          <w:szCs w:val="24"/>
        </w:rPr>
        <w:t>下列文件应视为构成合同文件的组成部分：</w:t>
      </w:r>
    </w:p>
    <w:p w14:paraId="6F4A2E3D">
      <w:pPr>
        <w:spacing w:line="480" w:lineRule="exact"/>
        <w:ind w:left="400" w:leftChars="200"/>
        <w:rPr>
          <w:rStyle w:val="96"/>
          <w:rFonts w:hint="eastAsia" w:ascii="宋体" w:hAnsi="宋体" w:eastAsia="宋体" w:cs="宋体"/>
          <w:sz w:val="24"/>
          <w:szCs w:val="24"/>
          <w:lang w:eastAsia="zh-CN"/>
        </w:rPr>
      </w:pPr>
      <w:r>
        <w:rPr>
          <w:rStyle w:val="96"/>
          <w:rFonts w:hint="eastAsia" w:ascii="宋体" w:hAnsi="宋体" w:eastAsia="宋体" w:cs="宋体"/>
          <w:sz w:val="24"/>
          <w:szCs w:val="24"/>
        </w:rPr>
        <w:t>（1）本协议书及各种合同附件（ 含</w:t>
      </w:r>
      <w:r>
        <w:rPr>
          <w:rStyle w:val="96"/>
          <w:rFonts w:hint="eastAsia" w:ascii="宋体" w:hAnsi="宋体" w:eastAsia="宋体" w:cs="宋体"/>
          <w:sz w:val="24"/>
          <w:szCs w:val="24"/>
          <w:lang w:val="en-US" w:eastAsia="zh-CN"/>
        </w:rPr>
        <w:t>评审</w:t>
      </w:r>
      <w:r>
        <w:rPr>
          <w:rStyle w:val="96"/>
          <w:rFonts w:hint="eastAsia" w:ascii="宋体" w:hAnsi="宋体" w:eastAsia="宋体" w:cs="宋体"/>
          <w:sz w:val="24"/>
          <w:szCs w:val="24"/>
        </w:rPr>
        <w:t>期间和合同谈判过程中的澄清文件和补充资料）；</w:t>
      </w:r>
    </w:p>
    <w:p w14:paraId="02BE61D2">
      <w:pPr>
        <w:spacing w:line="480" w:lineRule="exact"/>
        <w:ind w:left="400" w:leftChars="200"/>
        <w:rPr>
          <w:rStyle w:val="96"/>
          <w:rFonts w:hint="eastAsia" w:ascii="宋体" w:hAnsi="宋体" w:eastAsia="宋体" w:cs="宋体"/>
          <w:sz w:val="24"/>
          <w:szCs w:val="24"/>
          <w:lang w:eastAsia="zh-CN"/>
        </w:rPr>
      </w:pPr>
      <w:r>
        <w:rPr>
          <w:rStyle w:val="96"/>
          <w:rFonts w:hint="eastAsia" w:ascii="宋体" w:hAnsi="宋体" w:eastAsia="宋体" w:cs="宋体"/>
          <w:sz w:val="24"/>
          <w:szCs w:val="24"/>
        </w:rPr>
        <w:t>（2）</w:t>
      </w:r>
      <w:r>
        <w:rPr>
          <w:rStyle w:val="96"/>
          <w:rFonts w:hint="eastAsia" w:ascii="宋体" w:hAnsi="宋体" w:eastAsia="宋体" w:cs="宋体"/>
          <w:sz w:val="24"/>
          <w:szCs w:val="24"/>
          <w:lang w:val="en-US" w:eastAsia="zh-CN"/>
        </w:rPr>
        <w:t>成交</w:t>
      </w:r>
      <w:r>
        <w:rPr>
          <w:rStyle w:val="96"/>
          <w:rFonts w:hint="eastAsia" w:ascii="宋体" w:hAnsi="宋体" w:eastAsia="宋体" w:cs="宋体"/>
          <w:sz w:val="24"/>
          <w:szCs w:val="24"/>
        </w:rPr>
        <w:t>通知书；</w:t>
      </w:r>
    </w:p>
    <w:p w14:paraId="208F7C13">
      <w:pPr>
        <w:spacing w:line="480" w:lineRule="exact"/>
        <w:ind w:left="400" w:leftChars="200"/>
        <w:rPr>
          <w:rStyle w:val="96"/>
          <w:rFonts w:hint="eastAsia" w:ascii="宋体" w:hAnsi="宋体" w:eastAsia="宋体" w:cs="宋体"/>
          <w:sz w:val="24"/>
          <w:szCs w:val="24"/>
          <w:lang w:eastAsia="zh-CN"/>
        </w:rPr>
      </w:pPr>
      <w:r>
        <w:rPr>
          <w:rStyle w:val="96"/>
          <w:rFonts w:hint="eastAsia" w:ascii="宋体" w:hAnsi="宋体" w:eastAsia="宋体" w:cs="宋体"/>
          <w:sz w:val="24"/>
          <w:szCs w:val="24"/>
        </w:rPr>
        <w:t>（3）</w:t>
      </w:r>
      <w:r>
        <w:rPr>
          <w:rStyle w:val="96"/>
          <w:rFonts w:hint="eastAsia" w:ascii="宋体" w:hAnsi="宋体" w:eastAsia="宋体" w:cs="宋体"/>
          <w:sz w:val="24"/>
          <w:szCs w:val="24"/>
          <w:lang w:val="en-US" w:eastAsia="zh-CN"/>
        </w:rPr>
        <w:t>响应函</w:t>
      </w:r>
      <w:r>
        <w:rPr>
          <w:rStyle w:val="96"/>
          <w:rFonts w:hint="eastAsia" w:ascii="宋体" w:hAnsi="宋体" w:eastAsia="宋体" w:cs="宋体"/>
          <w:sz w:val="24"/>
          <w:szCs w:val="24"/>
        </w:rPr>
        <w:t>；</w:t>
      </w:r>
    </w:p>
    <w:p w14:paraId="341A9A05">
      <w:pPr>
        <w:spacing w:line="480" w:lineRule="exact"/>
        <w:ind w:left="400" w:leftChars="200"/>
        <w:rPr>
          <w:rStyle w:val="96"/>
          <w:rFonts w:hint="eastAsia" w:ascii="宋体" w:hAnsi="宋体" w:eastAsia="宋体" w:cs="宋体"/>
          <w:sz w:val="24"/>
          <w:szCs w:val="24"/>
        </w:rPr>
      </w:pPr>
      <w:r>
        <w:rPr>
          <w:rStyle w:val="96"/>
          <w:rFonts w:hint="eastAsia" w:ascii="宋体" w:hAnsi="宋体" w:eastAsia="宋体" w:cs="宋体"/>
          <w:sz w:val="24"/>
          <w:szCs w:val="24"/>
        </w:rPr>
        <w:t>（4）项目专用合同条款；</w:t>
      </w:r>
    </w:p>
    <w:p w14:paraId="12AD50F2">
      <w:pPr>
        <w:spacing w:line="480" w:lineRule="exact"/>
        <w:ind w:left="400" w:leftChars="200"/>
        <w:rPr>
          <w:rStyle w:val="96"/>
          <w:rFonts w:hint="eastAsia" w:ascii="宋体" w:hAnsi="宋体" w:eastAsia="宋体" w:cs="宋体"/>
          <w:sz w:val="24"/>
          <w:szCs w:val="24"/>
        </w:rPr>
      </w:pPr>
      <w:r>
        <w:rPr>
          <w:rStyle w:val="96"/>
          <w:rFonts w:hint="eastAsia" w:ascii="宋体" w:hAnsi="宋体" w:eastAsia="宋体" w:cs="宋体"/>
          <w:sz w:val="24"/>
          <w:szCs w:val="24"/>
        </w:rPr>
        <w:t>（5）公路工程专用合同条款；</w:t>
      </w:r>
    </w:p>
    <w:p w14:paraId="65B2D618">
      <w:pPr>
        <w:spacing w:line="480" w:lineRule="exact"/>
        <w:ind w:left="400" w:leftChars="200"/>
        <w:rPr>
          <w:rStyle w:val="96"/>
          <w:rFonts w:hint="eastAsia" w:ascii="宋体" w:hAnsi="宋体" w:eastAsia="宋体" w:cs="宋体"/>
          <w:sz w:val="24"/>
          <w:szCs w:val="24"/>
          <w:lang w:eastAsia="zh-CN"/>
        </w:rPr>
      </w:pPr>
      <w:r>
        <w:rPr>
          <w:rStyle w:val="96"/>
          <w:rFonts w:hint="eastAsia" w:ascii="宋体" w:hAnsi="宋体" w:eastAsia="宋体" w:cs="宋体"/>
          <w:sz w:val="24"/>
          <w:szCs w:val="24"/>
        </w:rPr>
        <w:t>（6）通用合同条款；</w:t>
      </w:r>
    </w:p>
    <w:p w14:paraId="5D112F32">
      <w:pPr>
        <w:spacing w:line="480" w:lineRule="exact"/>
        <w:ind w:left="400" w:leftChars="200"/>
        <w:rPr>
          <w:rStyle w:val="96"/>
          <w:rFonts w:hint="eastAsia" w:ascii="宋体" w:hAnsi="宋体" w:eastAsia="宋体" w:cs="宋体"/>
          <w:sz w:val="24"/>
          <w:szCs w:val="24"/>
          <w:lang w:eastAsia="zh-CN"/>
        </w:rPr>
      </w:pPr>
      <w:r>
        <w:rPr>
          <w:rStyle w:val="96"/>
          <w:rFonts w:hint="eastAsia" w:ascii="宋体" w:hAnsi="宋体" w:eastAsia="宋体" w:cs="宋体"/>
          <w:sz w:val="24"/>
          <w:szCs w:val="24"/>
        </w:rPr>
        <w:t>（7）工程量清单计量规则；</w:t>
      </w:r>
    </w:p>
    <w:p w14:paraId="1A13BACB">
      <w:pPr>
        <w:spacing w:line="480" w:lineRule="exact"/>
        <w:ind w:left="400" w:leftChars="200"/>
        <w:rPr>
          <w:rStyle w:val="96"/>
          <w:rFonts w:hint="eastAsia" w:ascii="宋体" w:hAnsi="宋体" w:eastAsia="宋体" w:cs="宋体"/>
          <w:sz w:val="24"/>
          <w:szCs w:val="24"/>
          <w:lang w:eastAsia="zh-CN"/>
        </w:rPr>
      </w:pPr>
      <w:r>
        <w:rPr>
          <w:rStyle w:val="96"/>
          <w:rFonts w:hint="eastAsia" w:ascii="宋体" w:hAnsi="宋体" w:eastAsia="宋体" w:cs="宋体"/>
          <w:sz w:val="24"/>
          <w:szCs w:val="24"/>
        </w:rPr>
        <w:t>（8）技术规范；</w:t>
      </w:r>
    </w:p>
    <w:p w14:paraId="737D24EF">
      <w:pPr>
        <w:spacing w:line="480" w:lineRule="exact"/>
        <w:ind w:left="400" w:leftChars="200"/>
        <w:rPr>
          <w:rStyle w:val="96"/>
          <w:rFonts w:hint="eastAsia" w:ascii="宋体" w:hAnsi="宋体" w:eastAsia="宋体" w:cs="宋体"/>
          <w:sz w:val="24"/>
          <w:szCs w:val="24"/>
          <w:lang w:eastAsia="zh-CN"/>
        </w:rPr>
      </w:pPr>
      <w:r>
        <w:rPr>
          <w:rStyle w:val="96"/>
          <w:rFonts w:hint="eastAsia" w:ascii="宋体" w:hAnsi="宋体" w:eastAsia="宋体" w:cs="宋体"/>
          <w:sz w:val="24"/>
          <w:szCs w:val="24"/>
        </w:rPr>
        <w:t>（9）图纸；</w:t>
      </w:r>
    </w:p>
    <w:p w14:paraId="0DAD2B79">
      <w:pPr>
        <w:spacing w:line="480" w:lineRule="exact"/>
        <w:ind w:left="400" w:leftChars="200"/>
        <w:rPr>
          <w:rStyle w:val="96"/>
          <w:rFonts w:hint="eastAsia" w:ascii="宋体" w:hAnsi="宋体" w:eastAsia="宋体" w:cs="宋体"/>
          <w:sz w:val="24"/>
          <w:szCs w:val="24"/>
          <w:lang w:eastAsia="zh-CN"/>
        </w:rPr>
      </w:pPr>
      <w:r>
        <w:rPr>
          <w:rStyle w:val="96"/>
          <w:rFonts w:hint="eastAsia" w:ascii="宋体" w:hAnsi="宋体" w:eastAsia="宋体" w:cs="宋体"/>
          <w:sz w:val="24"/>
          <w:szCs w:val="24"/>
        </w:rPr>
        <w:t>（10）已标价工程量清单；</w:t>
      </w:r>
    </w:p>
    <w:p w14:paraId="6E500BC7">
      <w:pPr>
        <w:spacing w:line="480" w:lineRule="exact"/>
        <w:ind w:left="400" w:leftChars="200"/>
        <w:rPr>
          <w:rFonts w:hint="eastAsia" w:ascii="宋体" w:hAnsi="宋体" w:eastAsia="宋体" w:cs="宋体"/>
          <w:color w:val="000000"/>
          <w:sz w:val="24"/>
          <w:szCs w:val="24"/>
        </w:rPr>
      </w:pPr>
      <w:r>
        <w:rPr>
          <w:rStyle w:val="96"/>
          <w:rFonts w:hint="eastAsia" w:ascii="宋体" w:hAnsi="宋体" w:eastAsia="宋体" w:cs="宋体"/>
          <w:sz w:val="24"/>
          <w:szCs w:val="24"/>
        </w:rPr>
        <w:t>（</w:t>
      </w:r>
      <w:r>
        <w:rPr>
          <w:rStyle w:val="283"/>
          <w:rFonts w:hint="eastAsia" w:ascii="宋体" w:hAnsi="宋体" w:eastAsia="宋体" w:cs="宋体"/>
          <w:sz w:val="24"/>
          <w:szCs w:val="24"/>
        </w:rPr>
        <w:t>11</w:t>
      </w:r>
      <w:r>
        <w:rPr>
          <w:rStyle w:val="96"/>
          <w:rFonts w:hint="eastAsia" w:ascii="宋体" w:hAnsi="宋体" w:eastAsia="宋体" w:cs="宋体"/>
          <w:sz w:val="24"/>
          <w:szCs w:val="24"/>
        </w:rPr>
        <w:t>）承包人有关人员、设备投入的承诺及投标文件中的施工组织设计；</w:t>
      </w:r>
    </w:p>
    <w:p w14:paraId="3EDA61A9">
      <w:pPr>
        <w:spacing w:line="480" w:lineRule="exact"/>
        <w:ind w:firstLine="480" w:firstLineChars="200"/>
        <w:rPr>
          <w:rFonts w:hint="eastAsia" w:ascii="宋体" w:hAnsi="宋体" w:eastAsia="宋体" w:cs="宋体"/>
          <w:color w:val="000000"/>
          <w:sz w:val="24"/>
          <w:szCs w:val="24"/>
        </w:rPr>
      </w:pPr>
      <w:r>
        <w:rPr>
          <w:rStyle w:val="96"/>
          <w:rFonts w:hint="eastAsia" w:ascii="宋体" w:hAnsi="宋体" w:eastAsia="宋体" w:cs="宋体"/>
          <w:sz w:val="24"/>
          <w:szCs w:val="24"/>
        </w:rPr>
        <w:t>（</w:t>
      </w:r>
      <w:r>
        <w:rPr>
          <w:rStyle w:val="283"/>
          <w:rFonts w:hint="eastAsia" w:ascii="宋体" w:hAnsi="宋体" w:eastAsia="宋体" w:cs="宋体"/>
          <w:sz w:val="24"/>
          <w:szCs w:val="24"/>
        </w:rPr>
        <w:t>12</w:t>
      </w:r>
      <w:r>
        <w:rPr>
          <w:rStyle w:val="96"/>
          <w:rFonts w:hint="eastAsia" w:ascii="宋体" w:hAnsi="宋体" w:eastAsia="宋体" w:cs="宋体"/>
          <w:sz w:val="24"/>
          <w:szCs w:val="24"/>
        </w:rPr>
        <w:t>）其他合同文件。</w:t>
      </w:r>
    </w:p>
    <w:p w14:paraId="20977F19">
      <w:pPr>
        <w:spacing w:line="480" w:lineRule="exact"/>
        <w:ind w:firstLine="480" w:firstLineChars="200"/>
        <w:rPr>
          <w:rStyle w:val="96"/>
          <w:rFonts w:hint="eastAsia" w:ascii="宋体" w:hAnsi="宋体" w:eastAsia="宋体" w:cs="宋体"/>
          <w:sz w:val="24"/>
          <w:szCs w:val="24"/>
          <w:lang w:eastAsia="zh-CN"/>
        </w:rPr>
      </w:pPr>
      <w:r>
        <w:rPr>
          <w:rStyle w:val="96"/>
          <w:rFonts w:hint="eastAsia" w:ascii="宋体" w:hAnsi="宋体" w:eastAsia="宋体" w:cs="宋体"/>
          <w:sz w:val="24"/>
          <w:szCs w:val="24"/>
        </w:rPr>
        <w:t>上述合同文件互相补充和解释。如果合同文件之间存在矛盾或不一致之处，以上述文件的排列顺序在先者为准。</w:t>
      </w:r>
    </w:p>
    <w:p w14:paraId="76FF5987">
      <w:pPr>
        <w:spacing w:line="480" w:lineRule="exact"/>
        <w:ind w:firstLine="480" w:firstLineChars="200"/>
        <w:rPr>
          <w:rStyle w:val="96"/>
          <w:rFonts w:hint="eastAsia" w:ascii="宋体" w:hAnsi="宋体" w:eastAsia="宋体" w:cs="宋体"/>
          <w:sz w:val="24"/>
          <w:szCs w:val="24"/>
          <w:lang w:eastAsia="zh-CN"/>
        </w:rPr>
      </w:pPr>
      <w:r>
        <w:rPr>
          <w:rStyle w:val="283"/>
          <w:rFonts w:hint="eastAsia" w:ascii="宋体" w:hAnsi="宋体" w:eastAsia="宋体" w:cs="宋体"/>
          <w:sz w:val="24"/>
          <w:szCs w:val="24"/>
        </w:rPr>
        <w:t>3.</w:t>
      </w:r>
      <w:r>
        <w:rPr>
          <w:rStyle w:val="96"/>
          <w:rFonts w:hint="eastAsia" w:ascii="宋体" w:hAnsi="宋体" w:eastAsia="宋体" w:cs="宋体"/>
          <w:sz w:val="24"/>
          <w:szCs w:val="24"/>
        </w:rPr>
        <w:t>根据工程量清单所列的预计数量和单价或总额价计算的签约合同价：人民币（大写</w:t>
      </w:r>
      <w:r>
        <w:rPr>
          <w:rStyle w:val="96"/>
          <w:rFonts w:hint="eastAsia" w:ascii="宋体" w:hAnsi="宋体" w:eastAsia="宋体" w:cs="宋体"/>
          <w:sz w:val="24"/>
          <w:szCs w:val="24"/>
          <w:u w:val="single"/>
        </w:rPr>
        <w:t xml:space="preserve">）                  </w:t>
      </w:r>
      <w:r>
        <w:rPr>
          <w:rStyle w:val="283"/>
          <w:rFonts w:hint="eastAsia" w:ascii="宋体" w:hAnsi="宋体" w:eastAsia="宋体" w:cs="宋体"/>
          <w:sz w:val="24"/>
          <w:szCs w:val="24"/>
          <w:u w:val="single"/>
        </w:rPr>
        <w:t xml:space="preserve">   </w:t>
      </w:r>
      <w:r>
        <w:rPr>
          <w:rStyle w:val="96"/>
          <w:rFonts w:hint="eastAsia" w:ascii="宋体" w:hAnsi="宋体" w:eastAsia="宋体" w:cs="宋体"/>
          <w:sz w:val="24"/>
          <w:szCs w:val="24"/>
        </w:rPr>
        <w:t>元（</w:t>
      </w:r>
      <w:r>
        <w:rPr>
          <w:rStyle w:val="283"/>
          <w:rFonts w:hint="eastAsia" w:ascii="宋体" w:hAnsi="宋体" w:eastAsia="宋体" w:cs="宋体"/>
          <w:sz w:val="24"/>
          <w:szCs w:val="24"/>
        </w:rPr>
        <w:t>¥</w:t>
      </w:r>
      <w:r>
        <w:rPr>
          <w:rStyle w:val="283"/>
          <w:rFonts w:hint="eastAsia" w:ascii="宋体" w:hAnsi="宋体" w:eastAsia="宋体" w:cs="宋体"/>
          <w:sz w:val="24"/>
          <w:szCs w:val="24"/>
          <w:u w:val="single"/>
        </w:rPr>
        <w:t xml:space="preserve">                </w:t>
      </w:r>
      <w:r>
        <w:rPr>
          <w:rStyle w:val="96"/>
          <w:rFonts w:hint="eastAsia" w:ascii="宋体" w:hAnsi="宋体" w:eastAsia="宋体" w:cs="宋体"/>
          <w:sz w:val="24"/>
          <w:szCs w:val="24"/>
        </w:rPr>
        <w:t>）。</w:t>
      </w:r>
    </w:p>
    <w:p w14:paraId="65EBBC81">
      <w:pPr>
        <w:spacing w:line="480" w:lineRule="exact"/>
        <w:ind w:firstLine="480" w:firstLineChars="200"/>
        <w:rPr>
          <w:rStyle w:val="96"/>
          <w:rFonts w:hint="eastAsia" w:ascii="宋体" w:hAnsi="宋体" w:eastAsia="宋体" w:cs="宋体"/>
          <w:sz w:val="24"/>
          <w:szCs w:val="24"/>
          <w:lang w:eastAsia="zh-CN"/>
        </w:rPr>
      </w:pPr>
      <w:r>
        <w:rPr>
          <w:rStyle w:val="283"/>
          <w:rFonts w:hint="eastAsia" w:ascii="宋体" w:hAnsi="宋体" w:eastAsia="宋体" w:cs="宋体"/>
          <w:sz w:val="24"/>
          <w:szCs w:val="24"/>
        </w:rPr>
        <w:t>4.</w:t>
      </w:r>
      <w:r>
        <w:rPr>
          <w:rStyle w:val="96"/>
          <w:rFonts w:hint="eastAsia" w:ascii="宋体" w:hAnsi="宋体" w:eastAsia="宋体" w:cs="宋体"/>
          <w:sz w:val="24"/>
          <w:szCs w:val="24"/>
        </w:rPr>
        <w:t>承包人项目经理：________。承包人项目总工：________。</w:t>
      </w:r>
    </w:p>
    <w:p w14:paraId="10DCC0A6">
      <w:pPr>
        <w:spacing w:line="480" w:lineRule="exact"/>
        <w:ind w:firstLine="480" w:firstLineChars="200"/>
        <w:rPr>
          <w:rStyle w:val="96"/>
          <w:rFonts w:hint="eastAsia" w:ascii="宋体" w:hAnsi="宋体" w:eastAsia="宋体" w:cs="宋体"/>
          <w:sz w:val="24"/>
          <w:szCs w:val="24"/>
          <w:lang w:eastAsia="zh-CN"/>
        </w:rPr>
      </w:pPr>
      <w:r>
        <w:rPr>
          <w:rStyle w:val="283"/>
          <w:rFonts w:hint="eastAsia" w:ascii="宋体" w:hAnsi="宋体" w:eastAsia="宋体" w:cs="宋体"/>
          <w:sz w:val="24"/>
          <w:szCs w:val="24"/>
        </w:rPr>
        <w:t>5.</w:t>
      </w:r>
      <w:r>
        <w:rPr>
          <w:rStyle w:val="96"/>
          <w:rFonts w:hint="eastAsia" w:ascii="宋体" w:hAnsi="宋体" w:eastAsia="宋体" w:cs="宋体"/>
          <w:sz w:val="24"/>
          <w:szCs w:val="24"/>
        </w:rPr>
        <w:t>工程质量符合________标准。工程安全目标：__</w:t>
      </w:r>
      <w:r>
        <w:rPr>
          <w:rStyle w:val="96"/>
          <w:rFonts w:hint="eastAsia" w:ascii="宋体" w:hAnsi="宋体" w:eastAsia="宋体" w:cs="宋体"/>
          <w:sz w:val="24"/>
          <w:szCs w:val="24"/>
          <w:u w:val="single"/>
        </w:rPr>
        <w:t xml:space="preserve">  </w:t>
      </w:r>
      <w:r>
        <w:rPr>
          <w:rStyle w:val="96"/>
          <w:rFonts w:hint="eastAsia" w:ascii="宋体" w:hAnsi="宋体" w:eastAsia="宋体" w:cs="宋体"/>
          <w:sz w:val="24"/>
          <w:szCs w:val="24"/>
        </w:rPr>
        <w:t>______。</w:t>
      </w:r>
    </w:p>
    <w:p w14:paraId="64609393">
      <w:pPr>
        <w:spacing w:line="480" w:lineRule="exact"/>
        <w:ind w:firstLine="480" w:firstLineChars="200"/>
        <w:rPr>
          <w:rStyle w:val="96"/>
          <w:rFonts w:hint="eastAsia" w:ascii="宋体" w:hAnsi="宋体" w:eastAsia="宋体" w:cs="宋体"/>
          <w:sz w:val="24"/>
          <w:szCs w:val="24"/>
          <w:lang w:eastAsia="zh-CN"/>
        </w:rPr>
      </w:pPr>
      <w:r>
        <w:rPr>
          <w:rStyle w:val="283"/>
          <w:rFonts w:hint="eastAsia" w:ascii="宋体" w:hAnsi="宋体" w:eastAsia="宋体" w:cs="宋体"/>
          <w:sz w:val="24"/>
          <w:szCs w:val="24"/>
        </w:rPr>
        <w:t>6.</w:t>
      </w:r>
      <w:r>
        <w:rPr>
          <w:rStyle w:val="96"/>
          <w:rFonts w:hint="eastAsia" w:ascii="宋体" w:hAnsi="宋体" w:eastAsia="宋体" w:cs="宋体"/>
          <w:sz w:val="24"/>
          <w:szCs w:val="24"/>
        </w:rPr>
        <w:t>承包人承诺按合同约定承担工程的实施、完成及缺陷修复。</w:t>
      </w:r>
    </w:p>
    <w:p w14:paraId="75F685A4">
      <w:pPr>
        <w:spacing w:line="480" w:lineRule="exact"/>
        <w:ind w:firstLine="480" w:firstLineChars="200"/>
        <w:rPr>
          <w:rStyle w:val="95"/>
          <w:rFonts w:hint="eastAsia" w:ascii="宋体" w:hAnsi="宋体" w:eastAsia="宋体" w:cs="宋体"/>
          <w:sz w:val="24"/>
          <w:szCs w:val="24"/>
        </w:rPr>
      </w:pPr>
      <w:r>
        <w:rPr>
          <w:rStyle w:val="283"/>
          <w:rFonts w:hint="eastAsia" w:ascii="宋体" w:hAnsi="宋体" w:eastAsia="宋体" w:cs="宋体"/>
          <w:sz w:val="24"/>
          <w:szCs w:val="24"/>
        </w:rPr>
        <w:t>7.</w:t>
      </w:r>
      <w:r>
        <w:rPr>
          <w:rStyle w:val="96"/>
          <w:rFonts w:hint="eastAsia" w:ascii="宋体" w:hAnsi="宋体" w:eastAsia="宋体" w:cs="宋体"/>
          <w:sz w:val="24"/>
          <w:szCs w:val="24"/>
        </w:rPr>
        <w:t>发包人承诺按合同约定的条件、时间和方式向承包人支付合同价款。</w:t>
      </w:r>
    </w:p>
    <w:p w14:paraId="5DE5A183">
      <w:pPr>
        <w:spacing w:line="480" w:lineRule="exact"/>
        <w:ind w:left="534" w:leftChars="267"/>
        <w:rPr>
          <w:rStyle w:val="96"/>
          <w:rFonts w:hint="eastAsia" w:ascii="宋体" w:hAnsi="宋体" w:eastAsia="宋体" w:cs="宋体"/>
          <w:sz w:val="24"/>
          <w:szCs w:val="24"/>
          <w:lang w:eastAsia="zh-CN"/>
        </w:rPr>
      </w:pPr>
      <w:r>
        <w:rPr>
          <w:rStyle w:val="283"/>
          <w:rFonts w:hint="eastAsia" w:ascii="宋体" w:hAnsi="宋体" w:eastAsia="宋体" w:cs="宋体"/>
          <w:sz w:val="24"/>
          <w:szCs w:val="24"/>
        </w:rPr>
        <w:t>8.</w:t>
      </w:r>
      <w:r>
        <w:rPr>
          <w:rStyle w:val="96"/>
          <w:rFonts w:hint="eastAsia" w:ascii="宋体" w:hAnsi="宋体" w:eastAsia="宋体" w:cs="宋体"/>
          <w:sz w:val="24"/>
          <w:szCs w:val="24"/>
        </w:rPr>
        <w:t>承包人应按照监理人指示开工，工期为</w:t>
      </w:r>
      <w:r>
        <w:rPr>
          <w:rStyle w:val="96"/>
          <w:rFonts w:hint="eastAsia" w:ascii="宋体" w:hAnsi="宋体" w:eastAsia="宋体" w:cs="宋体"/>
          <w:sz w:val="24"/>
          <w:szCs w:val="24"/>
          <w:u w:val="single"/>
        </w:rPr>
        <w:t xml:space="preserve"> </w:t>
      </w:r>
      <w:r>
        <w:rPr>
          <w:rStyle w:val="96"/>
          <w:rFonts w:hint="eastAsia" w:ascii="宋体" w:hAnsi="宋体" w:eastAsia="宋体" w:cs="宋体"/>
          <w:sz w:val="24"/>
          <w:szCs w:val="24"/>
          <w:u w:val="single"/>
          <w:lang w:val="en-US" w:eastAsia="zh-CN"/>
        </w:rPr>
        <w:t xml:space="preserve">  </w:t>
      </w:r>
      <w:r>
        <w:rPr>
          <w:rStyle w:val="96"/>
          <w:rFonts w:hint="eastAsia" w:ascii="宋体" w:hAnsi="宋体" w:eastAsia="宋体" w:cs="宋体"/>
          <w:sz w:val="24"/>
          <w:szCs w:val="24"/>
        </w:rPr>
        <w:t>日历天。</w:t>
      </w:r>
    </w:p>
    <w:p w14:paraId="35E1E78A">
      <w:pPr>
        <w:spacing w:line="480" w:lineRule="exact"/>
        <w:ind w:left="534" w:leftChars="267"/>
        <w:rPr>
          <w:rFonts w:hint="eastAsia" w:ascii="宋体" w:hAnsi="宋体" w:eastAsia="宋体" w:cs="宋体"/>
          <w:color w:val="000000"/>
          <w:sz w:val="24"/>
          <w:szCs w:val="24"/>
        </w:rPr>
      </w:pPr>
      <w:r>
        <w:rPr>
          <w:rStyle w:val="283"/>
          <w:rFonts w:hint="eastAsia" w:ascii="宋体" w:hAnsi="宋体" w:eastAsia="宋体" w:cs="宋体"/>
          <w:sz w:val="24"/>
          <w:szCs w:val="24"/>
        </w:rPr>
        <w:t>9.</w:t>
      </w:r>
      <w:r>
        <w:rPr>
          <w:rStyle w:val="96"/>
          <w:rFonts w:hint="eastAsia" w:ascii="宋体" w:hAnsi="宋体" w:eastAsia="宋体" w:cs="宋体"/>
          <w:sz w:val="24"/>
          <w:szCs w:val="24"/>
        </w:rPr>
        <w:t>本协议书由双方法定代表人或其委托代理人签署并加盖单位章后生效。全部工程完工后经交工验收合格、缺陷责任期满签发缺陷责任终止证书后失效。</w:t>
      </w:r>
    </w:p>
    <w:p w14:paraId="072EF208">
      <w:pPr>
        <w:spacing w:line="480" w:lineRule="exact"/>
        <w:ind w:left="480" w:leftChars="240" w:firstLine="0" w:firstLineChars="0"/>
        <w:rPr>
          <w:rFonts w:hint="eastAsia" w:ascii="宋体" w:hAnsi="宋体" w:eastAsia="宋体" w:cs="宋体"/>
          <w:bCs/>
          <w:color w:val="000000"/>
          <w:sz w:val="24"/>
          <w:szCs w:val="24"/>
          <w:lang w:eastAsia="zh-CN"/>
        </w:rPr>
      </w:pPr>
      <w:r>
        <w:rPr>
          <w:rStyle w:val="283"/>
          <w:rFonts w:hint="eastAsia" w:ascii="宋体" w:hAnsi="宋体" w:eastAsia="宋体" w:cs="宋体"/>
          <w:sz w:val="24"/>
          <w:szCs w:val="24"/>
        </w:rPr>
        <w:t>10.</w:t>
      </w:r>
      <w:r>
        <w:rPr>
          <w:rFonts w:hint="eastAsia" w:ascii="宋体" w:hAnsi="宋体" w:eastAsia="宋体" w:cs="宋体"/>
          <w:bCs/>
          <w:color w:val="000000"/>
          <w:sz w:val="24"/>
          <w:szCs w:val="24"/>
        </w:rPr>
        <w:t xml:space="preserve"> 本合同一式</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u w:val="single"/>
          <w:lang w:val="en-US" w:eastAsia="zh-CN"/>
        </w:rPr>
        <w:t>肆</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份，均具有同等法律效力，发包人执</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u w:val="single"/>
          <w:lang w:val="en-US" w:eastAsia="zh-CN"/>
        </w:rPr>
        <w:t>贰</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份，承包人执</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u w:val="single"/>
          <w:lang w:val="en-US" w:eastAsia="zh-CN"/>
        </w:rPr>
        <w:t>贰</w:t>
      </w:r>
      <w:r>
        <w:rPr>
          <w:rFonts w:hint="eastAsia" w:ascii="宋体" w:hAnsi="宋体" w:eastAsia="宋体" w:cs="宋体"/>
          <w:bCs/>
          <w:color w:val="000000"/>
          <w:sz w:val="24"/>
          <w:szCs w:val="24"/>
          <w:u w:val="single"/>
        </w:rPr>
        <w:t xml:space="preserve"> </w:t>
      </w:r>
      <w:r>
        <w:rPr>
          <w:rFonts w:hint="eastAsia" w:ascii="宋体" w:hAnsi="宋体" w:eastAsia="宋体" w:cs="宋体"/>
          <w:bCs/>
          <w:color w:val="000000"/>
          <w:sz w:val="24"/>
          <w:szCs w:val="24"/>
        </w:rPr>
        <w:t>份。</w:t>
      </w:r>
    </w:p>
    <w:p w14:paraId="29303238">
      <w:pPr>
        <w:spacing w:line="480" w:lineRule="exact"/>
        <w:ind w:left="480" w:leftChars="240" w:firstLine="0" w:firstLineChars="0"/>
        <w:rPr>
          <w:rStyle w:val="96"/>
          <w:rFonts w:hint="eastAsia" w:ascii="宋体" w:hAnsi="宋体" w:eastAsia="宋体" w:cs="宋体"/>
          <w:sz w:val="24"/>
          <w:szCs w:val="24"/>
          <w:lang w:eastAsia="zh-CN"/>
        </w:rPr>
      </w:pPr>
      <w:r>
        <w:rPr>
          <w:rStyle w:val="283"/>
          <w:rFonts w:hint="eastAsia" w:ascii="宋体" w:hAnsi="宋体" w:eastAsia="宋体" w:cs="宋体"/>
          <w:sz w:val="24"/>
          <w:szCs w:val="24"/>
        </w:rPr>
        <w:t>11.</w:t>
      </w:r>
      <w:r>
        <w:rPr>
          <w:rStyle w:val="96"/>
          <w:rFonts w:hint="eastAsia" w:ascii="宋体" w:hAnsi="宋体" w:eastAsia="宋体" w:cs="宋体"/>
          <w:sz w:val="24"/>
          <w:szCs w:val="24"/>
        </w:rPr>
        <w:t>合同未尽事宜，双方另行签订补充协议。补充协议是合同的组成部分。</w:t>
      </w:r>
    </w:p>
    <w:p w14:paraId="7EB63A3E">
      <w:pPr>
        <w:pStyle w:val="54"/>
        <w:rPr>
          <w:rFonts w:hint="eastAsia" w:ascii="宋体" w:hAnsi="宋体" w:eastAsia="宋体" w:cs="宋体"/>
          <w:sz w:val="24"/>
          <w:szCs w:val="24"/>
          <w:lang w:eastAsia="zh-CN"/>
        </w:rPr>
      </w:pPr>
    </w:p>
    <w:p w14:paraId="3C474E9B">
      <w:pPr>
        <w:spacing w:line="480" w:lineRule="exact"/>
        <w:rPr>
          <w:rStyle w:val="96"/>
          <w:rFonts w:hint="eastAsia" w:ascii="宋体" w:hAnsi="宋体" w:eastAsia="宋体" w:cs="宋体"/>
          <w:sz w:val="24"/>
          <w:szCs w:val="24"/>
          <w:lang w:eastAsia="zh-CN"/>
        </w:rPr>
      </w:pPr>
      <w:r>
        <w:rPr>
          <w:rStyle w:val="96"/>
          <w:rFonts w:hint="eastAsia" w:ascii="宋体" w:hAnsi="宋体" w:eastAsia="宋体" w:cs="宋体"/>
          <w:sz w:val="24"/>
          <w:szCs w:val="24"/>
        </w:rPr>
        <w:t>发包人：      （盖单位章）           承包人：      （盖单位章）</w:t>
      </w:r>
    </w:p>
    <w:p w14:paraId="6E1545DC">
      <w:pPr>
        <w:spacing w:line="480" w:lineRule="exact"/>
        <w:rPr>
          <w:rStyle w:val="96"/>
          <w:rFonts w:hint="eastAsia" w:ascii="宋体" w:hAnsi="宋体" w:eastAsia="宋体" w:cs="宋体"/>
          <w:sz w:val="24"/>
          <w:szCs w:val="24"/>
        </w:rPr>
      </w:pPr>
      <w:r>
        <w:rPr>
          <w:rStyle w:val="96"/>
          <w:rFonts w:hint="eastAsia" w:ascii="宋体" w:hAnsi="宋体" w:eastAsia="宋体" w:cs="宋体"/>
          <w:sz w:val="24"/>
          <w:szCs w:val="24"/>
        </w:rPr>
        <w:t>法定代表人或其委托代理人（签字）：   法定代表人或其委托代理人  （签字）：</w:t>
      </w:r>
    </w:p>
    <w:p w14:paraId="41299239">
      <w:pPr>
        <w:spacing w:line="480" w:lineRule="exact"/>
        <w:ind w:firstLine="720" w:firstLineChars="300"/>
        <w:rPr>
          <w:rFonts w:hint="eastAsia" w:ascii="宋体" w:hAnsi="宋体" w:eastAsia="宋体" w:cs="宋体"/>
          <w:color w:val="000000"/>
          <w:sz w:val="24"/>
          <w:szCs w:val="24"/>
        </w:rPr>
      </w:pPr>
      <w:r>
        <w:rPr>
          <w:rStyle w:val="96"/>
          <w:rFonts w:hint="eastAsia" w:ascii="宋体" w:hAnsi="宋体" w:eastAsia="宋体" w:cs="宋体"/>
          <w:sz w:val="24"/>
          <w:szCs w:val="24"/>
        </w:rPr>
        <w:t>年  月  日                                年  月  日</w:t>
      </w:r>
    </w:p>
    <w:p w14:paraId="7417EBFA">
      <w:pPr>
        <w:pStyle w:val="284"/>
        <w:spacing w:line="480" w:lineRule="exact"/>
        <w:rPr>
          <w:rFonts w:hint="eastAsia"/>
          <w:color w:val="000000"/>
          <w:sz w:val="24"/>
          <w:szCs w:val="28"/>
        </w:rPr>
      </w:pPr>
    </w:p>
    <w:p w14:paraId="430AC863">
      <w:pPr>
        <w:pStyle w:val="284"/>
        <w:spacing w:line="480" w:lineRule="exact"/>
        <w:rPr>
          <w:rFonts w:hint="eastAsia"/>
          <w:color w:val="000000"/>
          <w:sz w:val="24"/>
          <w:szCs w:val="28"/>
        </w:rPr>
      </w:pPr>
    </w:p>
    <w:p w14:paraId="58A138F3">
      <w:pPr>
        <w:spacing w:line="360" w:lineRule="exact"/>
        <w:rPr>
          <w:rFonts w:hint="eastAsia" w:ascii="宋体" w:hAnsi="宋体"/>
          <w:b/>
          <w:bCs/>
          <w:color w:val="000000"/>
          <w:sz w:val="24"/>
          <w:szCs w:val="28"/>
        </w:rPr>
      </w:pPr>
    </w:p>
    <w:p w14:paraId="7C309C64">
      <w:pPr>
        <w:spacing w:line="360" w:lineRule="exact"/>
        <w:ind w:firstLine="482" w:firstLineChars="200"/>
        <w:jc w:val="center"/>
        <w:rPr>
          <w:rFonts w:hint="eastAsia" w:ascii="宋体" w:hAnsi="宋体"/>
          <w:b/>
          <w:bCs/>
          <w:color w:val="000000"/>
          <w:sz w:val="24"/>
          <w:szCs w:val="28"/>
        </w:rPr>
      </w:pPr>
    </w:p>
    <w:p w14:paraId="0A6B7C18">
      <w:pPr>
        <w:spacing w:line="480" w:lineRule="auto"/>
        <w:ind w:firstLine="482" w:firstLineChars="200"/>
        <w:jc w:val="center"/>
        <w:rPr>
          <w:rFonts w:hint="eastAsia" w:ascii="宋体" w:hAnsi="宋体"/>
          <w:b/>
          <w:bCs/>
          <w:color w:val="000000"/>
          <w:sz w:val="24"/>
        </w:rPr>
      </w:pPr>
      <w:r>
        <w:rPr>
          <w:rFonts w:hint="eastAsia" w:ascii="宋体" w:hAnsi="宋体"/>
          <w:b/>
          <w:bCs/>
          <w:color w:val="000000"/>
          <w:sz w:val="24"/>
        </w:rPr>
        <w:t>第二节  通用合同条款</w:t>
      </w:r>
    </w:p>
    <w:p w14:paraId="2D8EA9F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b w:val="0"/>
          <w:bCs w:val="0"/>
          <w:color w:val="000000"/>
          <w:sz w:val="24"/>
        </w:rPr>
      </w:pPr>
      <w:r>
        <w:rPr>
          <w:rFonts w:hint="eastAsia" w:ascii="宋体" w:hAnsi="宋体"/>
          <w:b w:val="0"/>
          <w:bCs w:val="0"/>
          <w:color w:val="000000"/>
          <w:sz w:val="24"/>
        </w:rPr>
        <w:t>“通用合同条款”采用《</w:t>
      </w:r>
      <w:r>
        <w:rPr>
          <w:rFonts w:hint="eastAsia" w:ascii="宋体" w:hAnsi="宋体"/>
          <w:b w:val="0"/>
          <w:bCs w:val="0"/>
          <w:color w:val="000000"/>
          <w:sz w:val="24"/>
          <w:lang w:val="en-US" w:eastAsia="zh-CN"/>
        </w:rPr>
        <w:t>安徽省公路养护工程施工招标指南</w:t>
      </w:r>
      <w:r>
        <w:rPr>
          <w:rFonts w:hint="eastAsia" w:ascii="宋体" w:hAnsi="宋体"/>
          <w:b w:val="0"/>
          <w:bCs w:val="0"/>
          <w:color w:val="000000"/>
          <w:sz w:val="24"/>
        </w:rPr>
        <w:t>》的“通用合同条款”。</w:t>
      </w:r>
    </w:p>
    <w:p w14:paraId="31E2C48A">
      <w:pPr>
        <w:spacing w:line="480" w:lineRule="auto"/>
        <w:jc w:val="both"/>
        <w:rPr>
          <w:rFonts w:hint="eastAsia" w:ascii="宋体" w:hAnsi="宋体"/>
          <w:b/>
          <w:bCs/>
          <w:color w:val="000000"/>
          <w:sz w:val="24"/>
        </w:rPr>
      </w:pPr>
    </w:p>
    <w:p w14:paraId="28CB5FD5">
      <w:pPr>
        <w:spacing w:line="480" w:lineRule="auto"/>
        <w:jc w:val="both"/>
        <w:rPr>
          <w:rFonts w:ascii="宋体" w:hAnsi="宋体"/>
          <w:b/>
          <w:bCs/>
          <w:color w:val="000000"/>
          <w:sz w:val="24"/>
        </w:rPr>
      </w:pPr>
    </w:p>
    <w:p w14:paraId="686B4FDA">
      <w:pPr>
        <w:spacing w:line="480" w:lineRule="auto"/>
        <w:ind w:firstLine="482" w:firstLineChars="200"/>
        <w:jc w:val="center"/>
        <w:rPr>
          <w:rFonts w:hint="eastAsia" w:ascii="宋体" w:hAnsi="宋体"/>
          <w:b/>
          <w:bCs/>
          <w:color w:val="000000"/>
          <w:sz w:val="24"/>
        </w:rPr>
      </w:pPr>
      <w:r>
        <w:rPr>
          <w:rFonts w:hint="eastAsia" w:ascii="宋体" w:hAnsi="宋体"/>
          <w:b/>
          <w:bCs/>
          <w:color w:val="000000"/>
          <w:sz w:val="24"/>
        </w:rPr>
        <w:t xml:space="preserve">第三节  </w:t>
      </w:r>
      <w:r>
        <w:rPr>
          <w:rFonts w:hint="eastAsia" w:ascii="宋体" w:hAnsi="宋体"/>
          <w:b/>
          <w:bCs/>
          <w:color w:val="000000"/>
          <w:sz w:val="24"/>
        </w:rPr>
        <w:tab/>
      </w:r>
      <w:r>
        <w:rPr>
          <w:rFonts w:hint="eastAsia" w:ascii="宋体" w:hAnsi="宋体"/>
          <w:b/>
          <w:bCs/>
          <w:color w:val="000000"/>
          <w:sz w:val="24"/>
        </w:rPr>
        <w:t>专用合同条款</w:t>
      </w:r>
    </w:p>
    <w:p w14:paraId="6E0D458A">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宋体" w:hAnsi="宋体"/>
          <w:b/>
          <w:bCs/>
          <w:color w:val="000000"/>
          <w:sz w:val="24"/>
        </w:rPr>
      </w:pPr>
      <w:r>
        <w:rPr>
          <w:rFonts w:hint="eastAsia" w:ascii="宋体" w:hAnsi="宋体"/>
          <w:b/>
          <w:bCs/>
          <w:color w:val="000000"/>
          <w:sz w:val="24"/>
        </w:rPr>
        <w:t>说 明：</w:t>
      </w:r>
    </w:p>
    <w:p w14:paraId="53221EB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b w:val="0"/>
          <w:bCs w:val="0"/>
          <w:color w:val="000000"/>
          <w:sz w:val="24"/>
        </w:rPr>
      </w:pPr>
      <w:r>
        <w:rPr>
          <w:rFonts w:hint="eastAsia" w:ascii="宋体" w:hAnsi="宋体"/>
          <w:b w:val="0"/>
          <w:bCs w:val="0"/>
          <w:color w:val="000000"/>
          <w:sz w:val="24"/>
        </w:rPr>
        <w:t>1.</w:t>
      </w:r>
      <w:r>
        <w:rPr>
          <w:rFonts w:hint="eastAsia" w:ascii="宋体" w:hAnsi="宋体"/>
          <w:b w:val="0"/>
          <w:bCs w:val="0"/>
          <w:color w:val="000000"/>
          <w:sz w:val="24"/>
          <w:lang w:eastAsia="zh-CN"/>
        </w:rPr>
        <w:t>采购人</w:t>
      </w:r>
      <w:r>
        <w:rPr>
          <w:rFonts w:hint="eastAsia" w:ascii="宋体" w:hAnsi="宋体"/>
          <w:b w:val="0"/>
          <w:bCs w:val="0"/>
          <w:color w:val="000000"/>
          <w:sz w:val="24"/>
        </w:rPr>
        <w:t>在根据《安徽省公路养护工程施工招标指南》编制项目</w:t>
      </w:r>
      <w:r>
        <w:rPr>
          <w:rFonts w:hint="eastAsia" w:ascii="宋体" w:hAnsi="宋体"/>
          <w:b w:val="0"/>
          <w:bCs w:val="0"/>
          <w:color w:val="000000"/>
          <w:sz w:val="24"/>
          <w:lang w:eastAsia="zh-CN"/>
        </w:rPr>
        <w:t>磋商文件</w:t>
      </w:r>
      <w:r>
        <w:rPr>
          <w:rFonts w:hint="eastAsia" w:ascii="宋体" w:hAnsi="宋体"/>
          <w:b w:val="0"/>
          <w:bCs w:val="0"/>
          <w:color w:val="000000"/>
          <w:sz w:val="24"/>
        </w:rPr>
        <w:t>中的“项目专用合同条款”时，可根据招标项目的具体特点和实际需要，对“通用合同条款”进行补充和细化，除“通用合同条款”明确“专用合同条款”可作出不同约定可作出不同约定外，补充和细化的内容不得与“通用合同条款”及“公路工程专用合同条款”强制性规定相抵触。同时，补充、细化或约定的内容，不得违反法律、行政法规的强制性规定和平等、自愿、公平和诚实信用原则。</w:t>
      </w:r>
    </w:p>
    <w:p w14:paraId="5ED1FF7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b w:val="0"/>
          <w:bCs w:val="0"/>
          <w:color w:val="000000"/>
          <w:sz w:val="24"/>
        </w:rPr>
      </w:pPr>
      <w:r>
        <w:rPr>
          <w:rFonts w:hint="eastAsia" w:ascii="宋体" w:hAnsi="宋体"/>
          <w:b w:val="0"/>
          <w:bCs w:val="0"/>
          <w:color w:val="000000"/>
          <w:sz w:val="24"/>
        </w:rPr>
        <w:t>2.项目专用合同条款的编号应与通用合同条款和</w:t>
      </w:r>
      <w:r>
        <w:rPr>
          <w:rFonts w:hint="eastAsia" w:ascii="宋体" w:hAnsi="宋体"/>
          <w:b w:val="0"/>
          <w:bCs w:val="0"/>
          <w:color w:val="000000"/>
          <w:sz w:val="24"/>
          <w:lang w:val="en-US" w:eastAsia="zh-CN"/>
        </w:rPr>
        <w:t>养护工程合同</w:t>
      </w:r>
      <w:r>
        <w:rPr>
          <w:rFonts w:hint="eastAsia" w:ascii="宋体" w:hAnsi="宋体"/>
          <w:b w:val="0"/>
          <w:bCs w:val="0"/>
          <w:color w:val="000000"/>
          <w:sz w:val="24"/>
        </w:rPr>
        <w:t>专用合同条款一致。</w:t>
      </w:r>
    </w:p>
    <w:p w14:paraId="22A4B9B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b w:val="0"/>
          <w:bCs w:val="0"/>
          <w:color w:val="000000"/>
          <w:sz w:val="24"/>
        </w:rPr>
      </w:pPr>
      <w:r>
        <w:rPr>
          <w:rFonts w:hint="eastAsia" w:ascii="宋体" w:hAnsi="宋体"/>
          <w:b w:val="0"/>
          <w:bCs w:val="0"/>
          <w:color w:val="000000"/>
          <w:sz w:val="24"/>
        </w:rPr>
        <w:t>3.项目专用合同条款可对下列内容进行补充和细化：</w:t>
      </w:r>
    </w:p>
    <w:p w14:paraId="388CF2E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b w:val="0"/>
          <w:bCs w:val="0"/>
          <w:color w:val="000000"/>
          <w:sz w:val="24"/>
        </w:rPr>
      </w:pPr>
      <w:r>
        <w:rPr>
          <w:rFonts w:hint="eastAsia" w:ascii="宋体" w:hAnsi="宋体"/>
          <w:b w:val="0"/>
          <w:bCs w:val="0"/>
          <w:color w:val="000000"/>
          <w:sz w:val="24"/>
        </w:rPr>
        <w:t>（1）“通用合同条款”中明确指出“专用合同条款”可对“通用合同条款”进行修改的内容（在“通用合同条款”中用“应按合同约定”“应按专用合同条款约定”“除合同另有约定外”“除专用合同条款另有约定外”“在专用合同条款中约定”等多种文字形式表达）；</w:t>
      </w:r>
    </w:p>
    <w:p w14:paraId="457F897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b/>
          <w:color w:val="000000"/>
          <w:sz w:val="24"/>
        </w:rPr>
      </w:pPr>
      <w:r>
        <w:rPr>
          <w:rFonts w:hint="eastAsia" w:ascii="宋体" w:hAnsi="宋体"/>
          <w:b w:val="0"/>
          <w:bCs w:val="0"/>
          <w:color w:val="000000"/>
          <w:sz w:val="24"/>
        </w:rPr>
        <w:t>（</w:t>
      </w:r>
      <w:r>
        <w:rPr>
          <w:rFonts w:hint="eastAsia" w:ascii="宋体" w:hAnsi="宋体"/>
          <w:b w:val="0"/>
          <w:bCs w:val="0"/>
          <w:color w:val="000000"/>
          <w:sz w:val="24"/>
          <w:lang w:val="en-US" w:eastAsia="zh-CN"/>
        </w:rPr>
        <w:t>2</w:t>
      </w:r>
      <w:r>
        <w:rPr>
          <w:rFonts w:hint="eastAsia" w:ascii="宋体" w:hAnsi="宋体"/>
          <w:b w:val="0"/>
          <w:bCs w:val="0"/>
          <w:color w:val="000000"/>
          <w:sz w:val="24"/>
        </w:rPr>
        <w:t>）其他需要</w:t>
      </w:r>
      <w:r>
        <w:rPr>
          <w:rFonts w:hint="eastAsia" w:ascii="宋体" w:hAnsi="宋体"/>
          <w:b w:val="0"/>
          <w:bCs w:val="0"/>
          <w:color w:val="000000"/>
          <w:sz w:val="24"/>
          <w:lang w:val="en-US" w:eastAsia="zh-CN"/>
        </w:rPr>
        <w:t>约定、</w:t>
      </w:r>
      <w:r>
        <w:rPr>
          <w:rFonts w:hint="eastAsia" w:ascii="宋体" w:hAnsi="宋体"/>
          <w:b w:val="0"/>
          <w:bCs w:val="0"/>
          <w:color w:val="000000"/>
          <w:sz w:val="24"/>
        </w:rPr>
        <w:t>补充、细化的内容</w:t>
      </w:r>
    </w:p>
    <w:p w14:paraId="24B3DEC6">
      <w:pPr>
        <w:spacing w:before="240" w:after="240" w:line="400" w:lineRule="exact"/>
        <w:jc w:val="center"/>
        <w:rPr>
          <w:rFonts w:hint="eastAsia" w:ascii="宋体" w:hAnsi="宋体"/>
          <w:b/>
          <w:bCs/>
          <w:color w:val="000000"/>
          <w:sz w:val="24"/>
        </w:rPr>
      </w:pPr>
      <w:r>
        <w:rPr>
          <w:rFonts w:hint="eastAsia" w:ascii="宋体" w:hAnsi="宋体"/>
          <w:b/>
          <w:bCs/>
          <w:color w:val="000000"/>
          <w:sz w:val="24"/>
        </w:rPr>
        <w:t xml:space="preserve"> 项目专用条款数据表</w:t>
      </w:r>
    </w:p>
    <w:p w14:paraId="20A3606A">
      <w:pPr>
        <w:spacing w:line="400" w:lineRule="exact"/>
        <w:ind w:firstLine="480" w:firstLineChars="200"/>
        <w:rPr>
          <w:rFonts w:hint="eastAsia" w:ascii="宋体" w:hAnsi="宋体" w:cs="宋体"/>
          <w:sz w:val="24"/>
        </w:rPr>
      </w:pPr>
      <w:r>
        <w:rPr>
          <w:rFonts w:hint="eastAsia" w:ascii="宋体" w:hAnsi="宋体" w:cs="宋体"/>
          <w:sz w:val="24"/>
        </w:rPr>
        <w:t>说明：本数据表是项目专用合同条款中适用于本项目的信息和数据的归纳与提示，是项目专用合同条款的组成部分。“</w:t>
      </w:r>
      <w:r>
        <w:rPr>
          <w:rFonts w:hint="eastAsia" w:ascii="宋体" w:hAnsi="宋体" w:cs="宋体"/>
          <w:sz w:val="24"/>
          <w:lang w:val="en-US" w:eastAsia="zh-CN"/>
        </w:rPr>
        <w:t>响应</w:t>
      </w:r>
      <w:r>
        <w:rPr>
          <w:rFonts w:hint="eastAsia" w:ascii="宋体" w:hAnsi="宋体" w:cs="宋体"/>
          <w:sz w:val="24"/>
        </w:rPr>
        <w:t>文件格式”的</w:t>
      </w:r>
      <w:r>
        <w:rPr>
          <w:rFonts w:hint="eastAsia" w:ascii="宋体" w:hAnsi="宋体" w:cs="宋体"/>
          <w:sz w:val="24"/>
          <w:lang w:val="en-US" w:eastAsia="zh-CN"/>
        </w:rPr>
        <w:t>响应</w:t>
      </w:r>
      <w:r>
        <w:rPr>
          <w:rFonts w:hint="eastAsia" w:ascii="宋体" w:hAnsi="宋体" w:cs="宋体"/>
          <w:sz w:val="24"/>
        </w:rPr>
        <w:t>函附录中的数据（供</w:t>
      </w:r>
      <w:r>
        <w:rPr>
          <w:rFonts w:hint="eastAsia" w:ascii="宋体" w:hAnsi="宋体" w:cs="宋体"/>
          <w:sz w:val="24"/>
          <w:lang w:val="en-US" w:eastAsia="zh-CN"/>
        </w:rPr>
        <w:t>供应商</w:t>
      </w:r>
      <w:r>
        <w:rPr>
          <w:rFonts w:hint="eastAsia" w:ascii="宋体" w:hAnsi="宋体" w:cs="宋体"/>
          <w:sz w:val="24"/>
        </w:rPr>
        <w:t>确认）与本表所列有重复。</w:t>
      </w:r>
    </w:p>
    <w:tbl>
      <w:tblPr>
        <w:tblStyle w:val="55"/>
        <w:tblW w:w="980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34"/>
        <w:gridCol w:w="1334"/>
        <w:gridCol w:w="7738"/>
      </w:tblGrid>
      <w:tr w14:paraId="236336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exact"/>
          <w:jc w:val="center"/>
        </w:trPr>
        <w:tc>
          <w:tcPr>
            <w:tcW w:w="734" w:type="dxa"/>
            <w:noWrap w:val="0"/>
            <w:vAlign w:val="center"/>
          </w:tcPr>
          <w:p w14:paraId="0D810BC3">
            <w:pPr>
              <w:spacing w:line="400" w:lineRule="exact"/>
              <w:jc w:val="center"/>
              <w:rPr>
                <w:rFonts w:hint="eastAsia" w:ascii="宋体" w:hAnsi="宋体" w:cs="宋体"/>
                <w:b/>
                <w:sz w:val="24"/>
              </w:rPr>
            </w:pPr>
            <w:r>
              <w:rPr>
                <w:rFonts w:hint="eastAsia" w:ascii="宋体" w:hAnsi="宋体" w:cs="宋体"/>
                <w:b/>
                <w:sz w:val="24"/>
              </w:rPr>
              <w:t>序号</w:t>
            </w:r>
          </w:p>
        </w:tc>
        <w:tc>
          <w:tcPr>
            <w:tcW w:w="1334" w:type="dxa"/>
            <w:noWrap w:val="0"/>
            <w:vAlign w:val="center"/>
          </w:tcPr>
          <w:p w14:paraId="10A7F7ED">
            <w:pPr>
              <w:spacing w:line="400" w:lineRule="exact"/>
              <w:jc w:val="center"/>
              <w:rPr>
                <w:rFonts w:hint="eastAsia" w:ascii="宋体" w:hAnsi="宋体" w:cs="宋体"/>
                <w:b/>
                <w:sz w:val="24"/>
              </w:rPr>
            </w:pPr>
            <w:r>
              <w:rPr>
                <w:rFonts w:hint="eastAsia" w:ascii="宋体" w:hAnsi="宋体" w:cs="宋体"/>
                <w:b/>
                <w:sz w:val="24"/>
              </w:rPr>
              <w:t>条款号</w:t>
            </w:r>
          </w:p>
        </w:tc>
        <w:tc>
          <w:tcPr>
            <w:tcW w:w="7738" w:type="dxa"/>
            <w:noWrap w:val="0"/>
            <w:vAlign w:val="center"/>
          </w:tcPr>
          <w:p w14:paraId="1C08BECF">
            <w:pPr>
              <w:spacing w:line="400" w:lineRule="exact"/>
              <w:jc w:val="center"/>
              <w:rPr>
                <w:rFonts w:hint="eastAsia" w:ascii="宋体" w:hAnsi="宋体" w:cs="宋体"/>
                <w:b/>
                <w:sz w:val="24"/>
              </w:rPr>
            </w:pPr>
            <w:r>
              <w:rPr>
                <w:rFonts w:hint="eastAsia" w:ascii="宋体" w:hAnsi="宋体" w:cs="宋体"/>
                <w:b/>
                <w:sz w:val="24"/>
              </w:rPr>
              <w:t>信息或数据</w:t>
            </w:r>
          </w:p>
        </w:tc>
      </w:tr>
      <w:tr w14:paraId="3E8B2C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1AC9F412">
            <w:pPr>
              <w:spacing w:line="440" w:lineRule="exact"/>
              <w:jc w:val="center"/>
              <w:rPr>
                <w:rFonts w:hint="eastAsia" w:ascii="宋体" w:hAnsi="宋体" w:cs="宋体"/>
                <w:sz w:val="24"/>
              </w:rPr>
            </w:pPr>
            <w:r>
              <w:rPr>
                <w:rFonts w:hint="eastAsia" w:ascii="宋体" w:hAnsi="宋体" w:cs="宋体"/>
                <w:sz w:val="24"/>
              </w:rPr>
              <w:t>1</w:t>
            </w:r>
          </w:p>
        </w:tc>
        <w:tc>
          <w:tcPr>
            <w:tcW w:w="1334" w:type="dxa"/>
            <w:noWrap w:val="0"/>
            <w:vAlign w:val="center"/>
          </w:tcPr>
          <w:p w14:paraId="6A308235">
            <w:pPr>
              <w:spacing w:line="500" w:lineRule="exact"/>
              <w:jc w:val="center"/>
              <w:rPr>
                <w:rFonts w:hint="eastAsia" w:ascii="宋体" w:hAnsi="宋体" w:cs="宋体"/>
                <w:sz w:val="24"/>
              </w:rPr>
            </w:pPr>
            <w:r>
              <w:rPr>
                <w:rFonts w:hint="eastAsia" w:ascii="宋体" w:hAnsi="宋体" w:cs="宋体"/>
                <w:sz w:val="24"/>
              </w:rPr>
              <w:t>1.1.2.2</w:t>
            </w:r>
          </w:p>
        </w:tc>
        <w:tc>
          <w:tcPr>
            <w:tcW w:w="7738" w:type="dxa"/>
            <w:noWrap w:val="0"/>
            <w:vAlign w:val="center"/>
          </w:tcPr>
          <w:p w14:paraId="2D3FDA55">
            <w:pPr>
              <w:spacing w:line="500" w:lineRule="exact"/>
              <w:rPr>
                <w:rFonts w:hint="eastAsia" w:ascii="宋体" w:hAnsi="宋体" w:eastAsia="宋体" w:cs="宋体"/>
                <w:sz w:val="24"/>
                <w:lang w:eastAsia="zh-CN"/>
              </w:rPr>
            </w:pPr>
            <w:r>
              <w:rPr>
                <w:rFonts w:hint="eastAsia" w:ascii="宋体" w:hAnsi="宋体" w:cs="宋体"/>
                <w:sz w:val="24"/>
              </w:rPr>
              <w:t>发 包 人：</w:t>
            </w:r>
            <w:r>
              <w:rPr>
                <w:rFonts w:hint="eastAsia" w:ascii="宋体" w:hAnsi="宋体" w:cs="宋体"/>
                <w:sz w:val="24"/>
                <w:lang w:eastAsia="zh-CN"/>
              </w:rPr>
              <w:t>滁州市公路管理服务中心</w:t>
            </w:r>
          </w:p>
          <w:p w14:paraId="271A7A3D">
            <w:pPr>
              <w:spacing w:line="500" w:lineRule="exact"/>
              <w:rPr>
                <w:rFonts w:hint="eastAsia" w:ascii="宋体" w:hAnsi="宋体" w:cs="宋体"/>
                <w:sz w:val="24"/>
              </w:rPr>
            </w:pPr>
            <w:r>
              <w:rPr>
                <w:rFonts w:hint="eastAsia" w:ascii="宋体" w:hAnsi="宋体" w:cs="宋体"/>
                <w:sz w:val="24"/>
              </w:rPr>
              <w:t>地    址：</w:t>
            </w:r>
            <w:r>
              <w:rPr>
                <w:rFonts w:hint="eastAsia" w:ascii="宋体" w:hAnsi="宋体" w:cs="宋体"/>
                <w:sz w:val="24"/>
                <w:lang w:eastAsia="zh-CN"/>
              </w:rPr>
              <w:t>滁州市龙蟠大道200号</w:t>
            </w:r>
            <w:r>
              <w:rPr>
                <w:rFonts w:hint="eastAsia" w:ascii="宋体" w:hAnsi="宋体" w:cs="宋体"/>
                <w:sz w:val="24"/>
              </w:rPr>
              <w:t xml:space="preserve">    邮政编码：239000</w:t>
            </w:r>
          </w:p>
        </w:tc>
      </w:tr>
      <w:tr w14:paraId="453E2E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39D571BD">
            <w:pPr>
              <w:spacing w:line="440" w:lineRule="exact"/>
              <w:jc w:val="center"/>
              <w:rPr>
                <w:rFonts w:hint="eastAsia" w:ascii="宋体" w:hAnsi="宋体" w:cs="宋体"/>
                <w:sz w:val="24"/>
              </w:rPr>
            </w:pPr>
            <w:r>
              <w:rPr>
                <w:rFonts w:hint="eastAsia" w:ascii="宋体" w:hAnsi="宋体" w:cs="宋体"/>
                <w:sz w:val="24"/>
              </w:rPr>
              <w:t>2</w:t>
            </w:r>
          </w:p>
        </w:tc>
        <w:tc>
          <w:tcPr>
            <w:tcW w:w="1334" w:type="dxa"/>
            <w:noWrap w:val="0"/>
            <w:vAlign w:val="center"/>
          </w:tcPr>
          <w:p w14:paraId="0909B9B1">
            <w:pPr>
              <w:spacing w:line="500" w:lineRule="exact"/>
              <w:jc w:val="center"/>
              <w:rPr>
                <w:rFonts w:hint="eastAsia" w:ascii="宋体" w:hAnsi="宋体" w:cs="宋体"/>
                <w:sz w:val="24"/>
              </w:rPr>
            </w:pPr>
            <w:r>
              <w:rPr>
                <w:rFonts w:hint="eastAsia" w:ascii="宋体" w:hAnsi="宋体" w:cs="宋体"/>
                <w:sz w:val="24"/>
              </w:rPr>
              <w:t>1.1.2.6</w:t>
            </w:r>
          </w:p>
        </w:tc>
        <w:tc>
          <w:tcPr>
            <w:tcW w:w="7738" w:type="dxa"/>
            <w:noWrap w:val="0"/>
            <w:vAlign w:val="center"/>
          </w:tcPr>
          <w:p w14:paraId="1B8F4C80">
            <w:pPr>
              <w:spacing w:line="500" w:lineRule="exact"/>
              <w:rPr>
                <w:rFonts w:hint="eastAsia" w:ascii="宋体" w:hAnsi="宋体" w:cs="宋体"/>
                <w:sz w:val="24"/>
              </w:rPr>
            </w:pPr>
            <w:r>
              <w:rPr>
                <w:rFonts w:hint="eastAsia" w:ascii="宋体" w:hAnsi="宋体" w:cs="宋体"/>
                <w:sz w:val="24"/>
              </w:rPr>
              <w:t>监 理 人：发包人另行通知</w:t>
            </w:r>
          </w:p>
          <w:p w14:paraId="6411BEC9">
            <w:pPr>
              <w:spacing w:line="500" w:lineRule="exact"/>
              <w:rPr>
                <w:rFonts w:hint="eastAsia" w:ascii="宋体" w:hAnsi="宋体" w:cs="宋体"/>
                <w:sz w:val="24"/>
              </w:rPr>
            </w:pPr>
            <w:r>
              <w:rPr>
                <w:rFonts w:hint="eastAsia" w:ascii="宋体" w:hAnsi="宋体" w:cs="宋体"/>
                <w:sz w:val="24"/>
              </w:rPr>
              <w:t>地    址：                        邮政编码：</w:t>
            </w:r>
          </w:p>
        </w:tc>
      </w:tr>
      <w:tr w14:paraId="7F9709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734" w:type="dxa"/>
            <w:noWrap w:val="0"/>
            <w:vAlign w:val="center"/>
          </w:tcPr>
          <w:p w14:paraId="03751965">
            <w:pPr>
              <w:spacing w:line="440" w:lineRule="exact"/>
              <w:jc w:val="center"/>
              <w:rPr>
                <w:rFonts w:hint="eastAsia" w:ascii="宋体" w:hAnsi="宋体" w:cs="宋体"/>
                <w:sz w:val="24"/>
              </w:rPr>
            </w:pPr>
            <w:r>
              <w:rPr>
                <w:rFonts w:hint="eastAsia" w:ascii="宋体" w:hAnsi="宋体" w:cs="宋体"/>
                <w:sz w:val="24"/>
              </w:rPr>
              <w:t>3</w:t>
            </w:r>
          </w:p>
        </w:tc>
        <w:tc>
          <w:tcPr>
            <w:tcW w:w="1334" w:type="dxa"/>
            <w:noWrap w:val="0"/>
            <w:vAlign w:val="center"/>
          </w:tcPr>
          <w:p w14:paraId="7E9C92A2">
            <w:pPr>
              <w:spacing w:line="500" w:lineRule="exact"/>
              <w:jc w:val="center"/>
              <w:rPr>
                <w:rFonts w:hint="eastAsia" w:ascii="宋体" w:hAnsi="宋体" w:cs="宋体"/>
                <w:sz w:val="24"/>
              </w:rPr>
            </w:pPr>
            <w:r>
              <w:rPr>
                <w:rFonts w:hint="eastAsia" w:ascii="宋体" w:hAnsi="宋体" w:cs="宋体"/>
                <w:sz w:val="24"/>
              </w:rPr>
              <w:t>1.1.4.5</w:t>
            </w:r>
          </w:p>
        </w:tc>
        <w:tc>
          <w:tcPr>
            <w:tcW w:w="7738" w:type="dxa"/>
            <w:noWrap w:val="0"/>
            <w:vAlign w:val="center"/>
          </w:tcPr>
          <w:p w14:paraId="62626B9D">
            <w:pPr>
              <w:spacing w:line="500" w:lineRule="exact"/>
              <w:rPr>
                <w:rFonts w:hint="eastAsia" w:ascii="宋体" w:hAnsi="宋体" w:cs="宋体"/>
                <w:sz w:val="24"/>
              </w:rPr>
            </w:pPr>
            <w:r>
              <w:rPr>
                <w:rFonts w:hint="eastAsia" w:ascii="宋体" w:hAnsi="宋体" w:cs="宋体"/>
                <w:sz w:val="24"/>
              </w:rPr>
              <w:t>缺陷责任期自交工验收日期起计算</w:t>
            </w:r>
            <w:r>
              <w:rPr>
                <w:rFonts w:hint="eastAsia" w:ascii="宋体" w:hAnsi="宋体" w:cs="宋体"/>
                <w:sz w:val="24"/>
                <w:u w:val="single"/>
                <w:lang w:val="en-US" w:eastAsia="zh-CN"/>
              </w:rPr>
              <w:t>12个</w:t>
            </w:r>
            <w:r>
              <w:rPr>
                <w:rFonts w:hint="eastAsia" w:ascii="宋体" w:hAnsi="宋体" w:cs="宋体"/>
                <w:sz w:val="24"/>
                <w:lang w:val="en-US" w:eastAsia="zh-CN"/>
              </w:rPr>
              <w:t>月</w:t>
            </w:r>
            <w:r>
              <w:rPr>
                <w:rFonts w:hint="eastAsia" w:ascii="宋体" w:hAnsi="宋体" w:cs="宋体"/>
                <w:sz w:val="24"/>
              </w:rPr>
              <w:t>。</w:t>
            </w:r>
          </w:p>
        </w:tc>
      </w:tr>
      <w:tr w14:paraId="2A94FC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7" w:hRule="atLeast"/>
          <w:jc w:val="center"/>
        </w:trPr>
        <w:tc>
          <w:tcPr>
            <w:tcW w:w="734" w:type="dxa"/>
            <w:noWrap w:val="0"/>
            <w:vAlign w:val="center"/>
          </w:tcPr>
          <w:p w14:paraId="256B5E2C">
            <w:pPr>
              <w:spacing w:line="440" w:lineRule="exact"/>
              <w:jc w:val="center"/>
              <w:rPr>
                <w:rFonts w:hint="eastAsia" w:ascii="宋体" w:hAnsi="宋体" w:cs="宋体"/>
                <w:sz w:val="24"/>
              </w:rPr>
            </w:pPr>
            <w:r>
              <w:rPr>
                <w:rFonts w:hint="eastAsia" w:ascii="宋体" w:hAnsi="宋体" w:cs="宋体"/>
                <w:sz w:val="24"/>
              </w:rPr>
              <w:t>4</w:t>
            </w:r>
          </w:p>
        </w:tc>
        <w:tc>
          <w:tcPr>
            <w:tcW w:w="1334" w:type="dxa"/>
            <w:noWrap w:val="0"/>
            <w:vAlign w:val="center"/>
          </w:tcPr>
          <w:p w14:paraId="38A2EBA3">
            <w:pPr>
              <w:spacing w:line="500" w:lineRule="exact"/>
              <w:jc w:val="center"/>
              <w:rPr>
                <w:rFonts w:hint="eastAsia" w:ascii="宋体" w:hAnsi="宋体" w:cs="宋体"/>
                <w:sz w:val="24"/>
              </w:rPr>
            </w:pPr>
            <w:r>
              <w:rPr>
                <w:rFonts w:hint="eastAsia" w:ascii="宋体" w:hAnsi="宋体" w:cs="宋体"/>
                <w:sz w:val="24"/>
              </w:rPr>
              <w:t>1.6.3</w:t>
            </w:r>
          </w:p>
        </w:tc>
        <w:tc>
          <w:tcPr>
            <w:tcW w:w="7738" w:type="dxa"/>
            <w:noWrap w:val="0"/>
            <w:vAlign w:val="center"/>
          </w:tcPr>
          <w:p w14:paraId="273B1031">
            <w:pPr>
              <w:spacing w:line="500" w:lineRule="exact"/>
              <w:rPr>
                <w:rFonts w:hint="eastAsia" w:ascii="宋体" w:hAnsi="宋体" w:cs="宋体"/>
                <w:sz w:val="24"/>
              </w:rPr>
            </w:pPr>
            <w:r>
              <w:rPr>
                <w:rFonts w:hint="eastAsia" w:ascii="宋体" w:hAnsi="宋体" w:cs="宋体"/>
                <w:sz w:val="24"/>
              </w:rPr>
              <w:t>图纸需要修改和补充的，应由监理人取得发包人同意后，在该项工程或工程相应部位施工前</w:t>
            </w:r>
            <w:r>
              <w:rPr>
                <w:rFonts w:hint="eastAsia" w:ascii="宋体" w:hAnsi="宋体" w:cs="宋体"/>
                <w:sz w:val="24"/>
                <w:u w:val="single"/>
              </w:rPr>
              <w:t>7</w:t>
            </w:r>
            <w:r>
              <w:rPr>
                <w:rFonts w:hint="eastAsia" w:ascii="宋体" w:hAnsi="宋体" w:cs="宋体"/>
                <w:sz w:val="24"/>
              </w:rPr>
              <w:t>天签发图纸修改图给承包人.</w:t>
            </w:r>
          </w:p>
        </w:tc>
      </w:tr>
      <w:tr w14:paraId="229EA3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5B838EA7">
            <w:pPr>
              <w:spacing w:line="440" w:lineRule="exact"/>
              <w:jc w:val="center"/>
              <w:rPr>
                <w:rFonts w:hint="eastAsia" w:ascii="宋体" w:hAnsi="宋体" w:cs="宋体"/>
                <w:sz w:val="24"/>
              </w:rPr>
            </w:pPr>
            <w:r>
              <w:rPr>
                <w:rFonts w:hint="eastAsia" w:ascii="宋体" w:hAnsi="宋体" w:cs="宋体"/>
                <w:sz w:val="24"/>
              </w:rPr>
              <w:t>5</w:t>
            </w:r>
          </w:p>
        </w:tc>
        <w:tc>
          <w:tcPr>
            <w:tcW w:w="1334" w:type="dxa"/>
            <w:noWrap w:val="0"/>
            <w:vAlign w:val="center"/>
          </w:tcPr>
          <w:p w14:paraId="22D6E3CF">
            <w:pPr>
              <w:spacing w:line="500" w:lineRule="exact"/>
              <w:jc w:val="center"/>
              <w:rPr>
                <w:rFonts w:hint="eastAsia" w:ascii="宋体" w:hAnsi="宋体" w:cs="宋体"/>
                <w:sz w:val="24"/>
              </w:rPr>
            </w:pPr>
            <w:r>
              <w:rPr>
                <w:rFonts w:hint="eastAsia" w:ascii="宋体" w:hAnsi="宋体" w:cs="宋体"/>
                <w:sz w:val="24"/>
              </w:rPr>
              <w:t>3.1.1</w:t>
            </w:r>
          </w:p>
        </w:tc>
        <w:tc>
          <w:tcPr>
            <w:tcW w:w="7738" w:type="dxa"/>
            <w:noWrap w:val="0"/>
            <w:vAlign w:val="center"/>
          </w:tcPr>
          <w:p w14:paraId="7885F373">
            <w:pPr>
              <w:spacing w:line="500" w:lineRule="exact"/>
              <w:rPr>
                <w:rFonts w:hint="eastAsia" w:ascii="宋体" w:hAnsi="宋体" w:cs="宋体"/>
                <w:sz w:val="24"/>
              </w:rPr>
            </w:pPr>
            <w:r>
              <w:rPr>
                <w:rFonts w:hint="eastAsia" w:ascii="宋体" w:hAnsi="宋体" w:cs="宋体"/>
                <w:sz w:val="24"/>
              </w:rPr>
              <w:t>监理人在行使下列权力前需要经发包人事先批准：</w:t>
            </w:r>
          </w:p>
          <w:p w14:paraId="77D7E503">
            <w:pPr>
              <w:numPr>
                <w:ilvl w:val="0"/>
                <w:numId w:val="2"/>
              </w:numPr>
              <w:spacing w:line="500" w:lineRule="exact"/>
              <w:rPr>
                <w:rFonts w:hint="eastAsia" w:ascii="宋体" w:hAnsi="宋体" w:cs="宋体"/>
                <w:sz w:val="24"/>
                <w:lang w:val="en-US" w:eastAsia="zh-CN"/>
              </w:rPr>
            </w:pPr>
            <w:r>
              <w:rPr>
                <w:rFonts w:hint="eastAsia" w:ascii="宋体" w:hAnsi="宋体" w:cs="宋体"/>
                <w:sz w:val="24"/>
                <w:lang w:val="en-US" w:eastAsia="zh-CN"/>
              </w:rPr>
              <w:t>根据第15.3款发出的变更指示，其单项工程变更涉及的金额超过了该单项工程签约时合同价的</w:t>
            </w:r>
            <w:r>
              <w:rPr>
                <w:rFonts w:hint="eastAsia" w:ascii="宋体" w:hAnsi="宋体" w:cs="宋体"/>
                <w:sz w:val="24"/>
                <w:u w:val="single"/>
                <w:lang w:val="en-US" w:eastAsia="zh-CN"/>
              </w:rPr>
              <w:t xml:space="preserve"> / </w:t>
            </w:r>
            <w:r>
              <w:rPr>
                <w:rFonts w:hint="eastAsia" w:ascii="宋体" w:hAnsi="宋体" w:cs="宋体"/>
                <w:sz w:val="24"/>
                <w:lang w:val="en-US" w:eastAsia="zh-CN"/>
              </w:rPr>
              <w:t xml:space="preserve"> %或累计变更超过了签约合同价的</w:t>
            </w:r>
            <w:r>
              <w:rPr>
                <w:rFonts w:hint="eastAsia" w:ascii="宋体" w:hAnsi="宋体" w:cs="宋体"/>
                <w:sz w:val="24"/>
                <w:u w:val="single"/>
                <w:lang w:val="en-US" w:eastAsia="zh-CN"/>
              </w:rPr>
              <w:t xml:space="preserve"> / </w:t>
            </w:r>
            <w:r>
              <w:rPr>
                <w:rFonts w:hint="eastAsia" w:ascii="宋体" w:hAnsi="宋体" w:cs="宋体"/>
                <w:sz w:val="24"/>
                <w:lang w:val="en-US" w:eastAsia="zh-CN"/>
              </w:rPr>
              <w:t xml:space="preserve"> %.</w:t>
            </w:r>
          </w:p>
          <w:p w14:paraId="7AD64AC0">
            <w:pPr>
              <w:numPr>
                <w:ilvl w:val="0"/>
                <w:numId w:val="0"/>
              </w:numPr>
              <w:spacing w:line="500" w:lineRule="exact"/>
              <w:rPr>
                <w:rFonts w:hint="eastAsia" w:ascii="宋体" w:hAnsi="宋体" w:cs="宋体"/>
                <w:sz w:val="24"/>
              </w:rPr>
            </w:pPr>
            <w:r>
              <w:rPr>
                <w:rFonts w:hint="eastAsia" w:ascii="宋体" w:hAnsi="宋体" w:cs="宋体"/>
                <w:sz w:val="24"/>
                <w:lang w:val="en-US" w:eastAsia="zh-CN"/>
              </w:rPr>
              <w:t>补充：</w:t>
            </w:r>
            <w:r>
              <w:rPr>
                <w:rFonts w:hint="eastAsia" w:ascii="宋体" w:hAnsi="宋体" w:cs="宋体"/>
                <w:sz w:val="24"/>
              </w:rPr>
              <w:t>监理人签发变更令需要经发包人事先批准</w:t>
            </w:r>
          </w:p>
        </w:tc>
      </w:tr>
      <w:tr w14:paraId="469F50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06162B2C">
            <w:pPr>
              <w:spacing w:line="440" w:lineRule="exact"/>
              <w:jc w:val="center"/>
              <w:rPr>
                <w:rFonts w:hint="eastAsia" w:ascii="宋体" w:hAnsi="宋体" w:cs="宋体"/>
                <w:sz w:val="24"/>
              </w:rPr>
            </w:pPr>
            <w:r>
              <w:rPr>
                <w:rFonts w:hint="eastAsia" w:ascii="宋体" w:hAnsi="宋体" w:cs="宋体"/>
                <w:sz w:val="24"/>
              </w:rPr>
              <w:t>6</w:t>
            </w:r>
          </w:p>
        </w:tc>
        <w:tc>
          <w:tcPr>
            <w:tcW w:w="1334" w:type="dxa"/>
            <w:noWrap w:val="0"/>
            <w:vAlign w:val="center"/>
          </w:tcPr>
          <w:p w14:paraId="2DBC0C3C">
            <w:pPr>
              <w:spacing w:line="500" w:lineRule="exact"/>
              <w:jc w:val="center"/>
              <w:rPr>
                <w:rFonts w:hint="eastAsia" w:ascii="宋体" w:hAnsi="宋体" w:cs="宋体"/>
                <w:sz w:val="24"/>
              </w:rPr>
            </w:pPr>
            <w:r>
              <w:rPr>
                <w:rFonts w:hint="eastAsia" w:ascii="宋体" w:hAnsi="宋体" w:cs="宋体"/>
                <w:sz w:val="24"/>
              </w:rPr>
              <w:t>5.2.1</w:t>
            </w:r>
          </w:p>
        </w:tc>
        <w:tc>
          <w:tcPr>
            <w:tcW w:w="7738" w:type="dxa"/>
            <w:noWrap w:val="0"/>
            <w:vAlign w:val="center"/>
          </w:tcPr>
          <w:p w14:paraId="40ADD909">
            <w:pPr>
              <w:spacing w:line="500" w:lineRule="exact"/>
              <w:rPr>
                <w:rFonts w:hint="eastAsia" w:ascii="宋体" w:hAnsi="宋体" w:cs="宋体"/>
                <w:sz w:val="24"/>
                <w:u w:val="single"/>
              </w:rPr>
            </w:pPr>
            <w:r>
              <w:rPr>
                <w:rFonts w:hint="eastAsia" w:ascii="宋体" w:hAnsi="宋体" w:cs="宋体"/>
                <w:sz w:val="24"/>
              </w:rPr>
              <w:t>发包人是否提供材料或工程设备：</w:t>
            </w:r>
            <w:r>
              <w:rPr>
                <w:rFonts w:hint="eastAsia" w:ascii="宋体" w:hAnsi="宋体" w:cs="宋体"/>
                <w:sz w:val="24"/>
                <w:u w:val="single"/>
              </w:rPr>
              <w:t>否</w:t>
            </w:r>
            <w:r>
              <w:rPr>
                <w:rFonts w:hint="eastAsia" w:ascii="宋体" w:hAnsi="宋体" w:cs="宋体"/>
                <w:sz w:val="24"/>
              </w:rPr>
              <w:t>。</w:t>
            </w:r>
          </w:p>
        </w:tc>
      </w:tr>
      <w:tr w14:paraId="297158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33F73A14">
            <w:pPr>
              <w:spacing w:line="440" w:lineRule="exact"/>
              <w:jc w:val="center"/>
              <w:rPr>
                <w:rFonts w:hint="eastAsia" w:ascii="宋体" w:hAnsi="宋体" w:cs="宋体"/>
                <w:sz w:val="24"/>
              </w:rPr>
            </w:pPr>
            <w:r>
              <w:rPr>
                <w:rFonts w:hint="eastAsia" w:ascii="宋体" w:hAnsi="宋体" w:cs="宋体"/>
                <w:sz w:val="24"/>
              </w:rPr>
              <w:t>7</w:t>
            </w:r>
          </w:p>
        </w:tc>
        <w:tc>
          <w:tcPr>
            <w:tcW w:w="1334" w:type="dxa"/>
            <w:noWrap w:val="0"/>
            <w:vAlign w:val="center"/>
          </w:tcPr>
          <w:p w14:paraId="1A85CAD2">
            <w:pPr>
              <w:spacing w:line="500" w:lineRule="exact"/>
              <w:jc w:val="center"/>
              <w:rPr>
                <w:rFonts w:hint="eastAsia" w:ascii="宋体" w:hAnsi="宋体" w:cs="宋体"/>
                <w:sz w:val="24"/>
              </w:rPr>
            </w:pPr>
            <w:r>
              <w:rPr>
                <w:rFonts w:hint="eastAsia" w:ascii="宋体" w:hAnsi="宋体" w:cs="宋体"/>
                <w:sz w:val="24"/>
              </w:rPr>
              <w:t>6.2</w:t>
            </w:r>
          </w:p>
        </w:tc>
        <w:tc>
          <w:tcPr>
            <w:tcW w:w="7738" w:type="dxa"/>
            <w:noWrap w:val="0"/>
            <w:vAlign w:val="center"/>
          </w:tcPr>
          <w:p w14:paraId="5B639A52">
            <w:pPr>
              <w:spacing w:line="500" w:lineRule="exact"/>
              <w:rPr>
                <w:rFonts w:hint="eastAsia" w:ascii="宋体" w:hAnsi="宋体" w:cs="宋体"/>
                <w:sz w:val="24"/>
              </w:rPr>
            </w:pPr>
            <w:r>
              <w:rPr>
                <w:rFonts w:hint="eastAsia" w:ascii="宋体" w:hAnsi="宋体" w:cs="宋体"/>
                <w:sz w:val="24"/>
              </w:rPr>
              <w:t>发包人是否提供施工设备和临时设施：</w:t>
            </w:r>
            <w:r>
              <w:rPr>
                <w:rFonts w:hint="eastAsia" w:ascii="宋体" w:hAnsi="宋体" w:cs="宋体"/>
                <w:sz w:val="24"/>
                <w:u w:val="single"/>
              </w:rPr>
              <w:t>否</w:t>
            </w:r>
          </w:p>
        </w:tc>
      </w:tr>
      <w:tr w14:paraId="6B3492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5E34A133">
            <w:pPr>
              <w:spacing w:line="440" w:lineRule="exact"/>
              <w:jc w:val="center"/>
              <w:rPr>
                <w:rFonts w:hint="eastAsia" w:ascii="宋体" w:hAnsi="宋体" w:cs="宋体"/>
                <w:sz w:val="24"/>
              </w:rPr>
            </w:pPr>
            <w:r>
              <w:rPr>
                <w:rFonts w:hint="eastAsia" w:ascii="宋体" w:hAnsi="宋体" w:cs="宋体"/>
                <w:sz w:val="24"/>
              </w:rPr>
              <w:t>8</w:t>
            </w:r>
          </w:p>
        </w:tc>
        <w:tc>
          <w:tcPr>
            <w:tcW w:w="1334" w:type="dxa"/>
            <w:noWrap w:val="0"/>
            <w:vAlign w:val="center"/>
          </w:tcPr>
          <w:p w14:paraId="26F22D2D">
            <w:pPr>
              <w:spacing w:line="500" w:lineRule="exact"/>
              <w:jc w:val="center"/>
              <w:rPr>
                <w:rFonts w:hint="eastAsia" w:ascii="宋体" w:hAnsi="宋体" w:cs="宋体"/>
                <w:sz w:val="24"/>
              </w:rPr>
            </w:pPr>
            <w:r>
              <w:rPr>
                <w:rFonts w:hint="eastAsia" w:ascii="宋体" w:hAnsi="宋体" w:cs="宋体"/>
                <w:sz w:val="24"/>
              </w:rPr>
              <w:t>8.1.1</w:t>
            </w:r>
          </w:p>
        </w:tc>
        <w:tc>
          <w:tcPr>
            <w:tcW w:w="7738" w:type="dxa"/>
            <w:noWrap w:val="0"/>
            <w:vAlign w:val="center"/>
          </w:tcPr>
          <w:p w14:paraId="2E07019A">
            <w:pPr>
              <w:spacing w:line="500" w:lineRule="exact"/>
              <w:rPr>
                <w:rFonts w:hint="eastAsia" w:ascii="宋体" w:hAnsi="宋体" w:cs="宋体"/>
                <w:sz w:val="24"/>
              </w:rPr>
            </w:pPr>
            <w:r>
              <w:rPr>
                <w:rFonts w:hint="eastAsia" w:ascii="宋体" w:hAnsi="宋体" w:cs="宋体"/>
                <w:sz w:val="24"/>
              </w:rPr>
              <w:t>发包人提供测量基准点、基准点和水准点及其书面资料的期限：</w:t>
            </w:r>
            <w:r>
              <w:rPr>
                <w:rFonts w:hint="eastAsia" w:ascii="宋体" w:hAnsi="宋体" w:cs="宋体"/>
                <w:sz w:val="24"/>
                <w:u w:val="single"/>
              </w:rPr>
              <w:t xml:space="preserve"> 工程开工10天前</w:t>
            </w:r>
          </w:p>
          <w:p w14:paraId="74E37C66">
            <w:pPr>
              <w:spacing w:line="500" w:lineRule="exact"/>
              <w:rPr>
                <w:rFonts w:hint="eastAsia" w:ascii="宋体" w:hAnsi="宋体" w:cs="宋体"/>
                <w:sz w:val="24"/>
              </w:rPr>
            </w:pPr>
            <w:r>
              <w:rPr>
                <w:rFonts w:hint="eastAsia" w:ascii="宋体" w:hAnsi="宋体" w:cs="宋体"/>
                <w:sz w:val="24"/>
              </w:rPr>
              <w:t>承包人将施工控制网资料报送监理人审批的期限：</w:t>
            </w:r>
            <w:r>
              <w:rPr>
                <w:rFonts w:hint="eastAsia" w:ascii="宋体" w:hAnsi="宋体" w:cs="宋体"/>
                <w:sz w:val="24"/>
                <w:u w:val="single"/>
              </w:rPr>
              <w:t xml:space="preserve"> 工程开工7天前</w:t>
            </w:r>
          </w:p>
        </w:tc>
      </w:tr>
      <w:tr w14:paraId="4D94DD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0C12BB08">
            <w:pPr>
              <w:spacing w:line="440" w:lineRule="exact"/>
              <w:jc w:val="center"/>
              <w:rPr>
                <w:rFonts w:hint="eastAsia" w:ascii="宋体" w:hAnsi="宋体" w:cs="宋体"/>
                <w:sz w:val="24"/>
              </w:rPr>
            </w:pPr>
            <w:r>
              <w:rPr>
                <w:rFonts w:hint="eastAsia" w:ascii="宋体" w:hAnsi="宋体" w:cs="宋体"/>
                <w:sz w:val="24"/>
              </w:rPr>
              <w:t>9</w:t>
            </w:r>
          </w:p>
        </w:tc>
        <w:tc>
          <w:tcPr>
            <w:tcW w:w="1334" w:type="dxa"/>
            <w:noWrap w:val="0"/>
            <w:vAlign w:val="center"/>
          </w:tcPr>
          <w:p w14:paraId="363EB86D">
            <w:pPr>
              <w:spacing w:line="500" w:lineRule="exact"/>
              <w:jc w:val="center"/>
              <w:rPr>
                <w:rFonts w:hint="eastAsia" w:ascii="宋体" w:hAnsi="宋体" w:cs="宋体"/>
                <w:sz w:val="24"/>
              </w:rPr>
            </w:pPr>
            <w:r>
              <w:rPr>
                <w:rFonts w:hint="eastAsia" w:ascii="宋体" w:hAnsi="宋体" w:cs="宋体"/>
                <w:sz w:val="24"/>
              </w:rPr>
              <w:t>11.5（3）</w:t>
            </w:r>
          </w:p>
        </w:tc>
        <w:tc>
          <w:tcPr>
            <w:tcW w:w="7738" w:type="dxa"/>
            <w:noWrap w:val="0"/>
            <w:vAlign w:val="center"/>
          </w:tcPr>
          <w:p w14:paraId="26E855E3">
            <w:pPr>
              <w:spacing w:line="500" w:lineRule="exact"/>
              <w:rPr>
                <w:rFonts w:hint="eastAsia" w:ascii="宋体" w:hAnsi="宋体" w:cs="宋体"/>
                <w:sz w:val="24"/>
              </w:rPr>
            </w:pPr>
            <w:r>
              <w:rPr>
                <w:rFonts w:hint="eastAsia" w:ascii="宋体" w:hAnsi="宋体" w:cs="宋体"/>
                <w:sz w:val="24"/>
              </w:rPr>
              <w:t>逾期交工违约金：</w:t>
            </w:r>
            <w:r>
              <w:rPr>
                <w:rFonts w:hint="eastAsia" w:ascii="宋体" w:hAnsi="宋体" w:cs="宋体"/>
                <w:sz w:val="24"/>
                <w:u w:val="single"/>
              </w:rPr>
              <w:t>10000</w:t>
            </w:r>
            <w:r>
              <w:rPr>
                <w:rFonts w:hint="eastAsia" w:ascii="宋体" w:hAnsi="宋体" w:cs="宋体"/>
                <w:sz w:val="24"/>
              </w:rPr>
              <w:t>元/天</w:t>
            </w:r>
          </w:p>
        </w:tc>
      </w:tr>
      <w:tr w14:paraId="07D600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08A1ADC0">
            <w:pPr>
              <w:spacing w:line="440" w:lineRule="exact"/>
              <w:jc w:val="center"/>
              <w:rPr>
                <w:rFonts w:hint="eastAsia" w:ascii="宋体" w:hAnsi="宋体" w:cs="宋体"/>
                <w:sz w:val="24"/>
              </w:rPr>
            </w:pPr>
            <w:r>
              <w:rPr>
                <w:rFonts w:hint="eastAsia" w:ascii="宋体" w:hAnsi="宋体" w:cs="宋体"/>
                <w:sz w:val="24"/>
              </w:rPr>
              <w:t>10</w:t>
            </w:r>
          </w:p>
        </w:tc>
        <w:tc>
          <w:tcPr>
            <w:tcW w:w="1334" w:type="dxa"/>
            <w:noWrap w:val="0"/>
            <w:vAlign w:val="center"/>
          </w:tcPr>
          <w:p w14:paraId="2BB3E766">
            <w:pPr>
              <w:spacing w:line="500" w:lineRule="exact"/>
              <w:jc w:val="center"/>
              <w:rPr>
                <w:rFonts w:hint="eastAsia" w:ascii="宋体" w:hAnsi="宋体" w:cs="宋体"/>
                <w:sz w:val="24"/>
              </w:rPr>
            </w:pPr>
            <w:r>
              <w:rPr>
                <w:rFonts w:hint="eastAsia" w:ascii="宋体" w:hAnsi="宋体" w:cs="宋体"/>
                <w:sz w:val="24"/>
              </w:rPr>
              <w:t>11.5（3）</w:t>
            </w:r>
          </w:p>
        </w:tc>
        <w:tc>
          <w:tcPr>
            <w:tcW w:w="7738" w:type="dxa"/>
            <w:noWrap w:val="0"/>
            <w:vAlign w:val="center"/>
          </w:tcPr>
          <w:p w14:paraId="59A9DDE2">
            <w:pPr>
              <w:spacing w:line="500" w:lineRule="exact"/>
              <w:rPr>
                <w:rFonts w:hint="eastAsia" w:ascii="宋体" w:hAnsi="宋体" w:cs="宋体"/>
                <w:sz w:val="24"/>
              </w:rPr>
            </w:pPr>
            <w:r>
              <w:rPr>
                <w:rFonts w:hint="eastAsia" w:ascii="宋体" w:hAnsi="宋体" w:cs="宋体"/>
                <w:sz w:val="24"/>
              </w:rPr>
              <w:t>逾期交工违约金限额：</w:t>
            </w:r>
            <w:r>
              <w:rPr>
                <w:rFonts w:hint="eastAsia" w:ascii="宋体" w:hAnsi="宋体" w:cs="宋体"/>
                <w:sz w:val="24"/>
                <w:u w:val="single"/>
              </w:rPr>
              <w:t>10</w:t>
            </w:r>
            <w:r>
              <w:rPr>
                <w:rFonts w:hint="eastAsia" w:ascii="宋体" w:hAnsi="宋体" w:cs="宋体"/>
                <w:sz w:val="24"/>
              </w:rPr>
              <w:t>%签约合同价</w:t>
            </w:r>
          </w:p>
        </w:tc>
      </w:tr>
      <w:tr w14:paraId="1F21B1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23E43138">
            <w:pPr>
              <w:spacing w:line="440" w:lineRule="exact"/>
              <w:jc w:val="center"/>
              <w:rPr>
                <w:rFonts w:hint="eastAsia" w:ascii="宋体" w:hAnsi="宋体" w:cs="宋体"/>
                <w:sz w:val="24"/>
              </w:rPr>
            </w:pPr>
            <w:r>
              <w:rPr>
                <w:rFonts w:hint="eastAsia" w:ascii="宋体" w:hAnsi="宋体" w:cs="宋体"/>
                <w:sz w:val="24"/>
              </w:rPr>
              <w:t>11</w:t>
            </w:r>
          </w:p>
        </w:tc>
        <w:tc>
          <w:tcPr>
            <w:tcW w:w="1334" w:type="dxa"/>
            <w:noWrap w:val="0"/>
            <w:vAlign w:val="center"/>
          </w:tcPr>
          <w:p w14:paraId="0988A662">
            <w:pPr>
              <w:spacing w:line="500" w:lineRule="exact"/>
              <w:jc w:val="center"/>
              <w:rPr>
                <w:rFonts w:hint="eastAsia" w:ascii="宋体" w:hAnsi="宋体" w:cs="宋体"/>
                <w:sz w:val="24"/>
              </w:rPr>
            </w:pPr>
            <w:r>
              <w:rPr>
                <w:rFonts w:hint="eastAsia" w:ascii="宋体" w:hAnsi="宋体" w:cs="宋体"/>
                <w:sz w:val="24"/>
              </w:rPr>
              <w:t>15.5．2</w:t>
            </w:r>
          </w:p>
        </w:tc>
        <w:tc>
          <w:tcPr>
            <w:tcW w:w="7738" w:type="dxa"/>
            <w:noWrap w:val="0"/>
            <w:vAlign w:val="center"/>
          </w:tcPr>
          <w:p w14:paraId="6A1B98C7">
            <w:pPr>
              <w:spacing w:line="500" w:lineRule="exact"/>
              <w:rPr>
                <w:rFonts w:hint="eastAsia" w:ascii="宋体" w:hAnsi="宋体" w:cs="宋体"/>
                <w:sz w:val="24"/>
              </w:rPr>
            </w:pPr>
            <w:r>
              <w:rPr>
                <w:rFonts w:hint="eastAsia" w:ascii="宋体" w:hAnsi="宋体" w:cs="宋体"/>
                <w:sz w:val="24"/>
              </w:rPr>
              <w:t>承包人提出的合理化建议降低了合同价格或者提高了工程经济效益的，发包人按所节约成本的</w:t>
            </w:r>
            <w:r>
              <w:rPr>
                <w:rFonts w:hint="eastAsia" w:ascii="宋体" w:hAnsi="宋体" w:cs="宋体"/>
                <w:sz w:val="24"/>
                <w:u w:val="single"/>
              </w:rPr>
              <w:t>0</w:t>
            </w:r>
            <w:r>
              <w:rPr>
                <w:rFonts w:hint="eastAsia" w:ascii="宋体" w:hAnsi="宋体" w:cs="宋体"/>
                <w:sz w:val="24"/>
              </w:rPr>
              <w:t>%或增加收益的</w:t>
            </w:r>
            <w:r>
              <w:rPr>
                <w:rFonts w:hint="eastAsia" w:ascii="宋体" w:hAnsi="宋体" w:cs="宋体"/>
                <w:sz w:val="24"/>
                <w:u w:val="single"/>
              </w:rPr>
              <w:t>0</w:t>
            </w:r>
            <w:r>
              <w:rPr>
                <w:rFonts w:hint="eastAsia" w:ascii="宋体" w:hAnsi="宋体" w:cs="宋体"/>
                <w:sz w:val="24"/>
              </w:rPr>
              <w:t>%给予奖励。</w:t>
            </w:r>
          </w:p>
        </w:tc>
      </w:tr>
      <w:tr w14:paraId="052AD5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0380C078">
            <w:pPr>
              <w:spacing w:line="440" w:lineRule="exact"/>
              <w:jc w:val="center"/>
              <w:rPr>
                <w:rFonts w:hint="eastAsia" w:ascii="宋体" w:hAnsi="宋体" w:cs="宋体"/>
                <w:sz w:val="24"/>
              </w:rPr>
            </w:pPr>
            <w:r>
              <w:rPr>
                <w:rFonts w:hint="eastAsia" w:ascii="宋体" w:hAnsi="宋体" w:cs="宋体"/>
                <w:sz w:val="24"/>
              </w:rPr>
              <w:t>12</w:t>
            </w:r>
          </w:p>
        </w:tc>
        <w:tc>
          <w:tcPr>
            <w:tcW w:w="1334" w:type="dxa"/>
            <w:noWrap w:val="0"/>
            <w:vAlign w:val="center"/>
          </w:tcPr>
          <w:p w14:paraId="4E9053E5">
            <w:pPr>
              <w:spacing w:line="500" w:lineRule="exact"/>
              <w:jc w:val="center"/>
              <w:rPr>
                <w:rFonts w:hint="eastAsia" w:ascii="宋体" w:hAnsi="宋体" w:cs="宋体"/>
                <w:sz w:val="24"/>
              </w:rPr>
            </w:pPr>
            <w:r>
              <w:rPr>
                <w:rFonts w:hint="eastAsia" w:ascii="宋体" w:hAnsi="宋体" w:cs="宋体"/>
                <w:sz w:val="24"/>
              </w:rPr>
              <w:t>16.1</w:t>
            </w:r>
          </w:p>
        </w:tc>
        <w:tc>
          <w:tcPr>
            <w:tcW w:w="7738" w:type="dxa"/>
            <w:noWrap w:val="0"/>
            <w:vAlign w:val="center"/>
          </w:tcPr>
          <w:p w14:paraId="4C415713">
            <w:pPr>
              <w:spacing w:line="500" w:lineRule="exact"/>
              <w:rPr>
                <w:rFonts w:hint="eastAsia" w:ascii="宋体" w:hAnsi="宋体" w:cs="宋体"/>
                <w:sz w:val="24"/>
              </w:rPr>
            </w:pPr>
            <w:r>
              <w:rPr>
                <w:rFonts w:hint="eastAsia" w:ascii="宋体" w:hAnsi="宋体" w:cs="宋体"/>
                <w:sz w:val="24"/>
              </w:rPr>
              <w:t xml:space="preserve">合同期内不调价   </w:t>
            </w:r>
          </w:p>
        </w:tc>
      </w:tr>
      <w:tr w14:paraId="624FC2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0059C7CB">
            <w:pPr>
              <w:spacing w:line="440" w:lineRule="exact"/>
              <w:jc w:val="center"/>
              <w:rPr>
                <w:rFonts w:hint="eastAsia" w:ascii="宋体" w:hAnsi="宋体" w:cs="宋体"/>
                <w:sz w:val="24"/>
              </w:rPr>
            </w:pPr>
            <w:r>
              <w:rPr>
                <w:rFonts w:hint="eastAsia" w:ascii="宋体" w:hAnsi="宋体" w:cs="宋体"/>
                <w:sz w:val="24"/>
              </w:rPr>
              <w:t>13</w:t>
            </w:r>
          </w:p>
        </w:tc>
        <w:tc>
          <w:tcPr>
            <w:tcW w:w="1334" w:type="dxa"/>
            <w:noWrap w:val="0"/>
            <w:vAlign w:val="center"/>
          </w:tcPr>
          <w:p w14:paraId="1419AC74">
            <w:pPr>
              <w:spacing w:line="500" w:lineRule="exact"/>
              <w:jc w:val="center"/>
              <w:rPr>
                <w:rFonts w:hint="eastAsia" w:ascii="宋体" w:hAnsi="宋体" w:cs="宋体"/>
                <w:sz w:val="24"/>
              </w:rPr>
            </w:pPr>
            <w:r>
              <w:rPr>
                <w:rFonts w:hint="eastAsia" w:ascii="宋体" w:hAnsi="宋体" w:cs="宋体"/>
                <w:sz w:val="24"/>
              </w:rPr>
              <w:t>17.2.1（1）</w:t>
            </w:r>
          </w:p>
        </w:tc>
        <w:tc>
          <w:tcPr>
            <w:tcW w:w="7738" w:type="dxa"/>
            <w:noWrap w:val="0"/>
            <w:vAlign w:val="center"/>
          </w:tcPr>
          <w:p w14:paraId="57CDB9C7">
            <w:pPr>
              <w:spacing w:line="500" w:lineRule="exact"/>
              <w:rPr>
                <w:rFonts w:hint="default" w:ascii="宋体" w:hAnsi="宋体" w:eastAsia="宋体" w:cs="宋体"/>
                <w:sz w:val="24"/>
                <w:lang w:val="en-US" w:eastAsia="zh-CN"/>
              </w:rPr>
            </w:pPr>
            <w:r>
              <w:rPr>
                <w:rFonts w:hint="eastAsia" w:ascii="宋体" w:hAnsi="宋体" w:cs="宋体"/>
                <w:sz w:val="24"/>
              </w:rPr>
              <w:t>开工预付款金</w:t>
            </w:r>
            <w:r>
              <w:rPr>
                <w:rFonts w:hint="eastAsia" w:ascii="宋体" w:hAnsi="宋体" w:cs="宋体"/>
                <w:sz w:val="24"/>
                <w:highlight w:val="none"/>
              </w:rPr>
              <w:t>额</w:t>
            </w:r>
            <w:r>
              <w:rPr>
                <w:rFonts w:hint="eastAsia" w:ascii="宋体" w:hAnsi="宋体" w:cs="宋体"/>
                <w:sz w:val="24"/>
                <w:highlight w:val="none"/>
                <w:lang w:eastAsia="zh-CN"/>
              </w:rPr>
              <w:t>：</w:t>
            </w:r>
            <w:r>
              <w:rPr>
                <w:rFonts w:hint="eastAsia" w:cs="宋体"/>
                <w:sz w:val="24"/>
                <w:highlight w:val="none"/>
                <w:lang w:val="en-US" w:eastAsia="zh-CN"/>
              </w:rPr>
              <w:t>40%</w:t>
            </w:r>
            <w:r>
              <w:rPr>
                <w:rFonts w:hint="eastAsia" w:ascii="宋体" w:hAnsi="宋体" w:cs="宋体"/>
                <w:sz w:val="24"/>
                <w:highlight w:val="none"/>
                <w:lang w:val="en-US" w:eastAsia="zh-CN"/>
              </w:rPr>
              <w:t>。</w:t>
            </w:r>
          </w:p>
        </w:tc>
      </w:tr>
      <w:tr w14:paraId="7720C3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18672D7E">
            <w:pPr>
              <w:spacing w:line="440" w:lineRule="exact"/>
              <w:jc w:val="center"/>
              <w:rPr>
                <w:rFonts w:hint="eastAsia" w:ascii="宋体" w:hAnsi="宋体" w:cs="宋体"/>
                <w:sz w:val="24"/>
              </w:rPr>
            </w:pPr>
            <w:r>
              <w:rPr>
                <w:rFonts w:hint="eastAsia" w:ascii="宋体" w:hAnsi="宋体" w:cs="宋体"/>
                <w:sz w:val="24"/>
              </w:rPr>
              <w:t>14</w:t>
            </w:r>
          </w:p>
        </w:tc>
        <w:tc>
          <w:tcPr>
            <w:tcW w:w="1334" w:type="dxa"/>
            <w:noWrap w:val="0"/>
            <w:vAlign w:val="center"/>
          </w:tcPr>
          <w:p w14:paraId="2DD3AE02">
            <w:pPr>
              <w:spacing w:line="500" w:lineRule="exact"/>
              <w:jc w:val="center"/>
              <w:rPr>
                <w:rFonts w:hint="eastAsia" w:ascii="宋体" w:hAnsi="宋体" w:cs="宋体"/>
                <w:sz w:val="24"/>
              </w:rPr>
            </w:pPr>
            <w:r>
              <w:rPr>
                <w:rFonts w:hint="eastAsia" w:ascii="宋体" w:hAnsi="宋体" w:cs="宋体"/>
                <w:sz w:val="24"/>
              </w:rPr>
              <w:t>17.2.1（2）</w:t>
            </w:r>
          </w:p>
        </w:tc>
        <w:tc>
          <w:tcPr>
            <w:tcW w:w="7738" w:type="dxa"/>
            <w:noWrap w:val="0"/>
            <w:vAlign w:val="center"/>
          </w:tcPr>
          <w:p w14:paraId="6786B20D">
            <w:pPr>
              <w:spacing w:line="500" w:lineRule="exact"/>
              <w:rPr>
                <w:rFonts w:hint="eastAsia" w:ascii="宋体" w:hAnsi="宋体" w:cs="宋体"/>
                <w:sz w:val="24"/>
              </w:rPr>
            </w:pPr>
            <w:r>
              <w:rPr>
                <w:rFonts w:hint="eastAsia" w:ascii="宋体" w:hAnsi="宋体" w:cs="宋体"/>
                <w:sz w:val="24"/>
              </w:rPr>
              <w:t>材料、设备预付款比例：</w:t>
            </w:r>
            <w:r>
              <w:rPr>
                <w:rFonts w:hint="eastAsia" w:ascii="宋体" w:hAnsi="宋体" w:cs="宋体"/>
                <w:sz w:val="24"/>
                <w:u w:val="single"/>
              </w:rPr>
              <w:t>0</w:t>
            </w:r>
            <w:r>
              <w:rPr>
                <w:rFonts w:hint="eastAsia" w:ascii="宋体" w:hAnsi="宋体" w:cs="宋体"/>
                <w:sz w:val="24"/>
              </w:rPr>
              <w:t>%</w:t>
            </w:r>
          </w:p>
        </w:tc>
      </w:tr>
      <w:tr w14:paraId="330B7A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2FAF6026">
            <w:pPr>
              <w:spacing w:line="440" w:lineRule="exact"/>
              <w:jc w:val="center"/>
              <w:rPr>
                <w:rFonts w:hint="eastAsia" w:ascii="宋体" w:hAnsi="宋体" w:cs="宋体"/>
                <w:sz w:val="24"/>
              </w:rPr>
            </w:pPr>
            <w:r>
              <w:rPr>
                <w:rFonts w:hint="eastAsia" w:ascii="宋体" w:hAnsi="宋体" w:cs="宋体"/>
                <w:sz w:val="24"/>
              </w:rPr>
              <w:t>15</w:t>
            </w:r>
          </w:p>
        </w:tc>
        <w:tc>
          <w:tcPr>
            <w:tcW w:w="1334" w:type="dxa"/>
            <w:noWrap w:val="0"/>
            <w:vAlign w:val="center"/>
          </w:tcPr>
          <w:p w14:paraId="400C6874">
            <w:pPr>
              <w:spacing w:line="500" w:lineRule="exact"/>
              <w:jc w:val="center"/>
              <w:rPr>
                <w:rFonts w:hint="eastAsia" w:ascii="宋体" w:hAnsi="宋体" w:cs="宋体"/>
                <w:sz w:val="24"/>
              </w:rPr>
            </w:pPr>
            <w:r>
              <w:rPr>
                <w:rFonts w:hint="eastAsia" w:ascii="宋体" w:hAnsi="宋体" w:cs="宋体"/>
                <w:sz w:val="24"/>
              </w:rPr>
              <w:t>17.3.2</w:t>
            </w:r>
          </w:p>
        </w:tc>
        <w:tc>
          <w:tcPr>
            <w:tcW w:w="7738" w:type="dxa"/>
            <w:noWrap w:val="0"/>
            <w:vAlign w:val="center"/>
          </w:tcPr>
          <w:p w14:paraId="29A6C4CE">
            <w:pPr>
              <w:spacing w:line="500" w:lineRule="exact"/>
              <w:rPr>
                <w:rFonts w:hint="eastAsia" w:ascii="宋体" w:hAnsi="宋体" w:cs="宋体"/>
                <w:sz w:val="24"/>
              </w:rPr>
            </w:pPr>
            <w:r>
              <w:rPr>
                <w:rFonts w:hint="eastAsia" w:ascii="宋体" w:hAnsi="宋体" w:cs="宋体"/>
                <w:sz w:val="24"/>
              </w:rPr>
              <w:t>承包人在每个付款周期末向监理人提交进度付款申请单的份数：</w:t>
            </w:r>
            <w:r>
              <w:rPr>
                <w:rFonts w:hint="eastAsia" w:ascii="宋体" w:hAnsi="宋体" w:cs="宋体"/>
                <w:sz w:val="24"/>
                <w:u w:val="single"/>
              </w:rPr>
              <w:t xml:space="preserve"> 4   </w:t>
            </w:r>
            <w:r>
              <w:rPr>
                <w:rFonts w:hint="eastAsia" w:ascii="宋体" w:hAnsi="宋体" w:cs="宋体"/>
                <w:sz w:val="24"/>
              </w:rPr>
              <w:t>份</w:t>
            </w:r>
          </w:p>
        </w:tc>
      </w:tr>
      <w:tr w14:paraId="7389D9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vMerge w:val="restart"/>
            <w:noWrap w:val="0"/>
            <w:vAlign w:val="center"/>
          </w:tcPr>
          <w:p w14:paraId="25CAF032">
            <w:pPr>
              <w:spacing w:line="440" w:lineRule="exact"/>
              <w:jc w:val="center"/>
              <w:rPr>
                <w:rFonts w:hint="eastAsia" w:ascii="宋体" w:hAnsi="宋体" w:cs="宋体"/>
                <w:sz w:val="24"/>
              </w:rPr>
            </w:pPr>
            <w:r>
              <w:rPr>
                <w:rFonts w:hint="eastAsia" w:ascii="宋体" w:hAnsi="宋体" w:cs="宋体"/>
                <w:sz w:val="24"/>
              </w:rPr>
              <w:t>16</w:t>
            </w:r>
          </w:p>
        </w:tc>
        <w:tc>
          <w:tcPr>
            <w:tcW w:w="1334" w:type="dxa"/>
            <w:vMerge w:val="restart"/>
            <w:noWrap w:val="0"/>
            <w:vAlign w:val="center"/>
          </w:tcPr>
          <w:p w14:paraId="78257F83">
            <w:pPr>
              <w:spacing w:line="400" w:lineRule="exact"/>
              <w:jc w:val="center"/>
              <w:rPr>
                <w:rFonts w:hint="eastAsia" w:ascii="宋体" w:hAnsi="宋体" w:cs="宋体"/>
                <w:color w:val="auto"/>
                <w:sz w:val="24"/>
              </w:rPr>
            </w:pPr>
            <w:r>
              <w:rPr>
                <w:rFonts w:hint="eastAsia" w:ascii="宋体" w:hAnsi="宋体" w:cs="宋体"/>
                <w:color w:val="auto"/>
                <w:sz w:val="24"/>
              </w:rPr>
              <w:t>17.3.3（1）</w:t>
            </w:r>
          </w:p>
        </w:tc>
        <w:tc>
          <w:tcPr>
            <w:tcW w:w="7738" w:type="dxa"/>
            <w:noWrap w:val="0"/>
            <w:vAlign w:val="center"/>
          </w:tcPr>
          <w:p w14:paraId="304DFA08">
            <w:pPr>
              <w:spacing w:line="500" w:lineRule="exact"/>
              <w:rPr>
                <w:rFonts w:hint="eastAsia" w:ascii="宋体" w:hAnsi="宋体" w:cs="宋体"/>
                <w:color w:val="auto"/>
                <w:sz w:val="24"/>
              </w:rPr>
            </w:pPr>
            <w:r>
              <w:rPr>
                <w:rFonts w:hint="eastAsia" w:ascii="宋体" w:hAnsi="宋体" w:cs="宋体"/>
                <w:color w:val="auto"/>
                <w:sz w:val="24"/>
              </w:rPr>
              <w:t>进度付款证书最低限</w:t>
            </w:r>
            <w:r>
              <w:rPr>
                <w:rFonts w:hint="eastAsia" w:ascii="宋体" w:hAnsi="宋体" w:cs="宋体"/>
                <w:color w:val="auto"/>
                <w:sz w:val="24"/>
                <w:highlight w:val="none"/>
              </w:rPr>
              <w:t>额为</w:t>
            </w:r>
            <w:r>
              <w:rPr>
                <w:rFonts w:hint="eastAsia" w:ascii="宋体" w:hAnsi="宋体" w:eastAsia="宋体" w:cs="宋体"/>
                <w:color w:val="auto"/>
                <w:sz w:val="24"/>
                <w:highlight w:val="none"/>
              </w:rPr>
              <w:t>人民币</w:t>
            </w:r>
            <w:r>
              <w:rPr>
                <w:rFonts w:hint="eastAsia" w:ascii="宋体" w:hAnsi="宋体" w:eastAsia="宋体" w:cs="宋体"/>
                <w:color w:val="auto"/>
                <w:sz w:val="24"/>
                <w:highlight w:val="none"/>
                <w:u w:val="single"/>
                <w:lang w:val="en-US" w:eastAsia="zh-CN"/>
              </w:rPr>
              <w:t>/</w:t>
            </w:r>
            <w:r>
              <w:rPr>
                <w:rFonts w:hint="eastAsia" w:ascii="宋体" w:hAnsi="宋体" w:eastAsia="宋体" w:cs="宋体"/>
                <w:color w:val="auto"/>
                <w:sz w:val="24"/>
                <w:highlight w:val="none"/>
              </w:rPr>
              <w:t>万元；</w:t>
            </w:r>
          </w:p>
        </w:tc>
      </w:tr>
      <w:tr w14:paraId="0E4E6F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60" w:hRule="atLeast"/>
          <w:jc w:val="center"/>
        </w:trPr>
        <w:tc>
          <w:tcPr>
            <w:tcW w:w="734" w:type="dxa"/>
            <w:vMerge w:val="continue"/>
            <w:noWrap w:val="0"/>
            <w:vAlign w:val="center"/>
          </w:tcPr>
          <w:p w14:paraId="2AE0EF93">
            <w:pPr>
              <w:spacing w:line="440" w:lineRule="exact"/>
              <w:jc w:val="center"/>
              <w:rPr>
                <w:rFonts w:hint="eastAsia" w:ascii="宋体" w:hAnsi="宋体" w:cs="宋体"/>
                <w:sz w:val="24"/>
              </w:rPr>
            </w:pPr>
          </w:p>
        </w:tc>
        <w:tc>
          <w:tcPr>
            <w:tcW w:w="1334" w:type="dxa"/>
            <w:vMerge w:val="continue"/>
            <w:noWrap w:val="0"/>
            <w:vAlign w:val="center"/>
          </w:tcPr>
          <w:p w14:paraId="2A3DA6AE">
            <w:pPr>
              <w:spacing w:line="400" w:lineRule="exact"/>
              <w:jc w:val="center"/>
              <w:rPr>
                <w:rFonts w:hint="eastAsia" w:ascii="宋体" w:hAnsi="宋体" w:cs="宋体"/>
                <w:color w:val="auto"/>
                <w:sz w:val="24"/>
              </w:rPr>
            </w:pPr>
          </w:p>
        </w:tc>
        <w:tc>
          <w:tcPr>
            <w:tcW w:w="7738" w:type="dxa"/>
            <w:noWrap w:val="0"/>
            <w:vAlign w:val="center"/>
          </w:tcPr>
          <w:p w14:paraId="2C3BD1E3">
            <w:pPr>
              <w:spacing w:line="500" w:lineRule="exact"/>
              <w:rPr>
                <w:rFonts w:hint="eastAsia" w:ascii="宋体" w:hAnsi="宋体" w:eastAsia="宋体" w:cs="宋体"/>
                <w:color w:val="auto"/>
                <w:sz w:val="24"/>
                <w:lang w:eastAsia="zh-CN"/>
              </w:rPr>
            </w:pPr>
            <w:r>
              <w:rPr>
                <w:rFonts w:hint="eastAsia" w:ascii="宋体" w:hAnsi="宋体" w:cs="宋体"/>
                <w:color w:val="auto"/>
                <w:sz w:val="24"/>
                <w:highlight w:val="none"/>
              </w:rPr>
              <w:t>工程款支付时间：合同签订具备实施条件后支付合同价的40%</w:t>
            </w:r>
            <w:r>
              <w:rPr>
                <w:rFonts w:hint="eastAsia" w:cs="宋体"/>
                <w:color w:val="auto"/>
                <w:sz w:val="24"/>
                <w:highlight w:val="none"/>
                <w:lang w:val="en-US" w:eastAsia="zh-CN"/>
              </w:rPr>
              <w:t>作为</w:t>
            </w:r>
            <w:r>
              <w:rPr>
                <w:rFonts w:hint="eastAsia" w:ascii="宋体" w:hAnsi="宋体" w:cs="宋体"/>
                <w:color w:val="auto"/>
                <w:sz w:val="24"/>
                <w:highlight w:val="none"/>
              </w:rPr>
              <w:t>预付款（预付款支付前，</w:t>
            </w:r>
            <w:r>
              <w:rPr>
                <w:rFonts w:hint="eastAsia" w:cs="宋体"/>
                <w:color w:val="auto"/>
                <w:sz w:val="24"/>
                <w:highlight w:val="none"/>
                <w:lang w:val="en-US" w:eastAsia="zh-CN"/>
              </w:rPr>
              <w:t>成交供应商</w:t>
            </w:r>
            <w:r>
              <w:rPr>
                <w:rFonts w:hint="eastAsia" w:ascii="宋体" w:hAnsi="宋体" w:cs="宋体"/>
                <w:color w:val="auto"/>
                <w:sz w:val="24"/>
                <w:highlight w:val="none"/>
              </w:rPr>
              <w:t>须提供同等金额预付款等额保函（见索即付））</w:t>
            </w:r>
            <w:r>
              <w:rPr>
                <w:rFonts w:hint="eastAsia" w:cs="宋体"/>
                <w:color w:val="auto"/>
                <w:sz w:val="24"/>
                <w:highlight w:val="none"/>
                <w:lang w:eastAsia="zh-CN"/>
              </w:rPr>
              <w:t>，</w:t>
            </w:r>
            <w:r>
              <w:rPr>
                <w:rFonts w:hint="eastAsia" w:ascii="宋体" w:hAnsi="宋体" w:cs="宋体"/>
                <w:color w:val="auto"/>
                <w:sz w:val="24"/>
                <w:highlight w:val="none"/>
                <w:lang w:val="en-US" w:eastAsia="zh-CN"/>
              </w:rPr>
              <w:t>每月支付已完成合格工程量的85%</w:t>
            </w:r>
            <w:r>
              <w:rPr>
                <w:rFonts w:hint="eastAsia" w:ascii="宋体" w:hAnsi="宋体" w:cs="宋体"/>
                <w:color w:val="auto"/>
                <w:sz w:val="24"/>
                <w:highlight w:val="none"/>
              </w:rPr>
              <w:t>，交竣工验收合格且工程结算审计后付至结算总造价的100%，同时承包人须提交结算总造价的2%（作为工程质量保证金）至</w:t>
            </w:r>
            <w:r>
              <w:rPr>
                <w:rFonts w:hint="eastAsia" w:ascii="宋体" w:hAnsi="宋体" w:cs="宋体"/>
                <w:color w:val="auto"/>
                <w:sz w:val="24"/>
                <w:highlight w:val="none"/>
                <w:lang w:val="en-US" w:eastAsia="zh-CN"/>
              </w:rPr>
              <w:t>采购人</w:t>
            </w:r>
            <w:r>
              <w:rPr>
                <w:rFonts w:hint="eastAsia" w:ascii="宋体" w:hAnsi="宋体" w:cs="宋体"/>
                <w:color w:val="auto"/>
                <w:sz w:val="24"/>
                <w:highlight w:val="none"/>
              </w:rPr>
              <w:t>处。质量保证金支持保函（银行保函、担保机构担保、保证保险）使用，保函有效期须与工程缺陷责任期截止时间保持一致。</w:t>
            </w:r>
          </w:p>
        </w:tc>
      </w:tr>
      <w:tr w14:paraId="6F390C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4270B1BD">
            <w:pPr>
              <w:spacing w:line="440" w:lineRule="exact"/>
              <w:jc w:val="center"/>
              <w:rPr>
                <w:rFonts w:hint="eastAsia" w:ascii="宋体" w:hAnsi="宋体" w:cs="宋体"/>
                <w:sz w:val="24"/>
              </w:rPr>
            </w:pPr>
            <w:r>
              <w:rPr>
                <w:rFonts w:hint="eastAsia" w:ascii="宋体" w:hAnsi="宋体" w:cs="宋体"/>
                <w:sz w:val="24"/>
              </w:rPr>
              <w:t>17</w:t>
            </w:r>
          </w:p>
        </w:tc>
        <w:tc>
          <w:tcPr>
            <w:tcW w:w="1334" w:type="dxa"/>
            <w:noWrap w:val="0"/>
            <w:vAlign w:val="center"/>
          </w:tcPr>
          <w:p w14:paraId="1BCF42A2">
            <w:pPr>
              <w:spacing w:line="400" w:lineRule="exact"/>
              <w:jc w:val="center"/>
              <w:rPr>
                <w:rFonts w:hint="eastAsia" w:ascii="宋体" w:hAnsi="宋体" w:cs="宋体"/>
                <w:sz w:val="24"/>
              </w:rPr>
            </w:pPr>
            <w:r>
              <w:rPr>
                <w:rFonts w:hint="eastAsia" w:ascii="宋体" w:hAnsi="宋体" w:cs="宋体"/>
                <w:sz w:val="24"/>
              </w:rPr>
              <w:t>17.3.3（2）</w:t>
            </w:r>
          </w:p>
        </w:tc>
        <w:tc>
          <w:tcPr>
            <w:tcW w:w="7738" w:type="dxa"/>
            <w:noWrap w:val="0"/>
            <w:vAlign w:val="center"/>
          </w:tcPr>
          <w:p w14:paraId="267EF06F">
            <w:pPr>
              <w:spacing w:line="520" w:lineRule="exact"/>
              <w:rPr>
                <w:rFonts w:hint="eastAsia" w:ascii="宋体" w:hAnsi="宋体" w:cs="宋体"/>
                <w:sz w:val="24"/>
              </w:rPr>
            </w:pPr>
            <w:r>
              <w:rPr>
                <w:rFonts w:hint="eastAsia" w:ascii="宋体" w:hAnsi="宋体" w:cs="宋体"/>
                <w:sz w:val="24"/>
              </w:rPr>
              <w:t>逾期付款违约金的利率，中国人民银行同期贷款利率加手续费。</w:t>
            </w:r>
          </w:p>
        </w:tc>
      </w:tr>
      <w:tr w14:paraId="29E490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0903B8E6">
            <w:pPr>
              <w:spacing w:line="440" w:lineRule="exact"/>
              <w:jc w:val="center"/>
              <w:rPr>
                <w:rFonts w:hint="eastAsia" w:ascii="宋体" w:hAnsi="宋体" w:cs="宋体"/>
                <w:sz w:val="24"/>
              </w:rPr>
            </w:pPr>
            <w:r>
              <w:rPr>
                <w:rFonts w:hint="eastAsia" w:ascii="宋体" w:hAnsi="宋体" w:cs="宋体"/>
                <w:sz w:val="24"/>
              </w:rPr>
              <w:t>18</w:t>
            </w:r>
          </w:p>
        </w:tc>
        <w:tc>
          <w:tcPr>
            <w:tcW w:w="1334" w:type="dxa"/>
            <w:noWrap w:val="0"/>
            <w:vAlign w:val="center"/>
          </w:tcPr>
          <w:p w14:paraId="69421552">
            <w:pPr>
              <w:spacing w:line="500" w:lineRule="exact"/>
              <w:jc w:val="center"/>
              <w:rPr>
                <w:rFonts w:hint="eastAsia" w:ascii="宋体" w:hAnsi="宋体" w:cs="宋体"/>
                <w:sz w:val="24"/>
              </w:rPr>
            </w:pPr>
            <w:r>
              <w:rPr>
                <w:rFonts w:hint="eastAsia" w:ascii="宋体" w:hAnsi="宋体" w:cs="宋体"/>
                <w:sz w:val="24"/>
              </w:rPr>
              <w:t>17.4.1</w:t>
            </w:r>
          </w:p>
        </w:tc>
        <w:tc>
          <w:tcPr>
            <w:tcW w:w="7738" w:type="dxa"/>
            <w:noWrap w:val="0"/>
            <w:vAlign w:val="center"/>
          </w:tcPr>
          <w:p w14:paraId="0EBECCC2">
            <w:pPr>
              <w:spacing w:line="520" w:lineRule="exact"/>
              <w:rPr>
                <w:rFonts w:hint="eastAsia" w:ascii="宋体" w:hAnsi="宋体" w:eastAsia="宋体" w:cs="宋体"/>
                <w:sz w:val="24"/>
                <w:lang w:eastAsia="zh-CN"/>
              </w:rPr>
            </w:pPr>
            <w:r>
              <w:rPr>
                <w:rFonts w:hint="eastAsia" w:ascii="宋体" w:hAnsi="宋体" w:cs="宋体"/>
                <w:sz w:val="24"/>
              </w:rPr>
              <w:t>质量保证金金额：</w:t>
            </w:r>
            <w:r>
              <w:rPr>
                <w:rFonts w:hint="eastAsia" w:ascii="宋体" w:hAnsi="宋体" w:cs="宋体"/>
                <w:sz w:val="24"/>
                <w:u w:val="single"/>
                <w:lang w:val="en-US" w:eastAsia="zh-CN"/>
              </w:rPr>
              <w:t>2</w:t>
            </w:r>
            <w:r>
              <w:rPr>
                <w:rFonts w:hint="eastAsia" w:ascii="宋体" w:hAnsi="宋体" w:cs="宋体"/>
                <w:sz w:val="24"/>
              </w:rPr>
              <w:t>%</w:t>
            </w:r>
            <w:r>
              <w:rPr>
                <w:rFonts w:hint="eastAsia" w:ascii="宋体" w:hAnsi="宋体" w:cs="宋体"/>
                <w:sz w:val="24"/>
                <w:lang w:val="en-US" w:eastAsia="zh-CN"/>
              </w:rPr>
              <w:t>结算</w:t>
            </w:r>
            <w:r>
              <w:rPr>
                <w:rFonts w:hint="eastAsia" w:ascii="宋体" w:hAnsi="宋体" w:cs="宋体"/>
                <w:sz w:val="24"/>
              </w:rPr>
              <w:t>价格</w:t>
            </w:r>
            <w:r>
              <w:rPr>
                <w:rFonts w:hint="eastAsia" w:ascii="宋体" w:hAnsi="宋体" w:cs="宋体"/>
                <w:sz w:val="24"/>
                <w:lang w:eastAsia="zh-CN"/>
              </w:rPr>
              <w:t>，</w:t>
            </w:r>
            <w:r>
              <w:rPr>
                <w:rFonts w:hint="eastAsia" w:ascii="宋体" w:hAnsi="宋体" w:cs="宋体"/>
                <w:sz w:val="24"/>
                <w:highlight w:val="none"/>
              </w:rPr>
              <w:t>质量保证金支持保函（银行保函、担保机构担保、保证保险）使用</w:t>
            </w:r>
          </w:p>
        </w:tc>
      </w:tr>
      <w:tr w14:paraId="7C879A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15DA0965">
            <w:pPr>
              <w:spacing w:line="440" w:lineRule="exact"/>
              <w:jc w:val="center"/>
              <w:rPr>
                <w:rFonts w:hint="eastAsia" w:ascii="宋体" w:hAnsi="宋体" w:cs="宋体"/>
                <w:sz w:val="24"/>
              </w:rPr>
            </w:pPr>
            <w:r>
              <w:rPr>
                <w:rFonts w:hint="eastAsia" w:ascii="宋体" w:hAnsi="宋体" w:cs="宋体"/>
                <w:sz w:val="24"/>
              </w:rPr>
              <w:t>19</w:t>
            </w:r>
          </w:p>
        </w:tc>
        <w:tc>
          <w:tcPr>
            <w:tcW w:w="1334" w:type="dxa"/>
            <w:noWrap w:val="0"/>
            <w:vAlign w:val="center"/>
          </w:tcPr>
          <w:p w14:paraId="5A7975DD">
            <w:pPr>
              <w:spacing w:line="500" w:lineRule="exact"/>
              <w:jc w:val="center"/>
              <w:rPr>
                <w:rFonts w:hint="eastAsia" w:ascii="宋体" w:hAnsi="宋体" w:cs="宋体"/>
                <w:sz w:val="24"/>
              </w:rPr>
            </w:pPr>
            <w:r>
              <w:rPr>
                <w:rFonts w:hint="eastAsia" w:ascii="宋体" w:hAnsi="宋体" w:cs="宋体"/>
                <w:sz w:val="24"/>
              </w:rPr>
              <w:t>17.5.1（1）</w:t>
            </w:r>
          </w:p>
        </w:tc>
        <w:tc>
          <w:tcPr>
            <w:tcW w:w="7738" w:type="dxa"/>
            <w:noWrap w:val="0"/>
            <w:vAlign w:val="center"/>
          </w:tcPr>
          <w:p w14:paraId="7C4FA646">
            <w:pPr>
              <w:spacing w:line="520" w:lineRule="exact"/>
              <w:rPr>
                <w:rFonts w:hint="eastAsia" w:ascii="宋体" w:hAnsi="宋体" w:cs="宋体"/>
                <w:sz w:val="24"/>
              </w:rPr>
            </w:pPr>
            <w:r>
              <w:rPr>
                <w:rFonts w:hint="eastAsia" w:ascii="宋体" w:hAnsi="宋体" w:cs="宋体"/>
                <w:sz w:val="24"/>
              </w:rPr>
              <w:t>承包人向监理人提交交工付款申请单（包括相关证明材料）的份数：</w:t>
            </w:r>
            <w:r>
              <w:rPr>
                <w:rFonts w:hint="eastAsia" w:ascii="宋体" w:hAnsi="宋体" w:cs="宋体"/>
                <w:sz w:val="24"/>
                <w:u w:val="single"/>
              </w:rPr>
              <w:t xml:space="preserve"> 4  </w:t>
            </w:r>
            <w:r>
              <w:rPr>
                <w:rFonts w:hint="eastAsia" w:ascii="宋体" w:hAnsi="宋体" w:cs="宋体"/>
                <w:sz w:val="24"/>
              </w:rPr>
              <w:t>份</w:t>
            </w:r>
          </w:p>
        </w:tc>
      </w:tr>
      <w:tr w14:paraId="7C1675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5BDF7C75">
            <w:pPr>
              <w:spacing w:line="440" w:lineRule="exact"/>
              <w:jc w:val="center"/>
              <w:rPr>
                <w:rFonts w:hint="eastAsia" w:ascii="宋体" w:hAnsi="宋体" w:cs="宋体"/>
                <w:sz w:val="24"/>
              </w:rPr>
            </w:pPr>
            <w:r>
              <w:rPr>
                <w:rFonts w:hint="eastAsia" w:ascii="宋体" w:hAnsi="宋体" w:cs="宋体"/>
                <w:sz w:val="24"/>
              </w:rPr>
              <w:t>20</w:t>
            </w:r>
          </w:p>
        </w:tc>
        <w:tc>
          <w:tcPr>
            <w:tcW w:w="1334" w:type="dxa"/>
            <w:noWrap w:val="0"/>
            <w:vAlign w:val="center"/>
          </w:tcPr>
          <w:p w14:paraId="13FADE98">
            <w:pPr>
              <w:spacing w:line="500" w:lineRule="exact"/>
              <w:jc w:val="center"/>
              <w:rPr>
                <w:rFonts w:hint="eastAsia" w:ascii="宋体" w:hAnsi="宋体" w:cs="宋体"/>
                <w:sz w:val="24"/>
              </w:rPr>
            </w:pPr>
            <w:r>
              <w:rPr>
                <w:rFonts w:hint="eastAsia" w:ascii="宋体" w:hAnsi="宋体" w:cs="宋体"/>
                <w:sz w:val="24"/>
              </w:rPr>
              <w:t>17.6.1（1）</w:t>
            </w:r>
          </w:p>
        </w:tc>
        <w:tc>
          <w:tcPr>
            <w:tcW w:w="7738" w:type="dxa"/>
            <w:noWrap w:val="0"/>
            <w:vAlign w:val="center"/>
          </w:tcPr>
          <w:p w14:paraId="110D7E54">
            <w:pPr>
              <w:spacing w:line="520" w:lineRule="exact"/>
              <w:rPr>
                <w:rFonts w:hint="eastAsia" w:ascii="宋体" w:hAnsi="宋体" w:cs="宋体"/>
                <w:sz w:val="24"/>
              </w:rPr>
            </w:pPr>
            <w:r>
              <w:rPr>
                <w:rFonts w:hint="eastAsia" w:ascii="宋体" w:hAnsi="宋体" w:cs="宋体"/>
                <w:sz w:val="24"/>
              </w:rPr>
              <w:t>承包人向监理人提交最终结清申请单（包括相关证明材料）的份数：</w:t>
            </w:r>
            <w:r>
              <w:rPr>
                <w:rFonts w:hint="eastAsia" w:ascii="宋体" w:hAnsi="宋体" w:cs="宋体"/>
                <w:sz w:val="24"/>
                <w:u w:val="single"/>
              </w:rPr>
              <w:t xml:space="preserve">  4  </w:t>
            </w:r>
            <w:r>
              <w:rPr>
                <w:rFonts w:hint="eastAsia" w:ascii="宋体" w:hAnsi="宋体" w:cs="宋体"/>
                <w:sz w:val="24"/>
              </w:rPr>
              <w:t>份</w:t>
            </w:r>
          </w:p>
        </w:tc>
      </w:tr>
      <w:tr w14:paraId="47354D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23A2EA5C">
            <w:pPr>
              <w:spacing w:line="440" w:lineRule="exact"/>
              <w:jc w:val="center"/>
              <w:rPr>
                <w:rFonts w:hint="eastAsia" w:ascii="宋体" w:hAnsi="宋体" w:cs="宋体"/>
                <w:sz w:val="24"/>
              </w:rPr>
            </w:pPr>
            <w:r>
              <w:rPr>
                <w:rFonts w:hint="eastAsia" w:ascii="宋体" w:hAnsi="宋体" w:cs="宋体"/>
                <w:sz w:val="24"/>
              </w:rPr>
              <w:t>21</w:t>
            </w:r>
          </w:p>
        </w:tc>
        <w:tc>
          <w:tcPr>
            <w:tcW w:w="1334" w:type="dxa"/>
            <w:noWrap w:val="0"/>
            <w:vAlign w:val="center"/>
          </w:tcPr>
          <w:p w14:paraId="30F0B5B7">
            <w:pPr>
              <w:spacing w:line="500" w:lineRule="exact"/>
              <w:jc w:val="center"/>
              <w:rPr>
                <w:rFonts w:hint="eastAsia" w:ascii="宋体" w:hAnsi="宋体" w:cs="宋体"/>
                <w:sz w:val="24"/>
              </w:rPr>
            </w:pPr>
            <w:r>
              <w:rPr>
                <w:rFonts w:hint="eastAsia" w:ascii="宋体" w:hAnsi="宋体" w:cs="宋体"/>
                <w:sz w:val="24"/>
              </w:rPr>
              <w:t>18.2（2）</w:t>
            </w:r>
          </w:p>
        </w:tc>
        <w:tc>
          <w:tcPr>
            <w:tcW w:w="7738" w:type="dxa"/>
            <w:noWrap w:val="0"/>
            <w:vAlign w:val="center"/>
          </w:tcPr>
          <w:p w14:paraId="09AA7077">
            <w:pPr>
              <w:spacing w:line="520" w:lineRule="exact"/>
              <w:rPr>
                <w:rFonts w:hint="eastAsia" w:ascii="宋体" w:hAnsi="宋体" w:cs="宋体"/>
                <w:sz w:val="24"/>
              </w:rPr>
            </w:pPr>
            <w:r>
              <w:rPr>
                <w:rFonts w:hint="eastAsia" w:ascii="宋体" w:hAnsi="宋体" w:cs="宋体"/>
                <w:sz w:val="24"/>
              </w:rPr>
              <w:t>竣工资料的份数：</w:t>
            </w:r>
            <w:r>
              <w:rPr>
                <w:rFonts w:hint="eastAsia" w:ascii="宋体" w:hAnsi="宋体" w:cs="宋体"/>
                <w:sz w:val="24"/>
                <w:u w:val="single"/>
              </w:rPr>
              <w:t xml:space="preserve">   4   </w:t>
            </w:r>
            <w:r>
              <w:rPr>
                <w:rFonts w:hint="eastAsia" w:ascii="宋体" w:hAnsi="宋体" w:cs="宋体"/>
                <w:sz w:val="24"/>
              </w:rPr>
              <w:t>份</w:t>
            </w:r>
          </w:p>
        </w:tc>
      </w:tr>
      <w:tr w14:paraId="30436D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5" w:hRule="atLeast"/>
          <w:jc w:val="center"/>
        </w:trPr>
        <w:tc>
          <w:tcPr>
            <w:tcW w:w="734" w:type="dxa"/>
            <w:noWrap w:val="0"/>
            <w:vAlign w:val="center"/>
          </w:tcPr>
          <w:p w14:paraId="7BFD3738">
            <w:pPr>
              <w:spacing w:line="440" w:lineRule="exact"/>
              <w:jc w:val="center"/>
              <w:rPr>
                <w:rFonts w:hint="eastAsia" w:ascii="宋体" w:hAnsi="宋体" w:cs="宋体"/>
                <w:sz w:val="24"/>
              </w:rPr>
            </w:pPr>
            <w:r>
              <w:rPr>
                <w:rFonts w:hint="eastAsia" w:ascii="宋体" w:hAnsi="宋体" w:cs="宋体"/>
                <w:sz w:val="24"/>
              </w:rPr>
              <w:t>22</w:t>
            </w:r>
          </w:p>
        </w:tc>
        <w:tc>
          <w:tcPr>
            <w:tcW w:w="1334" w:type="dxa"/>
            <w:noWrap w:val="0"/>
            <w:vAlign w:val="center"/>
          </w:tcPr>
          <w:p w14:paraId="5D0A846A">
            <w:pPr>
              <w:spacing w:line="500" w:lineRule="exact"/>
              <w:jc w:val="center"/>
              <w:rPr>
                <w:rFonts w:hint="eastAsia" w:ascii="宋体" w:hAnsi="宋体" w:cs="宋体"/>
                <w:sz w:val="24"/>
              </w:rPr>
            </w:pPr>
            <w:r>
              <w:rPr>
                <w:rFonts w:hint="eastAsia" w:ascii="宋体" w:hAnsi="宋体" w:cs="宋体"/>
                <w:sz w:val="24"/>
              </w:rPr>
              <w:t>18.5.1</w:t>
            </w:r>
          </w:p>
        </w:tc>
        <w:tc>
          <w:tcPr>
            <w:tcW w:w="7738" w:type="dxa"/>
            <w:noWrap w:val="0"/>
            <w:vAlign w:val="center"/>
          </w:tcPr>
          <w:p w14:paraId="5476C7F6">
            <w:pPr>
              <w:spacing w:line="520" w:lineRule="exact"/>
              <w:rPr>
                <w:rFonts w:hint="eastAsia" w:ascii="宋体" w:hAnsi="宋体" w:cs="宋体"/>
                <w:sz w:val="24"/>
              </w:rPr>
            </w:pPr>
            <w:r>
              <w:rPr>
                <w:rFonts w:hint="eastAsia" w:ascii="宋体" w:hAnsi="宋体" w:cs="宋体"/>
                <w:sz w:val="24"/>
              </w:rPr>
              <w:t xml:space="preserve">单位工程或工程设备是否需投入施工期运行：是 </w:t>
            </w:r>
          </w:p>
        </w:tc>
      </w:tr>
      <w:tr w14:paraId="0613D927">
        <w:tblPrEx>
          <w:tblCellMar>
            <w:top w:w="0" w:type="dxa"/>
            <w:left w:w="108" w:type="dxa"/>
            <w:bottom w:w="0" w:type="dxa"/>
            <w:right w:w="108" w:type="dxa"/>
          </w:tblCellMar>
        </w:tblPrEx>
        <w:trPr>
          <w:jc w:val="center"/>
        </w:trPr>
        <w:tc>
          <w:tcPr>
            <w:tcW w:w="734" w:type="dxa"/>
            <w:noWrap w:val="0"/>
            <w:vAlign w:val="center"/>
          </w:tcPr>
          <w:p w14:paraId="583F1FE6">
            <w:pPr>
              <w:spacing w:line="440" w:lineRule="exact"/>
              <w:jc w:val="center"/>
              <w:rPr>
                <w:rFonts w:hint="eastAsia" w:ascii="宋体" w:hAnsi="宋体" w:cs="宋体"/>
                <w:sz w:val="24"/>
              </w:rPr>
            </w:pPr>
            <w:r>
              <w:rPr>
                <w:rFonts w:hint="eastAsia" w:ascii="宋体" w:hAnsi="宋体" w:cs="宋体"/>
                <w:sz w:val="24"/>
              </w:rPr>
              <w:t>23</w:t>
            </w:r>
          </w:p>
        </w:tc>
        <w:tc>
          <w:tcPr>
            <w:tcW w:w="1334" w:type="dxa"/>
            <w:noWrap w:val="0"/>
            <w:vAlign w:val="center"/>
          </w:tcPr>
          <w:p w14:paraId="7418C6DD">
            <w:pPr>
              <w:spacing w:line="500" w:lineRule="exact"/>
              <w:jc w:val="center"/>
              <w:rPr>
                <w:rFonts w:hint="eastAsia" w:ascii="宋体" w:hAnsi="宋体" w:cs="宋体"/>
                <w:sz w:val="24"/>
              </w:rPr>
            </w:pPr>
            <w:r>
              <w:rPr>
                <w:rFonts w:hint="eastAsia" w:ascii="宋体" w:hAnsi="宋体" w:cs="宋体"/>
                <w:sz w:val="24"/>
              </w:rPr>
              <w:t>18.6.1</w:t>
            </w:r>
          </w:p>
        </w:tc>
        <w:tc>
          <w:tcPr>
            <w:tcW w:w="7738" w:type="dxa"/>
            <w:noWrap w:val="0"/>
            <w:vAlign w:val="center"/>
          </w:tcPr>
          <w:p w14:paraId="383EE1B9">
            <w:pPr>
              <w:spacing w:line="520" w:lineRule="exact"/>
              <w:rPr>
                <w:rFonts w:hint="eastAsia" w:ascii="宋体" w:hAnsi="宋体" w:cs="宋体"/>
                <w:sz w:val="24"/>
              </w:rPr>
            </w:pPr>
            <w:r>
              <w:rPr>
                <w:rFonts w:hint="eastAsia" w:ascii="宋体" w:hAnsi="宋体" w:cs="宋体"/>
                <w:sz w:val="24"/>
              </w:rPr>
              <w:t>本工程及工程设备是否进行试运行：否</w:t>
            </w:r>
          </w:p>
        </w:tc>
      </w:tr>
      <w:tr w14:paraId="266317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071670D1">
            <w:pPr>
              <w:spacing w:line="440" w:lineRule="exact"/>
              <w:jc w:val="center"/>
              <w:rPr>
                <w:rFonts w:hint="eastAsia" w:ascii="宋体" w:hAnsi="宋体" w:cs="宋体"/>
                <w:sz w:val="24"/>
              </w:rPr>
            </w:pPr>
            <w:r>
              <w:rPr>
                <w:rFonts w:hint="eastAsia" w:ascii="宋体" w:hAnsi="宋体" w:cs="宋体"/>
                <w:sz w:val="24"/>
              </w:rPr>
              <w:t>24</w:t>
            </w:r>
          </w:p>
        </w:tc>
        <w:tc>
          <w:tcPr>
            <w:tcW w:w="1334" w:type="dxa"/>
            <w:noWrap w:val="0"/>
            <w:vAlign w:val="center"/>
          </w:tcPr>
          <w:p w14:paraId="73F8C43A">
            <w:pPr>
              <w:spacing w:line="500" w:lineRule="exact"/>
              <w:jc w:val="center"/>
              <w:rPr>
                <w:rFonts w:hint="eastAsia" w:ascii="宋体" w:hAnsi="宋体" w:cs="宋体"/>
                <w:sz w:val="24"/>
              </w:rPr>
            </w:pPr>
            <w:r>
              <w:rPr>
                <w:rFonts w:hint="eastAsia" w:ascii="宋体" w:hAnsi="宋体" w:cs="宋体"/>
                <w:sz w:val="24"/>
              </w:rPr>
              <w:t>19.7（1）</w:t>
            </w:r>
          </w:p>
        </w:tc>
        <w:tc>
          <w:tcPr>
            <w:tcW w:w="7738" w:type="dxa"/>
            <w:noWrap w:val="0"/>
            <w:vAlign w:val="center"/>
          </w:tcPr>
          <w:p w14:paraId="0379574D">
            <w:pPr>
              <w:spacing w:line="520" w:lineRule="exact"/>
              <w:rPr>
                <w:rFonts w:hint="eastAsia" w:ascii="宋体" w:hAnsi="宋体" w:cs="宋体"/>
                <w:sz w:val="24"/>
              </w:rPr>
            </w:pPr>
            <w:r>
              <w:rPr>
                <w:rFonts w:hint="eastAsia" w:ascii="宋体" w:hAnsi="宋体" w:cs="宋体"/>
                <w:sz w:val="24"/>
              </w:rPr>
              <w:t>保修期：自实际交工验收日期起计算</w:t>
            </w:r>
            <w:r>
              <w:rPr>
                <w:rFonts w:hint="eastAsia" w:ascii="宋体" w:hAnsi="宋体" w:cs="宋体"/>
                <w:sz w:val="24"/>
                <w:u w:val="single"/>
              </w:rPr>
              <w:t xml:space="preserve">  </w:t>
            </w:r>
            <w:r>
              <w:rPr>
                <w:rFonts w:hint="eastAsia" w:ascii="宋体" w:hAnsi="宋体" w:cs="宋体"/>
                <w:sz w:val="24"/>
                <w:u w:val="single"/>
                <w:lang w:val="en-US" w:eastAsia="zh-CN"/>
              </w:rPr>
              <w:t>5</w:t>
            </w:r>
            <w:r>
              <w:rPr>
                <w:rFonts w:hint="eastAsia" w:ascii="宋体" w:hAnsi="宋体" w:cs="宋体"/>
                <w:sz w:val="24"/>
                <w:u w:val="single"/>
              </w:rPr>
              <w:t xml:space="preserve">   </w:t>
            </w:r>
            <w:r>
              <w:rPr>
                <w:rFonts w:hint="eastAsia" w:ascii="宋体" w:hAnsi="宋体" w:cs="宋体"/>
                <w:sz w:val="24"/>
              </w:rPr>
              <w:t>年</w:t>
            </w:r>
          </w:p>
        </w:tc>
      </w:tr>
      <w:tr w14:paraId="0F44CD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19F7782B">
            <w:pPr>
              <w:spacing w:line="440" w:lineRule="exact"/>
              <w:jc w:val="center"/>
              <w:rPr>
                <w:rFonts w:hint="eastAsia" w:ascii="宋体" w:hAnsi="宋体" w:cs="宋体"/>
                <w:sz w:val="24"/>
              </w:rPr>
            </w:pPr>
            <w:r>
              <w:rPr>
                <w:rFonts w:hint="eastAsia" w:ascii="宋体" w:hAnsi="宋体" w:cs="宋体"/>
                <w:sz w:val="24"/>
              </w:rPr>
              <w:t>25</w:t>
            </w:r>
          </w:p>
        </w:tc>
        <w:tc>
          <w:tcPr>
            <w:tcW w:w="1334" w:type="dxa"/>
            <w:noWrap w:val="0"/>
            <w:vAlign w:val="center"/>
          </w:tcPr>
          <w:p w14:paraId="6FA953DA">
            <w:pPr>
              <w:spacing w:line="500" w:lineRule="exact"/>
              <w:jc w:val="center"/>
              <w:rPr>
                <w:rFonts w:hint="eastAsia" w:ascii="宋体" w:hAnsi="宋体" w:cs="宋体"/>
                <w:sz w:val="24"/>
              </w:rPr>
            </w:pPr>
            <w:r>
              <w:rPr>
                <w:rFonts w:hint="eastAsia" w:ascii="宋体" w:hAnsi="宋体" w:cs="宋体"/>
                <w:sz w:val="24"/>
              </w:rPr>
              <w:t>20.1</w:t>
            </w:r>
          </w:p>
        </w:tc>
        <w:tc>
          <w:tcPr>
            <w:tcW w:w="7738" w:type="dxa"/>
            <w:noWrap w:val="0"/>
            <w:vAlign w:val="center"/>
          </w:tcPr>
          <w:p w14:paraId="424059CD">
            <w:pPr>
              <w:spacing w:line="520" w:lineRule="exact"/>
              <w:rPr>
                <w:rFonts w:hint="eastAsia" w:ascii="宋体" w:hAnsi="宋体" w:cs="宋体"/>
                <w:sz w:val="24"/>
              </w:rPr>
            </w:pPr>
            <w:r>
              <w:rPr>
                <w:rFonts w:hint="eastAsia" w:ascii="宋体" w:hAnsi="宋体" w:cs="宋体"/>
                <w:sz w:val="24"/>
              </w:rPr>
              <w:t>建筑工程一切险的保险费率：</w:t>
            </w:r>
            <w:r>
              <w:rPr>
                <w:rFonts w:hint="eastAsia" w:ascii="宋体" w:hAnsi="宋体" w:cs="宋体"/>
                <w:sz w:val="24"/>
                <w:lang w:val="en-US" w:eastAsia="zh-CN"/>
              </w:rPr>
              <w:t>详见最高投标限价及编制说明描述</w:t>
            </w:r>
            <w:r>
              <w:rPr>
                <w:rFonts w:hint="eastAsia" w:ascii="宋体" w:hAnsi="宋体" w:cs="宋体"/>
                <w:sz w:val="24"/>
              </w:rPr>
              <w:t>，结算时以提供保险票据为准。</w:t>
            </w:r>
          </w:p>
        </w:tc>
      </w:tr>
      <w:tr w14:paraId="1A5F02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0" w:hRule="atLeast"/>
          <w:jc w:val="center"/>
        </w:trPr>
        <w:tc>
          <w:tcPr>
            <w:tcW w:w="734" w:type="dxa"/>
            <w:noWrap w:val="0"/>
            <w:vAlign w:val="center"/>
          </w:tcPr>
          <w:p w14:paraId="414CD6CE">
            <w:pPr>
              <w:spacing w:line="440" w:lineRule="exact"/>
              <w:jc w:val="center"/>
              <w:rPr>
                <w:rFonts w:hint="eastAsia" w:ascii="宋体" w:hAnsi="宋体" w:cs="宋体"/>
                <w:sz w:val="24"/>
              </w:rPr>
            </w:pPr>
            <w:r>
              <w:rPr>
                <w:rFonts w:hint="eastAsia" w:ascii="宋体" w:hAnsi="宋体" w:cs="宋体"/>
                <w:sz w:val="24"/>
              </w:rPr>
              <w:t>26</w:t>
            </w:r>
          </w:p>
        </w:tc>
        <w:tc>
          <w:tcPr>
            <w:tcW w:w="1334" w:type="dxa"/>
            <w:noWrap w:val="0"/>
            <w:vAlign w:val="center"/>
          </w:tcPr>
          <w:p w14:paraId="7E98564A">
            <w:pPr>
              <w:spacing w:line="560" w:lineRule="exact"/>
              <w:jc w:val="center"/>
              <w:rPr>
                <w:rFonts w:hint="eastAsia" w:ascii="宋体" w:hAnsi="宋体" w:cs="宋体"/>
                <w:sz w:val="24"/>
              </w:rPr>
            </w:pPr>
            <w:r>
              <w:rPr>
                <w:rFonts w:hint="eastAsia" w:ascii="宋体" w:hAnsi="宋体" w:cs="宋体"/>
                <w:sz w:val="24"/>
              </w:rPr>
              <w:t>20.4.2</w:t>
            </w:r>
          </w:p>
        </w:tc>
        <w:tc>
          <w:tcPr>
            <w:tcW w:w="7738" w:type="dxa"/>
            <w:noWrap w:val="0"/>
            <w:vAlign w:val="center"/>
          </w:tcPr>
          <w:p w14:paraId="2E147BB8">
            <w:pPr>
              <w:spacing w:line="520" w:lineRule="exact"/>
              <w:rPr>
                <w:rFonts w:hint="eastAsia" w:ascii="宋体" w:hAnsi="宋体" w:cs="宋体"/>
                <w:sz w:val="24"/>
              </w:rPr>
            </w:pPr>
            <w:r>
              <w:rPr>
                <w:rFonts w:hint="eastAsia" w:ascii="宋体" w:hAnsi="宋体" w:cs="宋体"/>
                <w:sz w:val="24"/>
              </w:rPr>
              <w:t>第三者责任险：</w:t>
            </w:r>
            <w:r>
              <w:rPr>
                <w:rFonts w:hint="eastAsia" w:ascii="宋体" w:hAnsi="宋体" w:cs="宋体"/>
                <w:sz w:val="24"/>
                <w:lang w:val="en-US" w:eastAsia="zh-CN"/>
              </w:rPr>
              <w:t>详见最高投标限价及编制说明描述</w:t>
            </w:r>
            <w:r>
              <w:rPr>
                <w:rFonts w:hint="eastAsia" w:ascii="宋体" w:hAnsi="宋体" w:cs="宋体"/>
                <w:sz w:val="24"/>
              </w:rPr>
              <w:t>，结算时以提供保险票据为准；</w:t>
            </w:r>
          </w:p>
        </w:tc>
      </w:tr>
      <w:tr w14:paraId="48BD2C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34" w:type="dxa"/>
            <w:noWrap w:val="0"/>
            <w:vAlign w:val="center"/>
          </w:tcPr>
          <w:p w14:paraId="3E7FD2BC">
            <w:pPr>
              <w:spacing w:line="440" w:lineRule="exact"/>
              <w:jc w:val="center"/>
              <w:rPr>
                <w:rFonts w:hint="eastAsia" w:ascii="宋体" w:hAnsi="宋体" w:cs="宋体"/>
                <w:sz w:val="24"/>
              </w:rPr>
            </w:pPr>
            <w:r>
              <w:rPr>
                <w:rFonts w:hint="eastAsia" w:ascii="宋体" w:hAnsi="宋体" w:cs="宋体"/>
                <w:sz w:val="24"/>
              </w:rPr>
              <w:t>27</w:t>
            </w:r>
          </w:p>
        </w:tc>
        <w:tc>
          <w:tcPr>
            <w:tcW w:w="1334" w:type="dxa"/>
            <w:noWrap w:val="0"/>
            <w:vAlign w:val="center"/>
          </w:tcPr>
          <w:p w14:paraId="0E967BDC">
            <w:pPr>
              <w:spacing w:line="560" w:lineRule="exact"/>
              <w:jc w:val="center"/>
              <w:rPr>
                <w:rFonts w:hint="eastAsia" w:ascii="宋体" w:hAnsi="宋体" w:cs="宋体"/>
                <w:sz w:val="24"/>
              </w:rPr>
            </w:pPr>
            <w:r>
              <w:rPr>
                <w:rFonts w:hint="eastAsia" w:ascii="宋体" w:hAnsi="宋体" w:cs="宋体"/>
                <w:sz w:val="24"/>
              </w:rPr>
              <w:t>24.1</w:t>
            </w:r>
          </w:p>
        </w:tc>
        <w:tc>
          <w:tcPr>
            <w:tcW w:w="7738" w:type="dxa"/>
            <w:noWrap w:val="0"/>
            <w:vAlign w:val="center"/>
          </w:tcPr>
          <w:p w14:paraId="51928ABB">
            <w:pPr>
              <w:spacing w:line="560" w:lineRule="exact"/>
              <w:rPr>
                <w:rFonts w:hint="eastAsia" w:ascii="宋体" w:hAnsi="宋体" w:cs="宋体"/>
                <w:sz w:val="24"/>
              </w:rPr>
            </w:pPr>
            <w:r>
              <w:rPr>
                <w:rFonts w:hint="eastAsia" w:ascii="宋体" w:hAnsi="宋体" w:cs="宋体"/>
                <w:sz w:val="24"/>
              </w:rPr>
              <w:t>争议的最</w:t>
            </w:r>
            <w:r>
              <w:rPr>
                <w:rFonts w:hint="eastAsia" w:ascii="宋体" w:hAnsi="宋体" w:eastAsia="宋体" w:cs="宋体"/>
                <w:sz w:val="24"/>
              </w:rPr>
              <w:t>终解决方式：具有管辖权的人民法院诉讼</w:t>
            </w:r>
          </w:p>
        </w:tc>
      </w:tr>
    </w:tbl>
    <w:p w14:paraId="107A0946">
      <w:pPr>
        <w:spacing w:line="400" w:lineRule="exact"/>
        <w:ind w:right="1080"/>
        <w:jc w:val="right"/>
        <w:rPr>
          <w:rFonts w:hint="eastAsia" w:ascii="宋体" w:hAnsi="宋体" w:cs="宋体"/>
          <w:b/>
          <w:sz w:val="24"/>
        </w:rPr>
        <w:sectPr>
          <w:footerReference r:id="rId5" w:type="first"/>
          <w:footerReference r:id="rId4" w:type="default"/>
          <w:footnotePr>
            <w:numFmt w:val="decimalEnclosedCircleChinese"/>
            <w:numRestart w:val="eachPage"/>
          </w:footnotePr>
          <w:pgSz w:w="11906" w:h="16838"/>
          <w:pgMar w:top="1440" w:right="1440" w:bottom="1440" w:left="1440" w:header="851" w:footer="992" w:gutter="0"/>
          <w:pgNumType w:fmt="decimal" w:start="1"/>
          <w:cols w:space="720" w:num="1"/>
          <w:titlePg/>
          <w:docGrid w:linePitch="312" w:charSpace="0"/>
        </w:sectPr>
      </w:pPr>
    </w:p>
    <w:p w14:paraId="39097F7F">
      <w:pPr>
        <w:spacing w:before="240" w:after="240" w:line="420" w:lineRule="atLeast"/>
        <w:jc w:val="center"/>
        <w:rPr>
          <w:rFonts w:hint="eastAsia" w:ascii="宋体" w:hAnsi="宋体" w:cs="宋体"/>
          <w:b/>
          <w:sz w:val="24"/>
        </w:rPr>
      </w:pPr>
      <w:r>
        <w:rPr>
          <w:rFonts w:hint="eastAsia" w:ascii="宋体" w:hAnsi="宋体" w:cs="宋体"/>
          <w:b/>
          <w:sz w:val="24"/>
        </w:rPr>
        <w:t>项目专用合同条款</w:t>
      </w:r>
    </w:p>
    <w:p w14:paraId="6E44A900">
      <w:pPr>
        <w:spacing w:line="450" w:lineRule="exact"/>
        <w:rPr>
          <w:rFonts w:hint="eastAsia" w:ascii="宋体" w:hAnsi="宋体" w:cs="宋体"/>
          <w:sz w:val="24"/>
        </w:rPr>
      </w:pPr>
      <w:r>
        <w:rPr>
          <w:rFonts w:hint="eastAsia" w:ascii="宋体" w:hAnsi="宋体" w:cs="宋体"/>
          <w:sz w:val="24"/>
        </w:rPr>
        <w:t>说明：本部分所列的项目专用合同条款是对“公路</w:t>
      </w:r>
      <w:r>
        <w:rPr>
          <w:rFonts w:hint="eastAsia" w:ascii="宋体" w:hAnsi="宋体" w:cs="宋体"/>
          <w:sz w:val="24"/>
          <w:lang w:val="en-US" w:eastAsia="zh-CN"/>
        </w:rPr>
        <w:t>养护</w:t>
      </w:r>
      <w:r>
        <w:rPr>
          <w:rFonts w:hint="eastAsia" w:ascii="宋体" w:hAnsi="宋体" w:cs="宋体"/>
          <w:sz w:val="24"/>
        </w:rPr>
        <w:t>工程专用合同条款”中规定必须在项目专用合同条款中明确的内容的集中，</w:t>
      </w:r>
      <w:r>
        <w:rPr>
          <w:rFonts w:hint="eastAsia" w:ascii="宋体" w:hAnsi="宋体" w:cs="宋体"/>
          <w:sz w:val="24"/>
          <w:lang w:eastAsia="zh-CN"/>
        </w:rPr>
        <w:t>采购人</w:t>
      </w:r>
      <w:r>
        <w:rPr>
          <w:rFonts w:hint="eastAsia" w:ascii="宋体" w:hAnsi="宋体" w:cs="宋体"/>
          <w:sz w:val="24"/>
        </w:rPr>
        <w:t>编制的“项目专用合同条款”不限于本部分所列内容。</w:t>
      </w:r>
    </w:p>
    <w:p w14:paraId="42C6B26C">
      <w:pPr>
        <w:spacing w:before="156" w:beforeLines="50" w:line="450" w:lineRule="exact"/>
        <w:rPr>
          <w:rFonts w:hint="eastAsia" w:ascii="宋体" w:hAnsi="宋体" w:cs="宋体"/>
          <w:sz w:val="24"/>
        </w:rPr>
      </w:pPr>
      <w:r>
        <w:rPr>
          <w:rFonts w:hint="eastAsia" w:ascii="宋体" w:hAnsi="宋体" w:cs="宋体"/>
          <w:sz w:val="24"/>
        </w:rPr>
        <w:t>4.1 承包人的一般义务</w:t>
      </w:r>
    </w:p>
    <w:p w14:paraId="34A7A50F">
      <w:pPr>
        <w:spacing w:line="450" w:lineRule="exact"/>
        <w:ind w:firstLine="470" w:firstLineChars="196"/>
        <w:rPr>
          <w:rFonts w:hint="eastAsia" w:ascii="宋体" w:hAnsi="宋体" w:cs="宋体"/>
          <w:sz w:val="24"/>
        </w:rPr>
      </w:pPr>
      <w:r>
        <w:rPr>
          <w:rFonts w:hint="eastAsia" w:ascii="宋体" w:hAnsi="宋体" w:cs="宋体"/>
          <w:sz w:val="24"/>
        </w:rPr>
        <w:t>4.1.10 其他义务</w:t>
      </w:r>
    </w:p>
    <w:p w14:paraId="0DDA3425">
      <w:pPr>
        <w:spacing w:line="450" w:lineRule="exact"/>
        <w:ind w:firstLine="480" w:firstLineChars="200"/>
        <w:rPr>
          <w:rFonts w:hint="eastAsia" w:ascii="宋体" w:hAnsi="宋体" w:cs="宋体"/>
          <w:sz w:val="24"/>
        </w:rPr>
      </w:pPr>
      <w:r>
        <w:rPr>
          <w:rFonts w:hint="eastAsia" w:ascii="宋体" w:hAnsi="宋体" w:cs="宋体"/>
          <w:sz w:val="24"/>
        </w:rPr>
        <w:t>（4）承包人应履行项目专用合同条款约定的其他义务”细化为：</w:t>
      </w:r>
    </w:p>
    <w:p w14:paraId="3C2B32F6">
      <w:pPr>
        <w:spacing w:line="450" w:lineRule="exact"/>
        <w:ind w:firstLine="390"/>
        <w:rPr>
          <w:rFonts w:hint="eastAsia" w:ascii="宋体" w:hAnsi="宋体" w:cs="宋体"/>
          <w:sz w:val="24"/>
        </w:rPr>
      </w:pPr>
      <w:r>
        <w:rPr>
          <w:rFonts w:hint="eastAsia" w:ascii="宋体" w:hAnsi="宋体" w:cs="宋体"/>
          <w:sz w:val="24"/>
        </w:rPr>
        <w:t>（4）承包人应由专职人员负责处理地方关系。当承包人遇到地方问题或与地方群众发生矛盾、纠纷时，首先应主动与工程所在地建设指挥部取得联系，以求问题解决。</w:t>
      </w:r>
    </w:p>
    <w:p w14:paraId="2AC57133">
      <w:pPr>
        <w:spacing w:line="450" w:lineRule="exact"/>
        <w:ind w:firstLine="390"/>
        <w:rPr>
          <w:rFonts w:hint="eastAsia" w:ascii="宋体" w:hAnsi="宋体" w:cs="宋体"/>
          <w:sz w:val="24"/>
        </w:rPr>
      </w:pPr>
      <w:r>
        <w:rPr>
          <w:rFonts w:hint="eastAsia" w:ascii="宋体" w:hAnsi="宋体" w:cs="宋体"/>
          <w:sz w:val="24"/>
        </w:rPr>
        <w:t>（5）承包人应按发包人的要求，为配合发包人的工程管理和本项目其他工程施工提供方便和必要的协助，以保证工程的顺利施工。所提供的方便与必要的协助包含并不限于以下工作：配合发包人对本项目可能进行的科研和试验课题研究提供必要的试验场地、设备、人员及辅助工作，承担召开专项施工方案评审会相关费用等；配合发包人和相关检测单位做好检测工作；承包人应为发包人或监理工程师在本项目管理中提供交通的便利。</w:t>
      </w:r>
    </w:p>
    <w:p w14:paraId="12EB035C">
      <w:pPr>
        <w:spacing w:line="450" w:lineRule="exact"/>
        <w:ind w:firstLine="390"/>
        <w:rPr>
          <w:rFonts w:hint="eastAsia" w:ascii="宋体" w:hAnsi="宋体" w:cs="宋体"/>
          <w:sz w:val="24"/>
        </w:rPr>
      </w:pPr>
      <w:r>
        <w:rPr>
          <w:rFonts w:hint="eastAsia" w:ascii="宋体" w:hAnsi="宋体" w:cs="宋体"/>
          <w:sz w:val="24"/>
        </w:rPr>
        <w:t>承包人为完成上述目标所需的一切费用均应包括在</w:t>
      </w:r>
      <w:r>
        <w:rPr>
          <w:rFonts w:hint="eastAsia" w:ascii="宋体" w:hAnsi="宋体" w:cs="宋体"/>
          <w:sz w:val="24"/>
          <w:lang w:val="en-US" w:eastAsia="zh-CN"/>
        </w:rPr>
        <w:t>响应</w:t>
      </w:r>
      <w:r>
        <w:rPr>
          <w:rFonts w:hint="eastAsia" w:ascii="宋体" w:hAnsi="宋体" w:cs="宋体"/>
          <w:sz w:val="24"/>
        </w:rPr>
        <w:t>总价内，发包人不另行计量与支付。承包人若没有完成本项工作或监理工程师验收不合格，承包人应及时修复；否则，发包人将从本合同段的承包人计量款中扣除后续单位完成本项工作的报价金额。</w:t>
      </w:r>
    </w:p>
    <w:p w14:paraId="7D7CBBFA">
      <w:pPr>
        <w:spacing w:line="450" w:lineRule="exact"/>
        <w:ind w:firstLine="390"/>
        <w:rPr>
          <w:rFonts w:hint="eastAsia" w:ascii="宋体" w:hAnsi="宋体" w:cs="宋体"/>
          <w:sz w:val="24"/>
        </w:rPr>
      </w:pPr>
      <w:r>
        <w:rPr>
          <w:rFonts w:hint="eastAsia" w:ascii="宋体" w:hAnsi="宋体" w:cs="宋体"/>
          <w:sz w:val="24"/>
        </w:rPr>
        <w:t>（6）承包人除按合同规定承担本合同工程实施、完成及修复缺陷外，还应对施工有交叉、有衔接的施工项目主动积极做好配合，承包人应按发包人要求做好交验配合工作，若出现矛盾或纠纷，承包人应服从监理人或发包人安排。承包人应充分考虑在施工过程中可采取的交通保障措施，交通安全保障及文明施工措施。</w:t>
      </w:r>
    </w:p>
    <w:p w14:paraId="0078BB4D">
      <w:pPr>
        <w:spacing w:line="450" w:lineRule="exact"/>
        <w:ind w:firstLine="390"/>
        <w:rPr>
          <w:rFonts w:hint="eastAsia" w:ascii="宋体" w:hAnsi="宋体" w:cs="宋体"/>
          <w:sz w:val="24"/>
        </w:rPr>
      </w:pPr>
      <w:r>
        <w:rPr>
          <w:rFonts w:hint="eastAsia" w:ascii="宋体" w:hAnsi="宋体" w:cs="宋体"/>
          <w:sz w:val="24"/>
        </w:rPr>
        <w:t>（7）承包人在施工过程中，应积极主动取得当地政府及人民群众的支持，协调好本合同段各方的关系，避免施工干扰，同时避免给其他承包人造成施工干扰。不可避免时，应主动与被干扰方协调以减少干扰。</w:t>
      </w:r>
    </w:p>
    <w:p w14:paraId="66C2315F">
      <w:pPr>
        <w:spacing w:line="450" w:lineRule="exact"/>
        <w:ind w:firstLine="360" w:firstLineChars="150"/>
        <w:rPr>
          <w:rFonts w:hint="eastAsia" w:ascii="宋体" w:hAnsi="宋体" w:cs="宋体"/>
          <w:sz w:val="24"/>
        </w:rPr>
      </w:pPr>
      <w:r>
        <w:rPr>
          <w:rFonts w:hint="eastAsia" w:ascii="宋体" w:hAnsi="宋体" w:cs="宋体"/>
          <w:sz w:val="24"/>
        </w:rPr>
        <w:t>（8）凡合同段内与已建公路、管道等有交叉干扰的地段，承包人应在不干扰公路、管道正常运行的前提下，合理安排施工组织计划，采取有效措施保证施工和运营安全，并在必要时疏导现有交通流。承包人应将采取的措施而可能发生的全部费用计入投标报价中，发包人将不另行支付。如因承包人采取措施不力，影响公路、航道、管道正常安全运营而给其他部门或个人造成的一切损失或由于上述原因造成工期的拖延或施工费用的增加，均由承包人自行承担。</w:t>
      </w:r>
    </w:p>
    <w:p w14:paraId="5FA857B8">
      <w:pPr>
        <w:spacing w:before="156" w:beforeLines="50" w:line="450" w:lineRule="exact"/>
        <w:rPr>
          <w:rFonts w:hint="eastAsia" w:ascii="宋体" w:hAnsi="宋体" w:cs="宋体"/>
          <w:sz w:val="24"/>
        </w:rPr>
      </w:pPr>
      <w:r>
        <w:rPr>
          <w:rFonts w:hint="eastAsia" w:ascii="宋体" w:hAnsi="宋体" w:cs="宋体"/>
          <w:sz w:val="24"/>
        </w:rPr>
        <w:t>4.3 分包</w:t>
      </w:r>
    </w:p>
    <w:p w14:paraId="12760856">
      <w:pPr>
        <w:spacing w:line="450" w:lineRule="exact"/>
        <w:ind w:firstLine="480" w:firstLineChars="200"/>
        <w:rPr>
          <w:rFonts w:hint="eastAsia" w:ascii="宋体" w:hAnsi="宋体" w:cs="宋体"/>
          <w:sz w:val="24"/>
        </w:rPr>
      </w:pPr>
      <w:r>
        <w:rPr>
          <w:rFonts w:hint="eastAsia" w:ascii="宋体" w:hAnsi="宋体" w:cs="宋体"/>
          <w:sz w:val="24"/>
        </w:rPr>
        <w:t>原文修改为：本招标项目不允许分包。</w:t>
      </w:r>
    </w:p>
    <w:p w14:paraId="0C3695B4">
      <w:pPr>
        <w:spacing w:before="156" w:beforeLines="50" w:line="450" w:lineRule="exact"/>
        <w:rPr>
          <w:rFonts w:hint="eastAsia" w:ascii="宋体" w:hAnsi="宋体" w:cs="宋体"/>
          <w:sz w:val="24"/>
        </w:rPr>
      </w:pPr>
      <w:r>
        <w:rPr>
          <w:rFonts w:hint="eastAsia" w:ascii="宋体" w:hAnsi="宋体" w:cs="宋体"/>
          <w:sz w:val="24"/>
        </w:rPr>
        <w:t>7.3 场外交通</w:t>
      </w:r>
    </w:p>
    <w:p w14:paraId="79904063">
      <w:pPr>
        <w:spacing w:line="450" w:lineRule="exact"/>
        <w:ind w:firstLine="437"/>
        <w:rPr>
          <w:rFonts w:hint="eastAsia" w:ascii="宋体" w:hAnsi="宋体" w:cs="宋体"/>
          <w:sz w:val="24"/>
        </w:rPr>
      </w:pPr>
      <w:r>
        <w:rPr>
          <w:rFonts w:hint="eastAsia" w:ascii="宋体" w:hAnsi="宋体" w:cs="宋体"/>
          <w:sz w:val="24"/>
        </w:rPr>
        <w:t>增加7.3.3</w:t>
      </w:r>
    </w:p>
    <w:p w14:paraId="636173E8">
      <w:pPr>
        <w:numPr>
          <w:ilvl w:val="2"/>
          <w:numId w:val="3"/>
        </w:numPr>
        <w:spacing w:line="450" w:lineRule="exact"/>
        <w:rPr>
          <w:rFonts w:hint="eastAsia" w:ascii="宋体" w:hAnsi="宋体" w:cs="宋体"/>
          <w:sz w:val="24"/>
        </w:rPr>
      </w:pPr>
      <w:r>
        <w:rPr>
          <w:rFonts w:hint="eastAsia" w:ascii="宋体" w:hAnsi="宋体" w:cs="宋体"/>
          <w:sz w:val="24"/>
        </w:rPr>
        <w:t>承包人应选定运输路线，选用运输车辆，限制和分配载运重量及其他合理措施，防止承包人或其分包人的任何运输车辆因超过载重限制而损坏或损伤所通行的道路或桥梁。大型施工装备和超重件的运输，应事先取得道路管理部门的许可方能启运。如果采用上述措施后，仍超过所通行的桥梁或道路的载重限制而又必须通过时，承包人应与公路管理部门协商，取得同意和协助，并负责承担所通行路线上的桥梁加固或改建，或道路改线或改善和其他费用。这些费用和因承包人未执行本款规定造成道路或桥梁损坏或损伤而引起的一切索赔、赔偿、诉讼费用和其他开支，发包人概不负责承担。</w:t>
      </w:r>
    </w:p>
    <w:p w14:paraId="627B1AC2">
      <w:pPr>
        <w:spacing w:line="450" w:lineRule="exact"/>
        <w:ind w:firstLine="437"/>
        <w:rPr>
          <w:rFonts w:hint="eastAsia" w:ascii="宋体" w:hAnsi="宋体" w:cs="宋体"/>
          <w:sz w:val="24"/>
        </w:rPr>
      </w:pPr>
      <w:r>
        <w:rPr>
          <w:rFonts w:hint="eastAsia" w:ascii="宋体" w:hAnsi="宋体" w:cs="宋体"/>
          <w:sz w:val="24"/>
        </w:rPr>
        <w:t>承包人利用原有地方道路作为施工便道时，使用前承包人应与当地政府签定协议，并加强对道路的日常养护与维护，确保安全畅通。若因承包人在施工中损坏了原有的公路设施，应积极主动进行修复。当工程完工后，承包人应按当时签定的协议（报地方指挥部和发包人备案）履行合同，并交付当地政府，若未能履行合同和办理交付手续，则发包人有权在其工程结算价款中扣除相关费用。</w:t>
      </w:r>
    </w:p>
    <w:p w14:paraId="02D466B5">
      <w:pPr>
        <w:spacing w:line="450" w:lineRule="exact"/>
        <w:ind w:firstLine="437"/>
        <w:rPr>
          <w:rFonts w:hint="eastAsia" w:ascii="宋体" w:hAnsi="宋体" w:cs="宋体"/>
          <w:sz w:val="24"/>
        </w:rPr>
      </w:pPr>
      <w:r>
        <w:rPr>
          <w:rFonts w:hint="eastAsia" w:ascii="宋体" w:hAnsi="宋体" w:cs="宋体"/>
          <w:sz w:val="24"/>
        </w:rPr>
        <w:t>承包人为了出入现场和施工运输，应自费养护维修由他人修建和使用的所有临时道路和桥涵（包括利用和加固的村镇便道），恢复的费用由承包人负责，并应保证发包人免于承担因上述临时道路和桥梁的使用所引起的补偿费、诉讼费、损害费、指控费及其他开支。临时道路和进场道路所发生的建造、使用、维护、拆除、恢复等一切费用在工程量清单第100章相关支付细目中报价。施工单位不得以共用便道、便桥的问题要求增加费用。</w:t>
      </w:r>
    </w:p>
    <w:p w14:paraId="09E03E4F">
      <w:pPr>
        <w:spacing w:before="156" w:beforeLines="50" w:line="450" w:lineRule="exact"/>
        <w:rPr>
          <w:rFonts w:hint="eastAsia" w:ascii="宋体" w:hAnsi="宋体" w:cs="宋体"/>
          <w:sz w:val="24"/>
        </w:rPr>
      </w:pPr>
      <w:r>
        <w:rPr>
          <w:rFonts w:hint="eastAsia" w:ascii="宋体" w:hAnsi="宋体" w:cs="宋体"/>
          <w:sz w:val="24"/>
        </w:rPr>
        <w:t>9.2 承包人的施工安全责任</w:t>
      </w:r>
    </w:p>
    <w:p w14:paraId="50BB0C35">
      <w:pPr>
        <w:spacing w:line="450" w:lineRule="exact"/>
        <w:ind w:firstLine="435"/>
        <w:rPr>
          <w:rFonts w:hint="eastAsia" w:ascii="宋体" w:hAnsi="宋体" w:cs="宋体"/>
          <w:sz w:val="24"/>
        </w:rPr>
      </w:pPr>
      <w:r>
        <w:rPr>
          <w:rFonts w:hint="eastAsia" w:ascii="宋体" w:hAnsi="宋体" w:cs="宋体"/>
          <w:sz w:val="24"/>
        </w:rPr>
        <w:t>第9.2.5项细化为:</w:t>
      </w:r>
    </w:p>
    <w:p w14:paraId="6BA61388">
      <w:pPr>
        <w:spacing w:line="450" w:lineRule="exact"/>
        <w:ind w:firstLine="435"/>
        <w:rPr>
          <w:rFonts w:hint="eastAsia" w:ascii="宋体" w:hAnsi="宋体" w:cs="宋体"/>
          <w:sz w:val="24"/>
        </w:rPr>
      </w:pPr>
      <w:r>
        <w:rPr>
          <w:rFonts w:hint="eastAsia" w:ascii="宋体" w:hAnsi="宋体" w:cs="宋体"/>
          <w:sz w:val="24"/>
        </w:rPr>
        <w:t>安全生产费用应用于施工安全防护用具及设施的采购和更新、安全施工措施的落实、安全生产条件的改善，不得挪作他用。</w:t>
      </w:r>
    </w:p>
    <w:p w14:paraId="40FDA6F7">
      <w:pPr>
        <w:spacing w:line="450" w:lineRule="exact"/>
        <w:ind w:firstLine="435"/>
        <w:rPr>
          <w:rFonts w:hint="eastAsia" w:ascii="宋体" w:hAnsi="宋体" w:cs="宋体"/>
          <w:sz w:val="24"/>
        </w:rPr>
      </w:pPr>
      <w:r>
        <w:rPr>
          <w:rFonts w:hint="eastAsia" w:ascii="宋体" w:hAnsi="宋体" w:cs="宋体"/>
          <w:sz w:val="24"/>
        </w:rPr>
        <w:t>第9.2.8（4）项细化为：</w:t>
      </w:r>
    </w:p>
    <w:p w14:paraId="7BF76722">
      <w:pPr>
        <w:spacing w:line="450" w:lineRule="exact"/>
        <w:ind w:firstLine="435"/>
        <w:rPr>
          <w:rFonts w:hint="eastAsia" w:ascii="宋体" w:hAnsi="宋体" w:cs="宋体"/>
          <w:sz w:val="24"/>
        </w:rPr>
      </w:pPr>
      <w:r>
        <w:rPr>
          <w:rFonts w:hint="eastAsia" w:ascii="宋体" w:hAnsi="宋体" w:cs="宋体"/>
          <w:sz w:val="24"/>
        </w:rPr>
        <w:t>（4） 根据本合同各单位工程的施工特点，严格执行《公路水运工程安全生产监督管理办法》、《公路工程施工安全技术规程》、《公路养护安全作业规程》、《公路筑养路机械操作规程》的具体规定。</w:t>
      </w:r>
    </w:p>
    <w:p w14:paraId="166CB597">
      <w:pPr>
        <w:spacing w:line="450" w:lineRule="exact"/>
        <w:ind w:firstLine="435"/>
        <w:rPr>
          <w:rFonts w:hint="eastAsia" w:ascii="宋体" w:hAnsi="宋体" w:cs="宋体"/>
          <w:sz w:val="24"/>
        </w:rPr>
      </w:pPr>
      <w:r>
        <w:rPr>
          <w:rFonts w:hint="eastAsia" w:ascii="宋体" w:hAnsi="宋体" w:cs="宋体"/>
          <w:sz w:val="24"/>
        </w:rPr>
        <w:t>增加9.2.12：</w:t>
      </w:r>
    </w:p>
    <w:p w14:paraId="748785D6">
      <w:pPr>
        <w:spacing w:line="450" w:lineRule="exact"/>
        <w:ind w:firstLine="435"/>
        <w:rPr>
          <w:rFonts w:hint="eastAsia" w:ascii="宋体" w:hAnsi="宋体" w:cs="宋体"/>
          <w:sz w:val="24"/>
        </w:rPr>
      </w:pPr>
      <w:r>
        <w:rPr>
          <w:rFonts w:hint="eastAsia" w:ascii="宋体" w:hAnsi="宋体" w:cs="宋体"/>
          <w:sz w:val="24"/>
        </w:rPr>
        <w:t>在实施和完成本合同工程及其缺陷修复的整个过程中，承包人应该：</w:t>
      </w:r>
    </w:p>
    <w:p w14:paraId="17847155">
      <w:pPr>
        <w:spacing w:line="450" w:lineRule="exact"/>
        <w:ind w:firstLine="435"/>
        <w:rPr>
          <w:rFonts w:hint="eastAsia" w:ascii="宋体" w:hAnsi="宋体" w:cs="宋体"/>
          <w:sz w:val="24"/>
        </w:rPr>
      </w:pPr>
      <w:r>
        <w:rPr>
          <w:rFonts w:hint="eastAsia" w:ascii="宋体" w:hAnsi="宋体" w:cs="宋体"/>
          <w:sz w:val="24"/>
        </w:rPr>
        <w:t>（1）充分关注和保障所有在现场工作的人员的安全，采取有效措施，使现场和本合同工程的实施保持有条不紊，以免使上述人员的安全受到威协。</w:t>
      </w:r>
    </w:p>
    <w:p w14:paraId="6223457C">
      <w:pPr>
        <w:spacing w:line="450" w:lineRule="exact"/>
        <w:ind w:firstLine="435"/>
        <w:rPr>
          <w:rFonts w:hint="eastAsia" w:ascii="宋体" w:hAnsi="宋体" w:cs="宋体"/>
          <w:sz w:val="24"/>
        </w:rPr>
      </w:pPr>
      <w:r>
        <w:rPr>
          <w:rFonts w:hint="eastAsia" w:ascii="宋体" w:hAnsi="宋体" w:cs="宋体"/>
          <w:sz w:val="24"/>
        </w:rPr>
        <w:t>a.每个施工封闭路段至少配备1名专职安全员；</w:t>
      </w:r>
    </w:p>
    <w:p w14:paraId="197913E1">
      <w:pPr>
        <w:spacing w:line="450" w:lineRule="exact"/>
        <w:ind w:firstLine="435"/>
        <w:rPr>
          <w:rFonts w:hint="eastAsia" w:ascii="宋体" w:hAnsi="宋体" w:cs="宋体"/>
          <w:sz w:val="24"/>
        </w:rPr>
      </w:pPr>
      <w:r>
        <w:rPr>
          <w:rFonts w:hint="eastAsia" w:ascii="宋体" w:hAnsi="宋体" w:cs="宋体"/>
          <w:sz w:val="24"/>
        </w:rPr>
        <w:t>b.特殊工种（电工、电梯工、起重工、电焊工、车船驾驶员、爆破工、潜水工、瓦斯检查员等）要经专业培训，并持有专发包人管部门签发的合格证上岗；</w:t>
      </w:r>
    </w:p>
    <w:p w14:paraId="5F9E3C65">
      <w:pPr>
        <w:spacing w:line="450" w:lineRule="exact"/>
        <w:ind w:firstLine="435"/>
        <w:rPr>
          <w:rFonts w:hint="eastAsia" w:ascii="宋体" w:hAnsi="宋体" w:cs="宋体"/>
          <w:sz w:val="24"/>
        </w:rPr>
      </w:pPr>
      <w:r>
        <w:rPr>
          <w:rFonts w:hint="eastAsia" w:ascii="宋体" w:hAnsi="宋体" w:cs="宋体"/>
          <w:sz w:val="24"/>
        </w:rPr>
        <w:t>c.对于易燃易爆的材料除应专门妥善保管之外，还应配备有足够的消防设备，所有施工人员都应熟悉消防设备的性能和使用方法；</w:t>
      </w:r>
    </w:p>
    <w:p w14:paraId="116AA674">
      <w:pPr>
        <w:spacing w:line="450" w:lineRule="exact"/>
        <w:ind w:firstLine="435"/>
        <w:rPr>
          <w:rFonts w:hint="eastAsia" w:ascii="宋体" w:hAnsi="宋体" w:cs="宋体"/>
          <w:sz w:val="24"/>
        </w:rPr>
      </w:pPr>
      <w:r>
        <w:rPr>
          <w:rFonts w:hint="eastAsia" w:ascii="宋体" w:hAnsi="宋体" w:cs="宋体"/>
          <w:sz w:val="24"/>
        </w:rPr>
        <w:t>d.所有施工机具设备和高空作业设备均应自费定期按国家和行发包人管部门的有关规定进行检测和标定，并将检测结果报监理工程师；</w:t>
      </w:r>
    </w:p>
    <w:p w14:paraId="79514281">
      <w:pPr>
        <w:spacing w:line="450" w:lineRule="exact"/>
        <w:ind w:firstLine="435"/>
        <w:rPr>
          <w:rFonts w:hint="eastAsia" w:ascii="宋体" w:hAnsi="宋体" w:cs="宋体"/>
          <w:sz w:val="24"/>
        </w:rPr>
      </w:pPr>
      <w:r>
        <w:rPr>
          <w:rFonts w:hint="eastAsia" w:ascii="宋体" w:hAnsi="宋体" w:cs="宋体"/>
          <w:sz w:val="24"/>
        </w:rPr>
        <w:t>e.根据本合同各单位工程的施工特点，严格执行交通部有关规范的具体规定。</w:t>
      </w:r>
    </w:p>
    <w:p w14:paraId="6DE5B6AA">
      <w:pPr>
        <w:spacing w:line="450" w:lineRule="exact"/>
        <w:ind w:firstLine="435"/>
        <w:rPr>
          <w:rFonts w:hint="eastAsia" w:ascii="宋体" w:hAnsi="宋体" w:cs="宋体"/>
          <w:sz w:val="24"/>
        </w:rPr>
      </w:pPr>
      <w:r>
        <w:rPr>
          <w:rFonts w:hint="eastAsia" w:ascii="宋体" w:hAnsi="宋体" w:cs="宋体"/>
          <w:sz w:val="24"/>
        </w:rPr>
        <w:t>（2）安全生产专项费用应当用于施工安全防护用具及设施的采购和更新、安全施工措施的落实、安全生产条件的改善，不得挪作他用。</w:t>
      </w:r>
    </w:p>
    <w:p w14:paraId="0C6A5D25">
      <w:pPr>
        <w:spacing w:line="450" w:lineRule="exact"/>
        <w:ind w:firstLine="435"/>
        <w:rPr>
          <w:rFonts w:hint="eastAsia" w:ascii="宋体" w:hAnsi="宋体" w:cs="宋体"/>
          <w:sz w:val="24"/>
        </w:rPr>
      </w:pPr>
      <w:r>
        <w:rPr>
          <w:rFonts w:hint="eastAsia" w:ascii="宋体" w:hAnsi="宋体" w:cs="宋体"/>
          <w:sz w:val="24"/>
        </w:rPr>
        <w:t>（3）为了保护本合同工程免遭损坏，或为了现场附近和过往群众的安全与方便，在确有必要的时候和地方，或当监理工程师或有关主管部门要求时，应提供照明、警卫、护栅、警告标志等安全防护设施。</w:t>
      </w:r>
    </w:p>
    <w:p w14:paraId="1CC7AE8D">
      <w:pPr>
        <w:spacing w:line="450" w:lineRule="exact"/>
        <w:ind w:firstLine="435"/>
        <w:rPr>
          <w:rFonts w:hint="eastAsia" w:ascii="宋体" w:hAnsi="宋体" w:cs="宋体"/>
          <w:sz w:val="24"/>
        </w:rPr>
      </w:pPr>
      <w:r>
        <w:rPr>
          <w:rFonts w:hint="eastAsia" w:ascii="宋体" w:hAnsi="宋体" w:cs="宋体"/>
          <w:sz w:val="24"/>
        </w:rPr>
        <w:t>（4）在跨铁路、公路施工时，应与相关部门取得联系，设置必要的标志，采取相关措施，确保施工安全。</w:t>
      </w:r>
    </w:p>
    <w:p w14:paraId="64A1D6F0">
      <w:pPr>
        <w:spacing w:line="450" w:lineRule="exact"/>
        <w:ind w:firstLine="435"/>
        <w:rPr>
          <w:rFonts w:hint="eastAsia" w:ascii="宋体" w:hAnsi="宋体" w:cs="宋体"/>
          <w:b w:val="0"/>
          <w:bCs w:val="0"/>
          <w:sz w:val="24"/>
        </w:rPr>
      </w:pPr>
      <w:r>
        <w:rPr>
          <w:rFonts w:hint="eastAsia" w:ascii="宋体" w:hAnsi="宋体" w:cs="宋体"/>
          <w:sz w:val="24"/>
        </w:rPr>
        <w:t>（5）</w:t>
      </w:r>
      <w:r>
        <w:rPr>
          <w:rFonts w:hint="eastAsia" w:ascii="宋体" w:hAnsi="宋体" w:cs="宋体"/>
          <w:b w:val="0"/>
          <w:bCs w:val="0"/>
          <w:sz w:val="24"/>
        </w:rPr>
        <w:t>承包人应遵守环境保护法，并切实执行技术规范其他章节中有关环境保护方面的要求和规定。施工环保费用最终按实结算。</w:t>
      </w:r>
    </w:p>
    <w:p w14:paraId="3C492EE5">
      <w:pPr>
        <w:spacing w:line="450" w:lineRule="exact"/>
        <w:ind w:firstLine="435"/>
        <w:rPr>
          <w:rFonts w:hint="eastAsia" w:ascii="宋体" w:hAnsi="宋体" w:cs="宋体"/>
          <w:sz w:val="24"/>
        </w:rPr>
      </w:pPr>
      <w:r>
        <w:rPr>
          <w:rFonts w:hint="eastAsia" w:ascii="宋体" w:hAnsi="宋体" w:cs="宋体"/>
          <w:sz w:val="24"/>
        </w:rPr>
        <w:t>a.对于来自施工机械和运输车辆的施工噪声，为保护施工人员的健康，应遵守《中华人民共和国环境噪声污染防治法》并依据《工业企业噪声卫生标准》合理安排工作人员轮流操作筑路机械，减少接触高噪声的时间，或间歇安排高噪声的工作。对距噪声源较近的施工人员，除取得防护耳塞或头盔等有效措施外，还应当缩短其劳动时间。同时，要注意对机械的经常性保养，尽量使其噪声降低到最低水平。为保护施工现场附近居民的夜间休息，对居民区150m以内的施工现场，施工时间应加以控制。</w:t>
      </w:r>
    </w:p>
    <w:p w14:paraId="7B95BB10">
      <w:pPr>
        <w:spacing w:line="450" w:lineRule="exact"/>
        <w:ind w:firstLine="435"/>
        <w:rPr>
          <w:rFonts w:hint="eastAsia" w:ascii="宋体" w:hAnsi="宋体" w:cs="宋体"/>
          <w:sz w:val="24"/>
        </w:rPr>
      </w:pPr>
      <w:r>
        <w:rPr>
          <w:rFonts w:hint="eastAsia" w:ascii="宋体" w:hAnsi="宋体" w:cs="宋体"/>
          <w:sz w:val="24"/>
        </w:rPr>
        <w:t>b.对于公路施工中粉尘污染的主要污染源——施工车辆和筑路机械运行和运输产生的扬尘，应采取有效措施减轻施工现场的大气污染，保护人民健康，如：</w:t>
      </w:r>
    </w:p>
    <w:p w14:paraId="4DAE6332">
      <w:pPr>
        <w:spacing w:line="450" w:lineRule="exact"/>
        <w:ind w:firstLine="435"/>
        <w:rPr>
          <w:rFonts w:hint="eastAsia" w:ascii="宋体" w:hAnsi="宋体" w:cs="宋体"/>
          <w:sz w:val="24"/>
        </w:rPr>
      </w:pPr>
      <w:r>
        <w:rPr>
          <w:rFonts w:hint="eastAsia" w:ascii="宋体" w:hAnsi="宋体" w:cs="宋体"/>
          <w:sz w:val="24"/>
        </w:rPr>
        <w:t>（a）拌和设备应有较好的密封，或有防尘设备。</w:t>
      </w:r>
    </w:p>
    <w:p w14:paraId="203BF9FD">
      <w:pPr>
        <w:spacing w:line="450" w:lineRule="exact"/>
        <w:ind w:firstLine="435"/>
        <w:rPr>
          <w:rFonts w:hint="eastAsia" w:ascii="宋体" w:hAnsi="宋体" w:cs="宋体"/>
          <w:sz w:val="24"/>
        </w:rPr>
      </w:pPr>
      <w:r>
        <w:rPr>
          <w:rFonts w:hint="eastAsia" w:ascii="宋体" w:hAnsi="宋体" w:cs="宋体"/>
          <w:sz w:val="24"/>
        </w:rPr>
        <w:t>（b）施工通道、水泥混凝土拌和站应经常进行洒水降尘。</w:t>
      </w:r>
    </w:p>
    <w:p w14:paraId="55777C90">
      <w:pPr>
        <w:spacing w:line="450" w:lineRule="exact"/>
        <w:ind w:firstLine="480" w:firstLineChars="200"/>
        <w:rPr>
          <w:rFonts w:hint="eastAsia" w:ascii="宋体" w:hAnsi="宋体" w:cs="宋体"/>
          <w:sz w:val="24"/>
        </w:rPr>
      </w:pPr>
      <w:r>
        <w:rPr>
          <w:rFonts w:hint="eastAsia" w:ascii="宋体" w:hAnsi="宋体" w:cs="宋体"/>
          <w:sz w:val="24"/>
        </w:rPr>
        <w:t>C．采取可靠措施保证原有交通的正常通行,维持沿线村镇的居民饮水、农田灌溉、生产生活用电及通讯等管线的正常使用。</w:t>
      </w:r>
    </w:p>
    <w:p w14:paraId="67BF26C7">
      <w:pPr>
        <w:spacing w:line="450" w:lineRule="exact"/>
        <w:ind w:firstLine="435"/>
        <w:rPr>
          <w:rFonts w:hint="eastAsia" w:ascii="宋体" w:hAnsi="宋体" w:cs="宋体"/>
          <w:sz w:val="24"/>
        </w:rPr>
      </w:pPr>
      <w:r>
        <w:rPr>
          <w:rFonts w:hint="eastAsia" w:ascii="宋体" w:hAnsi="宋体" w:cs="宋体"/>
          <w:sz w:val="24"/>
        </w:rPr>
        <w:t>d.承包人必须采取有效措施，按相关法律、法规、条例、办法的相关规定，到当地公安管理机关办理相关手续，建造符合要求的易燃、易爆危险品保管仓库，完善管理制度，24小时专人值班，加强防范工作，避免发生意外事故。</w:t>
      </w:r>
    </w:p>
    <w:p w14:paraId="0305CFF7">
      <w:pPr>
        <w:spacing w:line="450" w:lineRule="exact"/>
        <w:ind w:firstLine="435"/>
        <w:rPr>
          <w:rFonts w:hint="eastAsia" w:ascii="宋体" w:hAnsi="宋体" w:cs="宋体"/>
          <w:sz w:val="24"/>
        </w:rPr>
      </w:pPr>
      <w:r>
        <w:rPr>
          <w:rFonts w:hint="eastAsia" w:ascii="宋体" w:hAnsi="宋体" w:cs="宋体"/>
          <w:sz w:val="24"/>
        </w:rPr>
        <w:t>e.承包人应采取充分措施，避免因施工危害第三方的安全，包括电力线路、通信线路、水利沟渠管道、居民房屋、过往车辆及人员、森林火灾等。</w:t>
      </w:r>
    </w:p>
    <w:p w14:paraId="2233C909">
      <w:pPr>
        <w:spacing w:line="450" w:lineRule="exact"/>
        <w:ind w:firstLine="435"/>
        <w:rPr>
          <w:rFonts w:hint="eastAsia" w:ascii="宋体" w:hAnsi="宋体" w:cs="宋体"/>
          <w:sz w:val="24"/>
        </w:rPr>
      </w:pPr>
      <w:r>
        <w:rPr>
          <w:rFonts w:hint="eastAsia" w:ascii="宋体" w:hAnsi="宋体" w:cs="宋体"/>
          <w:sz w:val="24"/>
        </w:rPr>
        <w:t>f.承包人及所属施工单位职工、农民工在选择驻地、仓库时，必须避免可能发生洪水、雷击等地段，避免发生人员伤亡和财产损失。</w:t>
      </w:r>
    </w:p>
    <w:p w14:paraId="2AC336E0">
      <w:pPr>
        <w:spacing w:line="450" w:lineRule="exact"/>
        <w:ind w:firstLine="435"/>
        <w:rPr>
          <w:rFonts w:hint="eastAsia" w:ascii="宋体" w:hAnsi="宋体" w:cs="宋体"/>
          <w:sz w:val="24"/>
        </w:rPr>
      </w:pPr>
      <w:r>
        <w:rPr>
          <w:rFonts w:hint="eastAsia" w:ascii="宋体" w:hAnsi="宋体" w:cs="宋体"/>
          <w:sz w:val="24"/>
        </w:rPr>
        <w:t>g.承包人应加强环境保护意识，坚持文明施工，严禁野蛮施工、任意堆、弃废土，破坏或污染周围的环境。在经过邻近的河流、湖泊、水库等水利工程设施以及各类管线时，要明确施工操作程序，采取必需的预防措施，避免发生堵塞、填塞或污染河流、湖泊、水库、耕地或损伤各类管线、影响管线的正常使用等。</w:t>
      </w:r>
    </w:p>
    <w:p w14:paraId="214D208C">
      <w:pPr>
        <w:spacing w:line="450" w:lineRule="exact"/>
        <w:ind w:firstLine="435"/>
        <w:rPr>
          <w:rFonts w:hint="eastAsia" w:ascii="宋体" w:hAnsi="宋体" w:cs="宋体"/>
          <w:sz w:val="24"/>
        </w:rPr>
      </w:pPr>
      <w:r>
        <w:rPr>
          <w:rFonts w:hint="eastAsia" w:ascii="宋体" w:hAnsi="宋体" w:cs="宋体"/>
          <w:sz w:val="24"/>
        </w:rPr>
        <w:t>（6）承包人在施工过程中要加强生态保护及水土保持工作，采取切实措施保护生态环境，避免因施工破坏当地生态保护及水土保持。</w:t>
      </w:r>
    </w:p>
    <w:p w14:paraId="2E4085FA">
      <w:pPr>
        <w:spacing w:line="450" w:lineRule="exact"/>
        <w:ind w:firstLine="480" w:firstLineChars="200"/>
        <w:rPr>
          <w:rFonts w:hint="eastAsia" w:ascii="宋体" w:hAnsi="宋体" w:cs="宋体"/>
          <w:sz w:val="24"/>
        </w:rPr>
      </w:pPr>
      <w:r>
        <w:rPr>
          <w:rFonts w:hint="eastAsia" w:ascii="宋体" w:hAnsi="宋体" w:cs="宋体"/>
          <w:sz w:val="24"/>
        </w:rPr>
        <w:t>在整个施工过程中对承包人采取的安全、保卫和环境保护措施，发包人和监理工程师有权监督，并向承包人提出整改要求。如果由于承包人未能对其负责的上述事项采取各种必要的措施而导致或发生与此有关的人身伤亡、病残、罚款、索赔、损失补偿、诉讼费用及其他一切责任应由承包人负责，发包人不承担任何责任和费用。</w:t>
      </w:r>
    </w:p>
    <w:p w14:paraId="6FEF6A7D">
      <w:pPr>
        <w:spacing w:before="156" w:beforeLines="50" w:line="450" w:lineRule="exact"/>
        <w:rPr>
          <w:rFonts w:hint="eastAsia" w:ascii="宋体" w:hAnsi="宋体" w:cs="宋体"/>
          <w:sz w:val="24"/>
        </w:rPr>
      </w:pPr>
      <w:r>
        <w:rPr>
          <w:rFonts w:hint="eastAsia" w:ascii="宋体" w:hAnsi="宋体" w:cs="宋体"/>
          <w:sz w:val="24"/>
        </w:rPr>
        <w:t>12.1承包人暂停施工的责任</w:t>
      </w:r>
    </w:p>
    <w:p w14:paraId="12DD8E9E">
      <w:pPr>
        <w:spacing w:line="450" w:lineRule="exact"/>
        <w:ind w:firstLine="435"/>
        <w:rPr>
          <w:rFonts w:hint="eastAsia" w:ascii="宋体" w:hAnsi="宋体" w:cs="宋体"/>
          <w:sz w:val="24"/>
        </w:rPr>
      </w:pPr>
      <w:r>
        <w:rPr>
          <w:rFonts w:hint="eastAsia" w:ascii="宋体" w:hAnsi="宋体" w:cs="宋体"/>
          <w:sz w:val="24"/>
        </w:rPr>
        <w:t>本款第（6）项文末增加为：</w:t>
      </w:r>
    </w:p>
    <w:p w14:paraId="10E0B791">
      <w:pPr>
        <w:numPr>
          <w:ilvl w:val="0"/>
          <w:numId w:val="4"/>
        </w:numPr>
        <w:spacing w:line="450" w:lineRule="exact"/>
        <w:ind w:firstLine="435"/>
        <w:rPr>
          <w:rFonts w:hint="eastAsia" w:ascii="宋体" w:hAnsi="宋体" w:cs="宋体"/>
          <w:sz w:val="24"/>
        </w:rPr>
      </w:pPr>
      <w:r>
        <w:rPr>
          <w:rFonts w:hint="eastAsia" w:ascii="宋体" w:hAnsi="宋体" w:cs="宋体"/>
          <w:sz w:val="24"/>
        </w:rPr>
        <w:t>由于承包人未履行合同条款规定的职责引起地方阻工的暂停施工。</w:t>
      </w:r>
    </w:p>
    <w:p w14:paraId="7EFD2CE6">
      <w:pPr>
        <w:spacing w:before="156" w:beforeLines="50" w:line="450" w:lineRule="exact"/>
        <w:rPr>
          <w:rFonts w:hint="eastAsia" w:ascii="宋体" w:hAnsi="宋体" w:cs="宋体"/>
          <w:sz w:val="24"/>
        </w:rPr>
      </w:pPr>
      <w:bookmarkStart w:id="47" w:name="_Toc264550570"/>
      <w:r>
        <w:rPr>
          <w:rFonts w:hint="eastAsia" w:ascii="宋体" w:hAnsi="宋体" w:cs="宋体"/>
          <w:sz w:val="24"/>
        </w:rPr>
        <w:t>13 .工程质量</w:t>
      </w:r>
      <w:bookmarkEnd w:id="47"/>
    </w:p>
    <w:p w14:paraId="2B9CC433">
      <w:pPr>
        <w:spacing w:line="450" w:lineRule="exact"/>
        <w:ind w:firstLine="435"/>
        <w:rPr>
          <w:rFonts w:hint="eastAsia" w:ascii="宋体" w:hAnsi="宋体" w:cs="宋体"/>
          <w:sz w:val="24"/>
        </w:rPr>
      </w:pPr>
      <w:r>
        <w:rPr>
          <w:rFonts w:hint="eastAsia" w:ascii="宋体" w:hAnsi="宋体" w:cs="宋体"/>
          <w:sz w:val="24"/>
        </w:rPr>
        <w:t xml:space="preserve"> 本款增加13.7款：业主检查</w:t>
      </w:r>
    </w:p>
    <w:p w14:paraId="001A0B49">
      <w:pPr>
        <w:spacing w:line="450" w:lineRule="exact"/>
        <w:ind w:firstLine="435"/>
        <w:rPr>
          <w:rFonts w:hint="eastAsia" w:ascii="宋体" w:hAnsi="宋体" w:cs="宋体"/>
          <w:sz w:val="24"/>
        </w:rPr>
      </w:pPr>
      <w:r>
        <w:rPr>
          <w:rFonts w:hint="eastAsia" w:ascii="宋体" w:hAnsi="宋体" w:cs="宋体"/>
          <w:sz w:val="24"/>
        </w:rPr>
        <w:t xml:space="preserve"> 发包人及质量监督主管部门在工程实施过程中有权对工程质量、进度、安全、文明施工、环保、履约等方面进行检查，并通过监理工程师实施，以达到合同规定的技术要求和本项目的质量目标及进度目标，发包人将制定检查考核办法，根据检查结果对承包人进行奖罚。</w:t>
      </w:r>
    </w:p>
    <w:p w14:paraId="02F3946B">
      <w:pPr>
        <w:spacing w:line="450" w:lineRule="exact"/>
        <w:rPr>
          <w:rFonts w:hint="eastAsia" w:ascii="宋体" w:hAnsi="宋体" w:cs="宋体"/>
          <w:b/>
          <w:bCs/>
          <w:sz w:val="24"/>
        </w:rPr>
      </w:pPr>
      <w:r>
        <w:rPr>
          <w:rFonts w:hint="eastAsia" w:ascii="宋体" w:hAnsi="宋体" w:cs="宋体"/>
          <w:b/>
          <w:bCs/>
          <w:sz w:val="24"/>
        </w:rPr>
        <w:t>16.1物价波动引起的价格调整</w:t>
      </w:r>
    </w:p>
    <w:p w14:paraId="642687E2">
      <w:pPr>
        <w:spacing w:line="450" w:lineRule="exact"/>
        <w:ind w:firstLine="435"/>
        <w:rPr>
          <w:rFonts w:hint="eastAsia" w:ascii="宋体" w:hAnsi="宋体" w:cs="宋体"/>
          <w:sz w:val="24"/>
        </w:rPr>
      </w:pPr>
      <w:r>
        <w:rPr>
          <w:rFonts w:hint="eastAsia" w:ascii="宋体" w:hAnsi="宋体" w:cs="宋体"/>
          <w:sz w:val="24"/>
        </w:rPr>
        <w:t xml:space="preserve">本工程在合同执行期内不调价。 </w:t>
      </w:r>
    </w:p>
    <w:p w14:paraId="7C8B63E3">
      <w:pPr>
        <w:widowControl/>
        <w:spacing w:before="156" w:beforeLines="50" w:line="450" w:lineRule="exact"/>
        <w:jc w:val="left"/>
        <w:rPr>
          <w:rFonts w:hint="eastAsia" w:ascii="宋体" w:hAnsi="宋体" w:cs="宋体"/>
          <w:b/>
          <w:bCs/>
          <w:sz w:val="24"/>
        </w:rPr>
      </w:pPr>
      <w:r>
        <w:rPr>
          <w:rFonts w:hint="eastAsia" w:ascii="宋体" w:hAnsi="宋体" w:cs="宋体"/>
          <w:b/>
          <w:bCs/>
          <w:sz w:val="24"/>
        </w:rPr>
        <w:t>17.2 预付款</w:t>
      </w:r>
    </w:p>
    <w:p w14:paraId="70E66D12">
      <w:pPr>
        <w:widowControl/>
        <w:snapToGrid w:val="0"/>
        <w:spacing w:line="450" w:lineRule="exact"/>
        <w:ind w:firstLine="480" w:firstLineChars="200"/>
        <w:jc w:val="left"/>
        <w:rPr>
          <w:rFonts w:hint="default" w:ascii="宋体" w:hAnsi="宋体" w:eastAsia="宋体" w:cs="宋体"/>
          <w:sz w:val="24"/>
          <w:lang w:val="en-US" w:eastAsia="zh-CN"/>
        </w:rPr>
      </w:pPr>
      <w:r>
        <w:rPr>
          <w:rFonts w:hint="eastAsia" w:cs="宋体"/>
          <w:sz w:val="24"/>
          <w:lang w:val="en-US" w:eastAsia="zh-CN"/>
        </w:rPr>
        <w:t>合同签订具备实施条件后支付合同价的40%作为预付款（预付款支付前，成交供应商须提供同等金额预付款等额保函（见索即付）），若未提供预付款等额保函或自动放弃的采购人不予支付预付款。</w:t>
      </w:r>
    </w:p>
    <w:p w14:paraId="2D1F6D29">
      <w:pPr>
        <w:snapToGrid w:val="0"/>
        <w:spacing w:line="450" w:lineRule="exact"/>
        <w:rPr>
          <w:rFonts w:hint="eastAsia" w:ascii="宋体" w:hAnsi="宋体" w:cs="宋体"/>
          <w:b/>
          <w:bCs/>
          <w:sz w:val="24"/>
        </w:rPr>
      </w:pPr>
      <w:r>
        <w:rPr>
          <w:rFonts w:hint="eastAsia" w:ascii="宋体" w:hAnsi="宋体" w:cs="宋体"/>
          <w:b/>
          <w:bCs/>
          <w:sz w:val="24"/>
        </w:rPr>
        <w:t xml:space="preserve">17.6  计量的程序：   </w:t>
      </w:r>
    </w:p>
    <w:p w14:paraId="1439C276">
      <w:pPr>
        <w:snapToGrid w:val="0"/>
        <w:spacing w:line="450" w:lineRule="exact"/>
        <w:ind w:firstLine="600" w:firstLineChars="250"/>
        <w:rPr>
          <w:rFonts w:hint="eastAsia" w:ascii="宋体" w:hAnsi="宋体" w:cs="宋体"/>
          <w:sz w:val="24"/>
        </w:rPr>
      </w:pPr>
      <w:r>
        <w:rPr>
          <w:rFonts w:hint="eastAsia" w:ascii="宋体" w:hAnsi="宋体" w:cs="宋体"/>
          <w:sz w:val="24"/>
        </w:rPr>
        <w:t>发包人为加强项目管理将制定必要的计量程序，且有权对所有工程计量进行审查。</w:t>
      </w:r>
    </w:p>
    <w:p w14:paraId="7BFE3FAD">
      <w:pPr>
        <w:widowControl/>
        <w:spacing w:before="156" w:beforeLines="50" w:line="450" w:lineRule="exact"/>
        <w:jc w:val="left"/>
        <w:rPr>
          <w:rFonts w:hint="eastAsia" w:ascii="宋体" w:hAnsi="宋体" w:cs="宋体"/>
          <w:b/>
          <w:bCs/>
          <w:sz w:val="24"/>
        </w:rPr>
      </w:pPr>
      <w:r>
        <w:rPr>
          <w:rFonts w:hint="eastAsia" w:ascii="宋体" w:hAnsi="宋体" w:cs="宋体"/>
          <w:b/>
          <w:bCs/>
          <w:sz w:val="24"/>
        </w:rPr>
        <w:t>20.1工程保险</w:t>
      </w:r>
    </w:p>
    <w:p w14:paraId="0AD4095F">
      <w:pPr>
        <w:widowControl/>
        <w:snapToGrid w:val="0"/>
        <w:spacing w:line="450" w:lineRule="exact"/>
        <w:ind w:firstLine="480"/>
        <w:jc w:val="left"/>
        <w:rPr>
          <w:rFonts w:hint="eastAsia" w:ascii="宋体" w:hAnsi="宋体" w:cs="宋体"/>
          <w:sz w:val="24"/>
        </w:rPr>
      </w:pPr>
      <w:r>
        <w:rPr>
          <w:rFonts w:hint="eastAsia" w:ascii="宋体" w:hAnsi="宋体" w:cs="宋体"/>
          <w:sz w:val="24"/>
        </w:rPr>
        <w:t>承包人必须投保建筑工程一切险。保险单作为第一次计量支付时的凭证。</w:t>
      </w:r>
    </w:p>
    <w:p w14:paraId="3D740474">
      <w:pPr>
        <w:widowControl/>
        <w:spacing w:before="156" w:beforeLines="50" w:line="450" w:lineRule="exact"/>
        <w:jc w:val="left"/>
        <w:rPr>
          <w:rFonts w:hint="eastAsia" w:ascii="宋体" w:hAnsi="宋体" w:cs="宋体"/>
          <w:b/>
          <w:bCs/>
          <w:sz w:val="24"/>
        </w:rPr>
      </w:pPr>
      <w:r>
        <w:rPr>
          <w:rFonts w:hint="eastAsia" w:ascii="宋体" w:hAnsi="宋体" w:cs="宋体"/>
          <w:b/>
          <w:bCs/>
          <w:sz w:val="24"/>
        </w:rPr>
        <w:t>20.4第三者责任险</w:t>
      </w:r>
    </w:p>
    <w:p w14:paraId="71C87691">
      <w:pPr>
        <w:spacing w:line="450" w:lineRule="exact"/>
        <w:ind w:firstLine="480" w:firstLineChars="200"/>
        <w:rPr>
          <w:rFonts w:hint="eastAsia" w:ascii="宋体" w:hAnsi="宋体" w:cs="宋体"/>
          <w:sz w:val="24"/>
        </w:rPr>
      </w:pPr>
      <w:r>
        <w:rPr>
          <w:rFonts w:hint="eastAsia" w:ascii="宋体" w:hAnsi="宋体" w:cs="宋体"/>
          <w:sz w:val="24"/>
        </w:rPr>
        <w:t>第三者责任险</w:t>
      </w:r>
      <w:r>
        <w:rPr>
          <w:rFonts w:hint="eastAsia" w:ascii="宋体" w:hAnsi="宋体" w:cs="宋体"/>
          <w:sz w:val="24"/>
          <w:lang w:eastAsia="zh-CN"/>
        </w:rPr>
        <w:t>：</w:t>
      </w:r>
      <w:r>
        <w:rPr>
          <w:rFonts w:hint="eastAsia" w:ascii="宋体" w:hAnsi="宋体" w:cs="宋体"/>
          <w:sz w:val="24"/>
          <w:lang w:val="en-US" w:eastAsia="zh-CN"/>
        </w:rPr>
        <w:t>详见最高投标限价及编制说明描述</w:t>
      </w:r>
      <w:r>
        <w:rPr>
          <w:rFonts w:hint="eastAsia" w:ascii="宋体" w:hAnsi="宋体" w:cs="宋体"/>
          <w:sz w:val="24"/>
        </w:rPr>
        <w:t>，结算时以提供保险票据为准；</w:t>
      </w:r>
    </w:p>
    <w:p w14:paraId="559B68C2">
      <w:pPr>
        <w:widowControl/>
        <w:spacing w:before="156" w:beforeLines="50" w:line="450" w:lineRule="exact"/>
        <w:jc w:val="left"/>
        <w:rPr>
          <w:rFonts w:hint="eastAsia" w:ascii="宋体" w:hAnsi="宋体" w:cs="宋体"/>
          <w:b/>
          <w:bCs/>
          <w:sz w:val="24"/>
        </w:rPr>
      </w:pPr>
      <w:r>
        <w:rPr>
          <w:rFonts w:hint="eastAsia" w:ascii="宋体" w:hAnsi="宋体" w:cs="宋体"/>
          <w:b/>
          <w:bCs/>
          <w:sz w:val="24"/>
        </w:rPr>
        <w:t>22.1 承包人违约</w:t>
      </w:r>
    </w:p>
    <w:p w14:paraId="6418C933">
      <w:pPr>
        <w:spacing w:line="450" w:lineRule="exact"/>
        <w:ind w:firstLine="480" w:firstLineChars="200"/>
        <w:rPr>
          <w:rFonts w:hint="eastAsia" w:ascii="宋体" w:hAnsi="宋体" w:cs="宋体"/>
          <w:sz w:val="24"/>
        </w:rPr>
      </w:pPr>
      <w:r>
        <w:rPr>
          <w:rFonts w:hint="eastAsia" w:ascii="宋体" w:hAnsi="宋体" w:cs="宋体"/>
          <w:sz w:val="24"/>
        </w:rPr>
        <w:t>第22.1.1 （10）项细化为：</w:t>
      </w:r>
    </w:p>
    <w:p w14:paraId="5A50C4D8">
      <w:pPr>
        <w:spacing w:line="450" w:lineRule="exact"/>
        <w:ind w:firstLine="480" w:firstLineChars="200"/>
        <w:rPr>
          <w:rFonts w:hint="eastAsia" w:ascii="宋体" w:hAnsi="宋体" w:cs="宋体"/>
          <w:sz w:val="24"/>
        </w:rPr>
      </w:pPr>
      <w:r>
        <w:rPr>
          <w:rFonts w:hint="eastAsia" w:ascii="宋体" w:hAnsi="宋体" w:cs="宋体"/>
          <w:sz w:val="24"/>
        </w:rPr>
        <w:t>（10）承包人在投标或签订合同阶段提供虚假资料；</w:t>
      </w:r>
    </w:p>
    <w:p w14:paraId="786DB893">
      <w:pPr>
        <w:spacing w:line="450" w:lineRule="exact"/>
        <w:ind w:firstLine="480" w:firstLineChars="200"/>
        <w:rPr>
          <w:rFonts w:hint="eastAsia" w:ascii="宋体" w:hAnsi="宋体" w:cs="宋体"/>
          <w:sz w:val="24"/>
        </w:rPr>
      </w:pPr>
      <w:r>
        <w:rPr>
          <w:rFonts w:hint="eastAsia" w:ascii="宋体" w:hAnsi="宋体" w:cs="宋体"/>
          <w:sz w:val="24"/>
        </w:rPr>
        <w:t>（11）未经发包人批准，项目经理、技术负责人擅自离开工地现场；</w:t>
      </w:r>
    </w:p>
    <w:p w14:paraId="15DDBAFB">
      <w:pPr>
        <w:spacing w:line="450" w:lineRule="exact"/>
        <w:ind w:firstLine="480" w:firstLineChars="200"/>
        <w:rPr>
          <w:rFonts w:hint="eastAsia" w:ascii="宋体" w:hAnsi="宋体" w:cs="宋体"/>
          <w:sz w:val="24"/>
        </w:rPr>
      </w:pPr>
      <w:r>
        <w:rPr>
          <w:rFonts w:hint="eastAsia" w:ascii="宋体" w:hAnsi="宋体" w:cs="宋体"/>
          <w:sz w:val="24"/>
        </w:rPr>
        <w:t>（12）在各种报表、检查记录及检测、试验数据中作假；</w:t>
      </w:r>
    </w:p>
    <w:p w14:paraId="5DBF05D6">
      <w:pPr>
        <w:spacing w:line="450" w:lineRule="exact"/>
        <w:ind w:firstLine="480" w:firstLineChars="200"/>
        <w:rPr>
          <w:rFonts w:hint="eastAsia" w:ascii="宋体" w:hAnsi="宋体" w:cs="宋体"/>
          <w:sz w:val="24"/>
        </w:rPr>
      </w:pPr>
      <w:r>
        <w:rPr>
          <w:rFonts w:hint="eastAsia" w:ascii="宋体" w:hAnsi="宋体" w:cs="宋体"/>
          <w:sz w:val="24"/>
        </w:rPr>
        <w:t>（13）对其他工程造成损坏或污染；</w:t>
      </w:r>
    </w:p>
    <w:p w14:paraId="79CED6BB">
      <w:pPr>
        <w:spacing w:line="450" w:lineRule="exact"/>
        <w:ind w:firstLine="480" w:firstLineChars="200"/>
        <w:rPr>
          <w:rFonts w:hint="eastAsia" w:ascii="宋体" w:hAnsi="宋体" w:cs="宋体"/>
          <w:sz w:val="24"/>
        </w:rPr>
      </w:pPr>
      <w:r>
        <w:rPr>
          <w:rFonts w:hint="eastAsia" w:ascii="宋体" w:hAnsi="宋体" w:cs="宋体"/>
          <w:sz w:val="24"/>
        </w:rPr>
        <w:t>（14）一贯或公然忽视履行其合同规定的义务，无视业主、监理工程师事先的书面警告；</w:t>
      </w:r>
    </w:p>
    <w:p w14:paraId="4ABA8294">
      <w:pPr>
        <w:spacing w:line="450" w:lineRule="exact"/>
        <w:ind w:firstLine="480" w:firstLineChars="200"/>
        <w:rPr>
          <w:rFonts w:hint="eastAsia" w:ascii="宋体" w:hAnsi="宋体" w:cs="宋体"/>
          <w:sz w:val="24"/>
        </w:rPr>
      </w:pPr>
      <w:r>
        <w:rPr>
          <w:rFonts w:hint="eastAsia" w:ascii="宋体" w:hAnsi="宋体" w:cs="宋体"/>
          <w:sz w:val="24"/>
        </w:rPr>
        <w:t>（15）工程实施期间，承包人制定阶段性工期目标并提交监理工程师批准后，不能完成阶段性工期目标；</w:t>
      </w:r>
    </w:p>
    <w:p w14:paraId="1AC68166">
      <w:pPr>
        <w:spacing w:line="450" w:lineRule="exact"/>
        <w:ind w:firstLine="480" w:firstLineChars="200"/>
        <w:rPr>
          <w:rFonts w:hint="eastAsia" w:ascii="宋体" w:hAnsi="宋体" w:cs="宋体"/>
          <w:sz w:val="24"/>
        </w:rPr>
      </w:pPr>
      <w:r>
        <w:rPr>
          <w:rFonts w:hint="eastAsia" w:ascii="宋体" w:hAnsi="宋体" w:cs="宋体"/>
          <w:sz w:val="24"/>
        </w:rPr>
        <w:t>（16）由于承包人的原因，承包人在工程质量、进度、安全、文明施工、环保、履约等方面违反合同规定，且由监理人发出指示要求其返工或纠正的。</w:t>
      </w:r>
    </w:p>
    <w:p w14:paraId="3000C308">
      <w:pPr>
        <w:spacing w:line="450" w:lineRule="exact"/>
        <w:ind w:firstLine="480" w:firstLineChars="200"/>
        <w:rPr>
          <w:rFonts w:hint="eastAsia" w:ascii="宋体" w:hAnsi="宋体" w:cs="宋体"/>
          <w:sz w:val="24"/>
        </w:rPr>
      </w:pPr>
      <w:r>
        <w:rPr>
          <w:rFonts w:hint="eastAsia" w:ascii="宋体" w:hAnsi="宋体" w:cs="宋体"/>
          <w:sz w:val="24"/>
        </w:rPr>
        <w:t>（17）在工程施工过程及保修期内，由于承包人责任出现质量问题、安全事故或其它问题，受到政府部门通报批评。</w:t>
      </w:r>
    </w:p>
    <w:p w14:paraId="64BE5589">
      <w:pPr>
        <w:spacing w:line="450" w:lineRule="exact"/>
        <w:ind w:firstLine="480" w:firstLineChars="200"/>
        <w:rPr>
          <w:rFonts w:hint="eastAsia" w:ascii="宋体" w:hAnsi="宋体" w:cs="宋体"/>
          <w:sz w:val="24"/>
        </w:rPr>
      </w:pPr>
      <w:r>
        <w:rPr>
          <w:rFonts w:hint="eastAsia" w:ascii="宋体" w:hAnsi="宋体" w:cs="宋体"/>
          <w:sz w:val="24"/>
        </w:rPr>
        <w:t>（18）承包人违反第4.5款规定，未按承诺要求投入项目经理（总工）或未按监理人的要求更换项目经理（总工）的。</w:t>
      </w:r>
    </w:p>
    <w:p w14:paraId="63FE4B10">
      <w:pPr>
        <w:spacing w:line="450" w:lineRule="exact"/>
        <w:ind w:firstLine="480" w:firstLineChars="200"/>
        <w:rPr>
          <w:rFonts w:hint="eastAsia" w:ascii="宋体" w:hAnsi="宋体" w:cs="宋体"/>
          <w:sz w:val="24"/>
        </w:rPr>
      </w:pPr>
      <w:r>
        <w:rPr>
          <w:rFonts w:hint="eastAsia" w:ascii="宋体" w:hAnsi="宋体" w:cs="宋体"/>
          <w:sz w:val="24"/>
        </w:rPr>
        <w:t>（19）承包人将本合同工程款转移或用于其它工程的。</w:t>
      </w:r>
    </w:p>
    <w:p w14:paraId="64902BC8">
      <w:pPr>
        <w:spacing w:line="450" w:lineRule="exact"/>
        <w:ind w:firstLine="480" w:firstLineChars="200"/>
        <w:rPr>
          <w:rFonts w:hint="eastAsia" w:ascii="宋体" w:hAnsi="宋体" w:cs="宋体"/>
          <w:sz w:val="24"/>
        </w:rPr>
      </w:pPr>
      <w:r>
        <w:rPr>
          <w:rFonts w:hint="eastAsia" w:ascii="宋体" w:hAnsi="宋体" w:cs="宋体"/>
          <w:sz w:val="24"/>
        </w:rPr>
        <w:t>（20）承包人不履行合同约定义务的其他情况。</w:t>
      </w:r>
    </w:p>
    <w:p w14:paraId="43D78A8E">
      <w:pPr>
        <w:spacing w:line="450" w:lineRule="exact"/>
        <w:ind w:firstLine="480" w:firstLineChars="200"/>
        <w:rPr>
          <w:rFonts w:hint="eastAsia" w:ascii="宋体" w:hAnsi="宋体" w:cs="宋体"/>
          <w:sz w:val="24"/>
        </w:rPr>
      </w:pPr>
      <w:r>
        <w:rPr>
          <w:rFonts w:hint="eastAsia" w:ascii="宋体" w:hAnsi="宋体" w:cs="宋体"/>
          <w:sz w:val="24"/>
        </w:rPr>
        <w:t>22.1.2 当承包人发生第22.1.1项约定的违约情况时，发包人有权向承包人课以违约金，具体约定如下：</w:t>
      </w:r>
    </w:p>
    <w:tbl>
      <w:tblPr>
        <w:tblStyle w:val="5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71"/>
        <w:gridCol w:w="5337"/>
        <w:gridCol w:w="2921"/>
      </w:tblGrid>
      <w:tr w14:paraId="69B85C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1" w:hRule="atLeast"/>
          <w:tblHeader/>
          <w:jc w:val="center"/>
        </w:trPr>
        <w:tc>
          <w:tcPr>
            <w:tcW w:w="1371" w:type="dxa"/>
            <w:noWrap w:val="0"/>
            <w:vAlign w:val="center"/>
          </w:tcPr>
          <w:p w14:paraId="1AE105E9">
            <w:pPr>
              <w:pStyle w:val="28"/>
              <w:snapToGrid w:val="0"/>
              <w:spacing w:line="500" w:lineRule="exact"/>
              <w:jc w:val="center"/>
              <w:rPr>
                <w:rFonts w:hint="eastAsia" w:ascii="宋体" w:hAnsi="宋体" w:cs="宋体"/>
                <w:b/>
                <w:bCs/>
                <w:snapToGrid w:val="0"/>
                <w:spacing w:val="-6"/>
                <w:sz w:val="24"/>
                <w:szCs w:val="24"/>
              </w:rPr>
            </w:pPr>
            <w:r>
              <w:rPr>
                <w:rFonts w:hint="eastAsia" w:ascii="宋体" w:hAnsi="宋体" w:cs="宋体"/>
                <w:b/>
                <w:bCs/>
                <w:snapToGrid w:val="0"/>
                <w:spacing w:val="-6"/>
                <w:sz w:val="24"/>
                <w:szCs w:val="24"/>
              </w:rPr>
              <w:t>条款号</w:t>
            </w:r>
          </w:p>
        </w:tc>
        <w:tc>
          <w:tcPr>
            <w:tcW w:w="5337" w:type="dxa"/>
            <w:noWrap w:val="0"/>
            <w:vAlign w:val="center"/>
          </w:tcPr>
          <w:p w14:paraId="5D4FB838">
            <w:pPr>
              <w:pStyle w:val="28"/>
              <w:snapToGrid w:val="0"/>
              <w:spacing w:line="500" w:lineRule="exact"/>
              <w:jc w:val="center"/>
              <w:rPr>
                <w:rFonts w:hint="eastAsia" w:ascii="宋体" w:hAnsi="宋体" w:cs="宋体"/>
                <w:b/>
                <w:bCs/>
                <w:snapToGrid w:val="0"/>
                <w:spacing w:val="-6"/>
                <w:sz w:val="24"/>
                <w:szCs w:val="24"/>
              </w:rPr>
            </w:pPr>
            <w:r>
              <w:rPr>
                <w:rFonts w:hint="eastAsia" w:ascii="宋体" w:hAnsi="宋体" w:cs="宋体"/>
                <w:b/>
                <w:bCs/>
                <w:snapToGrid w:val="0"/>
                <w:spacing w:val="-6"/>
                <w:sz w:val="24"/>
                <w:szCs w:val="24"/>
              </w:rPr>
              <w:t>违约行为</w:t>
            </w:r>
          </w:p>
        </w:tc>
        <w:tc>
          <w:tcPr>
            <w:tcW w:w="2921" w:type="dxa"/>
            <w:noWrap w:val="0"/>
            <w:vAlign w:val="center"/>
          </w:tcPr>
          <w:p w14:paraId="1EBCF0D5">
            <w:pPr>
              <w:pStyle w:val="28"/>
              <w:snapToGrid w:val="0"/>
              <w:spacing w:line="500" w:lineRule="exact"/>
              <w:jc w:val="center"/>
              <w:rPr>
                <w:rFonts w:hint="eastAsia" w:ascii="宋体" w:hAnsi="宋体" w:cs="宋体"/>
                <w:b/>
                <w:bCs/>
                <w:snapToGrid w:val="0"/>
                <w:spacing w:val="-6"/>
                <w:sz w:val="24"/>
                <w:szCs w:val="24"/>
              </w:rPr>
            </w:pPr>
            <w:r>
              <w:rPr>
                <w:rFonts w:hint="eastAsia" w:ascii="宋体" w:hAnsi="宋体" w:cs="宋体"/>
                <w:b/>
                <w:bCs/>
                <w:snapToGrid w:val="0"/>
                <w:spacing w:val="-6"/>
                <w:sz w:val="24"/>
                <w:szCs w:val="24"/>
              </w:rPr>
              <w:t>违约责任</w:t>
            </w:r>
          </w:p>
        </w:tc>
      </w:tr>
      <w:tr w14:paraId="04AECA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371" w:type="dxa"/>
            <w:noWrap w:val="0"/>
            <w:vAlign w:val="center"/>
          </w:tcPr>
          <w:p w14:paraId="5A72C63C">
            <w:pPr>
              <w:spacing w:line="560" w:lineRule="exact"/>
              <w:jc w:val="center"/>
              <w:rPr>
                <w:rFonts w:hint="eastAsia" w:ascii="宋体" w:hAnsi="宋体" w:cs="宋体"/>
                <w:sz w:val="24"/>
              </w:rPr>
            </w:pPr>
            <w:r>
              <w:rPr>
                <w:rFonts w:hint="eastAsia" w:ascii="宋体" w:hAnsi="宋体" w:cs="宋体"/>
                <w:sz w:val="24"/>
              </w:rPr>
              <w:t>1</w:t>
            </w:r>
          </w:p>
        </w:tc>
        <w:tc>
          <w:tcPr>
            <w:tcW w:w="5337" w:type="dxa"/>
            <w:noWrap w:val="0"/>
            <w:vAlign w:val="center"/>
          </w:tcPr>
          <w:p w14:paraId="2C84EDCE">
            <w:pPr>
              <w:pStyle w:val="28"/>
              <w:snapToGrid w:val="0"/>
              <w:spacing w:line="560" w:lineRule="exact"/>
              <w:jc w:val="center"/>
              <w:rPr>
                <w:rFonts w:hint="eastAsia" w:ascii="宋体" w:hAnsi="宋体" w:cs="宋体"/>
                <w:bCs/>
                <w:snapToGrid w:val="0"/>
                <w:spacing w:val="-6"/>
                <w:sz w:val="24"/>
                <w:szCs w:val="24"/>
              </w:rPr>
            </w:pPr>
            <w:r>
              <w:rPr>
                <w:rFonts w:hint="eastAsia" w:ascii="宋体" w:hAnsi="宋体" w:cs="宋体"/>
                <w:bCs/>
                <w:snapToGrid w:val="0"/>
                <w:spacing w:val="-6"/>
                <w:sz w:val="24"/>
                <w:szCs w:val="24"/>
              </w:rPr>
              <w:t>承包人在缺陷责任期内，未能对工程接收证书所列的缺陷清单的内容或缺陷责任期内发生的缺陷进行修复，而又拒绝按监理人指示再进行修补</w:t>
            </w:r>
          </w:p>
        </w:tc>
        <w:tc>
          <w:tcPr>
            <w:tcW w:w="2921" w:type="dxa"/>
            <w:noWrap w:val="0"/>
            <w:vAlign w:val="center"/>
          </w:tcPr>
          <w:p w14:paraId="651D0763">
            <w:pPr>
              <w:spacing w:line="560" w:lineRule="exact"/>
              <w:jc w:val="center"/>
              <w:rPr>
                <w:rFonts w:hint="eastAsia" w:ascii="宋体" w:hAnsi="宋体" w:cs="宋体"/>
                <w:sz w:val="24"/>
              </w:rPr>
            </w:pPr>
            <w:r>
              <w:rPr>
                <w:rFonts w:hint="eastAsia" w:ascii="宋体" w:hAnsi="宋体" w:cs="宋体"/>
                <w:sz w:val="24"/>
              </w:rPr>
              <w:t>可根据情节严重情况分别课以50000-100000元的违约金。</w:t>
            </w:r>
          </w:p>
        </w:tc>
      </w:tr>
      <w:tr w14:paraId="752574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371" w:type="dxa"/>
            <w:noWrap w:val="0"/>
            <w:vAlign w:val="center"/>
          </w:tcPr>
          <w:p w14:paraId="74D1CF0C">
            <w:pPr>
              <w:spacing w:line="560" w:lineRule="exact"/>
              <w:jc w:val="center"/>
              <w:rPr>
                <w:rFonts w:hint="eastAsia" w:ascii="宋体" w:hAnsi="宋体" w:cs="宋体"/>
                <w:sz w:val="24"/>
              </w:rPr>
            </w:pPr>
            <w:r>
              <w:rPr>
                <w:rFonts w:hint="eastAsia" w:ascii="宋体" w:hAnsi="宋体" w:cs="宋体"/>
                <w:sz w:val="24"/>
              </w:rPr>
              <w:t>2</w:t>
            </w:r>
          </w:p>
        </w:tc>
        <w:tc>
          <w:tcPr>
            <w:tcW w:w="5337" w:type="dxa"/>
            <w:noWrap w:val="0"/>
            <w:vAlign w:val="center"/>
          </w:tcPr>
          <w:p w14:paraId="26F40D59">
            <w:pPr>
              <w:pStyle w:val="28"/>
              <w:snapToGrid w:val="0"/>
              <w:spacing w:line="560" w:lineRule="exact"/>
              <w:jc w:val="center"/>
              <w:rPr>
                <w:rFonts w:hint="eastAsia" w:ascii="宋体" w:hAnsi="宋体" w:cs="宋体"/>
                <w:bCs/>
                <w:snapToGrid w:val="0"/>
                <w:spacing w:val="-6"/>
                <w:sz w:val="24"/>
                <w:szCs w:val="24"/>
              </w:rPr>
            </w:pPr>
            <w:r>
              <w:rPr>
                <w:rFonts w:hint="eastAsia" w:ascii="宋体" w:hAnsi="宋体" w:cs="宋体"/>
                <w:bCs/>
                <w:snapToGrid w:val="0"/>
                <w:spacing w:val="-6"/>
                <w:sz w:val="24"/>
                <w:szCs w:val="24"/>
              </w:rPr>
              <w:t>承包人无法继续履行或明确表示不履行或实质上已停止履行合同</w:t>
            </w:r>
          </w:p>
        </w:tc>
        <w:tc>
          <w:tcPr>
            <w:tcW w:w="2921" w:type="dxa"/>
            <w:noWrap w:val="0"/>
            <w:vAlign w:val="center"/>
          </w:tcPr>
          <w:p w14:paraId="6D6E44A4">
            <w:pPr>
              <w:pStyle w:val="28"/>
              <w:snapToGrid w:val="0"/>
              <w:spacing w:line="560" w:lineRule="exact"/>
              <w:jc w:val="center"/>
              <w:rPr>
                <w:rFonts w:hint="eastAsia" w:ascii="宋体" w:hAnsi="宋体" w:cs="宋体"/>
                <w:bCs/>
                <w:snapToGrid w:val="0"/>
                <w:spacing w:val="-6"/>
                <w:sz w:val="24"/>
                <w:szCs w:val="24"/>
              </w:rPr>
            </w:pPr>
            <w:r>
              <w:rPr>
                <w:rFonts w:hint="eastAsia" w:ascii="宋体" w:hAnsi="宋体" w:cs="宋体"/>
                <w:sz w:val="24"/>
                <w:szCs w:val="24"/>
              </w:rPr>
              <w:t>将终止合同并按相关法律处罚。</w:t>
            </w:r>
          </w:p>
        </w:tc>
      </w:tr>
      <w:tr w14:paraId="222D04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371" w:type="dxa"/>
            <w:noWrap w:val="0"/>
            <w:vAlign w:val="center"/>
          </w:tcPr>
          <w:p w14:paraId="346AAFDE">
            <w:pPr>
              <w:spacing w:line="560" w:lineRule="exact"/>
              <w:jc w:val="center"/>
              <w:rPr>
                <w:rFonts w:hint="eastAsia" w:ascii="宋体" w:hAnsi="宋体" w:cs="宋体"/>
                <w:sz w:val="24"/>
              </w:rPr>
            </w:pPr>
            <w:r>
              <w:rPr>
                <w:rFonts w:hint="eastAsia" w:ascii="宋体" w:hAnsi="宋体" w:cs="宋体"/>
                <w:sz w:val="24"/>
              </w:rPr>
              <w:t>3</w:t>
            </w:r>
          </w:p>
        </w:tc>
        <w:tc>
          <w:tcPr>
            <w:tcW w:w="5337" w:type="dxa"/>
            <w:noWrap w:val="0"/>
            <w:vAlign w:val="center"/>
          </w:tcPr>
          <w:p w14:paraId="11888391">
            <w:pPr>
              <w:pStyle w:val="28"/>
              <w:snapToGrid w:val="0"/>
              <w:spacing w:line="560" w:lineRule="exact"/>
              <w:jc w:val="center"/>
              <w:rPr>
                <w:rFonts w:hint="eastAsia" w:ascii="宋体" w:hAnsi="宋体" w:cs="宋体"/>
                <w:sz w:val="24"/>
                <w:szCs w:val="24"/>
              </w:rPr>
            </w:pPr>
            <w:r>
              <w:rPr>
                <w:rFonts w:hint="eastAsia" w:ascii="宋体" w:hAnsi="宋体" w:cs="宋体"/>
                <w:sz w:val="24"/>
                <w:szCs w:val="24"/>
              </w:rPr>
              <w:t>工程实施期间，承包人制定阶段性工期目标并提交监理工程师批准后，不能完成阶段性工期目标</w:t>
            </w:r>
          </w:p>
        </w:tc>
        <w:tc>
          <w:tcPr>
            <w:tcW w:w="2921" w:type="dxa"/>
            <w:noWrap w:val="0"/>
            <w:vAlign w:val="center"/>
          </w:tcPr>
          <w:p w14:paraId="17D9AE4C">
            <w:pPr>
              <w:pStyle w:val="28"/>
              <w:snapToGrid w:val="0"/>
              <w:spacing w:line="560" w:lineRule="exact"/>
              <w:jc w:val="center"/>
              <w:rPr>
                <w:rFonts w:hint="eastAsia" w:ascii="宋体" w:hAnsi="宋体" w:cs="宋体"/>
                <w:bCs/>
                <w:snapToGrid w:val="0"/>
                <w:spacing w:val="-6"/>
                <w:sz w:val="24"/>
                <w:szCs w:val="24"/>
              </w:rPr>
            </w:pPr>
            <w:r>
              <w:rPr>
                <w:rFonts w:hint="eastAsia" w:ascii="宋体" w:hAnsi="宋体" w:cs="宋体"/>
                <w:bCs/>
                <w:snapToGrid w:val="0"/>
                <w:spacing w:val="-6"/>
                <w:sz w:val="24"/>
                <w:szCs w:val="24"/>
              </w:rPr>
              <w:t>课以承包人</w:t>
            </w:r>
            <w:r>
              <w:rPr>
                <w:rFonts w:hint="eastAsia" w:ascii="宋体" w:hAnsi="宋体" w:cs="宋体"/>
                <w:sz w:val="24"/>
                <w:szCs w:val="24"/>
              </w:rPr>
              <w:t>5000元/天的违约金</w:t>
            </w:r>
          </w:p>
        </w:tc>
      </w:tr>
    </w:tbl>
    <w:p w14:paraId="3CB1D4B9">
      <w:pPr>
        <w:spacing w:line="500" w:lineRule="exact"/>
        <w:ind w:firstLine="600" w:firstLineChars="250"/>
        <w:rPr>
          <w:rFonts w:hint="eastAsia" w:ascii="宋体" w:hAnsi="宋体" w:cs="宋体"/>
          <w:sz w:val="24"/>
        </w:rPr>
      </w:pPr>
      <w:r>
        <w:rPr>
          <w:rFonts w:hint="eastAsia" w:ascii="宋体" w:hAnsi="宋体" w:cs="宋体"/>
          <w:sz w:val="24"/>
        </w:rPr>
        <w:t>经业主核实，承包人以上中任一违约行为时，业主除采取措施纠正其违约行为外，违约金在当月支付证书中扣除。</w:t>
      </w:r>
    </w:p>
    <w:p w14:paraId="304399B0">
      <w:pPr>
        <w:spacing w:line="500" w:lineRule="exact"/>
        <w:ind w:firstLine="600" w:firstLineChars="250"/>
        <w:rPr>
          <w:rFonts w:hint="eastAsia" w:ascii="宋体" w:hAnsi="宋体" w:cs="宋体"/>
          <w:sz w:val="24"/>
        </w:rPr>
      </w:pPr>
    </w:p>
    <w:p w14:paraId="60CBAD11">
      <w:pPr>
        <w:spacing w:line="500" w:lineRule="exact"/>
        <w:ind w:firstLine="600" w:firstLineChars="250"/>
        <w:rPr>
          <w:rFonts w:hint="eastAsia" w:ascii="宋体" w:hAnsi="宋体" w:cs="宋体"/>
          <w:sz w:val="24"/>
        </w:rPr>
      </w:pPr>
    </w:p>
    <w:p w14:paraId="34C5C518">
      <w:pPr>
        <w:numPr>
          <w:ilvl w:val="0"/>
          <w:numId w:val="5"/>
        </w:numPr>
        <w:spacing w:after="120" w:line="400" w:lineRule="exact"/>
        <w:jc w:val="center"/>
        <w:rPr>
          <w:rFonts w:hint="eastAsia" w:ascii="宋体" w:hAnsi="宋体" w:cs="宋体"/>
          <w:sz w:val="24"/>
        </w:rPr>
      </w:pPr>
      <w:r>
        <w:rPr>
          <w:rFonts w:hint="eastAsia" w:ascii="宋体" w:hAnsi="宋体" w:cs="宋体"/>
          <w:sz w:val="24"/>
        </w:rPr>
        <w:t>合同附件格式</w:t>
      </w:r>
    </w:p>
    <w:p w14:paraId="6C03F36D">
      <w:pPr>
        <w:rPr>
          <w:rFonts w:hint="eastAsia" w:ascii="宋体" w:hAnsi="宋体" w:cs="宋体"/>
          <w:sz w:val="24"/>
        </w:rPr>
      </w:pPr>
    </w:p>
    <w:p w14:paraId="06B78E12">
      <w:pPr>
        <w:spacing w:before="156" w:beforeLines="50" w:after="156" w:afterLines="50" w:line="360" w:lineRule="exact"/>
        <w:ind w:firstLine="482" w:firstLineChars="200"/>
        <w:rPr>
          <w:rFonts w:hint="eastAsia" w:ascii="宋体" w:hAnsi="宋体" w:cs="宋体"/>
          <w:sz w:val="24"/>
        </w:rPr>
      </w:pPr>
      <w:r>
        <w:rPr>
          <w:rFonts w:hint="eastAsia" w:ascii="宋体" w:hAnsi="宋体" w:cs="宋体"/>
          <w:b/>
          <w:sz w:val="24"/>
        </w:rPr>
        <w:t>附件一、附件二、附件三、附件六、附件七、附件八</w:t>
      </w:r>
      <w:r>
        <w:rPr>
          <w:rFonts w:hint="eastAsia" w:ascii="宋体" w:hAnsi="宋体" w:cs="宋体"/>
          <w:sz w:val="24"/>
        </w:rPr>
        <w:t>具体内容采用中华人民共和国交通运输部公告2017第51号文颁布的《公路工程标准施工</w:t>
      </w:r>
      <w:r>
        <w:rPr>
          <w:rFonts w:hint="eastAsia" w:cs="宋体"/>
          <w:sz w:val="24"/>
          <w:lang w:val="en-US" w:eastAsia="zh-CN"/>
        </w:rPr>
        <w:t>招标</w:t>
      </w:r>
      <w:r>
        <w:rPr>
          <w:rFonts w:hint="eastAsia" w:ascii="宋体" w:hAnsi="宋体" w:cs="宋体"/>
          <w:sz w:val="24"/>
          <w:lang w:eastAsia="zh-CN"/>
        </w:rPr>
        <w:t>文件</w:t>
      </w:r>
      <w:r>
        <w:rPr>
          <w:rFonts w:hint="eastAsia" w:ascii="宋体" w:hAnsi="宋体" w:cs="宋体"/>
          <w:sz w:val="24"/>
        </w:rPr>
        <w:t>》。</w:t>
      </w:r>
    </w:p>
    <w:p w14:paraId="709FA9F8">
      <w:pPr>
        <w:spacing w:before="156" w:beforeLines="50" w:after="156" w:afterLines="50" w:line="360" w:lineRule="exact"/>
        <w:ind w:firstLine="480" w:firstLineChars="200"/>
        <w:outlineLvl w:val="0"/>
        <w:rPr>
          <w:rFonts w:hint="eastAsia" w:ascii="宋体" w:hAnsi="宋体" w:cs="宋体"/>
          <w:sz w:val="24"/>
        </w:rPr>
      </w:pPr>
      <w:bookmarkStart w:id="48" w:name="_Toc18377"/>
      <w:bookmarkStart w:id="49" w:name="_Toc14873"/>
      <w:bookmarkStart w:id="50" w:name="_Toc20055"/>
      <w:bookmarkStart w:id="51" w:name="_Toc4866"/>
      <w:bookmarkStart w:id="52" w:name="_Toc22954"/>
      <w:r>
        <w:rPr>
          <w:rFonts w:hint="eastAsia" w:ascii="宋体" w:hAnsi="宋体" w:cs="宋体"/>
          <w:sz w:val="24"/>
        </w:rPr>
        <w:t>附件四  其他主要管理人员和技术人员最低要求</w:t>
      </w:r>
      <w:bookmarkEnd w:id="48"/>
      <w:bookmarkEnd w:id="49"/>
      <w:bookmarkEnd w:id="50"/>
      <w:bookmarkEnd w:id="51"/>
      <w:bookmarkEnd w:id="52"/>
    </w:p>
    <w:tbl>
      <w:tblPr>
        <w:tblStyle w:val="5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97"/>
        <w:gridCol w:w="1147"/>
        <w:gridCol w:w="7027"/>
      </w:tblGrid>
      <w:tr w14:paraId="4855F0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4" w:hRule="atLeast"/>
          <w:jc w:val="center"/>
        </w:trPr>
        <w:tc>
          <w:tcPr>
            <w:tcW w:w="1197" w:type="dxa"/>
            <w:noWrap w:val="0"/>
            <w:vAlign w:val="center"/>
          </w:tcPr>
          <w:p w14:paraId="652830DE">
            <w:pPr>
              <w:jc w:val="center"/>
              <w:rPr>
                <w:rFonts w:hint="eastAsia"/>
                <w:sz w:val="24"/>
              </w:rPr>
            </w:pPr>
            <w:r>
              <w:rPr>
                <w:rFonts w:hint="eastAsia"/>
                <w:sz w:val="24"/>
              </w:rPr>
              <w:t>人  员</w:t>
            </w:r>
          </w:p>
        </w:tc>
        <w:tc>
          <w:tcPr>
            <w:tcW w:w="1147" w:type="dxa"/>
            <w:tcBorders>
              <w:right w:val="single" w:color="auto" w:sz="4" w:space="0"/>
            </w:tcBorders>
            <w:noWrap w:val="0"/>
            <w:vAlign w:val="center"/>
          </w:tcPr>
          <w:p w14:paraId="519F3964">
            <w:pPr>
              <w:jc w:val="center"/>
              <w:rPr>
                <w:rFonts w:hint="eastAsia"/>
                <w:sz w:val="24"/>
              </w:rPr>
            </w:pPr>
            <w:r>
              <w:rPr>
                <w:rFonts w:hint="eastAsia"/>
                <w:sz w:val="24"/>
              </w:rPr>
              <w:t>数  量</w:t>
            </w:r>
          </w:p>
        </w:tc>
        <w:tc>
          <w:tcPr>
            <w:tcW w:w="7027" w:type="dxa"/>
            <w:tcBorders>
              <w:left w:val="single" w:color="auto" w:sz="4" w:space="0"/>
            </w:tcBorders>
            <w:noWrap w:val="0"/>
            <w:vAlign w:val="center"/>
          </w:tcPr>
          <w:p w14:paraId="4EB3E503">
            <w:pPr>
              <w:jc w:val="center"/>
              <w:rPr>
                <w:rFonts w:hint="eastAsia"/>
                <w:sz w:val="24"/>
              </w:rPr>
            </w:pPr>
            <w:r>
              <w:rPr>
                <w:rFonts w:hint="eastAsia"/>
                <w:sz w:val="24"/>
              </w:rPr>
              <w:t>资格要求</w:t>
            </w:r>
          </w:p>
        </w:tc>
      </w:tr>
      <w:tr w14:paraId="176F15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39" w:hRule="atLeast"/>
          <w:jc w:val="center"/>
        </w:trPr>
        <w:tc>
          <w:tcPr>
            <w:tcW w:w="1197" w:type="dxa"/>
            <w:noWrap w:val="0"/>
            <w:vAlign w:val="center"/>
          </w:tcPr>
          <w:p w14:paraId="2A90500F">
            <w:pPr>
              <w:jc w:val="center"/>
              <w:rPr>
                <w:rFonts w:hint="eastAsia"/>
                <w:sz w:val="24"/>
              </w:rPr>
            </w:pPr>
            <w:r>
              <w:rPr>
                <w:rFonts w:hint="eastAsia"/>
                <w:sz w:val="24"/>
                <w:lang w:val="en-US" w:eastAsia="zh-CN"/>
              </w:rPr>
              <w:t>道路</w:t>
            </w:r>
            <w:r>
              <w:rPr>
                <w:rFonts w:hint="eastAsia"/>
                <w:sz w:val="24"/>
              </w:rPr>
              <w:t>工程师</w:t>
            </w:r>
          </w:p>
        </w:tc>
        <w:tc>
          <w:tcPr>
            <w:tcW w:w="1147" w:type="dxa"/>
            <w:tcBorders>
              <w:right w:val="single" w:color="auto" w:sz="4" w:space="0"/>
            </w:tcBorders>
            <w:noWrap w:val="0"/>
            <w:vAlign w:val="center"/>
          </w:tcPr>
          <w:p w14:paraId="088B8E1E">
            <w:pPr>
              <w:jc w:val="center"/>
              <w:rPr>
                <w:rFonts w:hint="eastAsia"/>
                <w:sz w:val="24"/>
              </w:rPr>
            </w:pPr>
            <w:r>
              <w:rPr>
                <w:rFonts w:hint="eastAsia"/>
                <w:sz w:val="24"/>
              </w:rPr>
              <w:t>2</w:t>
            </w:r>
          </w:p>
        </w:tc>
        <w:tc>
          <w:tcPr>
            <w:tcW w:w="7027" w:type="dxa"/>
            <w:noWrap w:val="0"/>
            <w:vAlign w:val="center"/>
          </w:tcPr>
          <w:p w14:paraId="02CB9004">
            <w:pPr>
              <w:rPr>
                <w:rFonts w:hint="eastAsia"/>
                <w:sz w:val="24"/>
              </w:rPr>
            </w:pPr>
            <w:r>
              <w:rPr>
                <w:rFonts w:hint="eastAsia"/>
                <w:sz w:val="24"/>
              </w:rPr>
              <w:t>公路工程专业工程师职称</w:t>
            </w:r>
          </w:p>
        </w:tc>
      </w:tr>
      <w:tr w14:paraId="73455B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47" w:hRule="atLeast"/>
          <w:jc w:val="center"/>
        </w:trPr>
        <w:tc>
          <w:tcPr>
            <w:tcW w:w="1197" w:type="dxa"/>
            <w:noWrap w:val="0"/>
            <w:vAlign w:val="center"/>
          </w:tcPr>
          <w:p w14:paraId="2A3DF844">
            <w:pPr>
              <w:jc w:val="center"/>
              <w:rPr>
                <w:rFonts w:hint="eastAsia"/>
                <w:sz w:val="24"/>
              </w:rPr>
            </w:pPr>
            <w:r>
              <w:rPr>
                <w:rFonts w:hint="eastAsia"/>
                <w:sz w:val="24"/>
              </w:rPr>
              <w:t>安全员</w:t>
            </w:r>
          </w:p>
        </w:tc>
        <w:tc>
          <w:tcPr>
            <w:tcW w:w="1147" w:type="dxa"/>
            <w:tcBorders>
              <w:right w:val="single" w:color="auto" w:sz="4" w:space="0"/>
            </w:tcBorders>
            <w:noWrap w:val="0"/>
            <w:vAlign w:val="center"/>
          </w:tcPr>
          <w:p w14:paraId="3690099C">
            <w:pPr>
              <w:jc w:val="center"/>
              <w:rPr>
                <w:rFonts w:hint="eastAsia"/>
                <w:sz w:val="24"/>
              </w:rPr>
            </w:pPr>
            <w:r>
              <w:rPr>
                <w:rFonts w:hint="eastAsia"/>
                <w:sz w:val="24"/>
              </w:rPr>
              <w:t>2</w:t>
            </w:r>
          </w:p>
        </w:tc>
        <w:tc>
          <w:tcPr>
            <w:tcW w:w="7027" w:type="dxa"/>
            <w:noWrap w:val="0"/>
            <w:vAlign w:val="center"/>
          </w:tcPr>
          <w:p w14:paraId="2954DBA9">
            <w:pPr>
              <w:rPr>
                <w:rFonts w:hint="eastAsia"/>
                <w:sz w:val="24"/>
              </w:rPr>
            </w:pPr>
            <w:r>
              <w:rPr>
                <w:rFonts w:hint="eastAsia"/>
                <w:sz w:val="24"/>
              </w:rPr>
              <w:t>持有C类《安全生产考核合格证书》。</w:t>
            </w:r>
          </w:p>
        </w:tc>
      </w:tr>
    </w:tbl>
    <w:p w14:paraId="1EF8DE2F">
      <w:pPr>
        <w:rPr>
          <w:rFonts w:hint="eastAsia" w:ascii="宋体" w:hAnsi="宋体" w:cs="宋体"/>
          <w:b/>
          <w:bCs/>
          <w:kern w:val="44"/>
          <w:sz w:val="24"/>
        </w:rPr>
      </w:pPr>
    </w:p>
    <w:p w14:paraId="728C7D3B">
      <w:pPr>
        <w:spacing w:before="156" w:beforeLines="50" w:after="156" w:afterLines="50" w:line="360" w:lineRule="exact"/>
        <w:ind w:firstLine="480" w:firstLineChars="200"/>
        <w:outlineLvl w:val="0"/>
        <w:rPr>
          <w:rFonts w:hint="eastAsia" w:ascii="宋体" w:hAnsi="宋体" w:cs="宋体"/>
          <w:sz w:val="24"/>
        </w:rPr>
      </w:pPr>
      <w:bookmarkStart w:id="53" w:name="_Toc5652"/>
      <w:bookmarkStart w:id="54" w:name="_Toc3440"/>
      <w:bookmarkStart w:id="55" w:name="_Toc17174"/>
      <w:bookmarkStart w:id="56" w:name="_Toc32408"/>
      <w:bookmarkStart w:id="57" w:name="_Toc20438"/>
      <w:r>
        <w:rPr>
          <w:rFonts w:hint="eastAsia" w:ascii="宋体" w:hAnsi="宋体" w:cs="宋体"/>
          <w:sz w:val="24"/>
        </w:rPr>
        <w:t>附件五  主要机械设备和试验检测设备最低要求</w:t>
      </w:r>
      <w:bookmarkEnd w:id="53"/>
      <w:bookmarkEnd w:id="54"/>
      <w:bookmarkEnd w:id="55"/>
      <w:bookmarkEnd w:id="56"/>
      <w:bookmarkEnd w:id="57"/>
    </w:p>
    <w:p w14:paraId="0D661596">
      <w:pPr>
        <w:spacing w:line="360" w:lineRule="exact"/>
        <w:rPr>
          <w:rFonts w:hint="eastAsia" w:ascii="宋体" w:hAnsi="宋体" w:cs="宋体"/>
          <w:sz w:val="24"/>
        </w:rPr>
      </w:pPr>
    </w:p>
    <w:tbl>
      <w:tblPr>
        <w:tblStyle w:val="5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81"/>
      </w:tblGrid>
      <w:tr w14:paraId="585C52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9" w:hRule="atLeast"/>
          <w:jc w:val="center"/>
        </w:trPr>
        <w:tc>
          <w:tcPr>
            <w:tcW w:w="9281" w:type="dxa"/>
            <w:noWrap w:val="0"/>
            <w:vAlign w:val="center"/>
          </w:tcPr>
          <w:p w14:paraId="14A51AE7">
            <w:pPr>
              <w:spacing w:line="360" w:lineRule="exact"/>
              <w:rPr>
                <w:rFonts w:hint="eastAsia" w:ascii="宋体" w:hAnsi="宋体" w:cs="宋体"/>
                <w:b/>
                <w:sz w:val="24"/>
              </w:rPr>
            </w:pPr>
            <w:r>
              <w:rPr>
                <w:rFonts w:hint="eastAsia" w:ascii="宋体" w:hAnsi="宋体" w:cs="宋体"/>
                <w:b/>
                <w:sz w:val="24"/>
              </w:rPr>
              <w:t>一、机械设备</w:t>
            </w:r>
          </w:p>
        </w:tc>
      </w:tr>
      <w:tr w14:paraId="6C1B95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9" w:hRule="atLeast"/>
          <w:jc w:val="center"/>
        </w:trPr>
        <w:tc>
          <w:tcPr>
            <w:tcW w:w="9281" w:type="dxa"/>
            <w:noWrap w:val="0"/>
            <w:vAlign w:val="center"/>
          </w:tcPr>
          <w:p w14:paraId="42DDEF30">
            <w:pPr>
              <w:spacing w:line="360" w:lineRule="exact"/>
              <w:rPr>
                <w:rFonts w:hint="eastAsia" w:ascii="宋体" w:hAnsi="宋体" w:cs="宋体"/>
                <w:b/>
                <w:sz w:val="24"/>
              </w:rPr>
            </w:pPr>
            <w:r>
              <w:rPr>
                <w:rFonts w:hint="eastAsia"/>
                <w:sz w:val="24"/>
              </w:rPr>
              <w:t>根据本项目工作的需要列入相应的施工机械设备。</w:t>
            </w:r>
          </w:p>
        </w:tc>
      </w:tr>
      <w:tr w14:paraId="0FB5DF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8" w:hRule="atLeast"/>
          <w:jc w:val="center"/>
        </w:trPr>
        <w:tc>
          <w:tcPr>
            <w:tcW w:w="9281" w:type="dxa"/>
            <w:noWrap w:val="0"/>
            <w:vAlign w:val="center"/>
          </w:tcPr>
          <w:p w14:paraId="7A4A6D4D">
            <w:pPr>
              <w:spacing w:line="360" w:lineRule="exact"/>
              <w:rPr>
                <w:rFonts w:hint="eastAsia" w:ascii="宋体" w:hAnsi="宋体" w:cs="宋体"/>
                <w:b/>
                <w:sz w:val="24"/>
              </w:rPr>
            </w:pPr>
            <w:r>
              <w:rPr>
                <w:rFonts w:hint="eastAsia" w:ascii="宋体" w:hAnsi="宋体" w:cs="宋体"/>
                <w:b/>
                <w:sz w:val="24"/>
              </w:rPr>
              <w:t>二、试验检测设备</w:t>
            </w:r>
          </w:p>
        </w:tc>
      </w:tr>
      <w:tr w14:paraId="376B30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67" w:hRule="atLeast"/>
          <w:jc w:val="center"/>
        </w:trPr>
        <w:tc>
          <w:tcPr>
            <w:tcW w:w="9281" w:type="dxa"/>
            <w:noWrap w:val="0"/>
            <w:vAlign w:val="center"/>
          </w:tcPr>
          <w:p w14:paraId="17D75EDD">
            <w:pPr>
              <w:jc w:val="left"/>
              <w:rPr>
                <w:rFonts w:hint="eastAsia" w:ascii="宋体" w:hAnsi="宋体" w:cs="宋体"/>
                <w:sz w:val="24"/>
              </w:rPr>
            </w:pPr>
            <w:r>
              <w:rPr>
                <w:rFonts w:hint="eastAsia"/>
                <w:sz w:val="24"/>
              </w:rPr>
              <w:t>参照皖交质监局《安徽省公路水运工程工地试验室建设与管理暂行规定》的相关要求配置或经业主批准后外委。</w:t>
            </w:r>
          </w:p>
        </w:tc>
      </w:tr>
    </w:tbl>
    <w:p w14:paraId="33DA6DE6">
      <w:pPr>
        <w:spacing w:before="156" w:beforeLines="50" w:line="360" w:lineRule="auto"/>
        <w:rPr>
          <w:rFonts w:hint="eastAsia" w:ascii="宋体" w:hAnsi="宋体" w:cs="宋体"/>
          <w:b/>
          <w:sz w:val="24"/>
        </w:rPr>
      </w:pPr>
      <w:r>
        <w:rPr>
          <w:rFonts w:hint="eastAsia" w:ascii="宋体" w:hAnsi="宋体" w:cs="宋体"/>
          <w:b/>
          <w:sz w:val="24"/>
        </w:rPr>
        <w:t>注：（1）</w:t>
      </w:r>
      <w:r>
        <w:rPr>
          <w:rFonts w:hint="eastAsia" w:ascii="宋体" w:hAnsi="宋体" w:cs="宋体"/>
          <w:b/>
          <w:sz w:val="24"/>
          <w:lang w:val="en-US" w:eastAsia="zh-CN"/>
        </w:rPr>
        <w:t>供应商</w:t>
      </w:r>
      <w:r>
        <w:rPr>
          <w:rFonts w:hint="eastAsia" w:ascii="宋体" w:hAnsi="宋体" w:cs="宋体"/>
          <w:b/>
          <w:sz w:val="24"/>
        </w:rPr>
        <w:t>必须根据</w:t>
      </w:r>
      <w:r>
        <w:rPr>
          <w:rFonts w:hint="eastAsia" w:ascii="宋体" w:hAnsi="宋体" w:cs="宋体"/>
          <w:b/>
          <w:sz w:val="24"/>
          <w:lang w:eastAsia="zh-CN"/>
        </w:rPr>
        <w:t>磋商文件</w:t>
      </w:r>
      <w:r>
        <w:rPr>
          <w:rFonts w:hint="eastAsia" w:ascii="宋体" w:hAnsi="宋体" w:cs="宋体"/>
          <w:b/>
          <w:sz w:val="24"/>
        </w:rPr>
        <w:t>、图纸等其它资料的要求和现场考察的实际情况拟定进场机械设备，以满足</w:t>
      </w:r>
      <w:r>
        <w:rPr>
          <w:rFonts w:hint="eastAsia" w:ascii="宋体" w:hAnsi="宋体" w:cs="宋体"/>
          <w:b/>
          <w:sz w:val="24"/>
          <w:lang w:eastAsia="zh-CN"/>
        </w:rPr>
        <w:t>磋商文件</w:t>
      </w:r>
      <w:r>
        <w:rPr>
          <w:rFonts w:hint="eastAsia" w:ascii="宋体" w:hAnsi="宋体" w:cs="宋体"/>
          <w:b/>
          <w:sz w:val="24"/>
        </w:rPr>
        <w:t>规定的质量进度环保、安全等要求。</w:t>
      </w:r>
    </w:p>
    <w:p w14:paraId="617EDBE9">
      <w:pPr>
        <w:spacing w:before="156" w:beforeLines="50" w:line="360" w:lineRule="auto"/>
        <w:ind w:firstLine="236" w:firstLineChars="98"/>
        <w:rPr>
          <w:rFonts w:hint="eastAsia" w:ascii="宋体" w:hAnsi="宋体" w:cs="宋体"/>
          <w:b/>
          <w:sz w:val="24"/>
        </w:rPr>
      </w:pPr>
      <w:r>
        <w:rPr>
          <w:rFonts w:hint="eastAsia" w:ascii="宋体" w:hAnsi="宋体" w:cs="宋体"/>
          <w:b/>
          <w:sz w:val="24"/>
        </w:rPr>
        <w:t>（2）</w:t>
      </w:r>
      <w:r>
        <w:rPr>
          <w:rFonts w:hint="eastAsia" w:ascii="宋体" w:hAnsi="宋体" w:cs="宋体"/>
          <w:b/>
          <w:sz w:val="24"/>
          <w:lang w:eastAsia="zh-CN"/>
        </w:rPr>
        <w:t>成交单位</w:t>
      </w:r>
      <w:r>
        <w:rPr>
          <w:rFonts w:hint="eastAsia" w:ascii="宋体" w:hAnsi="宋体" w:cs="宋体"/>
          <w:b/>
          <w:sz w:val="24"/>
        </w:rPr>
        <w:t>在和业主签合同前应将拟投入本项目的其他主要管理人员、主要机械设备和试验检测设备报送</w:t>
      </w:r>
      <w:r>
        <w:rPr>
          <w:rFonts w:hint="eastAsia" w:ascii="宋体" w:hAnsi="宋体" w:cs="宋体"/>
          <w:b/>
          <w:sz w:val="24"/>
          <w:lang w:eastAsia="zh-CN"/>
        </w:rPr>
        <w:t>采购人</w:t>
      </w:r>
      <w:r>
        <w:rPr>
          <w:rFonts w:hint="eastAsia" w:ascii="宋体" w:hAnsi="宋体" w:cs="宋体"/>
          <w:b/>
          <w:sz w:val="24"/>
        </w:rPr>
        <w:t>审批。</w:t>
      </w:r>
    </w:p>
    <w:p w14:paraId="771C0795">
      <w:pPr>
        <w:pStyle w:val="19"/>
        <w:rPr>
          <w:rFonts w:ascii="宋体" w:hAnsi="宋体" w:eastAsia="宋体" w:cs="宋体"/>
          <w:bCs/>
          <w:color w:val="auto"/>
          <w:sz w:val="21"/>
          <w:szCs w:val="21"/>
          <w:highlight w:val="none"/>
        </w:rPr>
      </w:pPr>
    </w:p>
    <w:p w14:paraId="2DCA6CB4">
      <w:pPr>
        <w:widowControl/>
        <w:jc w:val="left"/>
        <w:rPr>
          <w:b/>
          <w:color w:val="auto"/>
          <w:sz w:val="24"/>
          <w:highlight w:val="none"/>
        </w:rPr>
      </w:pPr>
      <w:r>
        <w:rPr>
          <w:b/>
          <w:color w:val="auto"/>
          <w:sz w:val="24"/>
          <w:highlight w:val="none"/>
        </w:rPr>
        <w:br w:type="page"/>
      </w:r>
    </w:p>
    <w:p w14:paraId="7823F0DD">
      <w:pPr>
        <w:spacing w:line="360" w:lineRule="auto"/>
        <w:jc w:val="center"/>
        <w:outlineLvl w:val="0"/>
        <w:rPr>
          <w:rFonts w:asciiTheme="minorEastAsia" w:hAnsiTheme="minorEastAsia" w:eastAsiaTheme="minorEastAsia"/>
          <w:b/>
          <w:color w:val="auto"/>
          <w:sz w:val="28"/>
          <w:highlight w:val="none"/>
        </w:rPr>
      </w:pPr>
      <w:bookmarkStart w:id="58" w:name="_Toc22734"/>
      <w:r>
        <w:rPr>
          <w:rFonts w:hint="eastAsia" w:asciiTheme="minorEastAsia" w:hAnsiTheme="minorEastAsia" w:eastAsiaTheme="minorEastAsia"/>
          <w:b/>
          <w:color w:val="auto"/>
          <w:sz w:val="28"/>
          <w:highlight w:val="none"/>
        </w:rPr>
        <w:t>第六章  响应文件格式</w:t>
      </w:r>
      <w:bookmarkEnd w:id="58"/>
    </w:p>
    <w:p w14:paraId="46343EFF">
      <w:pPr>
        <w:spacing w:line="900" w:lineRule="exact"/>
        <w:jc w:val="center"/>
        <w:rPr>
          <w:rFonts w:asciiTheme="minorEastAsia" w:hAnsiTheme="minorEastAsia" w:eastAsiaTheme="minorEastAsia"/>
          <w:b/>
          <w:color w:val="auto"/>
          <w:sz w:val="72"/>
          <w:highlight w:val="none"/>
        </w:rPr>
      </w:pPr>
    </w:p>
    <w:p w14:paraId="01AA62E6">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03B93C0B">
      <w:pPr>
        <w:spacing w:line="900" w:lineRule="exact"/>
        <w:jc w:val="center"/>
        <w:rPr>
          <w:rFonts w:asciiTheme="minorEastAsia" w:hAnsiTheme="minorEastAsia" w:eastAsiaTheme="minorEastAsia"/>
          <w:b/>
          <w:color w:val="auto"/>
          <w:sz w:val="72"/>
          <w:highlight w:val="none"/>
        </w:rPr>
      </w:pPr>
    </w:p>
    <w:p w14:paraId="61869509">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67556F47">
      <w:pPr>
        <w:spacing w:line="900" w:lineRule="exact"/>
        <w:jc w:val="center"/>
        <w:rPr>
          <w:rFonts w:asciiTheme="minorEastAsia" w:hAnsiTheme="minorEastAsia" w:eastAsiaTheme="minorEastAsia"/>
          <w:b/>
          <w:color w:val="auto"/>
          <w:sz w:val="72"/>
          <w:highlight w:val="none"/>
        </w:rPr>
      </w:pPr>
    </w:p>
    <w:p w14:paraId="5CEA552D">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2B75EFBD">
      <w:pPr>
        <w:spacing w:line="900" w:lineRule="exact"/>
        <w:jc w:val="center"/>
        <w:rPr>
          <w:rFonts w:asciiTheme="minorEastAsia" w:hAnsiTheme="minorEastAsia" w:eastAsiaTheme="minorEastAsia"/>
          <w:b/>
          <w:color w:val="auto"/>
          <w:sz w:val="72"/>
          <w:highlight w:val="none"/>
        </w:rPr>
      </w:pPr>
    </w:p>
    <w:p w14:paraId="26A3C368">
      <w:pPr>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178FC844">
      <w:pPr>
        <w:spacing w:after="156" w:afterLines="50"/>
        <w:jc w:val="center"/>
        <w:rPr>
          <w:rFonts w:asciiTheme="minorEastAsia" w:hAnsiTheme="minorEastAsia" w:eastAsiaTheme="minorEastAsia"/>
          <w:b/>
          <w:color w:val="auto"/>
          <w:sz w:val="72"/>
          <w:highlight w:val="none"/>
        </w:rPr>
      </w:pPr>
    </w:p>
    <w:p w14:paraId="7558F741">
      <w:pPr>
        <w:spacing w:after="156" w:afterLines="50" w:line="500" w:lineRule="exact"/>
        <w:jc w:val="center"/>
        <w:rPr>
          <w:rFonts w:asciiTheme="minorEastAsia" w:hAnsiTheme="minorEastAsia" w:eastAsiaTheme="minorEastAsia"/>
          <w:b/>
          <w:color w:val="auto"/>
          <w:sz w:val="28"/>
          <w:szCs w:val="28"/>
          <w:highlight w:val="none"/>
        </w:rPr>
      </w:pPr>
    </w:p>
    <w:p w14:paraId="041012B6">
      <w:pPr>
        <w:tabs>
          <w:tab w:val="left" w:pos="2410"/>
        </w:tabs>
        <w:autoSpaceDE w:val="0"/>
        <w:autoSpaceDN w:val="0"/>
        <w:adjustRightInd w:val="0"/>
        <w:snapToGrid w:val="0"/>
        <w:spacing w:line="360" w:lineRule="auto"/>
        <w:ind w:firstLine="1928" w:firstLineChars="6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1C18B307">
      <w:pPr>
        <w:tabs>
          <w:tab w:val="left" w:pos="2410"/>
        </w:tabs>
        <w:autoSpaceDE w:val="0"/>
        <w:autoSpaceDN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09E5A00D">
      <w:pPr>
        <w:tabs>
          <w:tab w:val="left" w:pos="2410"/>
        </w:tabs>
        <w:autoSpaceDE w:val="0"/>
        <w:autoSpaceDN w:val="0"/>
        <w:adjustRightInd w:val="0"/>
        <w:snapToGrid w:val="0"/>
        <w:spacing w:line="360" w:lineRule="auto"/>
        <w:ind w:firstLine="1928" w:firstLineChars="6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lang w:val="en-US" w:eastAsia="zh-CN"/>
        </w:rPr>
        <w:t>供 应 商</w:t>
      </w:r>
      <w:r>
        <w:rPr>
          <w:rFonts w:hint="eastAsia" w:asciiTheme="minorEastAsia" w:hAnsiTheme="minorEastAsia" w:eastAsiaTheme="minorEastAsia"/>
          <w:b/>
          <w:color w:val="auto"/>
          <w:sz w:val="32"/>
          <w:highlight w:val="none"/>
        </w:rPr>
        <w:t>：</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E1C4B9E">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59" w:name="_Toc24911"/>
      <w:bookmarkStart w:id="60" w:name="_Toc19892"/>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59"/>
      <w:bookmarkEnd w:id="60"/>
    </w:p>
    <w:p w14:paraId="503EED05">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5EA754DB">
      <w:pPr>
        <w:spacing w:line="360" w:lineRule="auto"/>
        <w:jc w:val="center"/>
        <w:outlineLvl w:val="1"/>
        <w:rPr>
          <w:rFonts w:asciiTheme="minorEastAsia" w:hAnsiTheme="minorEastAsia" w:eastAsiaTheme="minorEastAsia"/>
          <w:b/>
          <w:color w:val="auto"/>
          <w:sz w:val="24"/>
          <w:highlight w:val="none"/>
        </w:rPr>
      </w:pPr>
      <w:bookmarkStart w:id="61" w:name="_Toc461056631"/>
      <w:bookmarkStart w:id="62" w:name="_Toc461053086"/>
      <w:bookmarkStart w:id="63" w:name="_Toc21496"/>
      <w:bookmarkStart w:id="64" w:name="_Toc520983587"/>
      <w:bookmarkStart w:id="65" w:name="_Toc28280"/>
      <w:r>
        <w:rPr>
          <w:rFonts w:hint="eastAsia" w:asciiTheme="minorEastAsia" w:hAnsiTheme="minorEastAsia" w:eastAsiaTheme="minorEastAsia"/>
          <w:b/>
          <w:color w:val="auto"/>
          <w:sz w:val="24"/>
          <w:highlight w:val="none"/>
        </w:rPr>
        <w:t>一</w:t>
      </w:r>
      <w:bookmarkEnd w:id="61"/>
      <w:bookmarkEnd w:id="62"/>
      <w:r>
        <w:rPr>
          <w:rFonts w:hint="eastAsia" w:asciiTheme="minorEastAsia" w:hAnsiTheme="minorEastAsia" w:eastAsiaTheme="minorEastAsia"/>
          <w:b/>
          <w:color w:val="auto"/>
          <w:sz w:val="24"/>
          <w:highlight w:val="none"/>
        </w:rPr>
        <w:t>、报价表格式</w:t>
      </w:r>
      <w:bookmarkEnd w:id="63"/>
      <w:bookmarkEnd w:id="64"/>
      <w:bookmarkEnd w:id="65"/>
    </w:p>
    <w:p w14:paraId="3FA56C97">
      <w:pPr>
        <w:spacing w:before="156" w:beforeLines="50" w:after="156" w:afterLines="50" w:line="360" w:lineRule="auto"/>
        <w:jc w:val="left"/>
        <w:outlineLvl w:val="2"/>
        <w:rPr>
          <w:rFonts w:cs="@仿宋_GB2312" w:asciiTheme="minorEastAsia" w:hAnsiTheme="minorEastAsia" w:eastAsiaTheme="minorEastAsia"/>
          <w:b/>
          <w:color w:val="auto"/>
          <w:kern w:val="2"/>
          <w:sz w:val="24"/>
          <w:szCs w:val="24"/>
          <w:highlight w:val="none"/>
        </w:rPr>
      </w:pPr>
      <w:r>
        <w:rPr>
          <w:rFonts w:hint="eastAsia" w:cs="@仿宋_GB2312" w:asciiTheme="minorEastAsia" w:hAnsiTheme="minorEastAsia" w:eastAsiaTheme="minorEastAsia"/>
          <w:b/>
          <w:color w:val="auto"/>
          <w:kern w:val="2"/>
          <w:sz w:val="24"/>
          <w:szCs w:val="24"/>
          <w:highlight w:val="none"/>
        </w:rPr>
        <w:t>1-1 报价表</w:t>
      </w:r>
    </w:p>
    <w:p w14:paraId="02A0E1D5">
      <w:pPr>
        <w:snapToGrid w:val="0"/>
        <w:spacing w:line="360" w:lineRule="auto"/>
        <w:jc w:val="left"/>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项目名称：</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r>
        <w:rPr>
          <w:rFonts w:hint="eastAsia" w:cs="宋体" w:asciiTheme="minorEastAsia" w:hAnsiTheme="minorEastAsia" w:eastAsiaTheme="minorEastAsia"/>
          <w:b/>
          <w:color w:val="auto"/>
          <w:kern w:val="2"/>
          <w:sz w:val="24"/>
          <w:szCs w:val="24"/>
          <w:highlight w:val="none"/>
          <w:u w:val="single"/>
        </w:rPr>
        <w:t xml:space="preserve">    </w:t>
      </w:r>
    </w:p>
    <w:p w14:paraId="688B5788">
      <w:pPr>
        <w:snapToGrid w:val="0"/>
        <w:spacing w:after="156" w:afterLines="50" w:line="360" w:lineRule="auto"/>
        <w:jc w:val="left"/>
        <w:rPr>
          <w:rFonts w:cs="宋体" w:asciiTheme="minorEastAsia" w:hAnsiTheme="minorEastAsia" w:eastAsiaTheme="minorEastAsia"/>
          <w:b/>
          <w:bCs/>
          <w:color w:val="auto"/>
          <w:kern w:val="2"/>
          <w:sz w:val="24"/>
          <w:szCs w:val="24"/>
          <w:highlight w:val="none"/>
          <w:u w:val="single"/>
        </w:rPr>
      </w:pPr>
      <w:r>
        <w:rPr>
          <w:rFonts w:hint="eastAsia" w:cs="宋体" w:asciiTheme="minorEastAsia" w:hAnsiTheme="minorEastAsia" w:eastAsiaTheme="minorEastAsia"/>
          <w:b/>
          <w:color w:val="auto"/>
          <w:kern w:val="2"/>
          <w:sz w:val="24"/>
          <w:szCs w:val="24"/>
          <w:highlight w:val="none"/>
        </w:rPr>
        <w:t>项目编号：</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r>
        <w:rPr>
          <w:rFonts w:hint="eastAsia" w:cs="宋体" w:asciiTheme="minorEastAsia" w:hAnsiTheme="minorEastAsia" w:eastAsiaTheme="minorEastAsia"/>
          <w:b/>
          <w:color w:val="auto"/>
          <w:kern w:val="2"/>
          <w:sz w:val="24"/>
          <w:szCs w:val="24"/>
          <w:highlight w:val="none"/>
          <w:u w:val="single"/>
        </w:rPr>
        <w:t xml:space="preserve">    </w:t>
      </w:r>
    </w:p>
    <w:tbl>
      <w:tblPr>
        <w:tblStyle w:val="5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6063"/>
      </w:tblGrid>
      <w:tr w14:paraId="4E26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2459" w:type="dxa"/>
            <w:tcBorders>
              <w:top w:val="single" w:color="auto" w:sz="4" w:space="0"/>
              <w:left w:val="single" w:color="auto" w:sz="4" w:space="0"/>
              <w:bottom w:val="single" w:color="auto" w:sz="4" w:space="0"/>
              <w:right w:val="single" w:color="auto" w:sz="4" w:space="0"/>
            </w:tcBorders>
            <w:vAlign w:val="center"/>
          </w:tcPr>
          <w:p w14:paraId="26735A7A">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供应商名称</w:t>
            </w:r>
          </w:p>
        </w:tc>
        <w:tc>
          <w:tcPr>
            <w:tcW w:w="6063" w:type="dxa"/>
            <w:tcBorders>
              <w:left w:val="single" w:color="auto" w:sz="4" w:space="0"/>
            </w:tcBorders>
          </w:tcPr>
          <w:p w14:paraId="2FD4C682">
            <w:pPr>
              <w:rPr>
                <w:rFonts w:cs="宋体" w:asciiTheme="minorEastAsia" w:hAnsiTheme="minorEastAsia" w:eastAsiaTheme="minorEastAsia"/>
                <w:b/>
                <w:color w:val="auto"/>
                <w:kern w:val="2"/>
                <w:sz w:val="24"/>
                <w:szCs w:val="24"/>
                <w:highlight w:val="none"/>
              </w:rPr>
            </w:pPr>
          </w:p>
        </w:tc>
      </w:tr>
      <w:tr w14:paraId="44FF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2459" w:type="dxa"/>
            <w:tcBorders>
              <w:top w:val="single" w:color="auto" w:sz="4" w:space="0"/>
              <w:left w:val="single" w:color="auto" w:sz="4" w:space="0"/>
              <w:bottom w:val="single" w:color="auto" w:sz="4" w:space="0"/>
              <w:right w:val="single" w:color="auto" w:sz="4" w:space="0"/>
            </w:tcBorders>
            <w:vAlign w:val="center"/>
          </w:tcPr>
          <w:p w14:paraId="57C1F172">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磋商</w:t>
            </w:r>
            <w:r>
              <w:rPr>
                <w:rFonts w:hint="eastAsia" w:cs="宋体" w:asciiTheme="minorEastAsia" w:hAnsiTheme="minorEastAsia" w:eastAsiaTheme="minorEastAsia"/>
                <w:b/>
                <w:color w:val="auto"/>
                <w:kern w:val="2"/>
                <w:sz w:val="24"/>
                <w:szCs w:val="24"/>
                <w:highlight w:val="none"/>
              </w:rPr>
              <w:t>范围</w:t>
            </w:r>
          </w:p>
        </w:tc>
        <w:tc>
          <w:tcPr>
            <w:tcW w:w="6063" w:type="dxa"/>
            <w:tcBorders>
              <w:left w:val="single" w:color="auto" w:sz="4" w:space="0"/>
            </w:tcBorders>
            <w:vAlign w:val="center"/>
          </w:tcPr>
          <w:p w14:paraId="61AAA349">
            <w:pPr>
              <w:widowControl/>
              <w:rPr>
                <w:rFonts w:cs="宋体" w:asciiTheme="minorEastAsia" w:hAnsiTheme="minorEastAsia" w:eastAsiaTheme="minorEastAsia"/>
                <w:b/>
                <w:color w:val="auto"/>
                <w:kern w:val="2"/>
                <w:sz w:val="24"/>
                <w:szCs w:val="24"/>
                <w:highlight w:val="none"/>
              </w:rPr>
            </w:pPr>
            <w:r>
              <w:rPr>
                <w:rFonts w:hint="eastAsia" w:cs="@仿宋_GB2312" w:asciiTheme="minorEastAsia" w:hAnsiTheme="minorEastAsia" w:eastAsiaTheme="minorEastAsia"/>
                <w:color w:val="auto"/>
                <w:kern w:val="2"/>
                <w:sz w:val="24"/>
                <w:szCs w:val="28"/>
                <w:highlight w:val="none"/>
              </w:rPr>
              <w:t xml:space="preserve">全部 </w:t>
            </w:r>
          </w:p>
        </w:tc>
      </w:tr>
      <w:tr w14:paraId="4BC15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2459" w:type="dxa"/>
            <w:tcBorders>
              <w:top w:val="single" w:color="auto" w:sz="4" w:space="0"/>
            </w:tcBorders>
            <w:vAlign w:val="center"/>
          </w:tcPr>
          <w:p w14:paraId="3FD93076">
            <w:pPr>
              <w:spacing w:line="360" w:lineRule="auto"/>
              <w:jc w:val="center"/>
              <w:rPr>
                <w:rFonts w:cs="@仿宋_GB2312"/>
                <w:b/>
                <w:color w:val="auto"/>
                <w:kern w:val="2"/>
                <w:sz w:val="24"/>
                <w:highlight w:val="none"/>
              </w:rPr>
            </w:pPr>
            <w:r>
              <w:rPr>
                <w:rFonts w:hint="eastAsia" w:cs="@仿宋_GB2312"/>
                <w:b/>
                <w:color w:val="auto"/>
                <w:kern w:val="2"/>
                <w:sz w:val="24"/>
                <w:highlight w:val="none"/>
              </w:rPr>
              <w:t>报价</w:t>
            </w:r>
          </w:p>
          <w:p w14:paraId="790F8DBA">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（详见备注说明）</w:t>
            </w:r>
          </w:p>
        </w:tc>
        <w:tc>
          <w:tcPr>
            <w:tcW w:w="6063" w:type="dxa"/>
            <w:vAlign w:val="center"/>
          </w:tcPr>
          <w:p w14:paraId="781AC097">
            <w:pPr>
              <w:snapToGrid w:val="0"/>
              <w:rPr>
                <w:rFonts w:cs="宋体" w:asciiTheme="minorEastAsia" w:hAnsiTheme="minorEastAsia" w:eastAsiaTheme="minorEastAsia"/>
                <w:color w:val="auto"/>
                <w:kern w:val="2"/>
                <w:sz w:val="24"/>
                <w:szCs w:val="24"/>
                <w:highlight w:val="none"/>
              </w:rPr>
            </w:pPr>
          </w:p>
          <w:p w14:paraId="25F98AE9">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1762E937">
            <w:pPr>
              <w:spacing w:line="360" w:lineRule="auto"/>
              <w:ind w:right="-670"/>
              <w:rPr>
                <w:rFonts w:hint="eastAsia"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p w14:paraId="68DA9310">
            <w:pPr>
              <w:snapToGrid w:val="0"/>
              <w:rPr>
                <w:rFonts w:cs="宋体" w:asciiTheme="minorEastAsia" w:hAnsiTheme="minorEastAsia" w:eastAsiaTheme="minorEastAsia"/>
                <w:b/>
                <w:color w:val="auto"/>
                <w:kern w:val="2"/>
                <w:sz w:val="24"/>
                <w:szCs w:val="24"/>
                <w:highlight w:val="none"/>
              </w:rPr>
            </w:pPr>
          </w:p>
        </w:tc>
      </w:tr>
      <w:tr w14:paraId="71004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459" w:type="dxa"/>
            <w:tcBorders>
              <w:top w:val="single" w:color="auto" w:sz="4" w:space="0"/>
            </w:tcBorders>
            <w:vAlign w:val="center"/>
          </w:tcPr>
          <w:p w14:paraId="001875D6">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质量标准</w:t>
            </w:r>
          </w:p>
        </w:tc>
        <w:tc>
          <w:tcPr>
            <w:tcW w:w="6063" w:type="dxa"/>
            <w:vAlign w:val="center"/>
          </w:tcPr>
          <w:p w14:paraId="728D1611">
            <w:pPr>
              <w:snapToGrid w:val="0"/>
              <w:rPr>
                <w:rFonts w:cs="宋体" w:asciiTheme="minorEastAsia" w:hAnsiTheme="minorEastAsia" w:eastAsiaTheme="minorEastAsia"/>
                <w:b/>
                <w:color w:val="auto"/>
                <w:kern w:val="2"/>
                <w:sz w:val="24"/>
                <w:szCs w:val="24"/>
                <w:highlight w:val="none"/>
              </w:rPr>
            </w:pPr>
          </w:p>
        </w:tc>
      </w:tr>
      <w:tr w14:paraId="54AA3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459" w:type="dxa"/>
            <w:tcBorders>
              <w:top w:val="single" w:color="auto" w:sz="4" w:space="0"/>
            </w:tcBorders>
            <w:vAlign w:val="center"/>
          </w:tcPr>
          <w:p w14:paraId="75C2872E">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工    期</w:t>
            </w:r>
          </w:p>
        </w:tc>
        <w:tc>
          <w:tcPr>
            <w:tcW w:w="6063" w:type="dxa"/>
            <w:vAlign w:val="center"/>
          </w:tcPr>
          <w:p w14:paraId="262CB83B">
            <w:pPr>
              <w:snapToGrid w:val="0"/>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Cs/>
                <w:color w:val="auto"/>
                <w:kern w:val="2"/>
                <w:sz w:val="24"/>
                <w:szCs w:val="24"/>
                <w:highlight w:val="none"/>
              </w:rPr>
              <w:t>合同签订后</w:t>
            </w:r>
            <w:r>
              <w:rPr>
                <w:rFonts w:hint="eastAsia" w:cs="宋体" w:asciiTheme="minorEastAsia" w:hAnsiTheme="minorEastAsia" w:eastAsiaTheme="minorEastAsia"/>
                <w:bCs/>
                <w:color w:val="auto"/>
                <w:kern w:val="2"/>
                <w:sz w:val="24"/>
                <w:szCs w:val="24"/>
                <w:highlight w:val="none"/>
                <w:u w:val="single"/>
              </w:rPr>
              <w:t xml:space="preserve">       </w:t>
            </w:r>
            <w:r>
              <w:rPr>
                <w:rFonts w:hint="eastAsia" w:cs="宋体" w:asciiTheme="minorEastAsia" w:hAnsiTheme="minorEastAsia" w:eastAsiaTheme="minorEastAsia"/>
                <w:bCs/>
                <w:color w:val="auto"/>
                <w:kern w:val="2"/>
                <w:sz w:val="24"/>
                <w:szCs w:val="24"/>
                <w:highlight w:val="none"/>
              </w:rPr>
              <w:t>个日历天内完成</w:t>
            </w:r>
          </w:p>
        </w:tc>
      </w:tr>
      <w:tr w14:paraId="401E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459" w:type="dxa"/>
            <w:tcBorders>
              <w:top w:val="single" w:color="auto" w:sz="4" w:space="0"/>
            </w:tcBorders>
            <w:vAlign w:val="center"/>
          </w:tcPr>
          <w:p w14:paraId="6A4C0E70">
            <w:pPr>
              <w:snapToGrid w:val="0"/>
              <w:jc w:val="center"/>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是否响应付款方式</w:t>
            </w:r>
          </w:p>
        </w:tc>
        <w:tc>
          <w:tcPr>
            <w:tcW w:w="6063" w:type="dxa"/>
            <w:vAlign w:val="center"/>
          </w:tcPr>
          <w:p w14:paraId="36CCEA86">
            <w:pPr>
              <w:snapToGrid w:val="0"/>
              <w:rPr>
                <w:rFonts w:cs="宋体" w:asciiTheme="minorEastAsia" w:hAnsiTheme="minorEastAsia" w:eastAsiaTheme="minorEastAsia"/>
                <w:bCs/>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是□    否□   （划√）</w:t>
            </w:r>
          </w:p>
        </w:tc>
      </w:tr>
      <w:tr w14:paraId="3EF7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2" w:hRule="atLeast"/>
          <w:jc w:val="center"/>
        </w:trPr>
        <w:tc>
          <w:tcPr>
            <w:tcW w:w="2459" w:type="dxa"/>
            <w:vAlign w:val="center"/>
          </w:tcPr>
          <w:p w14:paraId="2AD07A82">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备注说明</w:t>
            </w:r>
          </w:p>
        </w:tc>
        <w:tc>
          <w:tcPr>
            <w:tcW w:w="6063" w:type="dxa"/>
          </w:tcPr>
          <w:p w14:paraId="27B9CC12">
            <w:pPr>
              <w:rPr>
                <w:rFonts w:cs="宋体" w:asciiTheme="minorEastAsia" w:hAnsiTheme="minorEastAsia" w:eastAsiaTheme="minorEastAsia"/>
                <w:b/>
                <w:color w:val="auto"/>
                <w:kern w:val="2"/>
                <w:sz w:val="24"/>
                <w:szCs w:val="24"/>
                <w:highlight w:val="none"/>
              </w:rPr>
            </w:pPr>
          </w:p>
        </w:tc>
      </w:tr>
    </w:tbl>
    <w:p w14:paraId="4479EF18">
      <w:pPr>
        <w:spacing w:line="440" w:lineRule="exact"/>
        <w:ind w:firstLine="4800" w:firstLineChars="2000"/>
        <w:rPr>
          <w:rFonts w:cs="@仿宋_GB2312"/>
          <w:color w:val="auto"/>
          <w:kern w:val="2"/>
          <w:sz w:val="24"/>
          <w:szCs w:val="24"/>
          <w:highlight w:val="none"/>
          <w:u w:val="single"/>
        </w:rPr>
      </w:pPr>
      <w:r>
        <w:rPr>
          <w:rFonts w:hint="eastAsia" w:cs="@仿宋_GB2312"/>
          <w:color w:val="auto"/>
          <w:kern w:val="2"/>
          <w:sz w:val="24"/>
          <w:szCs w:val="24"/>
          <w:highlight w:val="none"/>
        </w:rPr>
        <w:t>供应商电子签章：</w:t>
      </w:r>
      <w:r>
        <w:rPr>
          <w:rFonts w:hint="eastAsia" w:cs="@仿宋_GB2312"/>
          <w:color w:val="auto"/>
          <w:kern w:val="2"/>
          <w:sz w:val="24"/>
          <w:szCs w:val="24"/>
          <w:highlight w:val="none"/>
          <w:u w:val="single"/>
        </w:rPr>
        <w:t xml:space="preserve">     </w:t>
      </w:r>
      <w:r>
        <w:rPr>
          <w:rFonts w:cs="@仿宋_GB2312"/>
          <w:color w:val="auto"/>
          <w:kern w:val="2"/>
          <w:sz w:val="24"/>
          <w:szCs w:val="24"/>
          <w:highlight w:val="none"/>
          <w:u w:val="single"/>
        </w:rPr>
        <w:t xml:space="preserve">    </w:t>
      </w:r>
      <w:r>
        <w:rPr>
          <w:rFonts w:hint="eastAsia" w:cs="@仿宋_GB2312"/>
          <w:color w:val="auto"/>
          <w:kern w:val="2"/>
          <w:sz w:val="24"/>
          <w:szCs w:val="24"/>
          <w:highlight w:val="none"/>
          <w:u w:val="single"/>
        </w:rPr>
        <w:t xml:space="preserve">    </w:t>
      </w:r>
    </w:p>
    <w:p w14:paraId="46194136">
      <w:pPr>
        <w:spacing w:line="440" w:lineRule="exact"/>
        <w:ind w:firstLine="4800" w:firstLineChars="2000"/>
        <w:rPr>
          <w:rFonts w:cs="@仿宋_GB2312"/>
          <w:color w:val="auto"/>
          <w:kern w:val="2"/>
          <w:sz w:val="24"/>
          <w:szCs w:val="24"/>
          <w:highlight w:val="none"/>
          <w:u w:val="single"/>
        </w:rPr>
      </w:pPr>
      <w:r>
        <w:rPr>
          <w:rFonts w:hint="eastAsia" w:cs="@仿宋_GB2312"/>
          <w:color w:val="auto"/>
          <w:kern w:val="2"/>
          <w:sz w:val="24"/>
          <w:szCs w:val="24"/>
          <w:highlight w:val="none"/>
        </w:rPr>
        <w:t xml:space="preserve">日     </w:t>
      </w:r>
      <w:r>
        <w:rPr>
          <w:rFonts w:cs="@仿宋_GB2312"/>
          <w:color w:val="auto"/>
          <w:kern w:val="2"/>
          <w:sz w:val="24"/>
          <w:szCs w:val="24"/>
          <w:highlight w:val="none"/>
        </w:rPr>
        <w:t xml:space="preserve">    </w:t>
      </w:r>
      <w:r>
        <w:rPr>
          <w:rFonts w:hint="eastAsia" w:cs="@仿宋_GB2312"/>
          <w:color w:val="auto"/>
          <w:kern w:val="2"/>
          <w:sz w:val="24"/>
          <w:szCs w:val="24"/>
          <w:highlight w:val="none"/>
        </w:rPr>
        <w:t xml:space="preserve"> 期：</w:t>
      </w:r>
      <w:r>
        <w:rPr>
          <w:rFonts w:hint="eastAsia" w:cs="@仿宋_GB2312"/>
          <w:color w:val="auto"/>
          <w:kern w:val="2"/>
          <w:sz w:val="24"/>
          <w:szCs w:val="24"/>
          <w:highlight w:val="none"/>
          <w:u w:val="single"/>
        </w:rPr>
        <w:t xml:space="preserve">             </w:t>
      </w:r>
    </w:p>
    <w:p w14:paraId="0B3BBFE6">
      <w:pPr>
        <w:adjustRightInd w:val="0"/>
        <w:snapToGrid w:val="0"/>
        <w:spacing w:line="360" w:lineRule="auto"/>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注：</w:t>
      </w:r>
    </w:p>
    <w:p w14:paraId="03ABE984">
      <w:pPr>
        <w:adjustRightInd w:val="0"/>
        <w:snapToGrid w:val="0"/>
        <w:spacing w:line="360" w:lineRule="auto"/>
        <w:ind w:firstLine="482" w:firstLineChars="200"/>
        <w:rPr>
          <w:rFonts w:cs="宋体" w:asciiTheme="minorEastAsia" w:hAnsiTheme="minorEastAsia" w:eastAsiaTheme="minorEastAsia"/>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1.本表内容根据磋商文件要求包括了磋商文件要求提供的全部内容的所有费用。</w:t>
      </w:r>
    </w:p>
    <w:p w14:paraId="434BB92A">
      <w:pPr>
        <w:adjustRightInd w:val="0"/>
        <w:snapToGrid w:val="0"/>
        <w:spacing w:line="360" w:lineRule="auto"/>
        <w:ind w:firstLine="482" w:firstLineChars="200"/>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2.特殊事项在备注中注明。</w:t>
      </w:r>
    </w:p>
    <w:p w14:paraId="2FBD9171">
      <w:pPr>
        <w:adjustRightInd w:val="0"/>
        <w:snapToGrid w:val="0"/>
        <w:spacing w:line="360" w:lineRule="auto"/>
        <w:ind w:firstLine="482" w:firstLineChars="200"/>
        <w:rPr>
          <w:rFonts w:hint="default" w:ascii="宋体" w:hAnsi="宋体" w:eastAsia="宋体"/>
          <w:b/>
          <w:bCs/>
          <w:color w:val="auto"/>
          <w:sz w:val="24"/>
          <w:szCs w:val="28"/>
          <w:highlight w:val="none"/>
          <w:lang w:val="en-US" w:eastAsia="zh-CN"/>
        </w:rPr>
      </w:pPr>
      <w:r>
        <w:rPr>
          <w:rFonts w:hint="eastAsia"/>
          <w:b/>
          <w:bCs/>
          <w:color w:val="auto"/>
          <w:sz w:val="24"/>
          <w:szCs w:val="28"/>
          <w:highlight w:val="none"/>
          <w:lang w:val="en-US" w:eastAsia="zh-CN"/>
        </w:rPr>
        <w:t>3</w:t>
      </w:r>
      <w:r>
        <w:rPr>
          <w:rFonts w:hint="eastAsia" w:ascii="宋体" w:hAnsi="宋体" w:eastAsia="宋体"/>
          <w:b/>
          <w:bCs/>
          <w:color w:val="auto"/>
          <w:sz w:val="24"/>
          <w:szCs w:val="28"/>
          <w:highlight w:val="none"/>
        </w:rPr>
        <w:t>.表中大写金额与小写金额不一致的，以大写金额为准。</w:t>
      </w:r>
    </w:p>
    <w:p w14:paraId="5607513C">
      <w:pPr>
        <w:adjustRightInd w:val="0"/>
        <w:snapToGrid w:val="0"/>
        <w:spacing w:line="360" w:lineRule="auto"/>
        <w:ind w:firstLine="482" w:firstLineChars="200"/>
        <w:rPr>
          <w:rFonts w:cs="宋体" w:asciiTheme="minorEastAsia" w:hAnsiTheme="minorEastAsia" w:eastAsiaTheme="minorEastAsia"/>
          <w:b/>
          <w:bCs/>
          <w:color w:val="auto"/>
          <w:kern w:val="2"/>
          <w:sz w:val="24"/>
          <w:szCs w:val="24"/>
          <w:highlight w:val="none"/>
        </w:rPr>
      </w:pPr>
      <w:r>
        <w:rPr>
          <w:rFonts w:cs="宋体" w:asciiTheme="minorEastAsia" w:hAnsiTheme="minorEastAsia" w:eastAsiaTheme="minorEastAsia"/>
          <w:b/>
          <w:bCs/>
          <w:color w:val="auto"/>
          <w:kern w:val="2"/>
          <w:sz w:val="24"/>
          <w:szCs w:val="24"/>
          <w:highlight w:val="none"/>
        </w:rPr>
        <w:br w:type="page"/>
      </w:r>
    </w:p>
    <w:p w14:paraId="4F9BAE5D">
      <w:pPr>
        <w:adjustRightInd w:val="0"/>
        <w:snapToGrid w:val="0"/>
        <w:spacing w:line="360" w:lineRule="auto"/>
        <w:outlineLvl w:val="2"/>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1-2 工程量清单报价书</w:t>
      </w:r>
    </w:p>
    <w:p w14:paraId="7299D712">
      <w:pPr>
        <w:autoSpaceDE w:val="0"/>
        <w:autoSpaceDN w:val="0"/>
        <w:adjustRightInd w:val="0"/>
        <w:spacing w:before="20" w:after="20" w:line="360" w:lineRule="auto"/>
        <w:jc w:val="center"/>
        <w:rPr>
          <w:rFonts w:cs="宋体" w:asciiTheme="minorEastAsia" w:hAnsiTheme="minorEastAsia" w:eastAsiaTheme="minorEastAsia"/>
          <w:b/>
          <w:color w:val="auto"/>
          <w:sz w:val="24"/>
          <w:szCs w:val="24"/>
          <w:highlight w:val="none"/>
        </w:rPr>
      </w:pPr>
    </w:p>
    <w:p w14:paraId="2E407196">
      <w:pPr>
        <w:autoSpaceDE w:val="0"/>
        <w:autoSpaceDN w:val="0"/>
        <w:adjustRightInd w:val="0"/>
        <w:spacing w:before="20" w:after="20" w:line="360" w:lineRule="auto"/>
        <w:jc w:val="center"/>
        <w:outlineLvl w:val="1"/>
        <w:rPr>
          <w:rFonts w:cs="宋体" w:asciiTheme="minorEastAsia" w:hAnsiTheme="minorEastAsia" w:eastAsiaTheme="minorEastAsia"/>
          <w:b/>
          <w:color w:val="auto"/>
          <w:sz w:val="24"/>
          <w:szCs w:val="24"/>
          <w:highlight w:val="none"/>
        </w:rPr>
      </w:pPr>
      <w:bookmarkStart w:id="66" w:name="_Toc1874"/>
      <w:bookmarkStart w:id="67" w:name="_Toc26702"/>
      <w:r>
        <w:rPr>
          <w:rFonts w:hint="eastAsia" w:cs="宋体" w:asciiTheme="minorEastAsia" w:hAnsiTheme="minorEastAsia" w:eastAsiaTheme="minorEastAsia"/>
          <w:b/>
          <w:color w:val="auto"/>
          <w:sz w:val="24"/>
          <w:szCs w:val="24"/>
          <w:highlight w:val="none"/>
        </w:rPr>
        <w:t>工程量清单报价书</w:t>
      </w:r>
      <w:bookmarkEnd w:id="66"/>
      <w:bookmarkEnd w:id="67"/>
    </w:p>
    <w:p w14:paraId="0948BAD2">
      <w:pPr>
        <w:widowControl/>
        <w:jc w:val="left"/>
        <w:rPr>
          <w:b/>
          <w:bCs/>
          <w:color w:val="auto"/>
          <w:sz w:val="24"/>
          <w:szCs w:val="28"/>
          <w:highlight w:val="none"/>
        </w:rPr>
      </w:pPr>
      <w:r>
        <w:rPr>
          <w:rFonts w:hint="eastAsia" w:cs="宋体" w:asciiTheme="minorEastAsia" w:hAnsiTheme="minorEastAsia" w:eastAsiaTheme="minorEastAsia"/>
          <w:b/>
          <w:color w:val="auto"/>
          <w:kern w:val="2"/>
          <w:sz w:val="21"/>
          <w:szCs w:val="24"/>
          <w:highlight w:val="none"/>
          <w:lang w:val="en-US" w:eastAsia="zh-CN"/>
        </w:rPr>
        <w:t>无须单独填报，本项目报价采用百分比报价，报价不得高于100%，否则按无效处理。</w:t>
      </w:r>
    </w:p>
    <w:p w14:paraId="33A6043C">
      <w:pPr>
        <w:spacing w:line="360" w:lineRule="auto"/>
        <w:jc w:val="center"/>
        <w:outlineLvl w:val="1"/>
        <w:rPr>
          <w:rFonts w:hint="eastAsia" w:asciiTheme="minorEastAsia" w:hAnsiTheme="minorEastAsia" w:eastAsiaTheme="minorEastAsia"/>
          <w:b/>
          <w:color w:val="auto"/>
          <w:sz w:val="24"/>
          <w:highlight w:val="none"/>
        </w:rPr>
      </w:pPr>
      <w:bookmarkStart w:id="68" w:name="_Toc461056632"/>
      <w:bookmarkStart w:id="69" w:name="_Toc461053087"/>
      <w:bookmarkStart w:id="70" w:name="_Toc22341"/>
      <w:bookmarkStart w:id="71" w:name="_Toc520983588"/>
      <w:bookmarkStart w:id="72" w:name="_Toc20879"/>
    </w:p>
    <w:p w14:paraId="6CF3F374">
      <w:pPr>
        <w:spacing w:line="360" w:lineRule="auto"/>
        <w:jc w:val="center"/>
        <w:outlineLvl w:val="1"/>
        <w:rPr>
          <w:rFonts w:hint="eastAsia" w:asciiTheme="minorEastAsia" w:hAnsiTheme="minorEastAsia" w:eastAsiaTheme="minorEastAsia"/>
          <w:b/>
          <w:color w:val="auto"/>
          <w:sz w:val="24"/>
          <w:highlight w:val="none"/>
        </w:rPr>
      </w:pPr>
    </w:p>
    <w:p w14:paraId="6C0BF3D1">
      <w:pPr>
        <w:spacing w:line="360" w:lineRule="auto"/>
        <w:jc w:val="center"/>
        <w:outlineLvl w:val="1"/>
        <w:rPr>
          <w:rFonts w:hint="eastAsia" w:asciiTheme="minorEastAsia" w:hAnsiTheme="minorEastAsia" w:eastAsiaTheme="minorEastAsia"/>
          <w:b/>
          <w:color w:val="auto"/>
          <w:sz w:val="24"/>
          <w:highlight w:val="none"/>
        </w:rPr>
      </w:pPr>
    </w:p>
    <w:p w14:paraId="3F24A626">
      <w:pPr>
        <w:spacing w:line="360" w:lineRule="auto"/>
        <w:jc w:val="center"/>
        <w:outlineLvl w:val="1"/>
        <w:rPr>
          <w:rFonts w:hint="eastAsia" w:asciiTheme="minorEastAsia" w:hAnsiTheme="minorEastAsia" w:eastAsiaTheme="minorEastAsia"/>
          <w:b/>
          <w:color w:val="auto"/>
          <w:sz w:val="24"/>
          <w:highlight w:val="none"/>
        </w:rPr>
      </w:pPr>
    </w:p>
    <w:p w14:paraId="7D12AFC3">
      <w:pPr>
        <w:spacing w:line="360" w:lineRule="auto"/>
        <w:jc w:val="center"/>
        <w:outlineLvl w:val="1"/>
        <w:rPr>
          <w:rFonts w:hint="eastAsia" w:asciiTheme="minorEastAsia" w:hAnsiTheme="minorEastAsia" w:eastAsiaTheme="minorEastAsia"/>
          <w:b/>
          <w:color w:val="auto"/>
          <w:sz w:val="24"/>
          <w:highlight w:val="none"/>
        </w:rPr>
      </w:pPr>
    </w:p>
    <w:p w14:paraId="7E690DAE">
      <w:pPr>
        <w:spacing w:line="360" w:lineRule="auto"/>
        <w:jc w:val="center"/>
        <w:outlineLvl w:val="1"/>
        <w:rPr>
          <w:rFonts w:hint="eastAsia" w:asciiTheme="minorEastAsia" w:hAnsiTheme="minorEastAsia" w:eastAsiaTheme="minorEastAsia"/>
          <w:b/>
          <w:color w:val="auto"/>
          <w:sz w:val="24"/>
          <w:highlight w:val="none"/>
        </w:rPr>
      </w:pPr>
    </w:p>
    <w:p w14:paraId="714EC703">
      <w:pPr>
        <w:spacing w:line="360" w:lineRule="auto"/>
        <w:jc w:val="center"/>
        <w:outlineLvl w:val="1"/>
        <w:rPr>
          <w:rFonts w:hint="eastAsia" w:asciiTheme="minorEastAsia" w:hAnsiTheme="minorEastAsia" w:eastAsiaTheme="minorEastAsia"/>
          <w:b/>
          <w:color w:val="auto"/>
          <w:sz w:val="24"/>
          <w:highlight w:val="none"/>
        </w:rPr>
      </w:pPr>
    </w:p>
    <w:p w14:paraId="59358548">
      <w:pPr>
        <w:spacing w:line="360" w:lineRule="auto"/>
        <w:jc w:val="center"/>
        <w:outlineLvl w:val="1"/>
        <w:rPr>
          <w:rFonts w:hint="eastAsia" w:asciiTheme="minorEastAsia" w:hAnsiTheme="minorEastAsia" w:eastAsiaTheme="minorEastAsia"/>
          <w:b/>
          <w:color w:val="auto"/>
          <w:sz w:val="24"/>
          <w:highlight w:val="none"/>
        </w:rPr>
      </w:pPr>
    </w:p>
    <w:p w14:paraId="5BA792CC">
      <w:pPr>
        <w:spacing w:line="360" w:lineRule="auto"/>
        <w:jc w:val="center"/>
        <w:outlineLvl w:val="1"/>
        <w:rPr>
          <w:rFonts w:hint="eastAsia" w:asciiTheme="minorEastAsia" w:hAnsiTheme="minorEastAsia" w:eastAsiaTheme="minorEastAsia"/>
          <w:b/>
          <w:color w:val="auto"/>
          <w:sz w:val="24"/>
          <w:highlight w:val="none"/>
        </w:rPr>
      </w:pPr>
    </w:p>
    <w:p w14:paraId="096379B1">
      <w:pPr>
        <w:spacing w:line="360" w:lineRule="auto"/>
        <w:jc w:val="center"/>
        <w:outlineLvl w:val="1"/>
        <w:rPr>
          <w:rFonts w:hint="eastAsia" w:asciiTheme="minorEastAsia" w:hAnsiTheme="minorEastAsia" w:eastAsiaTheme="minorEastAsia"/>
          <w:b/>
          <w:color w:val="auto"/>
          <w:sz w:val="24"/>
          <w:highlight w:val="none"/>
        </w:rPr>
      </w:pPr>
    </w:p>
    <w:p w14:paraId="1F9263A7">
      <w:pPr>
        <w:spacing w:line="360" w:lineRule="auto"/>
        <w:jc w:val="center"/>
        <w:outlineLvl w:val="1"/>
        <w:rPr>
          <w:rFonts w:hint="eastAsia" w:asciiTheme="minorEastAsia" w:hAnsiTheme="minorEastAsia" w:eastAsiaTheme="minorEastAsia"/>
          <w:b/>
          <w:color w:val="auto"/>
          <w:sz w:val="24"/>
          <w:highlight w:val="none"/>
        </w:rPr>
      </w:pPr>
    </w:p>
    <w:p w14:paraId="2136FE5D">
      <w:pPr>
        <w:spacing w:line="360" w:lineRule="auto"/>
        <w:jc w:val="center"/>
        <w:outlineLvl w:val="1"/>
        <w:rPr>
          <w:rFonts w:hint="eastAsia" w:asciiTheme="minorEastAsia" w:hAnsiTheme="minorEastAsia" w:eastAsiaTheme="minorEastAsia"/>
          <w:b/>
          <w:color w:val="auto"/>
          <w:sz w:val="24"/>
          <w:highlight w:val="none"/>
        </w:rPr>
      </w:pPr>
    </w:p>
    <w:p w14:paraId="494BFD47">
      <w:pPr>
        <w:spacing w:line="360" w:lineRule="auto"/>
        <w:jc w:val="center"/>
        <w:outlineLvl w:val="1"/>
        <w:rPr>
          <w:rFonts w:hint="eastAsia" w:asciiTheme="minorEastAsia" w:hAnsiTheme="minorEastAsia" w:eastAsiaTheme="minorEastAsia"/>
          <w:b/>
          <w:color w:val="auto"/>
          <w:sz w:val="24"/>
          <w:highlight w:val="none"/>
        </w:rPr>
      </w:pPr>
    </w:p>
    <w:p w14:paraId="5468F142">
      <w:pPr>
        <w:spacing w:line="360" w:lineRule="auto"/>
        <w:jc w:val="center"/>
        <w:outlineLvl w:val="1"/>
        <w:rPr>
          <w:rFonts w:hint="eastAsia" w:asciiTheme="minorEastAsia" w:hAnsiTheme="minorEastAsia" w:eastAsiaTheme="minorEastAsia"/>
          <w:b/>
          <w:color w:val="auto"/>
          <w:sz w:val="24"/>
          <w:highlight w:val="none"/>
        </w:rPr>
      </w:pPr>
    </w:p>
    <w:p w14:paraId="78A1C446">
      <w:pPr>
        <w:spacing w:line="360" w:lineRule="auto"/>
        <w:jc w:val="center"/>
        <w:outlineLvl w:val="1"/>
        <w:rPr>
          <w:rFonts w:hint="eastAsia" w:asciiTheme="minorEastAsia" w:hAnsiTheme="minorEastAsia" w:eastAsiaTheme="minorEastAsia"/>
          <w:b/>
          <w:color w:val="auto"/>
          <w:sz w:val="24"/>
          <w:highlight w:val="none"/>
        </w:rPr>
      </w:pPr>
    </w:p>
    <w:p w14:paraId="24F6EE6A">
      <w:pPr>
        <w:spacing w:line="360" w:lineRule="auto"/>
        <w:jc w:val="center"/>
        <w:outlineLvl w:val="1"/>
        <w:rPr>
          <w:rFonts w:hint="eastAsia" w:asciiTheme="minorEastAsia" w:hAnsiTheme="minorEastAsia" w:eastAsiaTheme="minorEastAsia"/>
          <w:b/>
          <w:color w:val="auto"/>
          <w:sz w:val="24"/>
          <w:highlight w:val="none"/>
        </w:rPr>
      </w:pPr>
    </w:p>
    <w:p w14:paraId="4547A1D6">
      <w:pPr>
        <w:spacing w:line="360" w:lineRule="auto"/>
        <w:jc w:val="center"/>
        <w:outlineLvl w:val="1"/>
        <w:rPr>
          <w:rFonts w:hint="eastAsia" w:asciiTheme="minorEastAsia" w:hAnsiTheme="minorEastAsia" w:eastAsiaTheme="minorEastAsia"/>
          <w:b/>
          <w:color w:val="auto"/>
          <w:sz w:val="24"/>
          <w:highlight w:val="none"/>
        </w:rPr>
      </w:pPr>
    </w:p>
    <w:p w14:paraId="3C9B87AA">
      <w:pPr>
        <w:spacing w:line="360" w:lineRule="auto"/>
        <w:jc w:val="center"/>
        <w:outlineLvl w:val="1"/>
        <w:rPr>
          <w:rFonts w:hint="eastAsia" w:asciiTheme="minorEastAsia" w:hAnsiTheme="minorEastAsia" w:eastAsiaTheme="minorEastAsia"/>
          <w:b/>
          <w:color w:val="auto"/>
          <w:sz w:val="24"/>
          <w:highlight w:val="none"/>
        </w:rPr>
      </w:pPr>
    </w:p>
    <w:p w14:paraId="6D27DA4D">
      <w:pPr>
        <w:spacing w:line="360" w:lineRule="auto"/>
        <w:jc w:val="center"/>
        <w:outlineLvl w:val="1"/>
        <w:rPr>
          <w:rFonts w:hint="eastAsia" w:asciiTheme="minorEastAsia" w:hAnsiTheme="minorEastAsia" w:eastAsiaTheme="minorEastAsia"/>
          <w:b/>
          <w:color w:val="auto"/>
          <w:sz w:val="24"/>
          <w:highlight w:val="none"/>
        </w:rPr>
      </w:pPr>
    </w:p>
    <w:p w14:paraId="4F958762">
      <w:pPr>
        <w:spacing w:line="360" w:lineRule="auto"/>
        <w:jc w:val="center"/>
        <w:outlineLvl w:val="1"/>
        <w:rPr>
          <w:rFonts w:hint="eastAsia" w:asciiTheme="minorEastAsia" w:hAnsiTheme="minorEastAsia" w:eastAsiaTheme="minorEastAsia"/>
          <w:b/>
          <w:color w:val="auto"/>
          <w:sz w:val="24"/>
          <w:highlight w:val="none"/>
        </w:rPr>
      </w:pPr>
    </w:p>
    <w:p w14:paraId="2DF8FFDF">
      <w:pPr>
        <w:spacing w:line="360" w:lineRule="auto"/>
        <w:jc w:val="center"/>
        <w:outlineLvl w:val="1"/>
        <w:rPr>
          <w:rFonts w:hint="eastAsia" w:asciiTheme="minorEastAsia" w:hAnsiTheme="minorEastAsia" w:eastAsiaTheme="minorEastAsia"/>
          <w:b/>
          <w:color w:val="auto"/>
          <w:sz w:val="24"/>
          <w:highlight w:val="none"/>
        </w:rPr>
      </w:pPr>
    </w:p>
    <w:p w14:paraId="1BA52A3E">
      <w:pPr>
        <w:spacing w:line="360" w:lineRule="auto"/>
        <w:jc w:val="center"/>
        <w:outlineLvl w:val="1"/>
        <w:rPr>
          <w:rFonts w:hint="eastAsia" w:asciiTheme="minorEastAsia" w:hAnsiTheme="minorEastAsia" w:eastAsiaTheme="minorEastAsia"/>
          <w:b/>
          <w:color w:val="auto"/>
          <w:sz w:val="24"/>
          <w:highlight w:val="none"/>
        </w:rPr>
      </w:pPr>
    </w:p>
    <w:p w14:paraId="775DCEC1">
      <w:pPr>
        <w:spacing w:line="360" w:lineRule="auto"/>
        <w:jc w:val="center"/>
        <w:outlineLvl w:val="1"/>
        <w:rPr>
          <w:rFonts w:hint="eastAsia" w:asciiTheme="minorEastAsia" w:hAnsiTheme="minorEastAsia" w:eastAsiaTheme="minorEastAsia"/>
          <w:b/>
          <w:color w:val="auto"/>
          <w:sz w:val="24"/>
          <w:highlight w:val="none"/>
        </w:rPr>
      </w:pPr>
    </w:p>
    <w:p w14:paraId="2C72A497">
      <w:pPr>
        <w:spacing w:line="360" w:lineRule="auto"/>
        <w:jc w:val="center"/>
        <w:outlineLvl w:val="1"/>
        <w:rPr>
          <w:rFonts w:hint="eastAsia" w:asciiTheme="minorEastAsia" w:hAnsiTheme="minorEastAsia" w:eastAsiaTheme="minorEastAsia"/>
          <w:b/>
          <w:color w:val="auto"/>
          <w:sz w:val="24"/>
          <w:highlight w:val="none"/>
        </w:rPr>
      </w:pPr>
    </w:p>
    <w:p w14:paraId="0EE0DDE5">
      <w:pPr>
        <w:spacing w:line="360" w:lineRule="auto"/>
        <w:jc w:val="center"/>
        <w:outlineLvl w:val="1"/>
        <w:rPr>
          <w:rFonts w:hint="eastAsia" w:asciiTheme="minorEastAsia" w:hAnsiTheme="minorEastAsia" w:eastAsiaTheme="minorEastAsia"/>
          <w:b/>
          <w:color w:val="auto"/>
          <w:sz w:val="24"/>
          <w:highlight w:val="none"/>
        </w:rPr>
      </w:pPr>
    </w:p>
    <w:p w14:paraId="3FE8FD82">
      <w:pPr>
        <w:spacing w:line="360" w:lineRule="auto"/>
        <w:jc w:val="center"/>
        <w:outlineLvl w:val="1"/>
        <w:rPr>
          <w:rFonts w:hint="eastAsia" w:asciiTheme="minorEastAsia" w:hAnsiTheme="minorEastAsia" w:eastAsiaTheme="minorEastAsia"/>
          <w:b/>
          <w:color w:val="auto"/>
          <w:sz w:val="24"/>
          <w:highlight w:val="none"/>
        </w:rPr>
      </w:pPr>
    </w:p>
    <w:p w14:paraId="04C09B46">
      <w:pPr>
        <w:spacing w:line="360" w:lineRule="auto"/>
        <w:jc w:val="center"/>
        <w:outlineLvl w:val="1"/>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rPr>
        <w:t>二</w:t>
      </w:r>
      <w:bookmarkEnd w:id="68"/>
      <w:bookmarkEnd w:id="69"/>
      <w:r>
        <w:rPr>
          <w:rFonts w:hint="eastAsia" w:asciiTheme="minorEastAsia" w:hAnsiTheme="minorEastAsia" w:eastAsiaTheme="minorEastAsia"/>
          <w:b/>
          <w:color w:val="auto"/>
          <w:sz w:val="24"/>
          <w:highlight w:val="none"/>
        </w:rPr>
        <w:t>、最后承诺报价表</w:t>
      </w:r>
      <w:bookmarkEnd w:id="70"/>
      <w:bookmarkEnd w:id="71"/>
      <w:bookmarkEnd w:id="72"/>
      <w:r>
        <w:rPr>
          <w:rFonts w:hint="eastAsia" w:asciiTheme="minorEastAsia" w:hAnsiTheme="minorEastAsia" w:eastAsiaTheme="minorEastAsia"/>
          <w:b/>
          <w:color w:val="auto"/>
          <w:sz w:val="24"/>
          <w:highlight w:val="none"/>
          <w:lang w:eastAsia="zh-CN"/>
        </w:rPr>
        <w:t>（</w:t>
      </w:r>
      <w:r>
        <w:rPr>
          <w:rFonts w:hint="eastAsia" w:asciiTheme="minorEastAsia" w:hAnsiTheme="minorEastAsia" w:eastAsiaTheme="minorEastAsia"/>
          <w:b/>
          <w:color w:val="auto"/>
          <w:sz w:val="24"/>
          <w:highlight w:val="none"/>
          <w:lang w:val="en-US" w:eastAsia="zh-CN"/>
        </w:rPr>
        <w:t>参考格式</w:t>
      </w:r>
      <w:r>
        <w:rPr>
          <w:rFonts w:hint="eastAsia" w:asciiTheme="minorEastAsia" w:hAnsiTheme="minorEastAsia" w:eastAsiaTheme="minorEastAsia"/>
          <w:b/>
          <w:color w:val="auto"/>
          <w:sz w:val="24"/>
          <w:highlight w:val="none"/>
          <w:lang w:eastAsia="zh-CN"/>
        </w:rPr>
        <w:t>）</w:t>
      </w:r>
    </w:p>
    <w:p w14:paraId="1E43ED33">
      <w:pPr>
        <w:spacing w:before="156" w:beforeLines="50" w:after="156" w:afterLines="50" w:line="360" w:lineRule="auto"/>
        <w:ind w:firstLine="236" w:firstLineChars="98"/>
        <w:jc w:val="center"/>
        <w:outlineLvl w:val="1"/>
        <w:rPr>
          <w:b/>
          <w:color w:val="auto"/>
          <w:sz w:val="24"/>
          <w:szCs w:val="28"/>
          <w:highlight w:val="none"/>
        </w:rPr>
      </w:pPr>
      <w:bookmarkStart w:id="73" w:name="_Toc13333"/>
      <w:bookmarkStart w:id="74" w:name="_Toc8562"/>
      <w:r>
        <w:rPr>
          <w:rFonts w:hint="eastAsia"/>
          <w:b/>
          <w:color w:val="auto"/>
          <w:sz w:val="24"/>
          <w:szCs w:val="28"/>
          <w:highlight w:val="none"/>
        </w:rPr>
        <w:t>（第</w:t>
      </w:r>
      <w:r>
        <w:rPr>
          <w:rFonts w:hint="eastAsia"/>
          <w:b/>
          <w:color w:val="auto"/>
          <w:sz w:val="24"/>
          <w:szCs w:val="28"/>
          <w:highlight w:val="none"/>
          <w:u w:val="single"/>
        </w:rPr>
        <w:t xml:space="preserve">   </w:t>
      </w:r>
      <w:r>
        <w:rPr>
          <w:rFonts w:hint="eastAsia"/>
          <w:b/>
          <w:color w:val="auto"/>
          <w:sz w:val="24"/>
          <w:szCs w:val="28"/>
          <w:highlight w:val="none"/>
        </w:rPr>
        <w:t>次报价书）</w:t>
      </w:r>
      <w:bookmarkEnd w:id="73"/>
      <w:bookmarkEnd w:id="74"/>
    </w:p>
    <w:p w14:paraId="030C041C">
      <w:pPr>
        <w:snapToGrid w:val="0"/>
        <w:spacing w:line="360" w:lineRule="auto"/>
        <w:jc w:val="left"/>
        <w:rPr>
          <w:rFonts w:hint="default" w:cs="宋体" w:asciiTheme="minorEastAsia" w:hAnsiTheme="minorEastAsia" w:eastAsiaTheme="minorEastAsia"/>
          <w:b/>
          <w:color w:val="auto"/>
          <w:kern w:val="2"/>
          <w:sz w:val="24"/>
          <w:szCs w:val="24"/>
          <w:highlight w:val="none"/>
          <w:lang w:val="en-US" w:eastAsia="zh-CN"/>
        </w:rPr>
      </w:pPr>
      <w:r>
        <w:rPr>
          <w:rFonts w:hint="eastAsia" w:cs="宋体" w:asciiTheme="minorEastAsia" w:hAnsiTheme="minorEastAsia" w:eastAsiaTheme="minorEastAsia"/>
          <w:b/>
          <w:color w:val="auto"/>
          <w:kern w:val="2"/>
          <w:sz w:val="24"/>
          <w:szCs w:val="24"/>
          <w:highlight w:val="none"/>
        </w:rPr>
        <w:t>项目名称：</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p>
    <w:p w14:paraId="3E15A1DD">
      <w:pPr>
        <w:snapToGrid w:val="0"/>
        <w:spacing w:after="156" w:afterLines="50" w:line="360" w:lineRule="auto"/>
        <w:jc w:val="left"/>
        <w:rPr>
          <w:rFonts w:hint="default" w:cs="宋体" w:asciiTheme="minorEastAsia" w:hAnsiTheme="minorEastAsia" w:eastAsiaTheme="minorEastAsia"/>
          <w:b/>
          <w:bCs/>
          <w:color w:val="auto"/>
          <w:kern w:val="2"/>
          <w:sz w:val="24"/>
          <w:szCs w:val="24"/>
          <w:highlight w:val="none"/>
          <w:u w:val="single"/>
          <w:lang w:val="en-US" w:eastAsia="zh-CN"/>
        </w:rPr>
      </w:pPr>
      <w:r>
        <w:rPr>
          <w:rFonts w:hint="eastAsia" w:cs="宋体" w:asciiTheme="minorEastAsia" w:hAnsiTheme="minorEastAsia" w:eastAsiaTheme="minorEastAsia"/>
          <w:b/>
          <w:color w:val="auto"/>
          <w:kern w:val="2"/>
          <w:sz w:val="24"/>
          <w:szCs w:val="24"/>
          <w:highlight w:val="none"/>
        </w:rPr>
        <w:t>项目编号：</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p>
    <w:tbl>
      <w:tblPr>
        <w:tblStyle w:val="5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2"/>
        <w:gridCol w:w="5950"/>
      </w:tblGrid>
      <w:tr w14:paraId="54CE2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2572" w:type="dxa"/>
            <w:tcBorders>
              <w:top w:val="single" w:color="auto" w:sz="4" w:space="0"/>
              <w:left w:val="single" w:color="auto" w:sz="4" w:space="0"/>
              <w:bottom w:val="single" w:color="auto" w:sz="4" w:space="0"/>
              <w:right w:val="single" w:color="auto" w:sz="4" w:space="0"/>
            </w:tcBorders>
            <w:vAlign w:val="center"/>
          </w:tcPr>
          <w:p w14:paraId="210ED519">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供应商名称</w:t>
            </w:r>
          </w:p>
        </w:tc>
        <w:tc>
          <w:tcPr>
            <w:tcW w:w="5950" w:type="dxa"/>
            <w:tcBorders>
              <w:left w:val="single" w:color="auto" w:sz="4" w:space="0"/>
            </w:tcBorders>
          </w:tcPr>
          <w:p w14:paraId="3F252E30">
            <w:pPr>
              <w:rPr>
                <w:rFonts w:cs="宋体" w:asciiTheme="minorEastAsia" w:hAnsiTheme="minorEastAsia" w:eastAsiaTheme="minorEastAsia"/>
                <w:b/>
                <w:color w:val="auto"/>
                <w:kern w:val="2"/>
                <w:sz w:val="24"/>
                <w:szCs w:val="24"/>
                <w:highlight w:val="none"/>
              </w:rPr>
            </w:pPr>
          </w:p>
        </w:tc>
      </w:tr>
      <w:tr w14:paraId="01CF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572" w:type="dxa"/>
            <w:tcBorders>
              <w:top w:val="single" w:color="auto" w:sz="4" w:space="0"/>
              <w:left w:val="single" w:color="auto" w:sz="4" w:space="0"/>
              <w:bottom w:val="single" w:color="auto" w:sz="4" w:space="0"/>
              <w:right w:val="single" w:color="auto" w:sz="4" w:space="0"/>
            </w:tcBorders>
            <w:vAlign w:val="center"/>
          </w:tcPr>
          <w:p w14:paraId="71E4E4B7">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磋商</w:t>
            </w:r>
            <w:r>
              <w:rPr>
                <w:rFonts w:hint="eastAsia" w:cs="宋体" w:asciiTheme="minorEastAsia" w:hAnsiTheme="minorEastAsia" w:eastAsiaTheme="minorEastAsia"/>
                <w:b/>
                <w:color w:val="auto"/>
                <w:kern w:val="2"/>
                <w:sz w:val="24"/>
                <w:szCs w:val="24"/>
                <w:highlight w:val="none"/>
              </w:rPr>
              <w:t>范围</w:t>
            </w:r>
          </w:p>
        </w:tc>
        <w:tc>
          <w:tcPr>
            <w:tcW w:w="5950" w:type="dxa"/>
            <w:tcBorders>
              <w:left w:val="single" w:color="auto" w:sz="4" w:space="0"/>
            </w:tcBorders>
            <w:vAlign w:val="center"/>
          </w:tcPr>
          <w:p w14:paraId="76908793">
            <w:pPr>
              <w:widowControl/>
              <w:rPr>
                <w:rFonts w:cs="宋体" w:asciiTheme="minorEastAsia" w:hAnsiTheme="minorEastAsia" w:eastAsiaTheme="minorEastAsia"/>
                <w:b/>
                <w:color w:val="auto"/>
                <w:kern w:val="2"/>
                <w:sz w:val="24"/>
                <w:szCs w:val="24"/>
                <w:highlight w:val="none"/>
              </w:rPr>
            </w:pPr>
            <w:r>
              <w:rPr>
                <w:rFonts w:hint="eastAsia" w:cs="@仿宋_GB2312" w:asciiTheme="minorEastAsia" w:hAnsiTheme="minorEastAsia" w:eastAsiaTheme="minorEastAsia"/>
                <w:color w:val="auto"/>
                <w:kern w:val="2"/>
                <w:sz w:val="24"/>
                <w:szCs w:val="28"/>
                <w:highlight w:val="none"/>
              </w:rPr>
              <w:t>全部</w:t>
            </w:r>
          </w:p>
        </w:tc>
      </w:tr>
      <w:tr w14:paraId="2916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2572" w:type="dxa"/>
            <w:tcBorders>
              <w:top w:val="single" w:color="auto" w:sz="4" w:space="0"/>
            </w:tcBorders>
            <w:vAlign w:val="center"/>
          </w:tcPr>
          <w:p w14:paraId="76B84CBC">
            <w:pPr>
              <w:spacing w:line="360" w:lineRule="auto"/>
              <w:jc w:val="center"/>
              <w:rPr>
                <w:rFonts w:cs="@仿宋_GB2312"/>
                <w:b/>
                <w:color w:val="auto"/>
                <w:kern w:val="2"/>
                <w:sz w:val="24"/>
                <w:highlight w:val="none"/>
              </w:rPr>
            </w:pPr>
            <w:r>
              <w:rPr>
                <w:rFonts w:hint="eastAsia" w:cs="@仿宋_GB2312"/>
                <w:b/>
                <w:bCs/>
                <w:color w:val="auto"/>
                <w:kern w:val="2"/>
                <w:sz w:val="24"/>
                <w:szCs w:val="28"/>
                <w:highlight w:val="none"/>
              </w:rPr>
              <w:t>最后报价</w:t>
            </w:r>
          </w:p>
          <w:p w14:paraId="3F13CDED">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（详见备注说明）</w:t>
            </w:r>
          </w:p>
        </w:tc>
        <w:tc>
          <w:tcPr>
            <w:tcW w:w="5950" w:type="dxa"/>
            <w:vAlign w:val="center"/>
          </w:tcPr>
          <w:p w14:paraId="0B36CD38">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79AE8286">
            <w:pPr>
              <w:spacing w:line="360" w:lineRule="auto"/>
              <w:ind w:right="-670"/>
              <w:rPr>
                <w:rFonts w:cs="宋体" w:asciiTheme="minorEastAsia" w:hAnsiTheme="minorEastAsia" w:eastAsiaTheme="minorEastAsia"/>
                <w:b/>
                <w:color w:val="auto"/>
                <w:kern w:val="2"/>
                <w:sz w:val="24"/>
                <w:szCs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0D7EC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572" w:type="dxa"/>
            <w:tcBorders>
              <w:top w:val="single" w:color="auto" w:sz="4" w:space="0"/>
            </w:tcBorders>
            <w:vAlign w:val="center"/>
          </w:tcPr>
          <w:p w14:paraId="2E072EF8">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质量标准</w:t>
            </w:r>
          </w:p>
        </w:tc>
        <w:tc>
          <w:tcPr>
            <w:tcW w:w="5950" w:type="dxa"/>
            <w:vAlign w:val="center"/>
          </w:tcPr>
          <w:p w14:paraId="04E78A26">
            <w:pPr>
              <w:snapToGrid w:val="0"/>
              <w:rPr>
                <w:rFonts w:cs="宋体" w:asciiTheme="minorEastAsia" w:hAnsiTheme="minorEastAsia" w:eastAsiaTheme="minorEastAsia"/>
                <w:b/>
                <w:color w:val="auto"/>
                <w:kern w:val="2"/>
                <w:sz w:val="24"/>
                <w:szCs w:val="24"/>
                <w:highlight w:val="none"/>
              </w:rPr>
            </w:pPr>
          </w:p>
        </w:tc>
      </w:tr>
      <w:tr w14:paraId="0C55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572" w:type="dxa"/>
            <w:tcBorders>
              <w:top w:val="single" w:color="auto" w:sz="4" w:space="0"/>
            </w:tcBorders>
            <w:vAlign w:val="center"/>
          </w:tcPr>
          <w:p w14:paraId="55A264D9">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工    期</w:t>
            </w:r>
          </w:p>
        </w:tc>
        <w:tc>
          <w:tcPr>
            <w:tcW w:w="5950" w:type="dxa"/>
            <w:vAlign w:val="center"/>
          </w:tcPr>
          <w:p w14:paraId="06BE2AA9">
            <w:pPr>
              <w:snapToGrid w:val="0"/>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Cs/>
                <w:color w:val="auto"/>
                <w:kern w:val="2"/>
                <w:sz w:val="24"/>
                <w:szCs w:val="24"/>
                <w:highlight w:val="none"/>
              </w:rPr>
              <w:t>合同签订后</w:t>
            </w:r>
            <w:r>
              <w:rPr>
                <w:rFonts w:hint="eastAsia" w:cs="宋体" w:asciiTheme="minorEastAsia" w:hAnsiTheme="minorEastAsia" w:eastAsiaTheme="minorEastAsia"/>
                <w:bCs/>
                <w:color w:val="auto"/>
                <w:kern w:val="2"/>
                <w:sz w:val="24"/>
                <w:szCs w:val="24"/>
                <w:highlight w:val="none"/>
                <w:u w:val="single"/>
              </w:rPr>
              <w:t xml:space="preserve">      </w:t>
            </w:r>
            <w:r>
              <w:rPr>
                <w:rFonts w:hint="eastAsia" w:cs="宋体" w:asciiTheme="minorEastAsia" w:hAnsiTheme="minorEastAsia" w:eastAsiaTheme="minorEastAsia"/>
                <w:bCs/>
                <w:color w:val="auto"/>
                <w:kern w:val="2"/>
                <w:sz w:val="24"/>
                <w:szCs w:val="24"/>
                <w:highlight w:val="none"/>
              </w:rPr>
              <w:t>个日历天内完成</w:t>
            </w:r>
          </w:p>
        </w:tc>
      </w:tr>
      <w:tr w14:paraId="3AB63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572" w:type="dxa"/>
            <w:tcBorders>
              <w:top w:val="single" w:color="auto" w:sz="4" w:space="0"/>
            </w:tcBorders>
            <w:vAlign w:val="center"/>
          </w:tcPr>
          <w:p w14:paraId="64912189">
            <w:pPr>
              <w:snapToGrid w:val="0"/>
              <w:jc w:val="center"/>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是否响应付款方式</w:t>
            </w:r>
          </w:p>
        </w:tc>
        <w:tc>
          <w:tcPr>
            <w:tcW w:w="5950" w:type="dxa"/>
            <w:vAlign w:val="center"/>
          </w:tcPr>
          <w:p w14:paraId="160E94B3">
            <w:pPr>
              <w:snapToGrid w:val="0"/>
              <w:rPr>
                <w:rFonts w:cs="宋体" w:asciiTheme="minorEastAsia" w:hAnsiTheme="minorEastAsia" w:eastAsiaTheme="minorEastAsia"/>
                <w:bCs/>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是□    否□   （划√）</w:t>
            </w:r>
          </w:p>
        </w:tc>
      </w:tr>
      <w:tr w14:paraId="36E2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2572" w:type="dxa"/>
            <w:vAlign w:val="center"/>
          </w:tcPr>
          <w:p w14:paraId="20ADC076">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备注说明</w:t>
            </w:r>
          </w:p>
        </w:tc>
        <w:tc>
          <w:tcPr>
            <w:tcW w:w="5950" w:type="dxa"/>
          </w:tcPr>
          <w:p w14:paraId="08EE2CB6">
            <w:pP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i/>
                <w:color w:val="auto"/>
                <w:kern w:val="2"/>
                <w:sz w:val="24"/>
                <w:szCs w:val="24"/>
                <w:highlight w:val="none"/>
              </w:rPr>
              <w:t>（此处可补充磋商小组根据与供应商磋商情况变动的磋商文件的内容，包括采购需求中的技术、服务要求以及合同草案条款。）</w:t>
            </w:r>
          </w:p>
        </w:tc>
      </w:tr>
      <w:tr w14:paraId="0A94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2572" w:type="dxa"/>
            <w:vAlign w:val="center"/>
          </w:tcPr>
          <w:p w14:paraId="30926D4D">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磋商小组签字</w:t>
            </w:r>
          </w:p>
        </w:tc>
        <w:tc>
          <w:tcPr>
            <w:tcW w:w="5950" w:type="dxa"/>
          </w:tcPr>
          <w:p w14:paraId="0BBA7E03">
            <w:pPr>
              <w:rPr>
                <w:rFonts w:cs="宋体" w:asciiTheme="minorEastAsia" w:hAnsiTheme="minorEastAsia" w:eastAsiaTheme="minorEastAsia"/>
                <w:b/>
                <w:color w:val="auto"/>
                <w:kern w:val="2"/>
                <w:sz w:val="24"/>
                <w:szCs w:val="24"/>
                <w:highlight w:val="none"/>
              </w:rPr>
            </w:pPr>
          </w:p>
        </w:tc>
      </w:tr>
    </w:tbl>
    <w:p w14:paraId="351765E2">
      <w:pPr>
        <w:spacing w:line="440" w:lineRule="exact"/>
        <w:ind w:firstLine="3600" w:firstLineChars="1500"/>
        <w:rPr>
          <w:rFonts w:cs="@仿宋_GB2312"/>
          <w:color w:val="auto"/>
          <w:kern w:val="2"/>
          <w:sz w:val="24"/>
          <w:szCs w:val="24"/>
          <w:highlight w:val="none"/>
          <w:u w:val="single"/>
        </w:rPr>
      </w:pPr>
      <w:r>
        <w:rPr>
          <w:rFonts w:hint="eastAsia" w:cs="@仿宋_GB2312"/>
          <w:color w:val="auto"/>
          <w:kern w:val="2"/>
          <w:sz w:val="24"/>
          <w:szCs w:val="24"/>
          <w:highlight w:val="none"/>
        </w:rPr>
        <w:t>供应商公章或授权代表签字：</w:t>
      </w:r>
      <w:r>
        <w:rPr>
          <w:rFonts w:hint="eastAsia" w:cs="@仿宋_GB2312"/>
          <w:color w:val="auto"/>
          <w:kern w:val="2"/>
          <w:sz w:val="24"/>
          <w:szCs w:val="24"/>
          <w:highlight w:val="none"/>
          <w:u w:val="single"/>
        </w:rPr>
        <w:t xml:space="preserve">     </w:t>
      </w:r>
      <w:r>
        <w:rPr>
          <w:rFonts w:cs="@仿宋_GB2312"/>
          <w:color w:val="auto"/>
          <w:kern w:val="2"/>
          <w:sz w:val="24"/>
          <w:szCs w:val="24"/>
          <w:highlight w:val="none"/>
          <w:u w:val="single"/>
        </w:rPr>
        <w:t xml:space="preserve">    </w:t>
      </w:r>
      <w:r>
        <w:rPr>
          <w:rFonts w:hint="eastAsia" w:cs="@仿宋_GB2312"/>
          <w:color w:val="auto"/>
          <w:kern w:val="2"/>
          <w:sz w:val="24"/>
          <w:szCs w:val="24"/>
          <w:highlight w:val="none"/>
          <w:u w:val="single"/>
        </w:rPr>
        <w:t xml:space="preserve">    </w:t>
      </w:r>
    </w:p>
    <w:p w14:paraId="0789C91E">
      <w:pPr>
        <w:spacing w:line="440" w:lineRule="exact"/>
        <w:ind w:firstLine="4800" w:firstLineChars="2000"/>
        <w:rPr>
          <w:rFonts w:cs="宋体" w:asciiTheme="minorEastAsia" w:hAnsiTheme="minorEastAsia" w:eastAsiaTheme="minorEastAsia"/>
          <w:b/>
          <w:bCs/>
          <w:color w:val="auto"/>
          <w:kern w:val="2"/>
          <w:sz w:val="24"/>
          <w:szCs w:val="24"/>
          <w:highlight w:val="none"/>
        </w:rPr>
      </w:pPr>
      <w:r>
        <w:rPr>
          <w:rFonts w:hint="eastAsia" w:cs="@仿宋_GB2312"/>
          <w:color w:val="auto"/>
          <w:kern w:val="2"/>
          <w:sz w:val="24"/>
          <w:szCs w:val="24"/>
          <w:highlight w:val="none"/>
        </w:rPr>
        <w:t xml:space="preserve">日     </w:t>
      </w:r>
      <w:r>
        <w:rPr>
          <w:rFonts w:cs="@仿宋_GB2312"/>
          <w:color w:val="auto"/>
          <w:kern w:val="2"/>
          <w:sz w:val="24"/>
          <w:szCs w:val="24"/>
          <w:highlight w:val="none"/>
        </w:rPr>
        <w:t xml:space="preserve">    </w:t>
      </w:r>
      <w:r>
        <w:rPr>
          <w:rFonts w:hint="eastAsia" w:cs="@仿宋_GB2312"/>
          <w:color w:val="auto"/>
          <w:kern w:val="2"/>
          <w:sz w:val="24"/>
          <w:szCs w:val="24"/>
          <w:highlight w:val="none"/>
        </w:rPr>
        <w:t xml:space="preserve"> 期：</w:t>
      </w:r>
      <w:r>
        <w:rPr>
          <w:rFonts w:hint="eastAsia" w:cs="@仿宋_GB2312"/>
          <w:color w:val="auto"/>
          <w:kern w:val="2"/>
          <w:sz w:val="24"/>
          <w:szCs w:val="24"/>
          <w:highlight w:val="none"/>
          <w:u w:val="single"/>
        </w:rPr>
        <w:t xml:space="preserve">             </w:t>
      </w:r>
    </w:p>
    <w:p w14:paraId="491EF631">
      <w:pPr>
        <w:spacing w:line="360" w:lineRule="auto"/>
        <w:jc w:val="left"/>
        <w:rPr>
          <w:rFonts w:hint="eastAsia"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注：</w:t>
      </w:r>
    </w:p>
    <w:p w14:paraId="5B826C5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bCs/>
          <w:color w:val="auto"/>
          <w:sz w:val="24"/>
          <w:highlight w:val="none"/>
        </w:rPr>
      </w:pPr>
      <w:r>
        <w:rPr>
          <w:rFonts w:hint="eastAsia" w:cs="宋体" w:asciiTheme="minorEastAsia" w:hAnsiTheme="minorEastAsia" w:eastAsiaTheme="minorEastAsia"/>
          <w:b/>
          <w:bCs/>
          <w:color w:val="auto"/>
          <w:kern w:val="2"/>
          <w:sz w:val="24"/>
          <w:szCs w:val="24"/>
          <w:highlight w:val="none"/>
          <w:lang w:val="en-US" w:eastAsia="zh-CN"/>
        </w:rPr>
        <w:t>1.</w:t>
      </w:r>
      <w:r>
        <w:rPr>
          <w:rFonts w:hint="eastAsia" w:cs="@仿宋_GB2312"/>
          <w:b/>
          <w:bCs/>
          <w:color w:val="auto"/>
          <w:kern w:val="2"/>
          <w:sz w:val="24"/>
          <w:highlight w:val="none"/>
        </w:rPr>
        <w:t>本页《报价表》由供应商在接到报价通知后依据磋商情况填写,并在规定时间内提交。</w:t>
      </w:r>
      <w:r>
        <w:rPr>
          <w:rFonts w:hint="eastAsia" w:cs="宋体" w:asciiTheme="minorEastAsia" w:hAnsiTheme="minorEastAsia" w:eastAsiaTheme="minorEastAsia"/>
          <w:color w:val="auto"/>
          <w:kern w:val="2"/>
          <w:sz w:val="24"/>
          <w:szCs w:val="24"/>
          <w:highlight w:val="none"/>
        </w:rPr>
        <w:t>考虑磋商报价的方便，供应商在填写最后承诺报价后，（第一次报价-最后承诺报价）除以第一次报价后得出的优惠率视同为清单中全部分项工程量的优惠浮动值（特定分项优惠除外），而不考虑措施项目清单和规费税金清单的金额改变。</w:t>
      </w:r>
      <w:r>
        <w:rPr>
          <w:rFonts w:hint="eastAsia" w:cs="宋体" w:asciiTheme="minorEastAsia" w:hAnsiTheme="minorEastAsia" w:eastAsiaTheme="minorEastAsia"/>
          <w:bCs/>
          <w:color w:val="auto"/>
          <w:kern w:val="2"/>
          <w:sz w:val="24"/>
          <w:szCs w:val="24"/>
          <w:highlight w:val="none"/>
        </w:rPr>
        <w:t>此优惠率调整原则适用于合同内价格的计算及项目增减、变更时价格的计算。</w:t>
      </w:r>
    </w:p>
    <w:p w14:paraId="3B19CBEF">
      <w:pPr>
        <w:adjustRightInd w:val="0"/>
        <w:snapToGrid w:val="0"/>
        <w:spacing w:line="360" w:lineRule="auto"/>
        <w:ind w:firstLine="482" w:firstLineChars="200"/>
        <w:rPr>
          <w:rFonts w:hint="default" w:ascii="宋体" w:hAnsi="宋体" w:eastAsia="宋体"/>
          <w:b/>
          <w:bCs/>
          <w:color w:val="auto"/>
          <w:sz w:val="24"/>
          <w:szCs w:val="28"/>
          <w:highlight w:val="none"/>
          <w:lang w:val="en-US" w:eastAsia="zh-CN"/>
        </w:rPr>
      </w:pPr>
      <w:r>
        <w:rPr>
          <w:rFonts w:hint="eastAsia" w:ascii="宋体" w:hAnsi="宋体" w:eastAsia="宋体"/>
          <w:b/>
          <w:bCs/>
          <w:color w:val="auto"/>
          <w:sz w:val="24"/>
          <w:szCs w:val="28"/>
          <w:highlight w:val="none"/>
          <w:lang w:val="en-US" w:eastAsia="zh-CN"/>
        </w:rPr>
        <w:t>2</w:t>
      </w:r>
      <w:r>
        <w:rPr>
          <w:rFonts w:hint="eastAsia" w:ascii="宋体" w:hAnsi="宋体" w:eastAsia="宋体"/>
          <w:b/>
          <w:bCs/>
          <w:color w:val="auto"/>
          <w:sz w:val="24"/>
          <w:szCs w:val="28"/>
          <w:highlight w:val="none"/>
        </w:rPr>
        <w:t>.表中大写金额与小写金额不一致的，以大写金额为准。</w:t>
      </w:r>
    </w:p>
    <w:p w14:paraId="15DC4E77">
      <w:pPr>
        <w:widowControl/>
        <w:jc w:val="left"/>
        <w:rPr>
          <w:bCs/>
          <w:color w:val="auto"/>
          <w:sz w:val="24"/>
          <w:highlight w:val="none"/>
        </w:rPr>
      </w:pPr>
      <w:r>
        <w:rPr>
          <w:bCs/>
          <w:color w:val="auto"/>
          <w:sz w:val="24"/>
          <w:highlight w:val="none"/>
        </w:rPr>
        <w:br w:type="page"/>
      </w:r>
    </w:p>
    <w:p w14:paraId="14EF4785">
      <w:pPr>
        <w:keepNext/>
        <w:keepLines/>
        <w:spacing w:before="260" w:after="260" w:line="416" w:lineRule="auto"/>
        <w:jc w:val="center"/>
        <w:outlineLvl w:val="1"/>
        <w:rPr>
          <w:rFonts w:cs="@仿宋_GB2312" w:asciiTheme="minorEastAsia" w:hAnsiTheme="minorEastAsia" w:eastAsiaTheme="minorEastAsia"/>
          <w:b/>
          <w:bCs/>
          <w:color w:val="auto"/>
          <w:kern w:val="2"/>
          <w:sz w:val="24"/>
          <w:szCs w:val="24"/>
          <w:highlight w:val="none"/>
        </w:rPr>
      </w:pPr>
      <w:bookmarkStart w:id="75" w:name="_Toc7943"/>
      <w:bookmarkStart w:id="76" w:name="_Toc22429"/>
      <w:bookmarkStart w:id="77" w:name="_Toc520983591"/>
      <w:r>
        <w:rPr>
          <w:rFonts w:hint="eastAsia" w:cs="@仿宋_GB2312" w:asciiTheme="minorEastAsia" w:hAnsiTheme="minorEastAsia" w:eastAsiaTheme="minorEastAsia"/>
          <w:b/>
          <w:bCs/>
          <w:color w:val="auto"/>
          <w:kern w:val="2"/>
          <w:sz w:val="24"/>
          <w:szCs w:val="24"/>
          <w:highlight w:val="none"/>
        </w:rPr>
        <w:t>三、供应商综合情况简介</w:t>
      </w:r>
      <w:bookmarkEnd w:id="75"/>
      <w:bookmarkEnd w:id="76"/>
    </w:p>
    <w:p w14:paraId="342C165F">
      <w:pPr>
        <w:spacing w:before="156" w:beforeLines="50" w:after="156" w:afterLines="50" w:line="360" w:lineRule="auto"/>
        <w:ind w:firstLine="235" w:firstLineChars="98"/>
        <w:jc w:val="center"/>
        <w:rPr>
          <w:color w:val="auto"/>
          <w:sz w:val="24"/>
          <w:szCs w:val="28"/>
          <w:highlight w:val="none"/>
        </w:rPr>
      </w:pPr>
      <w:r>
        <w:rPr>
          <w:rFonts w:hint="eastAsia"/>
          <w:color w:val="auto"/>
          <w:sz w:val="24"/>
          <w:szCs w:val="28"/>
          <w:highlight w:val="none"/>
        </w:rPr>
        <w:t>（供应商可自行制作格式）</w:t>
      </w:r>
    </w:p>
    <w:p w14:paraId="79D63204">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3F7B0EDE">
      <w:pPr>
        <w:spacing w:line="360" w:lineRule="auto"/>
        <w:jc w:val="center"/>
        <w:outlineLvl w:val="1"/>
        <w:rPr>
          <w:rFonts w:asciiTheme="minorEastAsia" w:hAnsiTheme="minorEastAsia" w:eastAsiaTheme="minorEastAsia"/>
          <w:b/>
          <w:color w:val="auto"/>
          <w:sz w:val="24"/>
          <w:highlight w:val="none"/>
        </w:rPr>
      </w:pPr>
      <w:bookmarkStart w:id="78" w:name="_Toc28160"/>
      <w:bookmarkStart w:id="79" w:name="_Toc8006"/>
      <w:r>
        <w:rPr>
          <w:rFonts w:hint="eastAsia" w:asciiTheme="minorEastAsia" w:hAnsiTheme="minorEastAsia" w:eastAsiaTheme="minorEastAsia"/>
          <w:b/>
          <w:color w:val="auto"/>
          <w:sz w:val="24"/>
          <w:highlight w:val="none"/>
        </w:rPr>
        <w:t>四、磋商响应函</w:t>
      </w:r>
      <w:bookmarkEnd w:id="77"/>
      <w:bookmarkEnd w:id="78"/>
      <w:bookmarkEnd w:id="79"/>
    </w:p>
    <w:p w14:paraId="32DA03F6">
      <w:pPr>
        <w:spacing w:line="360" w:lineRule="auto"/>
        <w:rPr>
          <w:rFonts w:hint="eastAsia" w:cs="宋体" w:asciiTheme="minorEastAsia" w:hAnsiTheme="minorEastAsia" w:eastAsiaTheme="minorEastAsia"/>
          <w:b/>
          <w:color w:val="auto"/>
          <w:kern w:val="2"/>
          <w:sz w:val="24"/>
          <w:szCs w:val="24"/>
          <w:highlight w:val="none"/>
          <w:u w:val="single"/>
          <w:lang w:eastAsia="zh-CN"/>
        </w:rPr>
      </w:pPr>
      <w:r>
        <w:rPr>
          <w:rFonts w:hint="eastAsia" w:cs="宋体" w:asciiTheme="minorEastAsia" w:hAnsiTheme="minorEastAsia" w:eastAsiaTheme="minorEastAsia"/>
          <w:b/>
          <w:color w:val="auto"/>
          <w:kern w:val="2"/>
          <w:sz w:val="24"/>
          <w:szCs w:val="24"/>
          <w:highlight w:val="none"/>
        </w:rPr>
        <w:t>致：</w:t>
      </w:r>
      <w:r>
        <w:rPr>
          <w:rFonts w:hint="eastAsia" w:cs="宋体" w:asciiTheme="minorEastAsia" w:hAnsiTheme="minorEastAsia" w:eastAsiaTheme="minorEastAsia"/>
          <w:b/>
          <w:color w:val="auto"/>
          <w:kern w:val="2"/>
          <w:sz w:val="24"/>
          <w:szCs w:val="24"/>
          <w:highlight w:val="none"/>
          <w:u w:val="single"/>
          <w:lang w:eastAsia="zh-CN"/>
        </w:rPr>
        <w:t>采购人</w:t>
      </w:r>
    </w:p>
    <w:p w14:paraId="415AE756">
      <w:pPr>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根据贵方的竞争性磋商公告和磋商邀请，我方兹宣布同意如下：</w:t>
      </w:r>
    </w:p>
    <w:p w14:paraId="19ECE187">
      <w:pPr>
        <w:spacing w:line="360" w:lineRule="auto"/>
        <w:ind w:firstLine="480" w:firstLineChars="200"/>
        <w:rPr>
          <w:rFonts w:cs="宋体" w:asciiTheme="minorEastAsia" w:hAnsiTheme="minorEastAsia" w:eastAsiaTheme="minorEastAsia"/>
          <w:color w:val="auto"/>
          <w:kern w:val="2"/>
          <w:sz w:val="24"/>
          <w:szCs w:val="24"/>
          <w:highlight w:val="none"/>
          <w:u w:val="single"/>
        </w:rPr>
      </w:pPr>
      <w:r>
        <w:rPr>
          <w:rFonts w:hint="eastAsia" w:cs="宋体" w:asciiTheme="minorEastAsia" w:hAnsiTheme="minorEastAsia" w:eastAsiaTheme="minorEastAsia"/>
          <w:color w:val="auto"/>
          <w:kern w:val="2"/>
          <w:sz w:val="24"/>
          <w:szCs w:val="24"/>
          <w:highlight w:val="none"/>
        </w:rPr>
        <w:t>1.经踏勘项目现场和研究上述磋商文件的磋商须知、合同条款、图纸和工程建设技术标准及其他有关文件后，我方接受上述文件要求，并对工程量清单及最高投标限价无异议。我方</w:t>
      </w:r>
      <w:r>
        <w:rPr>
          <w:rFonts w:hint="eastAsia" w:cs="宋体" w:asciiTheme="minorEastAsia" w:hAnsiTheme="minorEastAsia" w:eastAsiaTheme="minorEastAsia"/>
          <w:bCs/>
          <w:color w:val="auto"/>
          <w:kern w:val="2"/>
          <w:sz w:val="24"/>
          <w:szCs w:val="24"/>
          <w:highlight w:val="none"/>
        </w:rPr>
        <w:t>承诺按本磋商文件、施工图纸、合同条款和工程建设技术标准的条件、</w:t>
      </w:r>
      <w:r>
        <w:rPr>
          <w:rFonts w:hint="eastAsia" w:cs="宋体" w:asciiTheme="minorEastAsia" w:hAnsiTheme="minorEastAsia" w:eastAsiaTheme="minorEastAsia"/>
          <w:color w:val="auto"/>
          <w:kern w:val="2"/>
          <w:sz w:val="24"/>
          <w:szCs w:val="24"/>
          <w:highlight w:val="none"/>
        </w:rPr>
        <w:t>承担</w:t>
      </w:r>
      <w:r>
        <w:rPr>
          <w:rFonts w:hint="eastAsia" w:cs="宋体" w:asciiTheme="minorEastAsia" w:hAnsiTheme="minorEastAsia" w:eastAsiaTheme="minorEastAsia"/>
          <w:bCs/>
          <w:color w:val="auto"/>
          <w:kern w:val="2"/>
          <w:sz w:val="24"/>
          <w:szCs w:val="24"/>
          <w:highlight w:val="none"/>
        </w:rPr>
        <w:t>上述工程的施工、竣工，并承担任何质量缺陷保修责任。</w:t>
      </w:r>
    </w:p>
    <w:p w14:paraId="0EC4C1D7">
      <w:pPr>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2.我方已详细审核并确认全部磋商文件及有关附件，充分理解磋商价格不得低于企业个别成本有关规定。我方经成本核算，所填报的磋商报价不低于企业个别成本。</w:t>
      </w:r>
    </w:p>
    <w:p w14:paraId="6C4DD056">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w:t>
      </w:r>
      <w:r>
        <w:rPr>
          <w:rFonts w:hint="eastAsia" w:ascii="宋体" w:hAnsi="宋体" w:eastAsia="宋体" w:cs="宋体"/>
          <w:color w:val="auto"/>
          <w:sz w:val="24"/>
          <w:szCs w:val="24"/>
          <w:highlight w:val="none"/>
        </w:rPr>
        <w:t>我方保证按磋商文件约定的工期和磋商文件或业主开工令的要求如期开工、工程质量达到合格标准、如期竣工并移交整个工程。</w:t>
      </w:r>
    </w:p>
    <w:p w14:paraId="73E8FC18">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rPr>
        <w:t>.我方同意所提交的响应文件在磋商文件规定的磋商有效期内有效，在此期间内如果成交，我方将受此约束。</w:t>
      </w:r>
    </w:p>
    <w:p w14:paraId="1F978677">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.除非另外达成协议并生效，你方的成交通知书和本响应文件以及磋商文件、磋商文件澄清、修改、补充将成为约束双方的合同文件的组成部分。</w:t>
      </w:r>
    </w:p>
    <w:p w14:paraId="17E54588">
      <w:pPr>
        <w:spacing w:line="360" w:lineRule="auto"/>
        <w:ind w:firstLine="480" w:firstLineChars="200"/>
        <w:rPr>
          <w:rFonts w:cs="宋体" w:asciiTheme="minorEastAsia" w:hAnsiTheme="minorEastAsia" w:eastAsiaTheme="minorEastAsia"/>
          <w:color w:val="auto"/>
          <w:kern w:val="2"/>
          <w:sz w:val="24"/>
          <w:szCs w:val="24"/>
          <w:highlight w:val="none"/>
          <w:u w:val="single"/>
        </w:rPr>
      </w:pPr>
      <w:r>
        <w:rPr>
          <w:rFonts w:hint="eastAsia"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.其他补充说明</w:t>
      </w:r>
      <w:r>
        <w:rPr>
          <w:rFonts w:hint="eastAsia" w:cs="宋体" w:asciiTheme="minorEastAsia" w:hAnsiTheme="minorEastAsia" w:eastAsiaTheme="minorEastAsia"/>
          <w:color w:val="auto"/>
          <w:kern w:val="2"/>
          <w:sz w:val="24"/>
          <w:szCs w:val="24"/>
          <w:highlight w:val="none"/>
        </w:rPr>
        <w:t>：</w:t>
      </w:r>
      <w:r>
        <w:rPr>
          <w:rFonts w:hint="eastAsia" w:cs="宋体" w:asciiTheme="minorEastAsia" w:hAnsiTheme="minorEastAsia" w:eastAsiaTheme="minorEastAsia"/>
          <w:color w:val="auto"/>
          <w:kern w:val="2"/>
          <w:sz w:val="24"/>
          <w:szCs w:val="24"/>
          <w:highlight w:val="none"/>
          <w:u w:val="single"/>
        </w:rPr>
        <w:t xml:space="preserve">  （</w:t>
      </w:r>
      <w:r>
        <w:rPr>
          <w:rFonts w:hint="eastAsia" w:cs="宋体" w:asciiTheme="minorEastAsia" w:hAnsiTheme="minorEastAsia" w:eastAsiaTheme="minorEastAsia"/>
          <w:i/>
          <w:iCs/>
          <w:color w:val="auto"/>
          <w:kern w:val="2"/>
          <w:sz w:val="24"/>
          <w:szCs w:val="24"/>
          <w:highlight w:val="none"/>
          <w:u w:val="single"/>
        </w:rPr>
        <w:t>如有</w:t>
      </w:r>
      <w:r>
        <w:rPr>
          <w:rFonts w:hint="eastAsia" w:cs="宋体" w:asciiTheme="minorEastAsia" w:hAnsiTheme="minorEastAsia" w:eastAsiaTheme="minorEastAsia"/>
          <w:color w:val="auto"/>
          <w:kern w:val="2"/>
          <w:sz w:val="24"/>
          <w:szCs w:val="24"/>
          <w:highlight w:val="none"/>
          <w:u w:val="single"/>
        </w:rPr>
        <w:t xml:space="preserve">）       </w:t>
      </w:r>
    </w:p>
    <w:p w14:paraId="5A20E45F">
      <w:pPr>
        <w:pStyle w:val="53"/>
        <w:ind w:firstLine="200"/>
        <w:rPr>
          <w:color w:val="auto"/>
          <w:highlight w:val="none"/>
          <w:lang w:val="en-US"/>
        </w:rPr>
      </w:pPr>
    </w:p>
    <w:p w14:paraId="21F8A87B">
      <w:pPr>
        <w:spacing w:line="360" w:lineRule="auto"/>
        <w:ind w:firstLine="4800" w:firstLineChars="2000"/>
        <w:rPr>
          <w:rFonts w:cs="@仿宋_GB2312"/>
          <w:color w:val="auto"/>
          <w:kern w:val="2"/>
          <w:sz w:val="24"/>
          <w:highlight w:val="none"/>
        </w:rPr>
      </w:pPr>
      <w:r>
        <w:rPr>
          <w:rFonts w:hint="eastAsia" w:cs="@仿宋_GB2312"/>
          <w:color w:val="auto"/>
          <w:kern w:val="2"/>
          <w:sz w:val="24"/>
          <w:highlight w:val="none"/>
        </w:rPr>
        <w:t>供应商电子签章：</w:t>
      </w:r>
      <w:r>
        <w:rPr>
          <w:rFonts w:hint="eastAsia" w:cs="@仿宋_GB2312"/>
          <w:color w:val="auto"/>
          <w:kern w:val="2"/>
          <w:sz w:val="24"/>
          <w:highlight w:val="none"/>
          <w:u w:val="single"/>
        </w:rPr>
        <w:t xml:space="preserve">             </w:t>
      </w:r>
    </w:p>
    <w:p w14:paraId="3B214C9E">
      <w:pPr>
        <w:spacing w:line="360" w:lineRule="auto"/>
        <w:ind w:firstLine="4800" w:firstLineChars="2000"/>
        <w:rPr>
          <w:rFonts w:cs="@仿宋_GB2312"/>
          <w:color w:val="auto"/>
          <w:kern w:val="2"/>
          <w:sz w:val="24"/>
          <w:highlight w:val="none"/>
          <w:u w:val="single"/>
        </w:rPr>
      </w:pPr>
      <w:r>
        <w:rPr>
          <w:rFonts w:hint="eastAsia" w:cs="@仿宋_GB2312"/>
          <w:color w:val="auto"/>
          <w:kern w:val="2"/>
          <w:sz w:val="24"/>
          <w:highlight w:val="none"/>
        </w:rPr>
        <w:t>日          期：</w:t>
      </w:r>
      <w:r>
        <w:rPr>
          <w:rFonts w:hint="eastAsia" w:cs="@仿宋_GB2312"/>
          <w:color w:val="auto"/>
          <w:kern w:val="2"/>
          <w:sz w:val="24"/>
          <w:highlight w:val="none"/>
          <w:u w:val="single"/>
        </w:rPr>
        <w:t xml:space="preserve">             </w:t>
      </w:r>
    </w:p>
    <w:p w14:paraId="79B88285">
      <w:pPr>
        <w:widowControl/>
        <w:jc w:val="left"/>
        <w:rPr>
          <w:color w:val="auto"/>
          <w:sz w:val="24"/>
          <w:highlight w:val="none"/>
        </w:rPr>
      </w:pPr>
      <w:r>
        <w:rPr>
          <w:color w:val="auto"/>
          <w:sz w:val="24"/>
          <w:highlight w:val="none"/>
        </w:rPr>
        <w:br w:type="page"/>
      </w:r>
    </w:p>
    <w:p w14:paraId="1BA9EC5C">
      <w:pPr>
        <w:spacing w:line="360" w:lineRule="auto"/>
        <w:jc w:val="center"/>
        <w:outlineLvl w:val="1"/>
        <w:rPr>
          <w:b/>
          <w:i/>
          <w:color w:val="auto"/>
          <w:sz w:val="24"/>
          <w:highlight w:val="none"/>
        </w:rPr>
      </w:pPr>
      <w:bookmarkStart w:id="80" w:name="_Toc2947"/>
      <w:bookmarkStart w:id="81" w:name="_Toc20728"/>
      <w:r>
        <w:rPr>
          <w:rFonts w:hint="eastAsia" w:asciiTheme="minorEastAsia" w:hAnsiTheme="minorEastAsia" w:eastAsiaTheme="minorEastAsia"/>
          <w:b/>
          <w:color w:val="auto"/>
          <w:sz w:val="24"/>
          <w:highlight w:val="none"/>
        </w:rPr>
        <w:t>五、</w:t>
      </w:r>
      <w:bookmarkEnd w:id="80"/>
      <w:bookmarkStart w:id="82" w:name="_Toc8658"/>
      <w:r>
        <w:rPr>
          <w:rFonts w:hint="eastAsia" w:asciiTheme="minorEastAsia" w:hAnsiTheme="minorEastAsia" w:eastAsiaTheme="minorEastAsia"/>
          <w:b/>
          <w:color w:val="auto"/>
          <w:sz w:val="24"/>
          <w:highlight w:val="none"/>
          <w:lang w:val="en-US" w:eastAsia="zh-CN"/>
        </w:rPr>
        <w:t>供应商资格声明书</w:t>
      </w:r>
      <w:bookmarkEnd w:id="81"/>
      <w:r>
        <w:rPr>
          <w:rFonts w:hint="eastAsia" w:asciiTheme="minorEastAsia" w:hAnsiTheme="minorEastAsia" w:eastAsiaTheme="minorEastAsia"/>
          <w:b/>
          <w:color w:val="auto"/>
          <w:sz w:val="24"/>
          <w:highlight w:val="none"/>
          <w:lang w:val="en-US" w:eastAsia="zh-CN"/>
        </w:rPr>
        <w:t xml:space="preserve"> </w:t>
      </w:r>
    </w:p>
    <w:p w14:paraId="37904BB1">
      <w:pPr>
        <w:pStyle w:val="30"/>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0837F7E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在参与本次项目磋商中，我单位承诺：</w:t>
      </w:r>
    </w:p>
    <w:p w14:paraId="49D2639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2980C7F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6608A42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048D29E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CA92A06">
      <w:pPr>
        <w:spacing w:line="360" w:lineRule="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五</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我单位</w:t>
      </w:r>
      <w:r>
        <w:rPr>
          <w:rFonts w:hint="eastAsia" w:ascii="宋体" w:hAnsi="宋体" w:eastAsia="宋体" w:cs="宋体"/>
          <w:color w:val="auto"/>
          <w:kern w:val="2"/>
          <w:sz w:val="24"/>
          <w:szCs w:val="24"/>
          <w:highlight w:val="none"/>
        </w:rPr>
        <w:t>近三年内，未发生重大质量事故和重大安全事故（以有关行政管理部门的行政处罚决定或司法机关出具的有关法律文书为准），前述行政处罚已完成信用修复的，但自行政处罚作出机关或信用修复主管部门同意修复之日起满一年的，不受三年期限限制；</w:t>
      </w:r>
    </w:p>
    <w:p w14:paraId="1912FF67">
      <w:pPr>
        <w:spacing w:line="360" w:lineRule="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六</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我单位</w:t>
      </w:r>
      <w:r>
        <w:rPr>
          <w:rFonts w:hint="eastAsia" w:ascii="宋体" w:hAnsi="宋体" w:eastAsia="宋体" w:cs="宋体"/>
          <w:color w:val="auto"/>
          <w:kern w:val="2"/>
          <w:sz w:val="24"/>
          <w:szCs w:val="24"/>
          <w:highlight w:val="none"/>
        </w:rPr>
        <w:t>在本项目</w:t>
      </w:r>
      <w:r>
        <w:rPr>
          <w:rFonts w:hint="eastAsia" w:cs="宋体"/>
          <w:color w:val="auto"/>
          <w:kern w:val="2"/>
          <w:sz w:val="24"/>
          <w:szCs w:val="24"/>
          <w:highlight w:val="none"/>
          <w:lang w:val="en-US" w:eastAsia="zh-CN"/>
        </w:rPr>
        <w:t>磋商</w:t>
      </w:r>
      <w:r>
        <w:rPr>
          <w:rFonts w:hint="eastAsia" w:ascii="宋体" w:hAnsi="宋体" w:eastAsia="宋体" w:cs="宋体"/>
          <w:color w:val="auto"/>
          <w:kern w:val="2"/>
          <w:sz w:val="24"/>
          <w:szCs w:val="24"/>
          <w:highlight w:val="none"/>
        </w:rPr>
        <w:t>有效期内，在本项目所在区域未存在因质量事故、安全事故等被限期承包工程或市场不良行为等被限制磋商资格行为，且处于处罚期内的情况；</w:t>
      </w:r>
    </w:p>
    <w:p w14:paraId="0EB68625">
      <w:pPr>
        <w:spacing w:line="360" w:lineRule="auto"/>
        <w:rPr>
          <w:rFonts w:hint="eastAsia"/>
          <w:color w:val="auto"/>
          <w:highlight w:val="none"/>
        </w:rPr>
      </w:pP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七</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我单位</w:t>
      </w:r>
      <w:r>
        <w:rPr>
          <w:rFonts w:hint="eastAsia" w:ascii="宋体" w:hAnsi="宋体" w:eastAsia="宋体" w:cs="宋体"/>
          <w:color w:val="auto"/>
          <w:sz w:val="24"/>
          <w:szCs w:val="24"/>
          <w:highlight w:val="none"/>
        </w:rPr>
        <w:t>未被“信用中国”网站列入拖欠农民工工资失信联合惩戒对象名单</w:t>
      </w:r>
      <w:r>
        <w:rPr>
          <w:rFonts w:hint="eastAsia" w:ascii="宋体" w:hAnsi="宋体" w:eastAsia="宋体" w:cs="宋体"/>
          <w:color w:val="auto"/>
          <w:kern w:val="2"/>
          <w:sz w:val="24"/>
          <w:szCs w:val="24"/>
          <w:highlight w:val="none"/>
        </w:rPr>
        <w:t>；</w:t>
      </w:r>
    </w:p>
    <w:p w14:paraId="6E3F537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（八）我单位不存在为采购项目提供整体设计、规范编制或者项目管理、监理、检测等服务后，再参加该采购项目的其他采购活动的情形（单一来源采购项目除外）；</w:t>
      </w:r>
    </w:p>
    <w:p w14:paraId="7B969BB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（九）与我单位存在单位负责人为同一人或者存在直接控股、管理关系的其他法人单位信息如下（如有，不论其是否参加同一合同项下的政府采购活动均须填写）：</w:t>
      </w:r>
    </w:p>
    <w:tbl>
      <w:tblPr>
        <w:tblStyle w:val="5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7AC70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Pr>
          <w:p w14:paraId="7E012DA1">
            <w:pPr>
              <w:keepNext w:val="0"/>
              <w:keepLines w:val="0"/>
              <w:pageBreakBefore w:val="0"/>
              <w:widowControl/>
              <w:suppressLineNumbers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2F9EB786">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6B637F2E">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3F37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BA7C656">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73EC6BC1">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369FF479">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7919A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7AB0D56">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1420E040">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73B58F7A">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7E07166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7303BEDD">
      <w:pPr>
        <w:spacing w:line="360" w:lineRule="auto"/>
        <w:ind w:firstLine="4800" w:firstLineChars="2000"/>
        <w:rPr>
          <w:rFonts w:ascii="宋体" w:hAnsi="宋体" w:eastAsia="宋体"/>
          <w:color w:val="auto"/>
          <w:sz w:val="24"/>
          <w:highlight w:val="none"/>
          <w:u w:val="single"/>
        </w:rPr>
      </w:pPr>
      <w:r>
        <w:rPr>
          <w:rFonts w:hint="eastAsia"/>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5282473A">
      <w:pPr>
        <w:spacing w:line="360" w:lineRule="auto"/>
        <w:jc w:val="center"/>
        <w:outlineLvl w:val="9"/>
        <w:rPr>
          <w:rFonts w:hint="eastAsia" w:asciiTheme="minorEastAsia" w:hAnsiTheme="minorEastAsia" w:eastAsiaTheme="minorEastAsia"/>
          <w:b/>
          <w:color w:val="auto"/>
          <w:sz w:val="24"/>
          <w:highlight w:val="none"/>
        </w:rPr>
        <w:sectPr>
          <w:headerReference r:id="rId6" w:type="default"/>
          <w:footerReference r:id="rId7" w:type="default"/>
          <w:pgSz w:w="11906" w:h="16838"/>
          <w:pgMar w:top="1440" w:right="1800" w:bottom="1440" w:left="1800" w:header="851" w:footer="992" w:gutter="0"/>
          <w:pgNumType w:fmt="decimal"/>
          <w:cols w:space="425" w:num="1"/>
          <w:docGrid w:type="lines" w:linePitch="312" w:charSpace="0"/>
        </w:sectPr>
      </w:pPr>
      <w:r>
        <w:rPr>
          <w:rFonts w:hint="eastAsia"/>
          <w:color w:val="auto"/>
          <w:sz w:val="24"/>
          <w:highlight w:val="none"/>
          <w:lang w:val="en-US" w:eastAsia="zh-CN"/>
        </w:rPr>
        <w:t xml:space="preserve">                           </w:t>
      </w: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w:t>
      </w:r>
      <w:bookmarkEnd w:id="82"/>
    </w:p>
    <w:p w14:paraId="5BC6839F">
      <w:pPr>
        <w:widowControl/>
        <w:jc w:val="center"/>
        <w:outlineLvl w:val="1"/>
        <w:rPr>
          <w:rFonts w:asciiTheme="minorEastAsia" w:hAnsiTheme="minorEastAsia" w:eastAsiaTheme="minorEastAsia"/>
          <w:b/>
          <w:color w:val="auto"/>
          <w:sz w:val="24"/>
          <w:highlight w:val="none"/>
          <w:u w:val="none"/>
        </w:rPr>
      </w:pPr>
      <w:bookmarkStart w:id="83" w:name="_Toc516969106"/>
      <w:bookmarkStart w:id="84" w:name="_Toc25503"/>
      <w:bookmarkStart w:id="85" w:name="_Toc204594911"/>
      <w:bookmarkStart w:id="86" w:name="_Toc909"/>
      <w:bookmarkStart w:id="87" w:name="_Toc520983594"/>
      <w:bookmarkStart w:id="88" w:name="_Toc121626298"/>
      <w:r>
        <w:rPr>
          <w:rFonts w:hint="eastAsia" w:asciiTheme="minorEastAsia" w:hAnsiTheme="minorEastAsia" w:eastAsiaTheme="minorEastAsia"/>
          <w:b/>
          <w:color w:val="auto"/>
          <w:sz w:val="24"/>
          <w:highlight w:val="none"/>
          <w:u w:val="none"/>
        </w:rPr>
        <w:t>六、授权书</w:t>
      </w:r>
      <w:bookmarkEnd w:id="83"/>
      <w:bookmarkEnd w:id="84"/>
      <w:bookmarkEnd w:id="85"/>
      <w:bookmarkEnd w:id="86"/>
      <w:bookmarkEnd w:id="87"/>
      <w:bookmarkEnd w:id="88"/>
    </w:p>
    <w:p w14:paraId="1233ED44">
      <w:pPr>
        <w:spacing w:line="360" w:lineRule="auto"/>
        <w:jc w:val="center"/>
        <w:rPr>
          <w:rFonts w:asciiTheme="minorEastAsia" w:hAnsiTheme="minorEastAsia" w:eastAsiaTheme="minorEastAsia"/>
          <w:b/>
          <w:color w:val="auto"/>
          <w:sz w:val="24"/>
          <w:highlight w:val="none"/>
        </w:rPr>
      </w:pPr>
    </w:p>
    <w:p w14:paraId="5ACCB0C1">
      <w:pPr>
        <w:pStyle w:val="28"/>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磋商过程的一切事宜，包括但不限于：提交响应文件、参与磋商、签约等。供应商授权代表在采购活动过程中所签署的一切文件和处理与之有关的一切事务，本公司均予以认可并对此承担责任。供应商授权代表无转委托权。特此授权。</w:t>
      </w:r>
    </w:p>
    <w:p w14:paraId="5DBB1055">
      <w:pPr>
        <w:pStyle w:val="28"/>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2224B620">
      <w:pPr>
        <w:pStyle w:val="28"/>
        <w:snapToGrid w:val="0"/>
        <w:spacing w:line="360" w:lineRule="auto"/>
        <w:ind w:firstLine="480" w:firstLineChars="200"/>
        <w:jc w:val="left"/>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64C51A46">
      <w:pPr>
        <w:pStyle w:val="28"/>
        <w:snapToGrid w:val="0"/>
        <w:spacing w:line="360" w:lineRule="auto"/>
        <w:ind w:firstLine="480" w:firstLineChars="200"/>
        <w:jc w:val="left"/>
        <w:rPr>
          <w:rFonts w:hAnsi="宋体" w:eastAsia="宋体"/>
          <w:color w:val="auto"/>
          <w:sz w:val="24"/>
          <w:highlight w:val="none"/>
        </w:rPr>
      </w:pPr>
    </w:p>
    <w:p w14:paraId="7B013694">
      <w:pPr>
        <w:pStyle w:val="28"/>
        <w:snapToGrid w:val="0"/>
        <w:spacing w:line="360" w:lineRule="auto"/>
        <w:ind w:firstLine="480" w:firstLineChars="200"/>
        <w:jc w:val="left"/>
        <w:rPr>
          <w:rFonts w:hAnsi="宋体" w:eastAsia="宋体"/>
          <w:color w:val="auto"/>
          <w:sz w:val="24"/>
          <w:highlight w:val="none"/>
        </w:rPr>
      </w:pPr>
    </w:p>
    <w:p w14:paraId="6C1539ED">
      <w:pPr>
        <w:pStyle w:val="28"/>
        <w:snapToGrid w:val="0"/>
        <w:spacing w:line="360" w:lineRule="auto"/>
        <w:ind w:firstLine="480" w:firstLineChars="200"/>
        <w:jc w:val="left"/>
        <w:rPr>
          <w:rFonts w:hAnsi="宋体" w:eastAsia="宋体"/>
          <w:color w:val="auto"/>
          <w:sz w:val="24"/>
          <w:highlight w:val="none"/>
        </w:rPr>
      </w:pPr>
    </w:p>
    <w:p w14:paraId="15232461">
      <w:pPr>
        <w:pStyle w:val="28"/>
        <w:snapToGrid w:val="0"/>
        <w:spacing w:line="360" w:lineRule="auto"/>
        <w:ind w:firstLine="480" w:firstLineChars="200"/>
        <w:jc w:val="left"/>
        <w:rPr>
          <w:rFonts w:hAnsi="宋体" w:eastAsia="宋体"/>
          <w:color w:val="auto"/>
          <w:sz w:val="24"/>
          <w:highlight w:val="none"/>
        </w:rPr>
      </w:pPr>
    </w:p>
    <w:p w14:paraId="0746FF01">
      <w:pPr>
        <w:pStyle w:val="28"/>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3E66CF32">
      <w:pPr>
        <w:pStyle w:val="28"/>
        <w:snapToGrid w:val="0"/>
        <w:spacing w:line="360" w:lineRule="auto"/>
        <w:ind w:firstLine="480" w:firstLineChars="200"/>
        <w:jc w:val="left"/>
        <w:rPr>
          <w:rFonts w:hAnsi="宋体" w:eastAsia="宋体"/>
          <w:color w:val="auto"/>
          <w:sz w:val="24"/>
          <w:szCs w:val="28"/>
          <w:highlight w:val="none"/>
        </w:rPr>
      </w:pPr>
    </w:p>
    <w:p w14:paraId="558C92E3">
      <w:pPr>
        <w:spacing w:line="360" w:lineRule="auto"/>
        <w:ind w:firstLine="360" w:firstLineChars="150"/>
        <w:rPr>
          <w:color w:val="auto"/>
          <w:sz w:val="24"/>
          <w:szCs w:val="28"/>
          <w:highlight w:val="none"/>
        </w:rPr>
      </w:pPr>
      <w:r>
        <w:rPr>
          <w:rFonts w:hint="eastAsia"/>
          <w:color w:val="auto"/>
          <w:sz w:val="24"/>
          <w:szCs w:val="28"/>
          <w:highlight w:val="none"/>
        </w:rPr>
        <w:t>特此声明。</w:t>
      </w:r>
    </w:p>
    <w:p w14:paraId="31F65B3C">
      <w:pPr>
        <w:spacing w:line="360" w:lineRule="auto"/>
        <w:rPr>
          <w:color w:val="auto"/>
          <w:sz w:val="24"/>
          <w:szCs w:val="28"/>
          <w:highlight w:val="none"/>
        </w:rPr>
      </w:pPr>
    </w:p>
    <w:p w14:paraId="0694E85A">
      <w:pPr>
        <w:spacing w:line="360" w:lineRule="auto"/>
        <w:jc w:val="center"/>
        <w:rPr>
          <w:bCs/>
          <w:color w:val="auto"/>
          <w:sz w:val="24"/>
          <w:szCs w:val="28"/>
          <w:highlight w:val="none"/>
        </w:rPr>
      </w:pPr>
      <w:r>
        <w:rPr>
          <w:rFonts w:hint="eastAsia"/>
          <w:bCs/>
          <w:color w:val="auto"/>
          <w:sz w:val="24"/>
          <w:szCs w:val="28"/>
          <w:highlight w:val="none"/>
          <w:lang w:val="en-US" w:eastAsia="zh-CN"/>
        </w:rPr>
        <w:t xml:space="preserve">                    </w:t>
      </w:r>
      <w:r>
        <w:rPr>
          <w:rFonts w:hint="eastAsia"/>
          <w:bCs/>
          <w:color w:val="auto"/>
          <w:sz w:val="24"/>
          <w:szCs w:val="28"/>
          <w:highlight w:val="none"/>
        </w:rPr>
        <w:t>供应商电子签章：</w:t>
      </w:r>
      <w:r>
        <w:rPr>
          <w:rFonts w:hint="eastAsia"/>
          <w:bCs/>
          <w:color w:val="auto"/>
          <w:sz w:val="24"/>
          <w:szCs w:val="28"/>
          <w:highlight w:val="none"/>
          <w:u w:val="single"/>
        </w:rPr>
        <w:t xml:space="preserve">                    </w:t>
      </w:r>
    </w:p>
    <w:p w14:paraId="1440DE44">
      <w:pPr>
        <w:spacing w:line="360" w:lineRule="auto"/>
        <w:rPr>
          <w:color w:val="auto"/>
          <w:sz w:val="24"/>
          <w:szCs w:val="28"/>
          <w:highlight w:val="none"/>
        </w:rPr>
      </w:pPr>
      <w:r>
        <w:rPr>
          <w:rFonts w:hint="eastAsia"/>
          <w:color w:val="auto"/>
          <w:sz w:val="24"/>
          <w:szCs w:val="28"/>
          <w:highlight w:val="none"/>
          <w:lang w:val="en-US" w:eastAsia="zh-CN"/>
        </w:rPr>
        <w:t xml:space="preserve">                                        </w:t>
      </w:r>
      <w:r>
        <w:rPr>
          <w:rFonts w:hint="eastAsia"/>
          <w:color w:val="auto"/>
          <w:sz w:val="24"/>
          <w:szCs w:val="28"/>
          <w:highlight w:val="none"/>
        </w:rPr>
        <w:t>日          期：</w:t>
      </w:r>
      <w:r>
        <w:rPr>
          <w:rFonts w:hint="eastAsia"/>
          <w:color w:val="auto"/>
          <w:sz w:val="24"/>
          <w:szCs w:val="28"/>
          <w:highlight w:val="none"/>
          <w:u w:val="single"/>
        </w:rPr>
        <w:t xml:space="preserve">                    </w:t>
      </w:r>
    </w:p>
    <w:p w14:paraId="760EB448">
      <w:pPr>
        <w:spacing w:line="360" w:lineRule="auto"/>
        <w:rPr>
          <w:color w:val="auto"/>
          <w:sz w:val="24"/>
          <w:szCs w:val="28"/>
          <w:highlight w:val="none"/>
        </w:rPr>
      </w:pPr>
    </w:p>
    <w:p w14:paraId="6BDE3C3C">
      <w:pPr>
        <w:pStyle w:val="28"/>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710F14F0">
      <w:pPr>
        <w:pStyle w:val="28"/>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3960B015">
      <w:pPr>
        <w:spacing w:line="360" w:lineRule="auto"/>
        <w:jc w:val="left"/>
        <w:rPr>
          <w:color w:val="auto"/>
          <w:sz w:val="24"/>
          <w:highlight w:val="none"/>
        </w:rPr>
      </w:pPr>
      <w:r>
        <w:rPr>
          <w:rFonts w:hint="eastAsia"/>
          <w:color w:val="auto"/>
          <w:sz w:val="24"/>
          <w:highlight w:val="none"/>
        </w:rPr>
        <w:t>2.法定代表人参加磋商的无需提供授权书，仅提供身份证明扫描件。</w:t>
      </w:r>
    </w:p>
    <w:p w14:paraId="0407229A">
      <w:pPr>
        <w:widowControl/>
        <w:jc w:val="left"/>
        <w:rPr>
          <w:color w:val="auto"/>
          <w:sz w:val="24"/>
          <w:highlight w:val="none"/>
        </w:rPr>
      </w:pPr>
      <w:r>
        <w:rPr>
          <w:color w:val="auto"/>
          <w:sz w:val="24"/>
          <w:highlight w:val="none"/>
        </w:rPr>
        <w:br w:type="page"/>
      </w:r>
    </w:p>
    <w:p w14:paraId="323CD935">
      <w:pPr>
        <w:keepNext/>
        <w:keepLines/>
        <w:spacing w:before="260" w:after="260" w:line="416" w:lineRule="auto"/>
        <w:jc w:val="center"/>
        <w:outlineLvl w:val="1"/>
        <w:rPr>
          <w:rFonts w:cs="@仿宋_GB2312" w:asciiTheme="minorEastAsia" w:hAnsiTheme="minorEastAsia" w:eastAsiaTheme="minorEastAsia"/>
          <w:b/>
          <w:bCs/>
          <w:color w:val="auto"/>
          <w:kern w:val="2"/>
          <w:sz w:val="24"/>
          <w:szCs w:val="24"/>
          <w:highlight w:val="none"/>
        </w:rPr>
      </w:pPr>
      <w:bookmarkStart w:id="89" w:name="_Toc12223"/>
      <w:bookmarkStart w:id="90" w:name="_Toc32351"/>
      <w:r>
        <w:rPr>
          <w:rFonts w:hint="eastAsia" w:cs="@仿宋_GB2312" w:asciiTheme="minorEastAsia" w:hAnsiTheme="minorEastAsia" w:eastAsiaTheme="minorEastAsia"/>
          <w:b/>
          <w:bCs/>
          <w:color w:val="auto"/>
          <w:kern w:val="2"/>
          <w:sz w:val="24"/>
          <w:szCs w:val="24"/>
          <w:highlight w:val="none"/>
        </w:rPr>
        <w:t>七、法定代表人身份证明书</w:t>
      </w:r>
      <w:bookmarkEnd w:id="89"/>
      <w:bookmarkEnd w:id="90"/>
    </w:p>
    <w:p w14:paraId="421DC4E0">
      <w:pPr>
        <w:autoSpaceDE w:val="0"/>
        <w:autoSpaceDN w:val="0"/>
        <w:adjustRightInd w:val="0"/>
        <w:spacing w:line="360" w:lineRule="auto"/>
        <w:jc w:val="center"/>
        <w:rPr>
          <w:rFonts w:ascii="@仿宋_GB2312" w:eastAsia="@仿宋_GB2312" w:cs="宋体"/>
          <w:b/>
          <w:color w:val="auto"/>
          <w:kern w:val="2"/>
          <w:sz w:val="21"/>
          <w:szCs w:val="24"/>
          <w:highlight w:val="none"/>
          <w:lang w:val="zh-CN"/>
        </w:rPr>
      </w:pPr>
    </w:p>
    <w:p w14:paraId="532BBF6F">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单位名称：</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537C3B01">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单位性质：</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75D3B081">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地    址：</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289EEE66">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成立时间：</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年</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月</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日</w:t>
      </w:r>
    </w:p>
    <w:p w14:paraId="59B8D23B">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经营期限：</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5DB98AAD">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姓    名：</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 性 </w:t>
      </w:r>
      <w:r>
        <w:rPr>
          <w:rFonts w:ascii="Calibri" w:hAnsi="Calibri" w:cs="Times New Roman"/>
          <w:color w:val="auto"/>
          <w:kern w:val="2"/>
          <w:sz w:val="24"/>
          <w:szCs w:val="28"/>
          <w:highlight w:val="none"/>
        </w:rPr>
        <w:t xml:space="preserve">  </w:t>
      </w:r>
      <w:r>
        <w:rPr>
          <w:rFonts w:hint="eastAsia" w:ascii="Calibri" w:hAnsi="Calibri" w:cs="Times New Roman"/>
          <w:color w:val="auto"/>
          <w:kern w:val="2"/>
          <w:sz w:val="24"/>
          <w:szCs w:val="28"/>
          <w:highlight w:val="none"/>
        </w:rPr>
        <w:t xml:space="preserve"> 别：</w:t>
      </w:r>
      <w:r>
        <w:rPr>
          <w:rFonts w:hint="eastAsia" w:ascii="Calibri" w:hAnsi="Calibri" w:cs="Times New Roman"/>
          <w:color w:val="auto"/>
          <w:kern w:val="2"/>
          <w:sz w:val="24"/>
          <w:szCs w:val="28"/>
          <w:highlight w:val="none"/>
          <w:u w:val="single"/>
        </w:rPr>
        <w:t xml:space="preserve">             </w:t>
      </w:r>
    </w:p>
    <w:p w14:paraId="6A350F79">
      <w:pPr>
        <w:snapToGrid w:val="0"/>
        <w:spacing w:line="360" w:lineRule="auto"/>
        <w:ind w:firstLine="480" w:firstLineChars="200"/>
        <w:jc w:val="left"/>
        <w:rPr>
          <w:rFonts w:ascii="Calibri" w:hAnsi="Calibri" w:cs="Times New Roman"/>
          <w:color w:val="auto"/>
          <w:kern w:val="2"/>
          <w:sz w:val="24"/>
          <w:szCs w:val="28"/>
          <w:highlight w:val="none"/>
          <w:u w:val="single"/>
        </w:rPr>
      </w:pPr>
      <w:r>
        <w:rPr>
          <w:rFonts w:hint="eastAsia" w:ascii="Calibri" w:hAnsi="Calibri" w:cs="Times New Roman"/>
          <w:color w:val="auto"/>
          <w:kern w:val="2"/>
          <w:sz w:val="24"/>
          <w:szCs w:val="28"/>
          <w:highlight w:val="none"/>
        </w:rPr>
        <w:t>年    龄：</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 职    务：</w:t>
      </w:r>
      <w:r>
        <w:rPr>
          <w:rFonts w:hint="eastAsia" w:ascii="Calibri" w:hAnsi="Calibri" w:cs="Times New Roman"/>
          <w:color w:val="auto"/>
          <w:kern w:val="2"/>
          <w:sz w:val="24"/>
          <w:szCs w:val="28"/>
          <w:highlight w:val="none"/>
          <w:u w:val="single"/>
        </w:rPr>
        <w:t xml:space="preserve">             </w:t>
      </w:r>
    </w:p>
    <w:p w14:paraId="19736D44">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联系</w:t>
      </w:r>
      <w:r>
        <w:rPr>
          <w:rFonts w:ascii="Calibri" w:hAnsi="Calibri" w:cs="Times New Roman"/>
          <w:color w:val="auto"/>
          <w:kern w:val="2"/>
          <w:sz w:val="24"/>
          <w:szCs w:val="28"/>
          <w:highlight w:val="none"/>
        </w:rPr>
        <w:t>电话</w:t>
      </w:r>
      <w:r>
        <w:rPr>
          <w:rFonts w:hint="eastAsia" w:ascii="Calibri" w:hAnsi="Calibri" w:cs="Times New Roman"/>
          <w:color w:val="auto"/>
          <w:kern w:val="2"/>
          <w:sz w:val="24"/>
          <w:szCs w:val="28"/>
          <w:highlight w:val="none"/>
        </w:rPr>
        <w:t>：</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 手机号码：</w:t>
      </w:r>
      <w:r>
        <w:rPr>
          <w:rFonts w:hint="eastAsia" w:ascii="Calibri" w:hAnsi="Calibri" w:cs="Times New Roman"/>
          <w:color w:val="auto"/>
          <w:kern w:val="2"/>
          <w:sz w:val="24"/>
          <w:szCs w:val="28"/>
          <w:highlight w:val="none"/>
          <w:u w:val="single"/>
        </w:rPr>
        <w:t xml:space="preserve">             </w:t>
      </w:r>
    </w:p>
    <w:p w14:paraId="0BC3FE18">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系  </w:t>
      </w:r>
      <w:r>
        <w:rPr>
          <w:rFonts w:hint="eastAsia" w:ascii="Calibri" w:hAnsi="Calibri" w:cs="Times New Roman"/>
          <w:color w:val="auto"/>
          <w:kern w:val="2"/>
          <w:sz w:val="24"/>
          <w:szCs w:val="28"/>
          <w:highlight w:val="none"/>
          <w:u w:val="single"/>
        </w:rPr>
        <w:t xml:space="preserve">   （供应商单位名称）       </w:t>
      </w:r>
      <w:r>
        <w:rPr>
          <w:rFonts w:hint="eastAsia" w:ascii="Calibri" w:hAnsi="Calibri" w:cs="Times New Roman"/>
          <w:color w:val="auto"/>
          <w:kern w:val="2"/>
          <w:sz w:val="24"/>
          <w:szCs w:val="28"/>
          <w:highlight w:val="none"/>
        </w:rPr>
        <w:t>的法定代表人。</w:t>
      </w:r>
    </w:p>
    <w:p w14:paraId="3DB535BB">
      <w:pPr>
        <w:spacing w:before="62" w:beforeLines="20" w:after="62" w:afterLines="20" w:line="540" w:lineRule="exact"/>
        <w:ind w:firstLine="610"/>
        <w:rPr>
          <w:rFonts w:ascii="@仿宋_GB2312" w:hAnsi="Calibri" w:eastAsia="@仿宋_GB2312" w:cs="宋体"/>
          <w:color w:val="auto"/>
          <w:kern w:val="2"/>
          <w:sz w:val="24"/>
          <w:szCs w:val="24"/>
          <w:highlight w:val="none"/>
        </w:rPr>
      </w:pPr>
    </w:p>
    <w:p w14:paraId="47D9E545">
      <w:pPr>
        <w:spacing w:before="62" w:beforeLines="20" w:after="62" w:afterLines="20" w:line="540" w:lineRule="exact"/>
        <w:ind w:left="400" w:leftChars="200" w:firstLine="240" w:firstLineChars="100"/>
        <w:rPr>
          <w:rFonts w:ascii="Calibri" w:hAnsi="Calibri" w:cs="宋体"/>
          <w:color w:val="auto"/>
          <w:kern w:val="2"/>
          <w:sz w:val="24"/>
          <w:szCs w:val="24"/>
          <w:highlight w:val="none"/>
        </w:rPr>
      </w:pPr>
      <w:r>
        <w:rPr>
          <w:rFonts w:hint="eastAsia" w:ascii="Calibri" w:hAnsi="Calibri" w:cs="宋体"/>
          <w:color w:val="auto"/>
          <w:kern w:val="2"/>
          <w:sz w:val="24"/>
          <w:szCs w:val="24"/>
          <w:highlight w:val="none"/>
        </w:rPr>
        <w:t>特此证明。</w:t>
      </w:r>
    </w:p>
    <w:p w14:paraId="24B7FEB5">
      <w:pPr>
        <w:tabs>
          <w:tab w:val="left" w:pos="720"/>
          <w:tab w:val="left" w:pos="900"/>
        </w:tabs>
        <w:spacing w:before="62" w:beforeLines="20" w:after="62" w:afterLines="20" w:line="540" w:lineRule="exact"/>
        <w:ind w:firstLine="480" w:firstLineChars="200"/>
        <w:rPr>
          <w:rFonts w:ascii="Calibri" w:hAnsi="Calibri" w:cs="宋体"/>
          <w:color w:val="auto"/>
          <w:kern w:val="2"/>
          <w:sz w:val="24"/>
          <w:szCs w:val="24"/>
          <w:highlight w:val="none"/>
        </w:rPr>
      </w:pPr>
      <w:r>
        <w:rPr>
          <w:rFonts w:hint="eastAsia" w:ascii="Calibri" w:hAnsi="Calibri" w:cs="宋体"/>
          <w:color w:val="auto"/>
          <w:kern w:val="2"/>
          <w:sz w:val="24"/>
          <w:szCs w:val="24"/>
          <w:highlight w:val="none"/>
        </w:rPr>
        <w:t>附：法定代表人身份证扫描件</w:t>
      </w:r>
    </w:p>
    <w:p w14:paraId="3F005CED">
      <w:pPr>
        <w:tabs>
          <w:tab w:val="left" w:pos="720"/>
          <w:tab w:val="left" w:pos="900"/>
        </w:tabs>
        <w:spacing w:before="62" w:beforeLines="20" w:after="62" w:afterLines="20" w:line="540" w:lineRule="exact"/>
        <w:ind w:firstLine="480" w:firstLineChars="200"/>
        <w:rPr>
          <w:rFonts w:ascii="@仿宋_GB2312" w:hAnsi="Calibri" w:eastAsia="@仿宋_GB2312" w:cs="宋体"/>
          <w:color w:val="auto"/>
          <w:kern w:val="2"/>
          <w:sz w:val="24"/>
          <w:szCs w:val="24"/>
          <w:highlight w:val="none"/>
        </w:rPr>
      </w:pPr>
    </w:p>
    <w:p w14:paraId="30BBCF85">
      <w:pPr>
        <w:tabs>
          <w:tab w:val="left" w:pos="720"/>
          <w:tab w:val="left" w:pos="900"/>
        </w:tabs>
        <w:spacing w:before="62" w:beforeLines="20" w:after="62" w:afterLines="20" w:line="540" w:lineRule="exact"/>
        <w:ind w:firstLine="4560" w:firstLineChars="1900"/>
        <w:rPr>
          <w:rFonts w:ascii="@仿宋_GB2312" w:hAnsi="Calibri" w:eastAsia="@仿宋_GB2312" w:cs="宋体"/>
          <w:color w:val="auto"/>
          <w:kern w:val="2"/>
          <w:sz w:val="24"/>
          <w:szCs w:val="24"/>
          <w:highlight w:val="none"/>
        </w:rPr>
      </w:pPr>
    </w:p>
    <w:p w14:paraId="49FC3C68">
      <w:pPr>
        <w:spacing w:line="360" w:lineRule="auto"/>
        <w:ind w:firstLine="3840" w:firstLineChars="1600"/>
        <w:rPr>
          <w:rFonts w:cs="宋体"/>
          <w:color w:val="auto"/>
          <w:kern w:val="2"/>
          <w:sz w:val="24"/>
          <w:szCs w:val="24"/>
          <w:highlight w:val="none"/>
        </w:rPr>
      </w:pPr>
      <w:r>
        <w:rPr>
          <w:rFonts w:hint="eastAsia" w:cs="宋体"/>
          <w:color w:val="auto"/>
          <w:kern w:val="2"/>
          <w:sz w:val="24"/>
          <w:szCs w:val="24"/>
          <w:highlight w:val="none"/>
        </w:rPr>
        <w:t>供应商电子签章：</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p>
    <w:p w14:paraId="6333E76B">
      <w:pPr>
        <w:spacing w:line="360" w:lineRule="auto"/>
        <w:ind w:firstLine="3840" w:firstLineChars="1600"/>
        <w:rPr>
          <w:rFonts w:cs="宋体"/>
          <w:color w:val="auto"/>
          <w:kern w:val="2"/>
          <w:sz w:val="24"/>
          <w:szCs w:val="24"/>
          <w:highlight w:val="none"/>
        </w:rPr>
      </w:pPr>
      <w:r>
        <w:rPr>
          <w:rFonts w:hint="eastAsia" w:cs="宋体"/>
          <w:color w:val="auto"/>
          <w:kern w:val="2"/>
          <w:sz w:val="24"/>
          <w:szCs w:val="24"/>
          <w:highlight w:val="none"/>
        </w:rPr>
        <w:t>日</w:t>
      </w:r>
      <w:r>
        <w:rPr>
          <w:rFonts w:cs="宋体"/>
          <w:color w:val="auto"/>
          <w:kern w:val="2"/>
          <w:sz w:val="24"/>
          <w:szCs w:val="24"/>
          <w:highlight w:val="none"/>
        </w:rPr>
        <w:t xml:space="preserve">   </w:t>
      </w:r>
      <w:r>
        <w:rPr>
          <w:rFonts w:hint="eastAsia" w:cs="宋体"/>
          <w:color w:val="auto"/>
          <w:kern w:val="2"/>
          <w:sz w:val="24"/>
          <w:szCs w:val="24"/>
          <w:highlight w:val="none"/>
        </w:rPr>
        <w:t xml:space="preserve">    </w:t>
      </w:r>
      <w:r>
        <w:rPr>
          <w:rFonts w:cs="宋体"/>
          <w:color w:val="auto"/>
          <w:kern w:val="2"/>
          <w:sz w:val="24"/>
          <w:szCs w:val="24"/>
          <w:highlight w:val="none"/>
        </w:rPr>
        <w:t xml:space="preserve">   </w:t>
      </w:r>
      <w:r>
        <w:rPr>
          <w:rFonts w:hint="eastAsia" w:cs="宋体"/>
          <w:color w:val="auto"/>
          <w:kern w:val="2"/>
          <w:sz w:val="24"/>
          <w:szCs w:val="24"/>
          <w:highlight w:val="none"/>
        </w:rPr>
        <w:t>期：</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p>
    <w:p w14:paraId="42CBA413">
      <w:pPr>
        <w:widowControl/>
        <w:jc w:val="left"/>
        <w:rPr>
          <w:rFonts w:cs="@仿宋_GB2312" w:asciiTheme="minorEastAsia" w:hAnsiTheme="minorEastAsia" w:eastAsiaTheme="minorEastAsia"/>
          <w:b/>
          <w:bCs/>
          <w:color w:val="auto"/>
          <w:kern w:val="2"/>
          <w:sz w:val="24"/>
          <w:szCs w:val="24"/>
          <w:highlight w:val="none"/>
        </w:rPr>
      </w:pPr>
      <w:r>
        <w:rPr>
          <w:rFonts w:cs="@仿宋_GB2312" w:asciiTheme="minorEastAsia" w:hAnsiTheme="minorEastAsia" w:eastAsiaTheme="minorEastAsia"/>
          <w:color w:val="auto"/>
          <w:kern w:val="2"/>
          <w:sz w:val="24"/>
          <w:szCs w:val="24"/>
          <w:highlight w:val="none"/>
        </w:rPr>
        <w:br w:type="page"/>
      </w:r>
    </w:p>
    <w:p w14:paraId="257341AE">
      <w:pPr>
        <w:keepNext/>
        <w:keepLines/>
        <w:spacing w:before="260" w:after="260" w:line="416" w:lineRule="auto"/>
        <w:jc w:val="center"/>
        <w:outlineLvl w:val="1"/>
        <w:rPr>
          <w:rFonts w:hint="eastAsia" w:cs="@仿宋_GB2312" w:asciiTheme="minorEastAsia" w:hAnsiTheme="minorEastAsia" w:eastAsiaTheme="minorEastAsia"/>
          <w:b/>
          <w:bCs/>
          <w:color w:val="auto"/>
          <w:kern w:val="2"/>
          <w:sz w:val="24"/>
          <w:szCs w:val="24"/>
          <w:highlight w:val="none"/>
        </w:rPr>
      </w:pPr>
      <w:bookmarkStart w:id="91" w:name="_Toc4373"/>
      <w:bookmarkStart w:id="92" w:name="_Toc20099"/>
      <w:r>
        <w:rPr>
          <w:rFonts w:hint="eastAsia" w:cs="@仿宋_GB2312" w:asciiTheme="minorEastAsia" w:hAnsiTheme="minorEastAsia" w:eastAsiaTheme="minorEastAsia"/>
          <w:b/>
          <w:bCs/>
          <w:color w:val="auto"/>
          <w:kern w:val="2"/>
          <w:sz w:val="24"/>
          <w:szCs w:val="24"/>
          <w:highlight w:val="none"/>
          <w:lang w:val="en-US" w:eastAsia="zh-CN"/>
        </w:rPr>
        <w:t>八</w:t>
      </w:r>
      <w:r>
        <w:rPr>
          <w:rFonts w:hint="eastAsia" w:cs="@仿宋_GB2312" w:asciiTheme="minorEastAsia" w:hAnsiTheme="minorEastAsia" w:eastAsiaTheme="minorEastAsia"/>
          <w:b/>
          <w:bCs/>
          <w:color w:val="auto"/>
          <w:kern w:val="2"/>
          <w:sz w:val="24"/>
          <w:szCs w:val="24"/>
          <w:highlight w:val="none"/>
        </w:rPr>
        <w:t>、项目经理承诺书</w:t>
      </w:r>
      <w:bookmarkEnd w:id="91"/>
      <w:bookmarkEnd w:id="92"/>
    </w:p>
    <w:p w14:paraId="11A2C38B">
      <w:pPr>
        <w:spacing w:line="360" w:lineRule="auto"/>
        <w:rPr>
          <w:rFonts w:hint="eastAsia" w:cs="宋体" w:asciiTheme="minorEastAsia" w:hAnsiTheme="minorEastAsia" w:eastAsiaTheme="minorEastAsia"/>
          <w:color w:val="auto"/>
          <w:kern w:val="2"/>
          <w:sz w:val="24"/>
          <w:szCs w:val="24"/>
          <w:highlight w:val="none"/>
          <w:lang w:eastAsia="zh-CN"/>
        </w:rPr>
      </w:pPr>
      <w:r>
        <w:rPr>
          <w:rFonts w:hint="eastAsia" w:cs="宋体" w:asciiTheme="minorEastAsia" w:hAnsiTheme="minorEastAsia" w:eastAsiaTheme="minorEastAsia"/>
          <w:b/>
          <w:color w:val="auto"/>
          <w:kern w:val="2"/>
          <w:sz w:val="24"/>
          <w:szCs w:val="24"/>
          <w:highlight w:val="none"/>
        </w:rPr>
        <w:t>致：</w:t>
      </w:r>
      <w:r>
        <w:rPr>
          <w:rFonts w:hint="eastAsia" w:cs="宋体" w:asciiTheme="minorEastAsia" w:hAnsiTheme="minorEastAsia" w:eastAsiaTheme="minorEastAsia"/>
          <w:b/>
          <w:color w:val="auto"/>
          <w:kern w:val="2"/>
          <w:sz w:val="24"/>
          <w:szCs w:val="24"/>
          <w:highlight w:val="none"/>
          <w:u w:val="none"/>
          <w:lang w:eastAsia="zh-CN"/>
        </w:rPr>
        <w:t>采购人</w:t>
      </w:r>
    </w:p>
    <w:p w14:paraId="2BF5E072">
      <w:pPr>
        <w:spacing w:line="360" w:lineRule="auto"/>
        <w:ind w:firstLine="480" w:firstLineChars="200"/>
        <w:rPr>
          <w:rFonts w:cs="宋体"/>
          <w:color w:val="auto"/>
          <w:kern w:val="2"/>
          <w:sz w:val="24"/>
          <w:szCs w:val="24"/>
          <w:highlight w:val="none"/>
        </w:rPr>
      </w:pPr>
      <w:r>
        <w:rPr>
          <w:rFonts w:hint="eastAsia" w:cs="宋体"/>
          <w:color w:val="auto"/>
          <w:kern w:val="2"/>
          <w:sz w:val="24"/>
          <w:szCs w:val="24"/>
          <w:highlight w:val="none"/>
        </w:rPr>
        <w:t>本人作为我单位在本项目磋商担任的项目经理，郑重承诺：</w:t>
      </w:r>
    </w:p>
    <w:p w14:paraId="7EB65188">
      <w:pPr>
        <w:spacing w:line="360" w:lineRule="auto"/>
        <w:ind w:firstLine="480" w:firstLineChars="200"/>
        <w:rPr>
          <w:rFonts w:cs="宋体"/>
          <w:color w:val="auto"/>
          <w:kern w:val="2"/>
          <w:sz w:val="24"/>
          <w:szCs w:val="24"/>
          <w:highlight w:val="none"/>
        </w:rPr>
      </w:pPr>
      <w:r>
        <w:rPr>
          <w:rFonts w:hint="eastAsia" w:cs="宋体"/>
          <w:color w:val="auto"/>
          <w:kern w:val="2"/>
          <w:sz w:val="24"/>
          <w:szCs w:val="24"/>
          <w:highlight w:val="none"/>
        </w:rPr>
        <w:t>一、本项目提供的项目经理业绩已经本人核实，工程实施过程中项目经理确为本人，合同（或竣工相关资料证明）的本人签字均为该工程实施时段所签，真实无误，不存在虚假和挂靠现象，也不存在为磋商而造假的行为。</w:t>
      </w:r>
    </w:p>
    <w:p w14:paraId="7B9D77B4">
      <w:pPr>
        <w:spacing w:line="360" w:lineRule="auto"/>
        <w:ind w:firstLine="480" w:firstLineChars="200"/>
        <w:rPr>
          <w:rFonts w:cs="宋体"/>
          <w:color w:val="auto"/>
          <w:kern w:val="2"/>
          <w:sz w:val="24"/>
          <w:szCs w:val="24"/>
          <w:highlight w:val="none"/>
        </w:rPr>
      </w:pPr>
      <w:r>
        <w:rPr>
          <w:rFonts w:hint="eastAsia" w:cs="宋体"/>
          <w:color w:val="auto"/>
          <w:kern w:val="2"/>
          <w:sz w:val="24"/>
          <w:szCs w:val="24"/>
          <w:highlight w:val="none"/>
          <w:lang w:val="en-US" w:eastAsia="zh-CN"/>
        </w:rPr>
        <w:t>二</w:t>
      </w:r>
      <w:r>
        <w:rPr>
          <w:rFonts w:hint="eastAsia" w:cs="宋体"/>
          <w:color w:val="auto"/>
          <w:kern w:val="2"/>
          <w:sz w:val="24"/>
          <w:szCs w:val="24"/>
          <w:highlight w:val="none"/>
        </w:rPr>
        <w:t>、本人承诺，一旦成交，将严格按照磋商文件规定履约。</w:t>
      </w:r>
    </w:p>
    <w:p w14:paraId="21898724">
      <w:pPr>
        <w:spacing w:line="360" w:lineRule="auto"/>
        <w:ind w:firstLine="480" w:firstLineChars="200"/>
        <w:rPr>
          <w:rFonts w:hint="eastAsia" w:cs="宋体"/>
          <w:color w:val="auto"/>
          <w:kern w:val="2"/>
          <w:sz w:val="24"/>
          <w:szCs w:val="24"/>
          <w:highlight w:val="none"/>
        </w:rPr>
      </w:pPr>
      <w:r>
        <w:rPr>
          <w:rFonts w:hint="eastAsia" w:cs="宋体"/>
          <w:color w:val="auto"/>
          <w:kern w:val="2"/>
          <w:sz w:val="24"/>
          <w:szCs w:val="24"/>
          <w:highlight w:val="none"/>
          <w:lang w:val="en-US" w:eastAsia="zh-CN"/>
        </w:rPr>
        <w:t>三</w:t>
      </w:r>
      <w:r>
        <w:rPr>
          <w:rFonts w:hint="eastAsia" w:cs="宋体"/>
          <w:color w:val="auto"/>
          <w:kern w:val="2"/>
          <w:sz w:val="24"/>
          <w:szCs w:val="24"/>
          <w:highlight w:val="none"/>
        </w:rPr>
        <w:t>、本人声明，对以上承诺，一旦发现虚假现象，本人愿意承担相应法律责任，并随时无条件配合监管部门调查取证。</w:t>
      </w:r>
    </w:p>
    <w:p w14:paraId="21278914">
      <w:pPr>
        <w:spacing w:line="360" w:lineRule="auto"/>
        <w:ind w:firstLine="480" w:firstLineChars="200"/>
        <w:rPr>
          <w:rFonts w:hint="eastAsia" w:cs="宋体"/>
          <w:color w:val="auto"/>
          <w:kern w:val="2"/>
          <w:sz w:val="24"/>
          <w:szCs w:val="24"/>
          <w:highlight w:val="none"/>
          <w:lang w:val="en-US" w:eastAsia="zh-CN"/>
        </w:rPr>
      </w:pPr>
      <w:r>
        <w:rPr>
          <w:rFonts w:hint="eastAsia" w:cs="宋体"/>
          <w:color w:val="auto"/>
          <w:kern w:val="2"/>
          <w:sz w:val="24"/>
          <w:szCs w:val="24"/>
          <w:highlight w:val="none"/>
          <w:lang w:val="en-US" w:eastAsia="zh-CN"/>
        </w:rPr>
        <w:t>四、</w:t>
      </w:r>
      <w:r>
        <w:rPr>
          <w:rFonts w:hint="eastAsia" w:cs="宋体"/>
          <w:color w:val="auto"/>
          <w:kern w:val="2"/>
          <w:sz w:val="24"/>
          <w:szCs w:val="24"/>
          <w:highlight w:val="none"/>
          <w:u w:val="single"/>
        </w:rPr>
        <w:t xml:space="preserve">                   </w:t>
      </w:r>
    </w:p>
    <w:p w14:paraId="6875C779">
      <w:pPr>
        <w:spacing w:line="360" w:lineRule="auto"/>
        <w:ind w:firstLine="480" w:firstLineChars="200"/>
        <w:rPr>
          <w:rFonts w:cs="宋体"/>
          <w:color w:val="auto"/>
          <w:kern w:val="2"/>
          <w:sz w:val="24"/>
          <w:szCs w:val="24"/>
          <w:highlight w:val="none"/>
        </w:rPr>
      </w:pPr>
    </w:p>
    <w:p w14:paraId="02A208CB">
      <w:pPr>
        <w:spacing w:line="360" w:lineRule="auto"/>
        <w:ind w:firstLine="4200" w:firstLineChars="1750"/>
        <w:rPr>
          <w:rFonts w:cs="宋体"/>
          <w:color w:val="auto"/>
          <w:kern w:val="2"/>
          <w:sz w:val="24"/>
          <w:szCs w:val="24"/>
          <w:highlight w:val="none"/>
        </w:rPr>
      </w:pPr>
      <w:r>
        <w:rPr>
          <w:rFonts w:hint="eastAsia" w:cs="宋体"/>
          <w:color w:val="auto"/>
          <w:kern w:val="2"/>
          <w:sz w:val="24"/>
          <w:szCs w:val="24"/>
          <w:highlight w:val="none"/>
        </w:rPr>
        <w:t>项目经理签字：</w:t>
      </w:r>
      <w:r>
        <w:rPr>
          <w:rFonts w:hint="eastAsia" w:cs="宋体"/>
          <w:color w:val="auto"/>
          <w:kern w:val="2"/>
          <w:sz w:val="24"/>
          <w:szCs w:val="24"/>
          <w:highlight w:val="none"/>
          <w:u w:val="single"/>
        </w:rPr>
        <w:t xml:space="preserve">                   </w:t>
      </w:r>
    </w:p>
    <w:p w14:paraId="1710F710">
      <w:pPr>
        <w:spacing w:line="360" w:lineRule="auto"/>
        <w:ind w:firstLine="4200" w:firstLineChars="1750"/>
        <w:rPr>
          <w:rFonts w:cs="宋体"/>
          <w:color w:val="auto"/>
          <w:kern w:val="2"/>
          <w:sz w:val="24"/>
          <w:szCs w:val="24"/>
          <w:highlight w:val="none"/>
        </w:rPr>
      </w:pPr>
      <w:r>
        <w:rPr>
          <w:rFonts w:hint="eastAsia" w:cs="宋体"/>
          <w:color w:val="auto"/>
          <w:kern w:val="2"/>
          <w:sz w:val="24"/>
          <w:szCs w:val="24"/>
          <w:highlight w:val="none"/>
        </w:rPr>
        <w:t>身份证号：</w:t>
      </w:r>
      <w:r>
        <w:rPr>
          <w:rFonts w:hint="eastAsia" w:cs="宋体"/>
          <w:color w:val="auto"/>
          <w:kern w:val="2"/>
          <w:sz w:val="24"/>
          <w:szCs w:val="24"/>
          <w:highlight w:val="none"/>
          <w:u w:val="single"/>
        </w:rPr>
        <w:t xml:space="preserve">                       </w:t>
      </w:r>
    </w:p>
    <w:p w14:paraId="7A8809BD">
      <w:pPr>
        <w:spacing w:line="360" w:lineRule="auto"/>
        <w:ind w:firstLine="4200" w:firstLineChars="1750"/>
        <w:rPr>
          <w:rFonts w:cs="宋体"/>
          <w:color w:val="auto"/>
          <w:kern w:val="2"/>
          <w:sz w:val="24"/>
          <w:szCs w:val="24"/>
          <w:highlight w:val="none"/>
        </w:rPr>
      </w:pPr>
      <w:r>
        <w:rPr>
          <w:rFonts w:hint="eastAsia" w:cs="宋体"/>
          <w:color w:val="auto"/>
          <w:kern w:val="2"/>
          <w:sz w:val="24"/>
          <w:szCs w:val="24"/>
          <w:highlight w:val="none"/>
        </w:rPr>
        <w:t>日    期：</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p>
    <w:p w14:paraId="21392581">
      <w:pPr>
        <w:spacing w:line="360" w:lineRule="auto"/>
        <w:ind w:firstLine="480" w:firstLineChars="200"/>
        <w:rPr>
          <w:rFonts w:cs="宋体"/>
          <w:color w:val="auto"/>
          <w:kern w:val="2"/>
          <w:sz w:val="24"/>
          <w:szCs w:val="24"/>
          <w:highlight w:val="none"/>
        </w:rPr>
      </w:pPr>
    </w:p>
    <w:p w14:paraId="4CE2F75C">
      <w:pPr>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color w:val="auto"/>
          <w:kern w:val="2"/>
          <w:sz w:val="24"/>
          <w:szCs w:val="24"/>
          <w:highlight w:val="none"/>
        </w:rPr>
        <w:t>注：本页后附项目经理身份证明扫描件。</w:t>
      </w:r>
    </w:p>
    <w:p w14:paraId="5D8B4325">
      <w:pPr>
        <w:autoSpaceDE w:val="0"/>
        <w:autoSpaceDN w:val="0"/>
        <w:adjustRightInd w:val="0"/>
        <w:spacing w:line="360" w:lineRule="auto"/>
        <w:jc w:val="center"/>
        <w:rPr>
          <w:rFonts w:ascii="@仿宋_GB2312" w:eastAsia="@仿宋_GB2312" w:cs="宋体"/>
          <w:color w:val="auto"/>
          <w:kern w:val="2"/>
          <w:sz w:val="24"/>
          <w:szCs w:val="24"/>
          <w:highlight w:val="none"/>
          <w:lang w:val="zh-CN"/>
        </w:rPr>
      </w:pPr>
      <w:bookmarkStart w:id="93" w:name="_Toc438648628"/>
      <w:r>
        <w:rPr>
          <w:rFonts w:hint="eastAsia" w:ascii="@仿宋_GB2312" w:eastAsia="@仿宋_GB2312" w:cs="宋体"/>
          <w:b/>
          <w:color w:val="auto"/>
          <w:kern w:val="2"/>
          <w:sz w:val="24"/>
          <w:szCs w:val="24"/>
          <w:highlight w:val="none"/>
        </w:rPr>
        <w:br w:type="page"/>
      </w:r>
      <w:bookmarkEnd w:id="93"/>
    </w:p>
    <w:p w14:paraId="70F1FC05">
      <w:pPr>
        <w:spacing w:line="360" w:lineRule="auto"/>
        <w:jc w:val="center"/>
        <w:outlineLvl w:val="1"/>
        <w:rPr>
          <w:rFonts w:asciiTheme="minorEastAsia" w:hAnsiTheme="minorEastAsia" w:eastAsiaTheme="minorEastAsia"/>
          <w:b/>
          <w:color w:val="auto"/>
          <w:sz w:val="24"/>
          <w:highlight w:val="none"/>
        </w:rPr>
      </w:pPr>
      <w:bookmarkStart w:id="94" w:name="_Toc31386"/>
      <w:bookmarkStart w:id="95" w:name="_Toc3604"/>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w:t>
      </w:r>
      <w:bookmarkEnd w:id="94"/>
      <w:bookmarkEnd w:id="95"/>
      <w:bookmarkStart w:id="96" w:name="_Toc31589"/>
      <w:bookmarkStart w:id="97" w:name="_Toc28359"/>
      <w:r>
        <w:rPr>
          <w:rFonts w:hint="eastAsia" w:asciiTheme="minorEastAsia" w:hAnsiTheme="minorEastAsia" w:eastAsiaTheme="minorEastAsia"/>
          <w:b/>
          <w:color w:val="auto"/>
          <w:sz w:val="24"/>
          <w:highlight w:val="none"/>
        </w:rPr>
        <w:t>中小企业声明函</w:t>
      </w:r>
      <w:bookmarkEnd w:id="96"/>
      <w:bookmarkEnd w:id="97"/>
    </w:p>
    <w:p w14:paraId="4AE6980F">
      <w:pPr>
        <w:pStyle w:val="19"/>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olor w:val="auto"/>
          <w:sz w:val="24"/>
          <w:szCs w:val="24"/>
          <w:highlight w:val="none"/>
        </w:rPr>
      </w:pPr>
      <w:r>
        <w:rPr>
          <w:rFonts w:hint="eastAsia" w:ascii="宋体" w:hAnsi="宋体" w:eastAsia="宋体"/>
          <w:b w:val="0"/>
          <w:i/>
          <w:color w:val="auto"/>
          <w:sz w:val="24"/>
          <w:highlight w:val="none"/>
          <w:lang w:val="en-US" w:eastAsia="zh-CN"/>
        </w:rPr>
        <w:t>（</w:t>
      </w:r>
      <w:r>
        <w:rPr>
          <w:rFonts w:hint="eastAsia" w:ascii="宋体" w:hAnsi="宋体" w:eastAsia="宋体"/>
          <w:b w:val="0"/>
          <w:i/>
          <w:color w:val="auto"/>
          <w:sz w:val="24"/>
          <w:highlight w:val="none"/>
          <w:lang w:val="zh-CN" w:eastAsia="zh-CN"/>
        </w:rPr>
        <w:t>非中小企业</w:t>
      </w:r>
      <w:r>
        <w:rPr>
          <w:rFonts w:hint="eastAsia" w:ascii="宋体" w:hAnsi="宋体" w:eastAsia="宋体"/>
          <w:b w:val="0"/>
          <w:i/>
          <w:color w:val="auto"/>
          <w:sz w:val="24"/>
          <w:highlight w:val="none"/>
          <w:lang w:val="en-US" w:eastAsia="zh-CN"/>
        </w:rPr>
        <w:t>磋商，不需此件，请删去“中小企业声明函”）</w:t>
      </w:r>
    </w:p>
    <w:p w14:paraId="27D01255">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本公司（联合体）郑重声明，根据《政府采购促进中小企业发展管理办法》（财库﹝2020﹞46号）的规定，本公司（联合体）参加</w:t>
      </w:r>
      <w:r>
        <w:rPr>
          <w:rFonts w:hint="eastAsia" w:cs="@仿宋_GB2312"/>
          <w:color w:val="auto"/>
          <w:kern w:val="2"/>
          <w:sz w:val="24"/>
          <w:szCs w:val="24"/>
          <w:highlight w:val="none"/>
          <w:u w:val="single"/>
          <w:lang w:val="zh-CN"/>
        </w:rPr>
        <w:t>（单位</w:t>
      </w:r>
      <w:r>
        <w:rPr>
          <w:rFonts w:hint="eastAsia" w:cs="@仿宋_GB2312"/>
          <w:color w:val="auto"/>
          <w:kern w:val="2"/>
          <w:sz w:val="24"/>
          <w:szCs w:val="24"/>
          <w:highlight w:val="none"/>
          <w:u w:val="single"/>
          <w:lang w:val="en-US" w:eastAsia="zh-CN"/>
        </w:rPr>
        <w:t>名称</w:t>
      </w:r>
      <w:r>
        <w:rPr>
          <w:rFonts w:hint="eastAsia" w:cs="@仿宋_GB2312"/>
          <w:color w:val="auto"/>
          <w:kern w:val="2"/>
          <w:sz w:val="24"/>
          <w:szCs w:val="24"/>
          <w:highlight w:val="none"/>
          <w:u w:val="single"/>
          <w:lang w:val="zh-CN"/>
        </w:rPr>
        <w:t>）</w:t>
      </w:r>
      <w:r>
        <w:rPr>
          <w:rFonts w:hint="eastAsia" w:cs="@仿宋_GB2312"/>
          <w:color w:val="auto"/>
          <w:kern w:val="2"/>
          <w:sz w:val="24"/>
          <w:szCs w:val="24"/>
          <w:highlight w:val="none"/>
          <w:lang w:val="zh-CN"/>
        </w:rPr>
        <w:t>的</w:t>
      </w:r>
      <w:r>
        <w:rPr>
          <w:rFonts w:hint="eastAsia" w:cs="@仿宋_GB2312"/>
          <w:color w:val="auto"/>
          <w:kern w:val="2"/>
          <w:sz w:val="24"/>
          <w:szCs w:val="24"/>
          <w:highlight w:val="none"/>
          <w:u w:val="single"/>
          <w:lang w:val="zh-CN"/>
        </w:rPr>
        <w:t>（项目</w:t>
      </w:r>
      <w:r>
        <w:rPr>
          <w:rFonts w:hint="eastAsia" w:cs="@仿宋_GB2312"/>
          <w:color w:val="auto"/>
          <w:kern w:val="2"/>
          <w:sz w:val="24"/>
          <w:szCs w:val="24"/>
          <w:highlight w:val="none"/>
          <w:u w:val="single"/>
          <w:lang w:val="en-US" w:eastAsia="zh-CN"/>
        </w:rPr>
        <w:t>名称</w:t>
      </w:r>
      <w:r>
        <w:rPr>
          <w:rFonts w:hint="eastAsia" w:cs="@仿宋_GB2312"/>
          <w:color w:val="auto"/>
          <w:kern w:val="2"/>
          <w:sz w:val="24"/>
          <w:szCs w:val="24"/>
          <w:highlight w:val="none"/>
          <w:u w:val="single"/>
          <w:lang w:val="zh-CN"/>
        </w:rPr>
        <w:t>）</w:t>
      </w:r>
      <w:r>
        <w:rPr>
          <w:rFonts w:hint="eastAsia" w:cs="@仿宋_GB2312"/>
          <w:color w:val="auto"/>
          <w:kern w:val="2"/>
          <w:sz w:val="24"/>
          <w:szCs w:val="24"/>
          <w:highlight w:val="none"/>
          <w:lang w:val="zh-CN"/>
        </w:rPr>
        <w:t xml:space="preserve">采购活动，工程的施工单位全部为符合政策要求的中小企业。相关企业（含联合体中的中小企业、签订分包意向协议的中小企业）的具体情况如下： </w:t>
      </w:r>
    </w:p>
    <w:p w14:paraId="715A3A89">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1.</w:t>
      </w:r>
      <w:r>
        <w:rPr>
          <w:rFonts w:hint="eastAsia" w:cs="@仿宋_GB2312"/>
          <w:color w:val="auto"/>
          <w:kern w:val="2"/>
          <w:sz w:val="24"/>
          <w:szCs w:val="24"/>
          <w:highlight w:val="none"/>
          <w:u w:val="single"/>
          <w:lang w:val="zh-CN"/>
        </w:rPr>
        <w:t xml:space="preserve"> （标的名称） </w:t>
      </w:r>
      <w:r>
        <w:rPr>
          <w:rFonts w:hint="eastAsia" w:cs="@仿宋_GB2312"/>
          <w:color w:val="auto"/>
          <w:kern w:val="2"/>
          <w:sz w:val="24"/>
          <w:szCs w:val="24"/>
          <w:highlight w:val="none"/>
          <w:lang w:val="zh-CN"/>
        </w:rPr>
        <w:t>，属于</w:t>
      </w:r>
      <w:r>
        <w:rPr>
          <w:rFonts w:hint="eastAsia" w:cs="@仿宋_GB2312"/>
          <w:color w:val="auto"/>
          <w:kern w:val="2"/>
          <w:sz w:val="24"/>
          <w:szCs w:val="24"/>
          <w:highlight w:val="none"/>
          <w:u w:val="single"/>
          <w:lang w:val="zh-CN"/>
        </w:rPr>
        <w:t>（采购文件中明确的所属行业）</w:t>
      </w:r>
      <w:r>
        <w:rPr>
          <w:rFonts w:hint="eastAsia" w:cs="@仿宋_GB2312"/>
          <w:color w:val="auto"/>
          <w:kern w:val="2"/>
          <w:sz w:val="24"/>
          <w:szCs w:val="24"/>
          <w:highlight w:val="none"/>
          <w:lang w:val="zh-CN"/>
        </w:rPr>
        <w:t>行业；承建企业为</w:t>
      </w:r>
      <w:r>
        <w:rPr>
          <w:rFonts w:hint="eastAsia" w:cs="@仿宋_GB2312"/>
          <w:color w:val="auto"/>
          <w:kern w:val="2"/>
          <w:sz w:val="24"/>
          <w:szCs w:val="24"/>
          <w:highlight w:val="none"/>
          <w:u w:val="single"/>
          <w:lang w:val="zh-CN"/>
        </w:rPr>
        <w:t>（企业名称）</w:t>
      </w:r>
      <w:r>
        <w:rPr>
          <w:rFonts w:hint="eastAsia" w:cs="@仿宋_GB2312"/>
          <w:color w:val="auto"/>
          <w:kern w:val="2"/>
          <w:sz w:val="24"/>
          <w:szCs w:val="24"/>
          <w:highlight w:val="none"/>
          <w:lang w:val="zh-CN"/>
        </w:rPr>
        <w:t>，从业人员</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人，营业收入为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万元，资产总额为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万元，属于</w:t>
      </w:r>
      <w:r>
        <w:rPr>
          <w:rFonts w:hint="eastAsia" w:cs="@仿宋_GB2312"/>
          <w:color w:val="auto"/>
          <w:kern w:val="2"/>
          <w:sz w:val="24"/>
          <w:szCs w:val="24"/>
          <w:highlight w:val="none"/>
          <w:u w:val="single"/>
          <w:lang w:val="zh-CN"/>
        </w:rPr>
        <w:t>（中型企业、小型企业、微型企业）</w:t>
      </w:r>
      <w:r>
        <w:rPr>
          <w:rFonts w:hint="eastAsia" w:cs="@仿宋_GB2312"/>
          <w:color w:val="auto"/>
          <w:kern w:val="2"/>
          <w:sz w:val="24"/>
          <w:szCs w:val="24"/>
          <w:highlight w:val="none"/>
          <w:lang w:val="zh-CN"/>
        </w:rPr>
        <w:t xml:space="preserve">； </w:t>
      </w:r>
    </w:p>
    <w:p w14:paraId="0FB861DC">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2.</w:t>
      </w:r>
      <w:r>
        <w:rPr>
          <w:rFonts w:hint="eastAsia" w:cs="@仿宋_GB2312"/>
          <w:color w:val="auto"/>
          <w:kern w:val="2"/>
          <w:sz w:val="24"/>
          <w:szCs w:val="24"/>
          <w:highlight w:val="none"/>
          <w:u w:val="single"/>
          <w:lang w:val="zh-CN"/>
        </w:rPr>
        <w:t xml:space="preserve"> （标的名称） </w:t>
      </w:r>
      <w:r>
        <w:rPr>
          <w:rFonts w:hint="eastAsia" w:cs="@仿宋_GB2312"/>
          <w:color w:val="auto"/>
          <w:kern w:val="2"/>
          <w:sz w:val="24"/>
          <w:szCs w:val="24"/>
          <w:highlight w:val="none"/>
          <w:lang w:val="zh-CN"/>
        </w:rPr>
        <w:t>，属于</w:t>
      </w:r>
      <w:r>
        <w:rPr>
          <w:rFonts w:hint="eastAsia" w:cs="@仿宋_GB2312"/>
          <w:color w:val="auto"/>
          <w:kern w:val="2"/>
          <w:sz w:val="24"/>
          <w:szCs w:val="24"/>
          <w:highlight w:val="none"/>
          <w:u w:val="single"/>
          <w:lang w:val="zh-CN"/>
        </w:rPr>
        <w:t>（采购文件中明确的所属行业）</w:t>
      </w:r>
      <w:r>
        <w:rPr>
          <w:rFonts w:hint="eastAsia" w:cs="@仿宋_GB2312"/>
          <w:color w:val="auto"/>
          <w:kern w:val="2"/>
          <w:sz w:val="24"/>
          <w:szCs w:val="24"/>
          <w:highlight w:val="none"/>
          <w:lang w:val="zh-CN"/>
        </w:rPr>
        <w:t>行业；承建企业为</w:t>
      </w:r>
      <w:r>
        <w:rPr>
          <w:rFonts w:hint="eastAsia" w:cs="@仿宋_GB2312"/>
          <w:color w:val="auto"/>
          <w:kern w:val="2"/>
          <w:sz w:val="24"/>
          <w:szCs w:val="24"/>
          <w:highlight w:val="none"/>
          <w:u w:val="single"/>
          <w:lang w:val="zh-CN"/>
        </w:rPr>
        <w:t>（企业名称）</w:t>
      </w:r>
      <w:r>
        <w:rPr>
          <w:rFonts w:hint="eastAsia" w:cs="@仿宋_GB2312"/>
          <w:color w:val="auto"/>
          <w:kern w:val="2"/>
          <w:sz w:val="24"/>
          <w:szCs w:val="24"/>
          <w:highlight w:val="none"/>
          <w:lang w:val="zh-CN"/>
        </w:rPr>
        <w:t>，从业人员</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人，营业收入为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万元，资产总额为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万元，属于</w:t>
      </w:r>
      <w:r>
        <w:rPr>
          <w:rFonts w:hint="eastAsia" w:cs="@仿宋_GB2312"/>
          <w:color w:val="auto"/>
          <w:kern w:val="2"/>
          <w:sz w:val="24"/>
          <w:szCs w:val="24"/>
          <w:highlight w:val="none"/>
          <w:u w:val="single"/>
          <w:lang w:val="zh-CN"/>
        </w:rPr>
        <w:t>（中型企业、小型企业、微型企业）</w:t>
      </w:r>
      <w:r>
        <w:rPr>
          <w:rFonts w:hint="eastAsia" w:cs="@仿宋_GB2312"/>
          <w:color w:val="auto"/>
          <w:kern w:val="2"/>
          <w:sz w:val="24"/>
          <w:szCs w:val="24"/>
          <w:highlight w:val="none"/>
          <w:lang w:val="zh-CN"/>
        </w:rPr>
        <w:t xml:space="preserve">； </w:t>
      </w:r>
    </w:p>
    <w:p w14:paraId="7864AC98">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w:t>
      </w:r>
    </w:p>
    <w:p w14:paraId="20D5CCA1">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以上企业，不属于大企业的分支机构，不存在控股股东为大企业的情形，也不存在与大企业的负责人为同一人的情形。</w:t>
      </w:r>
    </w:p>
    <w:p w14:paraId="5CADCD9C">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 xml:space="preserve">本企业对上述声明内容的真实性负责。如有虚假，将依法承担相应责任。 </w:t>
      </w:r>
    </w:p>
    <w:p w14:paraId="33E2513E">
      <w:pPr>
        <w:spacing w:line="360" w:lineRule="auto"/>
        <w:ind w:firstLine="435"/>
        <w:rPr>
          <w:rFonts w:cs="@仿宋_GB2312" w:asciiTheme="minorEastAsia" w:hAnsiTheme="minorEastAsia" w:eastAsiaTheme="minorEastAsia"/>
          <w:color w:val="auto"/>
          <w:kern w:val="2"/>
          <w:sz w:val="24"/>
          <w:szCs w:val="24"/>
          <w:highlight w:val="none"/>
        </w:rPr>
      </w:pPr>
    </w:p>
    <w:p w14:paraId="6EEAE77B">
      <w:pPr>
        <w:spacing w:line="360" w:lineRule="auto"/>
        <w:ind w:firstLine="435"/>
        <w:rPr>
          <w:rFonts w:cs="@仿宋_GB2312" w:asciiTheme="minorEastAsia" w:hAnsiTheme="minorEastAsia" w:eastAsiaTheme="minorEastAsia"/>
          <w:color w:val="auto"/>
          <w:kern w:val="2"/>
          <w:sz w:val="24"/>
          <w:szCs w:val="24"/>
          <w:highlight w:val="none"/>
        </w:rPr>
      </w:pPr>
    </w:p>
    <w:p w14:paraId="2E5CF82D">
      <w:pPr>
        <w:spacing w:line="360" w:lineRule="auto"/>
        <w:ind w:firstLine="4228" w:firstLineChars="1762"/>
        <w:rPr>
          <w:rFonts w:cs="@仿宋_GB2312" w:asciiTheme="minorEastAsia" w:hAnsiTheme="minorEastAsia" w:eastAsiaTheme="minorEastAsia"/>
          <w:color w:val="auto"/>
          <w:kern w:val="2"/>
          <w:sz w:val="24"/>
          <w:szCs w:val="24"/>
          <w:highlight w:val="none"/>
          <w:u w:val="single"/>
        </w:rPr>
      </w:pPr>
      <w:r>
        <w:rPr>
          <w:rFonts w:hint="eastAsia" w:cs="@仿宋_GB2312" w:asciiTheme="minorEastAsia" w:hAnsiTheme="minorEastAsia" w:eastAsiaTheme="minorEastAsia"/>
          <w:color w:val="auto"/>
          <w:kern w:val="2"/>
          <w:sz w:val="24"/>
          <w:szCs w:val="24"/>
          <w:highlight w:val="none"/>
        </w:rPr>
        <w:t>供应商</w:t>
      </w:r>
      <w:r>
        <w:rPr>
          <w:rFonts w:cs="@仿宋_GB2312" w:asciiTheme="minorEastAsia" w:hAnsiTheme="minorEastAsia" w:eastAsiaTheme="minorEastAsia"/>
          <w:color w:val="auto"/>
          <w:kern w:val="2"/>
          <w:sz w:val="24"/>
          <w:szCs w:val="24"/>
          <w:highlight w:val="none"/>
        </w:rPr>
        <w:t>电子签章</w:t>
      </w:r>
      <w:r>
        <w:rPr>
          <w:rFonts w:hint="eastAsia" w:cs="@仿宋_GB2312" w:asciiTheme="minorEastAsia" w:hAnsiTheme="minorEastAsia" w:eastAsiaTheme="minorEastAsia"/>
          <w:color w:val="auto"/>
          <w:kern w:val="2"/>
          <w:sz w:val="24"/>
          <w:szCs w:val="24"/>
          <w:highlight w:val="none"/>
        </w:rPr>
        <w:t>：</w:t>
      </w:r>
      <w:r>
        <w:rPr>
          <w:rFonts w:cs="@仿宋_GB2312" w:asciiTheme="minorEastAsia" w:hAnsiTheme="minorEastAsia" w:eastAsiaTheme="minorEastAsia"/>
          <w:color w:val="auto"/>
          <w:kern w:val="2"/>
          <w:sz w:val="24"/>
          <w:szCs w:val="24"/>
          <w:highlight w:val="none"/>
          <w:u w:val="single"/>
        </w:rPr>
        <w:t xml:space="preserve">             </w:t>
      </w:r>
    </w:p>
    <w:p w14:paraId="36715661">
      <w:pPr>
        <w:tabs>
          <w:tab w:val="left" w:pos="4620"/>
        </w:tabs>
        <w:spacing w:line="360" w:lineRule="auto"/>
        <w:ind w:firstLine="4252" w:firstLineChars="1772"/>
        <w:rPr>
          <w:rFonts w:cs="@仿宋_GB2312" w:asciiTheme="minorEastAsia" w:hAnsiTheme="minorEastAsia" w:eastAsiaTheme="minorEastAsia"/>
          <w:color w:val="auto"/>
          <w:kern w:val="2"/>
          <w:sz w:val="24"/>
          <w:szCs w:val="24"/>
          <w:highlight w:val="none"/>
          <w:u w:val="single"/>
        </w:rPr>
      </w:pPr>
      <w:r>
        <w:rPr>
          <w:rFonts w:hint="eastAsia" w:cs="@仿宋_GB2312" w:asciiTheme="minorEastAsia" w:hAnsiTheme="minorEastAsia" w:eastAsiaTheme="minorEastAsia"/>
          <w:color w:val="auto"/>
          <w:kern w:val="2"/>
          <w:sz w:val="24"/>
          <w:szCs w:val="24"/>
          <w:highlight w:val="none"/>
        </w:rPr>
        <w:t>日</w:t>
      </w:r>
      <w:r>
        <w:rPr>
          <w:rFonts w:cs="@仿宋_GB2312" w:asciiTheme="minorEastAsia" w:hAnsiTheme="minorEastAsia" w:eastAsiaTheme="minorEastAsia"/>
          <w:color w:val="auto"/>
          <w:kern w:val="2"/>
          <w:sz w:val="24"/>
          <w:szCs w:val="24"/>
          <w:highlight w:val="none"/>
        </w:rPr>
        <w:t xml:space="preserve">      </w:t>
      </w:r>
      <w:r>
        <w:rPr>
          <w:rFonts w:hint="eastAsia" w:cs="@仿宋_GB2312" w:asciiTheme="minorEastAsia" w:hAnsiTheme="minorEastAsia" w:eastAsiaTheme="minorEastAsia"/>
          <w:color w:val="auto"/>
          <w:kern w:val="2"/>
          <w:sz w:val="24"/>
          <w:szCs w:val="24"/>
          <w:highlight w:val="none"/>
        </w:rPr>
        <w:t xml:space="preserve">    期：</w:t>
      </w:r>
      <w:r>
        <w:rPr>
          <w:rFonts w:cs="@仿宋_GB2312" w:asciiTheme="minorEastAsia" w:hAnsiTheme="minorEastAsia" w:eastAsiaTheme="minorEastAsia"/>
          <w:color w:val="auto"/>
          <w:kern w:val="2"/>
          <w:sz w:val="24"/>
          <w:szCs w:val="24"/>
          <w:highlight w:val="none"/>
          <w:u w:val="single"/>
        </w:rPr>
        <w:t xml:space="preserve">             </w:t>
      </w:r>
    </w:p>
    <w:p w14:paraId="64F20A08">
      <w:pPr>
        <w:tabs>
          <w:tab w:val="left" w:pos="4620"/>
        </w:tabs>
        <w:spacing w:line="360" w:lineRule="auto"/>
        <w:jc w:val="left"/>
        <w:rPr>
          <w:rFonts w:cs="@仿宋_GB2312" w:asciiTheme="minorEastAsia" w:hAnsiTheme="minorEastAsia" w:eastAsiaTheme="minorEastAsia"/>
          <w:color w:val="auto"/>
          <w:kern w:val="2"/>
          <w:sz w:val="24"/>
          <w:szCs w:val="24"/>
          <w:highlight w:val="none"/>
        </w:rPr>
      </w:pPr>
    </w:p>
    <w:p w14:paraId="504AEB90">
      <w:pPr>
        <w:tabs>
          <w:tab w:val="left" w:pos="4620"/>
        </w:tabs>
        <w:spacing w:line="360" w:lineRule="auto"/>
        <w:jc w:val="left"/>
        <w:rPr>
          <w:rFonts w:cs="@仿宋_GB2312" w:asciiTheme="minorEastAsia" w:hAnsiTheme="minorEastAsia" w:eastAsiaTheme="minorEastAsia"/>
          <w:color w:val="auto"/>
          <w:kern w:val="2"/>
          <w:sz w:val="24"/>
          <w:szCs w:val="24"/>
          <w:highlight w:val="none"/>
        </w:rPr>
      </w:pPr>
    </w:p>
    <w:p w14:paraId="22347E35">
      <w:pPr>
        <w:tabs>
          <w:tab w:val="left" w:pos="4620"/>
        </w:tabs>
        <w:spacing w:line="360" w:lineRule="auto"/>
        <w:jc w:val="left"/>
        <w:rPr>
          <w:rFonts w:cs="@仿宋_GB2312" w:asciiTheme="minorEastAsia" w:hAnsiTheme="minorEastAsia" w:eastAsiaTheme="minorEastAsia"/>
          <w:color w:val="auto"/>
          <w:kern w:val="2"/>
          <w:sz w:val="24"/>
          <w:szCs w:val="24"/>
          <w:highlight w:val="none"/>
        </w:rPr>
      </w:pPr>
    </w:p>
    <w:p w14:paraId="7F833AA4">
      <w:pPr>
        <w:tabs>
          <w:tab w:val="left" w:pos="4620"/>
        </w:tabs>
        <w:spacing w:line="360" w:lineRule="auto"/>
        <w:jc w:val="left"/>
        <w:rPr>
          <w:rFonts w:cs="@仿宋_GB2312" w:asciiTheme="minorEastAsia" w:hAnsiTheme="minorEastAsia" w:eastAsiaTheme="minorEastAsia"/>
          <w:color w:val="auto"/>
          <w:kern w:val="2"/>
          <w:sz w:val="24"/>
          <w:szCs w:val="24"/>
          <w:highlight w:val="none"/>
        </w:rPr>
      </w:pPr>
    </w:p>
    <w:p w14:paraId="7E5281EA">
      <w:pPr>
        <w:tabs>
          <w:tab w:val="left" w:pos="4620"/>
        </w:tabs>
        <w:spacing w:line="360" w:lineRule="auto"/>
        <w:jc w:val="left"/>
        <w:rPr>
          <w:rFonts w:cs="@仿宋_GB2312" w:asciiTheme="minorEastAsia" w:hAnsiTheme="minorEastAsia" w:eastAsiaTheme="minorEastAsia"/>
          <w:color w:val="auto"/>
          <w:kern w:val="2"/>
          <w:sz w:val="24"/>
          <w:szCs w:val="24"/>
          <w:highlight w:val="none"/>
        </w:rPr>
      </w:pPr>
    </w:p>
    <w:p w14:paraId="550CA64E">
      <w:pPr>
        <w:tabs>
          <w:tab w:val="left" w:pos="4620"/>
        </w:tabs>
        <w:spacing w:line="360" w:lineRule="auto"/>
        <w:jc w:val="left"/>
        <w:rPr>
          <w:rFonts w:hint="eastAsia" w:cs="@仿宋_GB2312" w:asciiTheme="minorEastAsia" w:hAnsiTheme="minorEastAsia" w:eastAsiaTheme="minorEastAsia"/>
          <w:b/>
          <w:color w:val="auto"/>
          <w:kern w:val="2"/>
          <w:sz w:val="21"/>
          <w:szCs w:val="24"/>
          <w:highlight w:val="none"/>
          <w:lang w:eastAsia="zh-CN"/>
        </w:rPr>
      </w:pPr>
      <w:r>
        <w:rPr>
          <w:rFonts w:hint="eastAsia" w:cs="@仿宋_GB2312" w:asciiTheme="minorEastAsia" w:hAnsiTheme="minorEastAsia" w:eastAsiaTheme="minorEastAsia"/>
          <w:b/>
          <w:color w:val="auto"/>
          <w:kern w:val="2"/>
          <w:sz w:val="21"/>
          <w:szCs w:val="24"/>
          <w:highlight w:val="none"/>
          <w:lang w:eastAsia="zh-CN"/>
        </w:rPr>
        <w:t>注：</w:t>
      </w:r>
    </w:p>
    <w:p w14:paraId="5EE353E4">
      <w:pPr>
        <w:tabs>
          <w:tab w:val="left" w:pos="4620"/>
        </w:tabs>
        <w:spacing w:line="360" w:lineRule="auto"/>
        <w:jc w:val="left"/>
        <w:rPr>
          <w:rFonts w:cs="@仿宋_GB2312" w:asciiTheme="minorEastAsia" w:hAnsiTheme="minorEastAsia" w:eastAsiaTheme="minorEastAsia"/>
          <w:color w:val="auto"/>
          <w:kern w:val="2"/>
          <w:sz w:val="21"/>
          <w:szCs w:val="24"/>
          <w:highlight w:val="none"/>
        </w:rPr>
      </w:pPr>
      <w:r>
        <w:rPr>
          <w:rFonts w:cs="@仿宋_GB2312" w:asciiTheme="minorEastAsia" w:hAnsiTheme="minorEastAsia" w:eastAsiaTheme="minorEastAsia"/>
          <w:color w:val="auto"/>
          <w:kern w:val="2"/>
          <w:sz w:val="21"/>
          <w:szCs w:val="24"/>
          <w:highlight w:val="none"/>
        </w:rPr>
        <w:t>1.从业人员、营业收入、资产总额填报上一年数据，无上一年数据的新成立企业可不填报。</w:t>
      </w:r>
    </w:p>
    <w:p w14:paraId="463AD217">
      <w:pPr>
        <w:tabs>
          <w:tab w:val="left" w:pos="4620"/>
        </w:tabs>
        <w:spacing w:line="360" w:lineRule="auto"/>
        <w:jc w:val="left"/>
        <w:rPr>
          <w:rFonts w:cs="宋体"/>
          <w:b/>
          <w:bCs/>
          <w:color w:val="auto"/>
          <w:kern w:val="2"/>
          <w:sz w:val="21"/>
          <w:szCs w:val="21"/>
          <w:highlight w:val="none"/>
        </w:rPr>
      </w:pPr>
      <w:r>
        <w:rPr>
          <w:rFonts w:hint="eastAsia" w:cs="宋体"/>
          <w:b/>
          <w:bCs/>
          <w:color w:val="auto"/>
          <w:sz w:val="21"/>
          <w:szCs w:val="21"/>
          <w:highlight w:val="none"/>
        </w:rPr>
        <w:t>2.</w:t>
      </w:r>
      <w:r>
        <w:rPr>
          <w:rFonts w:hint="eastAsia" w:cs="宋体"/>
          <w:b/>
          <w:bCs/>
          <w:color w:val="auto"/>
          <w:kern w:val="2"/>
          <w:sz w:val="21"/>
          <w:szCs w:val="21"/>
          <w:highlight w:val="none"/>
        </w:rPr>
        <w:t>供应商应根据《政府采购促进中小企业发展管理办法》（财库﹝2020﹞46号）和《关于印发中小企业划型标准规定的通知》(工信部联企业〔2011〕300号)相关规定，如实填写中小企业声明函。</w:t>
      </w:r>
      <w:r>
        <w:rPr>
          <w:rFonts w:hint="eastAsia" w:cs="宋体"/>
          <w:b/>
          <w:bCs/>
          <w:color w:val="auto"/>
          <w:kern w:val="2"/>
          <w:sz w:val="21"/>
          <w:szCs w:val="21"/>
          <w:highlight w:val="none"/>
          <w:lang w:val="zh-CN"/>
        </w:rPr>
        <w:t>如有虚假，将依法承担相应责任。</w:t>
      </w:r>
      <w:r>
        <w:rPr>
          <w:rFonts w:hint="eastAsia" w:cs="宋体"/>
          <w:b/>
          <w:bCs/>
          <w:color w:val="auto"/>
          <w:kern w:val="2"/>
          <w:sz w:val="21"/>
          <w:szCs w:val="21"/>
          <w:highlight w:val="none"/>
        </w:rPr>
        <w:t>供应商自行登录工业和信息化部官网进行中小企业规模类型自测（查询网址https://www.miit.gov.cn/）。</w:t>
      </w:r>
    </w:p>
    <w:p w14:paraId="07B5D46D">
      <w:pPr>
        <w:tabs>
          <w:tab w:val="left" w:pos="4620"/>
        </w:tabs>
        <w:spacing w:line="360" w:lineRule="auto"/>
        <w:jc w:val="left"/>
        <w:rPr>
          <w:rFonts w:cs="宋体"/>
          <w:b/>
          <w:bCs/>
          <w:color w:val="auto"/>
          <w:kern w:val="2"/>
          <w:sz w:val="21"/>
          <w:szCs w:val="21"/>
          <w:highlight w:val="none"/>
        </w:rPr>
      </w:pPr>
      <w:r>
        <w:rPr>
          <w:rFonts w:hint="eastAsia" w:cs="宋体"/>
          <w:b/>
          <w:bCs/>
          <w:color w:val="auto"/>
          <w:kern w:val="2"/>
          <w:sz w:val="21"/>
          <w:szCs w:val="21"/>
          <w:highlight w:val="none"/>
        </w:rPr>
        <w:t>3.上述“</w:t>
      </w:r>
      <w:r>
        <w:rPr>
          <w:rFonts w:hint="eastAsia" w:cs="宋体"/>
          <w:b/>
          <w:bCs/>
          <w:color w:val="auto"/>
          <w:kern w:val="2"/>
          <w:sz w:val="21"/>
          <w:szCs w:val="21"/>
          <w:highlight w:val="none"/>
          <w:u w:val="single"/>
          <w:lang w:val="zh-CN"/>
        </w:rPr>
        <w:t>标的名称</w:t>
      </w:r>
      <w:r>
        <w:rPr>
          <w:rFonts w:hint="eastAsia" w:cs="宋体"/>
          <w:b/>
          <w:bCs/>
          <w:color w:val="auto"/>
          <w:kern w:val="2"/>
          <w:sz w:val="21"/>
          <w:szCs w:val="21"/>
          <w:highlight w:val="none"/>
        </w:rPr>
        <w:t>”，详见第三章采购需求前附表中明确的“标的名称”。</w:t>
      </w:r>
    </w:p>
    <w:p w14:paraId="181A00FD">
      <w:pPr>
        <w:tabs>
          <w:tab w:val="left" w:pos="4620"/>
        </w:tabs>
        <w:spacing w:line="360" w:lineRule="auto"/>
        <w:jc w:val="left"/>
        <w:rPr>
          <w:rFonts w:cs="宋体"/>
          <w:b/>
          <w:bCs/>
          <w:color w:val="auto"/>
          <w:kern w:val="2"/>
          <w:sz w:val="21"/>
          <w:szCs w:val="21"/>
          <w:highlight w:val="none"/>
        </w:rPr>
      </w:pPr>
      <w:r>
        <w:rPr>
          <w:rFonts w:hint="eastAsia" w:cs="宋体"/>
          <w:b/>
          <w:bCs/>
          <w:color w:val="auto"/>
          <w:kern w:val="2"/>
          <w:sz w:val="21"/>
          <w:szCs w:val="21"/>
          <w:highlight w:val="none"/>
        </w:rPr>
        <w:t>4.上述“</w:t>
      </w:r>
      <w:r>
        <w:rPr>
          <w:rFonts w:hint="eastAsia" w:cs="宋体"/>
          <w:b/>
          <w:bCs/>
          <w:color w:val="auto"/>
          <w:kern w:val="2"/>
          <w:sz w:val="21"/>
          <w:szCs w:val="21"/>
          <w:highlight w:val="none"/>
          <w:u w:val="single"/>
        </w:rPr>
        <w:t>采购文件中明确的所属行业</w:t>
      </w:r>
      <w:r>
        <w:rPr>
          <w:rFonts w:hint="eastAsia" w:cs="宋体"/>
          <w:b/>
          <w:bCs/>
          <w:color w:val="auto"/>
          <w:kern w:val="2"/>
          <w:sz w:val="21"/>
          <w:szCs w:val="21"/>
          <w:highlight w:val="none"/>
        </w:rPr>
        <w:t>”，详见第三章采购需求前附表中明确的“所属行业”。</w:t>
      </w:r>
    </w:p>
    <w:p w14:paraId="43CD0459">
      <w:pPr>
        <w:tabs>
          <w:tab w:val="left" w:pos="4620"/>
        </w:tabs>
        <w:spacing w:line="360" w:lineRule="auto"/>
        <w:jc w:val="left"/>
        <w:rPr>
          <w:rFonts w:cs="宋体"/>
          <w:b/>
          <w:bCs/>
          <w:color w:val="auto"/>
          <w:kern w:val="2"/>
          <w:sz w:val="21"/>
          <w:szCs w:val="21"/>
          <w:highlight w:val="none"/>
        </w:rPr>
      </w:pPr>
      <w:r>
        <w:rPr>
          <w:rFonts w:hint="eastAsia" w:cs="宋体"/>
          <w:b/>
          <w:bCs/>
          <w:color w:val="auto"/>
          <w:kern w:val="2"/>
          <w:sz w:val="21"/>
          <w:szCs w:val="21"/>
          <w:highlight w:val="none"/>
        </w:rPr>
        <w:t>5．</w:t>
      </w:r>
      <w:r>
        <w:rPr>
          <w:rFonts w:hint="eastAsia" w:cs="宋体"/>
          <w:b/>
          <w:bCs/>
          <w:color w:val="auto"/>
          <w:szCs w:val="21"/>
          <w:highlight w:val="none"/>
        </w:rPr>
        <w:t>填写示例：</w:t>
      </w:r>
      <w:r>
        <w:rPr>
          <w:rFonts w:hint="eastAsia" w:cs="宋体"/>
          <w:b/>
          <w:bCs/>
          <w:color w:val="auto"/>
          <w:szCs w:val="21"/>
          <w:highlight w:val="none"/>
          <w:u w:val="single"/>
        </w:rPr>
        <w:t>某标的名称</w:t>
      </w:r>
      <w:r>
        <w:rPr>
          <w:rFonts w:hint="eastAsia" w:cs="宋体"/>
          <w:b/>
          <w:bCs/>
          <w:color w:val="auto"/>
          <w:szCs w:val="21"/>
          <w:highlight w:val="none"/>
        </w:rPr>
        <w:t>（</w:t>
      </w:r>
      <w:r>
        <w:rPr>
          <w:rFonts w:hint="eastAsia" w:cs="宋体"/>
          <w:b/>
          <w:bCs/>
          <w:color w:val="auto"/>
          <w:szCs w:val="21"/>
          <w:highlight w:val="none"/>
          <w:u w:val="single"/>
        </w:rPr>
        <w:t>填写第三章采购需求前附表中明确的“标的名称”</w:t>
      </w:r>
      <w:r>
        <w:rPr>
          <w:rFonts w:hint="eastAsia" w:cs="宋体"/>
          <w:b/>
          <w:bCs/>
          <w:color w:val="auto"/>
          <w:szCs w:val="21"/>
          <w:highlight w:val="none"/>
        </w:rPr>
        <w:t>），属于</w:t>
      </w:r>
      <w:r>
        <w:rPr>
          <w:rFonts w:hint="eastAsia" w:cs="宋体"/>
          <w:b/>
          <w:bCs/>
          <w:color w:val="auto"/>
          <w:szCs w:val="21"/>
          <w:highlight w:val="none"/>
          <w:u w:val="single"/>
        </w:rPr>
        <w:t>（填写第三章采购需求前附表中明确的“所属行业”，如建筑业）</w:t>
      </w:r>
      <w:r>
        <w:rPr>
          <w:rFonts w:hint="eastAsia" w:cs="宋体"/>
          <w:b/>
          <w:bCs/>
          <w:color w:val="auto"/>
          <w:szCs w:val="21"/>
          <w:highlight w:val="none"/>
        </w:rPr>
        <w:t>行业；</w:t>
      </w:r>
      <w:r>
        <w:rPr>
          <w:rFonts w:hint="eastAsia" w:cs="宋体"/>
          <w:b/>
          <w:bCs/>
          <w:color w:val="auto"/>
          <w:szCs w:val="21"/>
          <w:highlight w:val="none"/>
          <w:lang w:eastAsia="zh-CN"/>
        </w:rPr>
        <w:t>承建</w:t>
      </w:r>
      <w:r>
        <w:rPr>
          <w:rFonts w:hint="eastAsia" w:cs="宋体"/>
          <w:b/>
          <w:bCs/>
          <w:color w:val="auto"/>
          <w:szCs w:val="21"/>
          <w:highlight w:val="none"/>
        </w:rPr>
        <w:t>企业为</w:t>
      </w:r>
      <w:r>
        <w:rPr>
          <w:rFonts w:hint="eastAsia" w:cs="宋体"/>
          <w:b/>
          <w:bCs/>
          <w:color w:val="auto"/>
          <w:szCs w:val="21"/>
          <w:highlight w:val="none"/>
          <w:u w:val="single"/>
          <w:lang w:val="zh-CN"/>
        </w:rPr>
        <w:t>某公司</w:t>
      </w:r>
      <w:r>
        <w:rPr>
          <w:rFonts w:hint="eastAsia" w:cs="宋体"/>
          <w:b/>
          <w:bCs/>
          <w:color w:val="auto"/>
          <w:szCs w:val="21"/>
          <w:highlight w:val="none"/>
        </w:rPr>
        <w:t>，</w:t>
      </w:r>
      <w:r>
        <w:rPr>
          <w:rFonts w:hint="eastAsia" w:cs="宋体"/>
          <w:b/>
          <w:bCs/>
          <w:color w:val="auto"/>
          <w:szCs w:val="21"/>
          <w:highlight w:val="none"/>
          <w:lang w:val="zh-CN"/>
        </w:rPr>
        <w:t>从业人员</w:t>
      </w:r>
      <w:r>
        <w:rPr>
          <w:rFonts w:hint="eastAsia" w:cs="宋体"/>
          <w:b/>
          <w:bCs/>
          <w:color w:val="auto"/>
          <w:szCs w:val="21"/>
          <w:highlight w:val="none"/>
          <w:u w:val="single"/>
        </w:rPr>
        <w:t>100</w:t>
      </w:r>
      <w:r>
        <w:rPr>
          <w:rFonts w:hint="eastAsia" w:cs="宋体"/>
          <w:b/>
          <w:bCs/>
          <w:color w:val="auto"/>
          <w:szCs w:val="21"/>
          <w:highlight w:val="none"/>
          <w:lang w:val="zh-CN"/>
        </w:rPr>
        <w:t>人</w:t>
      </w:r>
      <w:r>
        <w:rPr>
          <w:rFonts w:hint="eastAsia" w:cs="宋体"/>
          <w:b/>
          <w:bCs/>
          <w:color w:val="auto"/>
          <w:szCs w:val="21"/>
          <w:highlight w:val="none"/>
        </w:rPr>
        <w:t>，</w:t>
      </w:r>
      <w:r>
        <w:rPr>
          <w:rFonts w:hint="eastAsia" w:cs="宋体"/>
          <w:b/>
          <w:bCs/>
          <w:color w:val="auto"/>
          <w:szCs w:val="21"/>
          <w:highlight w:val="none"/>
          <w:lang w:val="zh-CN"/>
        </w:rPr>
        <w:t>营业收入为</w:t>
      </w:r>
      <w:r>
        <w:rPr>
          <w:rFonts w:hint="eastAsia" w:cs="宋体"/>
          <w:b/>
          <w:bCs/>
          <w:color w:val="auto"/>
          <w:szCs w:val="21"/>
          <w:highlight w:val="none"/>
          <w:u w:val="single"/>
        </w:rPr>
        <w:t>10000</w:t>
      </w:r>
      <w:r>
        <w:rPr>
          <w:rFonts w:hint="eastAsia" w:cs="宋体"/>
          <w:b/>
          <w:bCs/>
          <w:color w:val="auto"/>
          <w:szCs w:val="21"/>
          <w:highlight w:val="none"/>
          <w:lang w:val="zh-CN"/>
        </w:rPr>
        <w:t>万元</w:t>
      </w:r>
      <w:r>
        <w:rPr>
          <w:rFonts w:hint="eastAsia" w:cs="宋体"/>
          <w:b/>
          <w:bCs/>
          <w:color w:val="auto"/>
          <w:szCs w:val="21"/>
          <w:highlight w:val="none"/>
        </w:rPr>
        <w:t>，</w:t>
      </w:r>
      <w:r>
        <w:rPr>
          <w:rFonts w:hint="eastAsia" w:cs="宋体"/>
          <w:b/>
          <w:bCs/>
          <w:color w:val="auto"/>
          <w:szCs w:val="21"/>
          <w:highlight w:val="none"/>
          <w:lang w:val="zh-CN"/>
        </w:rPr>
        <w:t>资产总额为</w:t>
      </w:r>
      <w:r>
        <w:rPr>
          <w:rFonts w:hint="eastAsia" w:cs="宋体"/>
          <w:b/>
          <w:bCs/>
          <w:color w:val="auto"/>
          <w:szCs w:val="21"/>
          <w:highlight w:val="none"/>
          <w:u w:val="single"/>
        </w:rPr>
        <w:t>5000</w:t>
      </w:r>
      <w:r>
        <w:rPr>
          <w:rFonts w:hint="eastAsia" w:cs="宋体"/>
          <w:b/>
          <w:bCs/>
          <w:color w:val="auto"/>
          <w:szCs w:val="21"/>
          <w:highlight w:val="none"/>
          <w:lang w:val="zh-CN"/>
        </w:rPr>
        <w:t>万元</w:t>
      </w:r>
      <w:r>
        <w:rPr>
          <w:rFonts w:hint="eastAsia" w:cs="宋体"/>
          <w:b/>
          <w:bCs/>
          <w:color w:val="auto"/>
          <w:szCs w:val="21"/>
          <w:highlight w:val="none"/>
        </w:rPr>
        <w:t>，</w:t>
      </w:r>
      <w:r>
        <w:rPr>
          <w:rFonts w:hint="eastAsia" w:cs="宋体"/>
          <w:b/>
          <w:bCs/>
          <w:color w:val="auto"/>
          <w:szCs w:val="21"/>
          <w:highlight w:val="none"/>
          <w:lang w:val="zh-CN"/>
        </w:rPr>
        <w:t>属于</w:t>
      </w:r>
      <w:r>
        <w:rPr>
          <w:rFonts w:hint="eastAsia" w:cs="宋体"/>
          <w:b/>
          <w:bCs/>
          <w:color w:val="auto"/>
          <w:szCs w:val="21"/>
          <w:highlight w:val="none"/>
        </w:rPr>
        <w:t>中</w:t>
      </w:r>
      <w:r>
        <w:rPr>
          <w:rFonts w:hint="eastAsia" w:cs="宋体"/>
          <w:b/>
          <w:bCs/>
          <w:color w:val="auto"/>
          <w:szCs w:val="21"/>
          <w:highlight w:val="none"/>
          <w:u w:val="single"/>
          <w:lang w:val="zh-CN"/>
        </w:rPr>
        <w:t>型</w:t>
      </w:r>
      <w:r>
        <w:rPr>
          <w:rFonts w:hint="eastAsia" w:cs="宋体"/>
          <w:b/>
          <w:bCs/>
          <w:color w:val="auto"/>
          <w:szCs w:val="21"/>
          <w:highlight w:val="none"/>
          <w:lang w:val="zh-CN"/>
        </w:rPr>
        <w:t>企业</w:t>
      </w:r>
      <w:r>
        <w:rPr>
          <w:rFonts w:hint="eastAsia" w:cs="宋体"/>
          <w:b/>
          <w:bCs/>
          <w:color w:val="auto"/>
          <w:szCs w:val="21"/>
          <w:highlight w:val="none"/>
        </w:rPr>
        <w:t>[供应商自行登录工业和信息化部官网进行中小企业规模类型自测（查询网址https://www.miit.gov.cn/）]</w:t>
      </w:r>
      <w:r>
        <w:rPr>
          <w:rFonts w:hint="eastAsia" w:cs="宋体"/>
          <w:b/>
          <w:bCs/>
          <w:color w:val="auto"/>
          <w:kern w:val="2"/>
          <w:sz w:val="21"/>
          <w:szCs w:val="21"/>
          <w:highlight w:val="none"/>
          <w:lang w:val="zh-CN"/>
        </w:rPr>
        <w:t>。</w:t>
      </w:r>
    </w:p>
    <w:p w14:paraId="7D561EB3">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0EEAEC69">
      <w:pPr>
        <w:spacing w:line="360" w:lineRule="auto"/>
        <w:jc w:val="center"/>
        <w:outlineLvl w:val="1"/>
        <w:rPr>
          <w:rFonts w:asciiTheme="minorEastAsia" w:hAnsiTheme="minorEastAsia" w:eastAsiaTheme="minorEastAsia"/>
          <w:b/>
          <w:color w:val="auto"/>
          <w:sz w:val="24"/>
          <w:highlight w:val="none"/>
        </w:rPr>
      </w:pPr>
      <w:bookmarkStart w:id="98" w:name="_Toc17813"/>
      <w:bookmarkStart w:id="99" w:name="_Toc17154"/>
      <w:r>
        <w:rPr>
          <w:rFonts w:hint="eastAsia" w:asciiTheme="minorEastAsia" w:hAnsiTheme="minorEastAsia" w:eastAsiaTheme="minorEastAsia"/>
          <w:b/>
          <w:color w:val="auto"/>
          <w:sz w:val="24"/>
          <w:highlight w:val="none"/>
        </w:rPr>
        <w:t>十、残疾人福利性单位声明函</w:t>
      </w:r>
      <w:bookmarkEnd w:id="98"/>
      <w:bookmarkEnd w:id="99"/>
    </w:p>
    <w:p w14:paraId="70C1BE76">
      <w:pPr>
        <w:pStyle w:val="19"/>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（非残疾人福利性单位磋商，请删去“残疾人福利性单位声明函”）</w:t>
      </w:r>
    </w:p>
    <w:p w14:paraId="0EC5E7BF">
      <w:pPr>
        <w:spacing w:line="360" w:lineRule="auto"/>
        <w:ind w:firstLine="435"/>
        <w:rPr>
          <w:rFonts w:cs="Times New Roman"/>
          <w:color w:val="auto"/>
          <w:spacing w:val="6"/>
          <w:kern w:val="2"/>
          <w:sz w:val="24"/>
          <w:szCs w:val="24"/>
          <w:highlight w:val="none"/>
        </w:rPr>
      </w:pPr>
      <w:r>
        <w:rPr>
          <w:rFonts w:hint="eastAsia" w:cs="Times New Roman"/>
          <w:color w:val="auto"/>
          <w:spacing w:val="6"/>
          <w:kern w:val="2"/>
          <w:sz w:val="24"/>
          <w:szCs w:val="24"/>
          <w:highlight w:val="none"/>
        </w:rPr>
        <w:t>本单位</w:t>
      </w:r>
      <w:r>
        <w:rPr>
          <w:rFonts w:hint="eastAsia" w:cs="Times New Roman"/>
          <w:color w:val="auto"/>
          <w:kern w:val="2"/>
          <w:sz w:val="24"/>
          <w:szCs w:val="22"/>
          <w:highlight w:val="none"/>
        </w:rPr>
        <w:t>郑重</w:t>
      </w:r>
      <w:r>
        <w:rPr>
          <w:rFonts w:hint="eastAsia" w:cs="Times New Roman"/>
          <w:color w:val="auto"/>
          <w:spacing w:val="6"/>
          <w:kern w:val="2"/>
          <w:sz w:val="24"/>
          <w:szCs w:val="24"/>
          <w:highlight w:val="none"/>
        </w:rPr>
        <w:t>声明，根据《财政部 民政部 中国残疾人联合会关于促进残疾人就业政府采购政策的通知》（财库</w:t>
      </w:r>
      <w:r>
        <w:rPr>
          <w:rFonts w:hint="eastAsia" w:cs="Times New Roman"/>
          <w:color w:val="auto"/>
          <w:kern w:val="2"/>
          <w:sz w:val="24"/>
          <w:szCs w:val="24"/>
          <w:highlight w:val="none"/>
        </w:rPr>
        <w:t>〔2017〕141</w:t>
      </w:r>
      <w:r>
        <w:rPr>
          <w:rFonts w:hint="eastAsia" w:cs="Times New Roman"/>
          <w:color w:val="auto"/>
          <w:spacing w:val="6"/>
          <w:kern w:val="2"/>
          <w:sz w:val="24"/>
          <w:szCs w:val="24"/>
          <w:highlight w:val="none"/>
        </w:rPr>
        <w:t>号）的规定，</w:t>
      </w:r>
      <w:r>
        <w:rPr>
          <w:rFonts w:hint="eastAsia" w:asciiTheme="minorEastAsia" w:hAnsiTheme="minorEastAsia" w:eastAsiaTheme="minorEastAsia"/>
          <w:color w:val="auto"/>
          <w:spacing w:val="6"/>
          <w:sz w:val="24"/>
          <w:szCs w:val="24"/>
          <w:highlight w:val="none"/>
        </w:rPr>
        <w:t>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141EBBEC">
      <w:pPr>
        <w:spacing w:line="360" w:lineRule="auto"/>
        <w:ind w:firstLine="435"/>
        <w:rPr>
          <w:rFonts w:cs="Times New Roman"/>
          <w:color w:val="auto"/>
          <w:spacing w:val="6"/>
          <w:kern w:val="2"/>
          <w:sz w:val="24"/>
          <w:szCs w:val="24"/>
          <w:highlight w:val="none"/>
        </w:rPr>
      </w:pPr>
      <w:r>
        <w:rPr>
          <w:rFonts w:hint="eastAsia" w:cs="Times New Roman"/>
          <w:color w:val="auto"/>
          <w:spacing w:val="6"/>
          <w:kern w:val="2"/>
          <w:sz w:val="24"/>
          <w:szCs w:val="24"/>
          <w:highlight w:val="none"/>
        </w:rPr>
        <w:t>本单位对上述声明的真实性负责。如有虚假，将依法承担相应责任。</w:t>
      </w:r>
    </w:p>
    <w:p w14:paraId="4CD4CAB9">
      <w:pPr>
        <w:spacing w:line="360" w:lineRule="auto"/>
        <w:ind w:firstLine="4228" w:firstLineChars="1762"/>
        <w:rPr>
          <w:rFonts w:cs="Times New Roman"/>
          <w:color w:val="auto"/>
          <w:kern w:val="2"/>
          <w:sz w:val="24"/>
          <w:szCs w:val="24"/>
          <w:highlight w:val="none"/>
        </w:rPr>
      </w:pPr>
    </w:p>
    <w:p w14:paraId="35696ADA">
      <w:pPr>
        <w:spacing w:line="360" w:lineRule="auto"/>
        <w:ind w:firstLine="4228" w:firstLineChars="1762"/>
        <w:rPr>
          <w:rFonts w:cs="Times New Roman"/>
          <w:color w:val="auto"/>
          <w:kern w:val="2"/>
          <w:sz w:val="24"/>
          <w:szCs w:val="24"/>
          <w:highlight w:val="none"/>
        </w:rPr>
      </w:pPr>
    </w:p>
    <w:p w14:paraId="6985F0C6">
      <w:pPr>
        <w:spacing w:line="360" w:lineRule="auto"/>
        <w:ind w:firstLine="4228" w:firstLineChars="1762"/>
        <w:rPr>
          <w:rFonts w:cs="Times New Roman"/>
          <w:color w:val="auto"/>
          <w:kern w:val="2"/>
          <w:sz w:val="24"/>
          <w:szCs w:val="24"/>
          <w:highlight w:val="none"/>
          <w:u w:val="single"/>
        </w:rPr>
      </w:pPr>
      <w:r>
        <w:rPr>
          <w:rFonts w:hint="eastAsia" w:cs="Times New Roman"/>
          <w:color w:val="auto"/>
          <w:kern w:val="2"/>
          <w:sz w:val="24"/>
          <w:szCs w:val="24"/>
          <w:highlight w:val="none"/>
        </w:rPr>
        <w:t>供应商</w:t>
      </w:r>
      <w:r>
        <w:rPr>
          <w:rFonts w:cs="Times New Roman"/>
          <w:color w:val="auto"/>
          <w:kern w:val="2"/>
          <w:sz w:val="24"/>
          <w:szCs w:val="24"/>
          <w:highlight w:val="none"/>
        </w:rPr>
        <w:t>电子签章</w:t>
      </w:r>
      <w:r>
        <w:rPr>
          <w:rFonts w:hint="eastAsia" w:cs="Times New Roman"/>
          <w:color w:val="auto"/>
          <w:kern w:val="2"/>
          <w:sz w:val="24"/>
          <w:szCs w:val="24"/>
          <w:highlight w:val="none"/>
        </w:rPr>
        <w:t>：</w:t>
      </w:r>
      <w:r>
        <w:rPr>
          <w:rFonts w:cs="Times New Roman"/>
          <w:color w:val="auto"/>
          <w:kern w:val="2"/>
          <w:sz w:val="24"/>
          <w:szCs w:val="24"/>
          <w:highlight w:val="none"/>
          <w:u w:val="single"/>
        </w:rPr>
        <w:t xml:space="preserve">             </w:t>
      </w:r>
    </w:p>
    <w:p w14:paraId="22C479E6">
      <w:pPr>
        <w:tabs>
          <w:tab w:val="left" w:pos="4620"/>
        </w:tabs>
        <w:spacing w:line="360" w:lineRule="auto"/>
        <w:ind w:firstLine="4252" w:firstLineChars="1772"/>
        <w:rPr>
          <w:rFonts w:cs="Times New Roman"/>
          <w:color w:val="auto"/>
          <w:kern w:val="2"/>
          <w:sz w:val="24"/>
          <w:szCs w:val="24"/>
          <w:highlight w:val="none"/>
          <w:u w:val="single"/>
        </w:rPr>
      </w:pPr>
      <w:r>
        <w:rPr>
          <w:rFonts w:hint="eastAsia" w:cs="Times New Roman"/>
          <w:color w:val="auto"/>
          <w:kern w:val="2"/>
          <w:sz w:val="24"/>
          <w:szCs w:val="24"/>
          <w:highlight w:val="none"/>
        </w:rPr>
        <w:t>日</w:t>
      </w:r>
      <w:r>
        <w:rPr>
          <w:rFonts w:cs="Times New Roman"/>
          <w:color w:val="auto"/>
          <w:kern w:val="2"/>
          <w:sz w:val="24"/>
          <w:szCs w:val="24"/>
          <w:highlight w:val="none"/>
        </w:rPr>
        <w:t xml:space="preserve">      </w:t>
      </w:r>
      <w:r>
        <w:rPr>
          <w:rFonts w:hint="eastAsia" w:cs="Times New Roman"/>
          <w:color w:val="auto"/>
          <w:kern w:val="2"/>
          <w:sz w:val="24"/>
          <w:szCs w:val="24"/>
          <w:highlight w:val="none"/>
        </w:rPr>
        <w:t xml:space="preserve">    期：</w:t>
      </w:r>
      <w:r>
        <w:rPr>
          <w:rFonts w:cs="Times New Roman"/>
          <w:color w:val="auto"/>
          <w:kern w:val="2"/>
          <w:sz w:val="24"/>
          <w:szCs w:val="24"/>
          <w:highlight w:val="none"/>
          <w:u w:val="single"/>
        </w:rPr>
        <w:t xml:space="preserve">             </w:t>
      </w:r>
    </w:p>
    <w:p w14:paraId="7F72D5CA">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16105973">
      <w:pPr>
        <w:spacing w:line="360" w:lineRule="auto"/>
        <w:jc w:val="center"/>
        <w:outlineLvl w:val="1"/>
        <w:rPr>
          <w:rFonts w:asciiTheme="minorEastAsia" w:hAnsiTheme="minorEastAsia" w:eastAsiaTheme="minorEastAsia"/>
          <w:b/>
          <w:color w:val="auto"/>
          <w:sz w:val="24"/>
          <w:highlight w:val="none"/>
        </w:rPr>
      </w:pPr>
      <w:bookmarkStart w:id="100" w:name="_Toc17768"/>
      <w:bookmarkStart w:id="101" w:name="_Toc26894"/>
      <w:bookmarkStart w:id="102" w:name="_Hlk44283088"/>
      <w:r>
        <w:rPr>
          <w:rFonts w:hint="eastAsia" w:asciiTheme="minorEastAsia" w:hAnsiTheme="minorEastAsia" w:eastAsiaTheme="minorEastAsia"/>
          <w:b/>
          <w:color w:val="auto"/>
          <w:sz w:val="24"/>
          <w:highlight w:val="none"/>
        </w:rPr>
        <w:t>十</w:t>
      </w:r>
      <w:r>
        <w:rPr>
          <w:rFonts w:hint="eastAsia" w:asciiTheme="minorEastAsia" w:hAnsiTheme="minorEastAsia" w:eastAsiaTheme="minorEastAsia"/>
          <w:b/>
          <w:color w:val="auto"/>
          <w:sz w:val="24"/>
          <w:highlight w:val="none"/>
          <w:lang w:val="en-US" w:eastAsia="zh-CN"/>
        </w:rPr>
        <w:t>一</w:t>
      </w:r>
      <w:r>
        <w:rPr>
          <w:rFonts w:hint="eastAsia" w:asciiTheme="minorEastAsia" w:hAnsiTheme="minorEastAsia" w:eastAsiaTheme="minorEastAsia"/>
          <w:b/>
          <w:color w:val="auto"/>
          <w:sz w:val="24"/>
          <w:highlight w:val="none"/>
        </w:rPr>
        <w:t>、诚信履约承诺函</w:t>
      </w:r>
      <w:bookmarkEnd w:id="100"/>
      <w:bookmarkEnd w:id="101"/>
    </w:p>
    <w:p w14:paraId="5D1F9DC7">
      <w:pPr>
        <w:spacing w:line="360" w:lineRule="auto"/>
        <w:rPr>
          <w:rFonts w:cs="@仿宋_GB2312" w:asciiTheme="minorEastAsia" w:hAnsiTheme="minorEastAsia" w:eastAsiaTheme="minorEastAsia"/>
          <w:b/>
          <w:bCs/>
          <w:color w:val="auto"/>
          <w:kern w:val="2"/>
          <w:sz w:val="24"/>
          <w:highlight w:val="none"/>
        </w:rPr>
      </w:pPr>
    </w:p>
    <w:p w14:paraId="1096B3AD">
      <w:pPr>
        <w:spacing w:line="360" w:lineRule="auto"/>
        <w:rPr>
          <w:rFonts w:hint="eastAsia" w:cs="@仿宋_GB2312" w:asciiTheme="minorEastAsia" w:hAnsiTheme="minorEastAsia" w:eastAsiaTheme="minorEastAsia"/>
          <w:b/>
          <w:bCs/>
          <w:color w:val="auto"/>
          <w:kern w:val="2"/>
          <w:sz w:val="24"/>
          <w:highlight w:val="none"/>
          <w:u w:val="single"/>
          <w:lang w:eastAsia="zh-CN"/>
        </w:rPr>
      </w:pPr>
      <w:r>
        <w:rPr>
          <w:rFonts w:hint="eastAsia" w:cs="@仿宋_GB2312" w:asciiTheme="minorEastAsia" w:hAnsiTheme="minorEastAsia" w:eastAsiaTheme="minorEastAsia"/>
          <w:b/>
          <w:bCs/>
          <w:color w:val="auto"/>
          <w:kern w:val="2"/>
          <w:sz w:val="24"/>
          <w:highlight w:val="none"/>
        </w:rPr>
        <w:t>致：</w:t>
      </w:r>
      <w:r>
        <w:rPr>
          <w:rFonts w:hint="eastAsia" w:cs="@仿宋_GB2312" w:asciiTheme="minorEastAsia" w:hAnsiTheme="minorEastAsia" w:eastAsiaTheme="minorEastAsia"/>
          <w:b/>
          <w:bCs/>
          <w:color w:val="auto"/>
          <w:kern w:val="2"/>
          <w:sz w:val="24"/>
          <w:highlight w:val="none"/>
          <w:u w:val="none"/>
          <w:lang w:eastAsia="zh-CN"/>
        </w:rPr>
        <w:t>采购人</w:t>
      </w:r>
    </w:p>
    <w:p w14:paraId="6DFCC450">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7622D368">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（1）中标或者成交后无正当理由拒不与采购人签订政府采购合同；</w:t>
      </w:r>
    </w:p>
    <w:p w14:paraId="2A5CBBBD">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（2）未按照采购文件确定的事项签订政府采购合同；</w:t>
      </w:r>
    </w:p>
    <w:p w14:paraId="45AB4A67">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（3）将政府采购合同转包；</w:t>
      </w:r>
    </w:p>
    <w:p w14:paraId="46941DAD">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（4）提供假冒伪劣产品；</w:t>
      </w:r>
    </w:p>
    <w:p w14:paraId="5DFD9FFB">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（5）擅自变更、中止或者终止政府采购合同。</w:t>
      </w:r>
    </w:p>
    <w:p w14:paraId="7B967840">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7467BD2">
      <w:pPr>
        <w:spacing w:line="360" w:lineRule="auto"/>
        <w:rPr>
          <w:rFonts w:cs="@仿宋_GB2312" w:asciiTheme="minorEastAsia" w:hAnsiTheme="minorEastAsia" w:eastAsiaTheme="minorEastAsia"/>
          <w:bCs/>
          <w:color w:val="auto"/>
          <w:kern w:val="2"/>
          <w:sz w:val="24"/>
          <w:highlight w:val="none"/>
        </w:rPr>
      </w:pPr>
    </w:p>
    <w:p w14:paraId="4AEB28CF">
      <w:pPr>
        <w:spacing w:line="360" w:lineRule="auto"/>
        <w:rPr>
          <w:rFonts w:cs="@仿宋_GB2312" w:asciiTheme="minorEastAsia" w:hAnsiTheme="minorEastAsia" w:eastAsiaTheme="minorEastAsia"/>
          <w:bCs/>
          <w:color w:val="auto"/>
          <w:kern w:val="2"/>
          <w:sz w:val="24"/>
          <w:highlight w:val="none"/>
        </w:rPr>
      </w:pPr>
    </w:p>
    <w:p w14:paraId="17A68A09">
      <w:pPr>
        <w:spacing w:line="360" w:lineRule="auto"/>
        <w:ind w:firstLine="4320" w:firstLineChars="1800"/>
        <w:rPr>
          <w:rFonts w:cs="@仿宋_GB2312" w:asciiTheme="minorEastAsia" w:hAnsiTheme="minorEastAsia" w:eastAsiaTheme="minorEastAsia"/>
          <w:bCs/>
          <w:color w:val="auto"/>
          <w:kern w:val="2"/>
          <w:sz w:val="24"/>
          <w:highlight w:val="none"/>
          <w:u w:val="single"/>
        </w:rPr>
      </w:pPr>
      <w:r>
        <w:rPr>
          <w:rFonts w:hint="eastAsia" w:cs="@仿宋_GB2312" w:asciiTheme="minorEastAsia" w:hAnsiTheme="minorEastAsia" w:eastAsiaTheme="minorEastAsia"/>
          <w:bCs/>
          <w:color w:val="auto"/>
          <w:kern w:val="2"/>
          <w:sz w:val="24"/>
          <w:highlight w:val="none"/>
        </w:rPr>
        <w:t>供应商电子签章：</w:t>
      </w:r>
      <w:r>
        <w:rPr>
          <w:rFonts w:hint="eastAsia" w:cs="@仿宋_GB2312" w:asciiTheme="minorEastAsia" w:hAnsiTheme="minorEastAsia" w:eastAsiaTheme="minorEastAsia"/>
          <w:bCs/>
          <w:color w:val="auto"/>
          <w:kern w:val="2"/>
          <w:sz w:val="24"/>
          <w:highlight w:val="none"/>
          <w:u w:val="single"/>
        </w:rPr>
        <w:t xml:space="preserve">     </w:t>
      </w:r>
      <w:r>
        <w:rPr>
          <w:rFonts w:cs="@仿宋_GB2312" w:asciiTheme="minorEastAsia" w:hAnsiTheme="minorEastAsia" w:eastAsiaTheme="minorEastAsia"/>
          <w:bCs/>
          <w:color w:val="auto"/>
          <w:kern w:val="2"/>
          <w:sz w:val="24"/>
          <w:highlight w:val="none"/>
          <w:u w:val="single"/>
        </w:rPr>
        <w:t xml:space="preserve">    </w:t>
      </w:r>
      <w:r>
        <w:rPr>
          <w:rFonts w:hint="eastAsia" w:cs="@仿宋_GB2312" w:asciiTheme="minorEastAsia" w:hAnsiTheme="minorEastAsia" w:eastAsiaTheme="minorEastAsia"/>
          <w:bCs/>
          <w:color w:val="auto"/>
          <w:kern w:val="2"/>
          <w:sz w:val="24"/>
          <w:highlight w:val="none"/>
          <w:u w:val="single"/>
        </w:rPr>
        <w:t xml:space="preserve">    </w:t>
      </w:r>
    </w:p>
    <w:p w14:paraId="16348B07">
      <w:pPr>
        <w:spacing w:line="360" w:lineRule="auto"/>
        <w:ind w:firstLine="4320" w:firstLineChars="18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日          期：</w:t>
      </w:r>
      <w:r>
        <w:rPr>
          <w:rFonts w:hint="eastAsia" w:cs="@仿宋_GB2312" w:asciiTheme="minorEastAsia" w:hAnsiTheme="minorEastAsia" w:eastAsiaTheme="minorEastAsia"/>
          <w:bCs/>
          <w:color w:val="auto"/>
          <w:kern w:val="2"/>
          <w:sz w:val="24"/>
          <w:highlight w:val="none"/>
          <w:u w:val="single"/>
        </w:rPr>
        <w:t xml:space="preserve">             </w:t>
      </w:r>
    </w:p>
    <w:p w14:paraId="6FC0D997">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bookmarkEnd w:id="102"/>
    <w:p w14:paraId="1B3FDCE9">
      <w:pPr>
        <w:spacing w:line="360" w:lineRule="auto"/>
        <w:jc w:val="center"/>
        <w:outlineLvl w:val="1"/>
        <w:rPr>
          <w:rFonts w:asciiTheme="minorEastAsia" w:hAnsiTheme="minorEastAsia" w:eastAsiaTheme="minorEastAsia"/>
          <w:b/>
          <w:color w:val="auto"/>
          <w:sz w:val="24"/>
          <w:highlight w:val="none"/>
        </w:rPr>
      </w:pPr>
      <w:bookmarkStart w:id="103" w:name="_Toc28645"/>
      <w:bookmarkStart w:id="104" w:name="_Toc8176"/>
      <w:r>
        <w:rPr>
          <w:rFonts w:hint="eastAsia" w:asciiTheme="minorEastAsia" w:hAnsiTheme="minorEastAsia" w:eastAsiaTheme="minorEastAsia"/>
          <w:b/>
          <w:color w:val="auto"/>
          <w:sz w:val="24"/>
          <w:highlight w:val="none"/>
        </w:rPr>
        <w:t>十</w:t>
      </w:r>
      <w:r>
        <w:rPr>
          <w:rFonts w:hint="eastAsia" w:asciiTheme="minorEastAsia" w:hAnsiTheme="minorEastAsia" w:eastAsiaTheme="minorEastAsia"/>
          <w:b/>
          <w:color w:val="auto"/>
          <w:sz w:val="24"/>
          <w:highlight w:val="none"/>
          <w:lang w:val="en-US" w:eastAsia="zh-CN"/>
        </w:rPr>
        <w:t>二</w:t>
      </w:r>
      <w:r>
        <w:rPr>
          <w:rFonts w:hint="eastAsia" w:asciiTheme="minorEastAsia" w:hAnsiTheme="minorEastAsia" w:eastAsiaTheme="minorEastAsia"/>
          <w:b/>
          <w:color w:val="auto"/>
          <w:sz w:val="24"/>
          <w:highlight w:val="none"/>
        </w:rPr>
        <w:t>、其他相关证明材料</w:t>
      </w:r>
      <w:bookmarkEnd w:id="103"/>
      <w:bookmarkEnd w:id="104"/>
    </w:p>
    <w:p w14:paraId="29B8965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邀请、采购需求及评标方法和标准规定的相关证明文件。</w:t>
      </w:r>
    </w:p>
    <w:p w14:paraId="0451E5B5">
      <w:pPr>
        <w:spacing w:line="360" w:lineRule="auto"/>
        <w:ind w:firstLine="480" w:firstLineChars="200"/>
        <w:rPr>
          <w:rFonts w:asciiTheme="minorEastAsia" w:hAnsiTheme="minorEastAsia" w:eastAsiaTheme="minorEastAsia"/>
          <w:color w:val="auto"/>
          <w:sz w:val="24"/>
          <w:highlight w:val="none"/>
        </w:rPr>
      </w:pPr>
    </w:p>
    <w:p w14:paraId="09F22C50">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634F99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供应商在响应文件制作时可在此栏内上传磋商文件</w:t>
      </w:r>
      <w:r>
        <w:rPr>
          <w:rFonts w:asciiTheme="minorEastAsia" w:hAnsiTheme="minorEastAsia" w:eastAsiaTheme="minorEastAsia"/>
          <w:color w:val="auto"/>
          <w:sz w:val="24"/>
          <w:highlight w:val="none"/>
        </w:rPr>
        <w:t>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p w14:paraId="1BE1A4CB">
      <w:pPr>
        <w:pStyle w:val="50"/>
        <w:spacing w:before="0" w:beforeAutospacing="0" w:after="0" w:afterAutospacing="0" w:line="360" w:lineRule="auto"/>
        <w:ind w:firstLine="640"/>
        <w:jc w:val="both"/>
        <w:rPr>
          <w:color w:val="auto"/>
          <w:highlight w:val="none"/>
        </w:rPr>
      </w:pPr>
      <w:r>
        <w:rPr>
          <w:rFonts w:asciiTheme="minorEastAsia" w:hAnsiTheme="minorEastAsia" w:eastAsiaTheme="minorEastAsia"/>
          <w:color w:val="auto"/>
          <w:sz w:val="24"/>
          <w:highlight w:val="none"/>
        </w:rPr>
        <w:br w:type="page"/>
      </w:r>
    </w:p>
    <w:p w14:paraId="3D1F9EB0">
      <w:pPr>
        <w:widowControl/>
        <w:jc w:val="center"/>
        <w:outlineLvl w:val="0"/>
        <w:rPr>
          <w:b/>
          <w:bCs/>
          <w:color w:val="auto"/>
          <w:sz w:val="28"/>
          <w:highlight w:val="none"/>
        </w:rPr>
      </w:pPr>
      <w:bookmarkStart w:id="105" w:name="_Toc24879"/>
      <w:r>
        <w:rPr>
          <w:rFonts w:hint="eastAsia"/>
          <w:b/>
          <w:bCs/>
          <w:color w:val="auto"/>
          <w:sz w:val="28"/>
          <w:highlight w:val="none"/>
        </w:rPr>
        <w:t>第</w:t>
      </w:r>
      <w:r>
        <w:rPr>
          <w:rFonts w:hint="eastAsia"/>
          <w:b/>
          <w:bCs/>
          <w:color w:val="auto"/>
          <w:sz w:val="28"/>
          <w:highlight w:val="none"/>
          <w:lang w:val="en-US" w:eastAsia="zh-CN"/>
        </w:rPr>
        <w:t>七</w:t>
      </w:r>
      <w:r>
        <w:rPr>
          <w:rFonts w:hint="eastAsia"/>
          <w:b/>
          <w:bCs/>
          <w:color w:val="auto"/>
          <w:sz w:val="28"/>
          <w:highlight w:val="none"/>
        </w:rPr>
        <w:t>章  政府采购</w:t>
      </w:r>
      <w:r>
        <w:rPr>
          <w:rFonts w:hint="eastAsia" w:asciiTheme="minorEastAsia" w:hAnsiTheme="minorEastAsia" w:eastAsiaTheme="minorEastAsia"/>
          <w:b/>
          <w:color w:val="auto"/>
          <w:sz w:val="28"/>
          <w:highlight w:val="none"/>
        </w:rPr>
        <w:t>供应</w:t>
      </w:r>
      <w:r>
        <w:rPr>
          <w:rFonts w:hint="eastAsia"/>
          <w:b/>
          <w:bCs/>
          <w:color w:val="auto"/>
          <w:sz w:val="28"/>
          <w:highlight w:val="none"/>
        </w:rPr>
        <w:t>商询问函和质疑函范本</w:t>
      </w:r>
      <w:bookmarkEnd w:id="105"/>
    </w:p>
    <w:p w14:paraId="7B70525E">
      <w:pPr>
        <w:spacing w:line="360" w:lineRule="auto"/>
        <w:jc w:val="center"/>
        <w:outlineLvl w:val="1"/>
        <w:rPr>
          <w:rFonts w:ascii="仿宋" w:hAnsi="仿宋" w:eastAsia="仿宋" w:cs="仿宋"/>
          <w:b/>
          <w:bCs/>
          <w:color w:val="auto"/>
          <w:sz w:val="32"/>
          <w:szCs w:val="44"/>
          <w:highlight w:val="none"/>
        </w:rPr>
      </w:pPr>
      <w:bookmarkStart w:id="106" w:name="_Toc26448"/>
      <w:bookmarkStart w:id="107" w:name="_Toc2290"/>
      <w:r>
        <w:rPr>
          <w:rFonts w:hint="eastAsia" w:ascii="仿宋" w:hAnsi="仿宋" w:eastAsia="仿宋" w:cs="仿宋"/>
          <w:b/>
          <w:bCs/>
          <w:color w:val="auto"/>
          <w:sz w:val="32"/>
          <w:szCs w:val="44"/>
          <w:highlight w:val="none"/>
        </w:rPr>
        <w:t>询问函范本</w:t>
      </w:r>
      <w:bookmarkEnd w:id="106"/>
      <w:bookmarkEnd w:id="107"/>
    </w:p>
    <w:p w14:paraId="41CC8249">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4D00411D">
      <w:pPr>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lang w:val="en-US" w:eastAsia="zh-CN"/>
        </w:rPr>
        <w:t>致：</w:t>
      </w:r>
      <w:r>
        <w:rPr>
          <w:rFonts w:hint="eastAsia" w:cs="仿宋" w:asciiTheme="minorEastAsia" w:hAnsiTheme="minorEastAsia" w:eastAsiaTheme="minorEastAsia"/>
          <w:color w:val="auto"/>
          <w:sz w:val="24"/>
          <w:szCs w:val="24"/>
          <w:highlight w:val="none"/>
          <w:lang w:eastAsia="zh-CN"/>
        </w:rPr>
        <w:t>采购人</w:t>
      </w:r>
    </w:p>
    <w:p w14:paraId="695A58C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69CAD1E3">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8" w:name="_Toc32070"/>
      <w:bookmarkStart w:id="109" w:name="_Toc14234"/>
      <w:r>
        <w:rPr>
          <w:rFonts w:hint="eastAsia" w:cs="仿宋" w:asciiTheme="minorEastAsia" w:hAnsiTheme="minorEastAsia" w:eastAsiaTheme="minorEastAsia"/>
          <w:color w:val="auto"/>
          <w:sz w:val="24"/>
          <w:szCs w:val="24"/>
          <w:highlight w:val="none"/>
        </w:rPr>
        <w:t>一、(事项一)</w:t>
      </w:r>
      <w:bookmarkEnd w:id="108"/>
      <w:bookmarkEnd w:id="109"/>
    </w:p>
    <w:p w14:paraId="27AEF906">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2BD7B538">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4AE1A3B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080DC103">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10" w:name="_Toc6489"/>
      <w:bookmarkStart w:id="111" w:name="_Toc16507"/>
      <w:r>
        <w:rPr>
          <w:rFonts w:hint="eastAsia" w:cs="仿宋" w:asciiTheme="minorEastAsia" w:hAnsiTheme="minorEastAsia" w:eastAsiaTheme="minorEastAsia"/>
          <w:color w:val="auto"/>
          <w:sz w:val="24"/>
          <w:szCs w:val="24"/>
          <w:highlight w:val="none"/>
        </w:rPr>
        <w:t>二、(事项二)</w:t>
      </w:r>
      <w:bookmarkEnd w:id="110"/>
      <w:bookmarkEnd w:id="111"/>
    </w:p>
    <w:p w14:paraId="3E7A00D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F28D17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07ACC9F4">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4962FFCF">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06D9783C">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151F531">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5739C96B">
      <w:pPr>
        <w:jc w:val="center"/>
        <w:outlineLvl w:val="1"/>
        <w:rPr>
          <w:rFonts w:ascii="仿宋" w:hAnsi="仿宋" w:eastAsia="仿宋" w:cs="仿宋"/>
          <w:b/>
          <w:bCs/>
          <w:color w:val="auto"/>
          <w:sz w:val="32"/>
          <w:szCs w:val="44"/>
          <w:highlight w:val="none"/>
        </w:rPr>
      </w:pPr>
      <w:bookmarkStart w:id="112" w:name="_Toc4923"/>
      <w:bookmarkStart w:id="113" w:name="_Toc26224"/>
      <w:r>
        <w:rPr>
          <w:rFonts w:hint="eastAsia" w:ascii="仿宋" w:hAnsi="仿宋" w:eastAsia="仿宋" w:cs="仿宋"/>
          <w:b/>
          <w:bCs/>
          <w:color w:val="auto"/>
          <w:sz w:val="32"/>
          <w:szCs w:val="44"/>
          <w:highlight w:val="none"/>
        </w:rPr>
        <w:t>质疑函范本</w:t>
      </w:r>
      <w:bookmarkEnd w:id="112"/>
      <w:bookmarkEnd w:id="113"/>
    </w:p>
    <w:p w14:paraId="44B887D6">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14" w:name="_Toc10663"/>
      <w:bookmarkStart w:id="115" w:name="_Toc3847"/>
      <w:r>
        <w:rPr>
          <w:rFonts w:hint="eastAsia" w:cs="仿宋" w:asciiTheme="minorEastAsia" w:hAnsiTheme="minorEastAsia" w:eastAsiaTheme="minorEastAsia"/>
          <w:b/>
          <w:bCs/>
          <w:color w:val="auto"/>
          <w:sz w:val="24"/>
          <w:szCs w:val="24"/>
          <w:highlight w:val="none"/>
        </w:rPr>
        <w:t>一、质疑供应商基本信息</w:t>
      </w:r>
      <w:bookmarkEnd w:id="114"/>
      <w:bookmarkEnd w:id="115"/>
    </w:p>
    <w:p w14:paraId="00E2273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02EC5CB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E02F50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3612FF4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6D11B21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1A6D547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76025855">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6" w:name="_Toc19182"/>
      <w:bookmarkStart w:id="117" w:name="_Toc30012"/>
      <w:r>
        <w:rPr>
          <w:rFonts w:hint="eastAsia" w:cs="仿宋" w:asciiTheme="minorEastAsia" w:hAnsiTheme="minorEastAsia" w:eastAsiaTheme="minorEastAsia"/>
          <w:b/>
          <w:bCs/>
          <w:color w:val="auto"/>
          <w:sz w:val="24"/>
          <w:szCs w:val="24"/>
          <w:highlight w:val="none"/>
        </w:rPr>
        <w:t>二、质疑项目基本情况</w:t>
      </w:r>
      <w:bookmarkEnd w:id="116"/>
      <w:bookmarkEnd w:id="117"/>
    </w:p>
    <w:p w14:paraId="796DF0A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338E24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339D278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478E4CF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61DB2543">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8" w:name="_Toc9989"/>
      <w:bookmarkStart w:id="119" w:name="_Toc21700"/>
      <w:r>
        <w:rPr>
          <w:rFonts w:hint="eastAsia" w:cs="仿宋" w:asciiTheme="minorEastAsia" w:hAnsiTheme="minorEastAsia" w:eastAsiaTheme="minorEastAsia"/>
          <w:b/>
          <w:bCs/>
          <w:color w:val="auto"/>
          <w:sz w:val="24"/>
          <w:szCs w:val="24"/>
          <w:highlight w:val="none"/>
        </w:rPr>
        <w:t>三、质疑事项具体内容</w:t>
      </w:r>
      <w:bookmarkEnd w:id="118"/>
      <w:bookmarkEnd w:id="119"/>
    </w:p>
    <w:p w14:paraId="5763D6A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13F3539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0389D94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0656DBE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61FE0D3F">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3194F9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13E46F4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478D2441">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20" w:name="_Toc10625"/>
      <w:bookmarkStart w:id="121" w:name="_Toc19016"/>
      <w:r>
        <w:rPr>
          <w:rFonts w:hint="eastAsia" w:cs="仿宋" w:asciiTheme="minorEastAsia" w:hAnsiTheme="minorEastAsia" w:eastAsiaTheme="minorEastAsia"/>
          <w:b/>
          <w:bCs/>
          <w:color w:val="auto"/>
          <w:sz w:val="24"/>
          <w:szCs w:val="24"/>
          <w:highlight w:val="none"/>
        </w:rPr>
        <w:t>四、与质疑事项相关的质疑请求</w:t>
      </w:r>
      <w:bookmarkEnd w:id="120"/>
      <w:bookmarkEnd w:id="121"/>
    </w:p>
    <w:p w14:paraId="5816A85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3320B033">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62F789C2">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69BF5DC5">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0DB8DCDA">
      <w:pPr>
        <w:outlineLvl w:val="0"/>
        <w:rPr>
          <w:rFonts w:asciiTheme="minorEastAsia" w:hAnsiTheme="minorEastAsia" w:eastAsiaTheme="minorEastAsia"/>
          <w:b/>
          <w:color w:val="auto"/>
          <w:sz w:val="28"/>
          <w:szCs w:val="32"/>
          <w:highlight w:val="none"/>
        </w:rPr>
      </w:pPr>
      <w:bookmarkStart w:id="122" w:name="_Toc17684"/>
      <w:bookmarkStart w:id="123" w:name="_Toc25274"/>
      <w:r>
        <w:rPr>
          <w:rFonts w:hint="eastAsia" w:asciiTheme="minorEastAsia" w:hAnsiTheme="minorEastAsia" w:eastAsiaTheme="minorEastAsia"/>
          <w:b/>
          <w:color w:val="auto"/>
          <w:sz w:val="28"/>
          <w:szCs w:val="32"/>
          <w:highlight w:val="none"/>
        </w:rPr>
        <w:t>质疑函制作说明：</w:t>
      </w:r>
      <w:bookmarkEnd w:id="122"/>
      <w:bookmarkEnd w:id="123"/>
    </w:p>
    <w:p w14:paraId="1AF408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44A592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ABB0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B6EFA3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9AC61F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2EA587B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8" w:type="default"/>
      <w:footerReference r:id="rId9"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创艺简黑体">
    <w:altName w:val="黑体"/>
    <w:panose1 w:val="00000000000000000000"/>
    <w:charset w:val="7A"/>
    <w:family w:val="auto"/>
    <w:pitch w:val="default"/>
    <w:sig w:usb0="00000000" w:usb1="00000000" w:usb2="00000010" w:usb3="00000000" w:csb0="0004000A"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033F2">
    <w:pPr>
      <w:pStyle w:val="3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8BFDC">
    <w:pPr>
      <w:pStyle w:val="3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1E6C19">
                          <w:pPr>
                            <w:pStyle w:val="3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31E6C19">
                    <w:pPr>
                      <w:pStyle w:val="3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0EC43">
    <w:pPr>
      <w:pStyle w:val="3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297812">
                          <w:pPr>
                            <w:pStyle w:val="3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297812">
                    <w:pPr>
                      <w:pStyle w:val="3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8F539">
    <w:pPr>
      <w:pStyle w:val="33"/>
      <w:rPr>
        <w:rFonts w:asciiTheme="minorEastAsia" w:hAnsiTheme="minorEastAsia" w:eastAsiaTheme="minorEastAsia"/>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DEB359">
                          <w:pPr>
                            <w:pStyle w:val="3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2DEB359">
                    <w:pPr>
                      <w:pStyle w:val="3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07C1A">
    <w:pPr>
      <w:pStyle w:val="33"/>
      <w:rPr>
        <w:rFonts w:asciiTheme="minorEastAsia" w:hAnsiTheme="minorEastAsia" w:eastAsiaTheme="minorEastAsia"/>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A5FE7A">
                          <w:pPr>
                            <w:pStyle w:val="33"/>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1A5FE7A">
                    <w:pPr>
                      <w:pStyle w:val="33"/>
                    </w:pPr>
                    <w:r>
                      <w:fldChar w:fldCharType="begin"/>
                    </w:r>
                    <w:r>
                      <w:instrText xml:space="preserve"> PAGE  \* MERGEFORMAT </w:instrText>
                    </w:r>
                    <w:r>
                      <w:fldChar w:fldCharType="separate"/>
                    </w:r>
                    <w:r>
                      <w:t>51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76E3C">
    <w:pPr>
      <w:pStyle w:val="34"/>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4A241">
    <w:pPr>
      <w:pStyle w:val="34"/>
      <w:pBdr>
        <w:bottom w:val="none" w:color="auto" w:sz="0" w:space="1"/>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singleLevel"/>
    <w:tmpl w:val="00000010"/>
    <w:lvl w:ilvl="0" w:tentative="0">
      <w:start w:val="6"/>
      <w:numFmt w:val="decimal"/>
      <w:suff w:val="nothing"/>
      <w:lvlText w:val="（%1）"/>
      <w:lvlJc w:val="left"/>
    </w:lvl>
  </w:abstractNum>
  <w:abstractNum w:abstractNumId="1">
    <w:nsid w:val="07FB4FF2"/>
    <w:multiLevelType w:val="multilevel"/>
    <w:tmpl w:val="07FB4FF2"/>
    <w:lvl w:ilvl="0" w:tentative="0">
      <w:start w:val="2"/>
      <w:numFmt w:val="decimal"/>
      <w:lvlText w:val="%1、_x0003_._x0004_._x0005_._x0006_._x0007_._x0008_.&#10;"/>
      <w:lvlJc w:val="left"/>
      <w:pPr>
        <w:tabs>
          <w:tab w:val="left" w:pos="2160"/>
        </w:tabs>
        <w:ind w:left="2160" w:hanging="2160"/>
      </w:pPr>
      <w:rPr>
        <w:rFonts w:hint="default" w:ascii="宋体" w:hAnsi="宋体"/>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1"/>
      <w:numFmt w:val="decimal"/>
      <w:lvlText w:val="%1、%4.%5.%6.%7.%8.%9."/>
      <w:lvlJc w:val="left"/>
      <w:pPr>
        <w:tabs>
          <w:tab w:val="left" w:pos="3544"/>
        </w:tabs>
        <w:ind w:left="3544" w:hanging="1800"/>
      </w:pPr>
      <w:rPr>
        <w:rFonts w:hint="default" w:ascii="宋体" w:hAnsi="宋体"/>
      </w:rPr>
    </w:lvl>
  </w:abstractNum>
  <w:abstractNum w:abstractNumId="2">
    <w:nsid w:val="097618BA"/>
    <w:multiLevelType w:val="multilevel"/>
    <w:tmpl w:val="097618BA"/>
    <w:lvl w:ilvl="0" w:tentative="0">
      <w:start w:val="3"/>
      <w:numFmt w:val="japaneseCounting"/>
      <w:lvlText w:val="第%1节"/>
      <w:lvlJc w:val="left"/>
      <w:pPr>
        <w:tabs>
          <w:tab w:val="left" w:pos="1440"/>
        </w:tabs>
        <w:ind w:left="1440" w:hanging="144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A55206A"/>
    <w:multiLevelType w:val="singleLevel"/>
    <w:tmpl w:val="6A55206A"/>
    <w:lvl w:ilvl="0" w:tentative="0">
      <w:start w:val="6"/>
      <w:numFmt w:val="decimal"/>
      <w:suff w:val="nothing"/>
      <w:lvlText w:val="（%1）"/>
      <w:lvlJc w:val="left"/>
    </w:lvl>
  </w:abstractNum>
  <w:abstractNum w:abstractNumId="4">
    <w:nsid w:val="7F7E5238"/>
    <w:multiLevelType w:val="multilevel"/>
    <w:tmpl w:val="7F7E5238"/>
    <w:lvl w:ilvl="0" w:tentative="0">
      <w:start w:val="1"/>
      <w:numFmt w:val="none"/>
      <w:pStyle w:val="177"/>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174"/>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179"/>
      <w:lvlText w:val="           "/>
      <w:lvlJc w:val="left"/>
      <w:pPr>
        <w:tabs>
          <w:tab w:val="left" w:pos="1440"/>
        </w:tabs>
        <w:ind w:left="1152" w:hanging="1152"/>
      </w:pPr>
      <w:rPr>
        <w:rFonts w:hint="eastAsia"/>
      </w:rPr>
    </w:lvl>
    <w:lvl w:ilvl="6" w:tentative="0">
      <w:start w:val="1"/>
      <w:numFmt w:val="decimal"/>
      <w:pStyle w:val="181"/>
      <w:lvlText w:val="%1.%2.%3.%4.%5.%6.%7"/>
      <w:lvlJc w:val="left"/>
      <w:pPr>
        <w:tabs>
          <w:tab w:val="left" w:pos="2520"/>
        </w:tabs>
        <w:ind w:left="1296" w:hanging="1296"/>
      </w:pPr>
      <w:rPr>
        <w:rFonts w:hint="eastAsia"/>
      </w:rPr>
    </w:lvl>
    <w:lvl w:ilvl="7" w:tentative="0">
      <w:start w:val="1"/>
      <w:numFmt w:val="decimal"/>
      <w:pStyle w:val="183"/>
      <w:lvlText w:val="%1.%2.%3.%4.%5.%6.%7.%8"/>
      <w:lvlJc w:val="left"/>
      <w:pPr>
        <w:tabs>
          <w:tab w:val="left" w:pos="1440"/>
        </w:tabs>
        <w:ind w:left="1440" w:hanging="1440"/>
      </w:pPr>
      <w:rPr>
        <w:rFonts w:hint="eastAsia"/>
      </w:rPr>
    </w:lvl>
    <w:lvl w:ilvl="8" w:tentative="0">
      <w:start w:val="1"/>
      <w:numFmt w:val="decimal"/>
      <w:pStyle w:val="185"/>
      <w:lvlText w:val="%1.%2.%3.%4.%5.%6.%7.%8.%9"/>
      <w:lvlJc w:val="left"/>
      <w:pPr>
        <w:tabs>
          <w:tab w:val="left" w:pos="1584"/>
        </w:tabs>
        <w:ind w:left="1584" w:hanging="1584"/>
      </w:pPr>
      <w:rPr>
        <w:rFonts w:hint="eastAsia"/>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7F9"/>
    <w:rsid w:val="000049DA"/>
    <w:rsid w:val="000056B7"/>
    <w:rsid w:val="00005914"/>
    <w:rsid w:val="00007D87"/>
    <w:rsid w:val="000131F7"/>
    <w:rsid w:val="00014039"/>
    <w:rsid w:val="00016B6C"/>
    <w:rsid w:val="00020B57"/>
    <w:rsid w:val="00020B6D"/>
    <w:rsid w:val="00022976"/>
    <w:rsid w:val="000323E2"/>
    <w:rsid w:val="00040C25"/>
    <w:rsid w:val="00042139"/>
    <w:rsid w:val="00042B14"/>
    <w:rsid w:val="00044F49"/>
    <w:rsid w:val="000450C3"/>
    <w:rsid w:val="0005061B"/>
    <w:rsid w:val="00050A3F"/>
    <w:rsid w:val="00054AA3"/>
    <w:rsid w:val="00056ECB"/>
    <w:rsid w:val="00057B40"/>
    <w:rsid w:val="000623EA"/>
    <w:rsid w:val="000648D2"/>
    <w:rsid w:val="00066AD7"/>
    <w:rsid w:val="00070E0E"/>
    <w:rsid w:val="0007146E"/>
    <w:rsid w:val="00076DB7"/>
    <w:rsid w:val="00080FEB"/>
    <w:rsid w:val="00084047"/>
    <w:rsid w:val="00094D41"/>
    <w:rsid w:val="00097CB9"/>
    <w:rsid w:val="000A0161"/>
    <w:rsid w:val="000A10A9"/>
    <w:rsid w:val="000A2DA0"/>
    <w:rsid w:val="000A6693"/>
    <w:rsid w:val="000A7403"/>
    <w:rsid w:val="000A7970"/>
    <w:rsid w:val="000A7D94"/>
    <w:rsid w:val="000B1511"/>
    <w:rsid w:val="000B6249"/>
    <w:rsid w:val="000B6562"/>
    <w:rsid w:val="000C1DB1"/>
    <w:rsid w:val="000C6302"/>
    <w:rsid w:val="000D3F37"/>
    <w:rsid w:val="000E3C74"/>
    <w:rsid w:val="000E3F9B"/>
    <w:rsid w:val="000E478E"/>
    <w:rsid w:val="000E6689"/>
    <w:rsid w:val="000E69B9"/>
    <w:rsid w:val="000F0EBF"/>
    <w:rsid w:val="000F172B"/>
    <w:rsid w:val="000F2198"/>
    <w:rsid w:val="000F39B6"/>
    <w:rsid w:val="000F3A94"/>
    <w:rsid w:val="000F6B7B"/>
    <w:rsid w:val="000F6F95"/>
    <w:rsid w:val="0010021F"/>
    <w:rsid w:val="00100B0F"/>
    <w:rsid w:val="0010187C"/>
    <w:rsid w:val="0010219C"/>
    <w:rsid w:val="001037E3"/>
    <w:rsid w:val="00107022"/>
    <w:rsid w:val="0011660B"/>
    <w:rsid w:val="0012143A"/>
    <w:rsid w:val="0012203E"/>
    <w:rsid w:val="001258BA"/>
    <w:rsid w:val="0012753E"/>
    <w:rsid w:val="00130601"/>
    <w:rsid w:val="00130690"/>
    <w:rsid w:val="00130CD3"/>
    <w:rsid w:val="00132F4D"/>
    <w:rsid w:val="00133EA0"/>
    <w:rsid w:val="00140687"/>
    <w:rsid w:val="0014543C"/>
    <w:rsid w:val="00146421"/>
    <w:rsid w:val="00153B20"/>
    <w:rsid w:val="00153DC0"/>
    <w:rsid w:val="00155F64"/>
    <w:rsid w:val="001571EE"/>
    <w:rsid w:val="00157856"/>
    <w:rsid w:val="00157B7B"/>
    <w:rsid w:val="00160729"/>
    <w:rsid w:val="00162F2F"/>
    <w:rsid w:val="0016455F"/>
    <w:rsid w:val="00165398"/>
    <w:rsid w:val="00166794"/>
    <w:rsid w:val="00166ED8"/>
    <w:rsid w:val="001714C9"/>
    <w:rsid w:val="00171515"/>
    <w:rsid w:val="00172B93"/>
    <w:rsid w:val="001776E1"/>
    <w:rsid w:val="0018119B"/>
    <w:rsid w:val="001844AB"/>
    <w:rsid w:val="001853C7"/>
    <w:rsid w:val="001903BA"/>
    <w:rsid w:val="00192879"/>
    <w:rsid w:val="001944B8"/>
    <w:rsid w:val="00196DA3"/>
    <w:rsid w:val="001971E5"/>
    <w:rsid w:val="001974FD"/>
    <w:rsid w:val="001A0C0F"/>
    <w:rsid w:val="001A68E5"/>
    <w:rsid w:val="001B25BE"/>
    <w:rsid w:val="001B2A54"/>
    <w:rsid w:val="001B2BA4"/>
    <w:rsid w:val="001B5014"/>
    <w:rsid w:val="001B7327"/>
    <w:rsid w:val="001C1E34"/>
    <w:rsid w:val="001D22EA"/>
    <w:rsid w:val="001D487F"/>
    <w:rsid w:val="001D503E"/>
    <w:rsid w:val="001D53B4"/>
    <w:rsid w:val="001E1835"/>
    <w:rsid w:val="001E3498"/>
    <w:rsid w:val="001E6BA1"/>
    <w:rsid w:val="001F28D2"/>
    <w:rsid w:val="001F2F45"/>
    <w:rsid w:val="001F3023"/>
    <w:rsid w:val="001F35F6"/>
    <w:rsid w:val="001F4AAF"/>
    <w:rsid w:val="001F74CA"/>
    <w:rsid w:val="001F7590"/>
    <w:rsid w:val="002003B6"/>
    <w:rsid w:val="0020244A"/>
    <w:rsid w:val="002049B4"/>
    <w:rsid w:val="0020520B"/>
    <w:rsid w:val="002076AD"/>
    <w:rsid w:val="00213C55"/>
    <w:rsid w:val="0021401C"/>
    <w:rsid w:val="00216DA5"/>
    <w:rsid w:val="00223CF4"/>
    <w:rsid w:val="00224B69"/>
    <w:rsid w:val="00224C4A"/>
    <w:rsid w:val="00231187"/>
    <w:rsid w:val="002329EB"/>
    <w:rsid w:val="0023407E"/>
    <w:rsid w:val="00240B40"/>
    <w:rsid w:val="00244182"/>
    <w:rsid w:val="002544A1"/>
    <w:rsid w:val="00257ECE"/>
    <w:rsid w:val="00260382"/>
    <w:rsid w:val="00260B94"/>
    <w:rsid w:val="00264F2E"/>
    <w:rsid w:val="00271245"/>
    <w:rsid w:val="00273F66"/>
    <w:rsid w:val="00274A9E"/>
    <w:rsid w:val="00276BA1"/>
    <w:rsid w:val="00280984"/>
    <w:rsid w:val="002832CF"/>
    <w:rsid w:val="002835E3"/>
    <w:rsid w:val="00284542"/>
    <w:rsid w:val="002A0EE7"/>
    <w:rsid w:val="002A14D1"/>
    <w:rsid w:val="002A1A1D"/>
    <w:rsid w:val="002A28AD"/>
    <w:rsid w:val="002B04FD"/>
    <w:rsid w:val="002B5318"/>
    <w:rsid w:val="002B6D27"/>
    <w:rsid w:val="002B7A09"/>
    <w:rsid w:val="002C00C4"/>
    <w:rsid w:val="002C060C"/>
    <w:rsid w:val="002C078A"/>
    <w:rsid w:val="002D05DD"/>
    <w:rsid w:val="002D0E4D"/>
    <w:rsid w:val="002D2965"/>
    <w:rsid w:val="002D3D02"/>
    <w:rsid w:val="002D4CB5"/>
    <w:rsid w:val="002D5900"/>
    <w:rsid w:val="002D684B"/>
    <w:rsid w:val="002E003E"/>
    <w:rsid w:val="002E05AB"/>
    <w:rsid w:val="002E2142"/>
    <w:rsid w:val="002E2D3A"/>
    <w:rsid w:val="002E3B26"/>
    <w:rsid w:val="002E4406"/>
    <w:rsid w:val="002E4AB8"/>
    <w:rsid w:val="002E7FC4"/>
    <w:rsid w:val="0030667B"/>
    <w:rsid w:val="00310070"/>
    <w:rsid w:val="0031081B"/>
    <w:rsid w:val="003110EC"/>
    <w:rsid w:val="00314289"/>
    <w:rsid w:val="003206A6"/>
    <w:rsid w:val="0032560D"/>
    <w:rsid w:val="00327C92"/>
    <w:rsid w:val="00333292"/>
    <w:rsid w:val="003344E7"/>
    <w:rsid w:val="0033580B"/>
    <w:rsid w:val="003365E7"/>
    <w:rsid w:val="003378D5"/>
    <w:rsid w:val="003473D7"/>
    <w:rsid w:val="00351AC8"/>
    <w:rsid w:val="00353075"/>
    <w:rsid w:val="00363E02"/>
    <w:rsid w:val="00363F8C"/>
    <w:rsid w:val="00370201"/>
    <w:rsid w:val="00373A37"/>
    <w:rsid w:val="00373A96"/>
    <w:rsid w:val="003826C2"/>
    <w:rsid w:val="00383728"/>
    <w:rsid w:val="00384E57"/>
    <w:rsid w:val="003903BB"/>
    <w:rsid w:val="0039195E"/>
    <w:rsid w:val="00392627"/>
    <w:rsid w:val="00394128"/>
    <w:rsid w:val="00394ADC"/>
    <w:rsid w:val="00395235"/>
    <w:rsid w:val="0039561A"/>
    <w:rsid w:val="00397C7D"/>
    <w:rsid w:val="003A004F"/>
    <w:rsid w:val="003A2158"/>
    <w:rsid w:val="003A3AC4"/>
    <w:rsid w:val="003A5521"/>
    <w:rsid w:val="003B25A5"/>
    <w:rsid w:val="003B4130"/>
    <w:rsid w:val="003B715B"/>
    <w:rsid w:val="003C2C62"/>
    <w:rsid w:val="003C5566"/>
    <w:rsid w:val="003C577A"/>
    <w:rsid w:val="003C7E43"/>
    <w:rsid w:val="003D1D14"/>
    <w:rsid w:val="003D6C7C"/>
    <w:rsid w:val="003D6EFB"/>
    <w:rsid w:val="003D7E52"/>
    <w:rsid w:val="003E259A"/>
    <w:rsid w:val="003E25C6"/>
    <w:rsid w:val="003E46E1"/>
    <w:rsid w:val="003F7528"/>
    <w:rsid w:val="004011AA"/>
    <w:rsid w:val="0040202C"/>
    <w:rsid w:val="00404A8F"/>
    <w:rsid w:val="00406508"/>
    <w:rsid w:val="004110F6"/>
    <w:rsid w:val="00412755"/>
    <w:rsid w:val="0041456E"/>
    <w:rsid w:val="004148E3"/>
    <w:rsid w:val="00414F7E"/>
    <w:rsid w:val="004164F8"/>
    <w:rsid w:val="00421164"/>
    <w:rsid w:val="00426F05"/>
    <w:rsid w:val="004328E1"/>
    <w:rsid w:val="004427B7"/>
    <w:rsid w:val="0044349F"/>
    <w:rsid w:val="00443AB7"/>
    <w:rsid w:val="0044541D"/>
    <w:rsid w:val="00445F1F"/>
    <w:rsid w:val="00447862"/>
    <w:rsid w:val="00451F60"/>
    <w:rsid w:val="00452BB2"/>
    <w:rsid w:val="00456054"/>
    <w:rsid w:val="0045656D"/>
    <w:rsid w:val="00462D98"/>
    <w:rsid w:val="00463E7D"/>
    <w:rsid w:val="00472498"/>
    <w:rsid w:val="00472A44"/>
    <w:rsid w:val="00473A89"/>
    <w:rsid w:val="00475899"/>
    <w:rsid w:val="00482C78"/>
    <w:rsid w:val="00483ABC"/>
    <w:rsid w:val="0048634A"/>
    <w:rsid w:val="004874AE"/>
    <w:rsid w:val="0049056F"/>
    <w:rsid w:val="0049106C"/>
    <w:rsid w:val="004916E7"/>
    <w:rsid w:val="00491FF7"/>
    <w:rsid w:val="00492217"/>
    <w:rsid w:val="00494D24"/>
    <w:rsid w:val="004951D1"/>
    <w:rsid w:val="004960BB"/>
    <w:rsid w:val="004A1BA3"/>
    <w:rsid w:val="004A27D0"/>
    <w:rsid w:val="004A4D67"/>
    <w:rsid w:val="004B7E79"/>
    <w:rsid w:val="004C13CB"/>
    <w:rsid w:val="004C5B90"/>
    <w:rsid w:val="004D3D4B"/>
    <w:rsid w:val="004D4557"/>
    <w:rsid w:val="004D5498"/>
    <w:rsid w:val="004D66A5"/>
    <w:rsid w:val="004D6B00"/>
    <w:rsid w:val="004E1D50"/>
    <w:rsid w:val="004E3266"/>
    <w:rsid w:val="004E38BA"/>
    <w:rsid w:val="004E3EB6"/>
    <w:rsid w:val="004E50CA"/>
    <w:rsid w:val="004F27A0"/>
    <w:rsid w:val="0050027D"/>
    <w:rsid w:val="00501382"/>
    <w:rsid w:val="005048FB"/>
    <w:rsid w:val="00510798"/>
    <w:rsid w:val="005119B5"/>
    <w:rsid w:val="005125F1"/>
    <w:rsid w:val="005150CC"/>
    <w:rsid w:val="0052451A"/>
    <w:rsid w:val="00524A11"/>
    <w:rsid w:val="00527768"/>
    <w:rsid w:val="00530EA4"/>
    <w:rsid w:val="005327FB"/>
    <w:rsid w:val="00533251"/>
    <w:rsid w:val="00533FCA"/>
    <w:rsid w:val="005346EF"/>
    <w:rsid w:val="005369F1"/>
    <w:rsid w:val="005470D4"/>
    <w:rsid w:val="00547BAB"/>
    <w:rsid w:val="0055705E"/>
    <w:rsid w:val="005616B5"/>
    <w:rsid w:val="00566690"/>
    <w:rsid w:val="005679A4"/>
    <w:rsid w:val="00574CE6"/>
    <w:rsid w:val="0059223D"/>
    <w:rsid w:val="0059365B"/>
    <w:rsid w:val="00593ABC"/>
    <w:rsid w:val="00597B15"/>
    <w:rsid w:val="005A044C"/>
    <w:rsid w:val="005A149F"/>
    <w:rsid w:val="005A3A32"/>
    <w:rsid w:val="005B2C9F"/>
    <w:rsid w:val="005B34C9"/>
    <w:rsid w:val="005B3C39"/>
    <w:rsid w:val="005B7D08"/>
    <w:rsid w:val="005C1D52"/>
    <w:rsid w:val="005D0200"/>
    <w:rsid w:val="005D44EF"/>
    <w:rsid w:val="005D5112"/>
    <w:rsid w:val="005D5D67"/>
    <w:rsid w:val="005F34CC"/>
    <w:rsid w:val="005F3914"/>
    <w:rsid w:val="005F3B5A"/>
    <w:rsid w:val="005F6AB4"/>
    <w:rsid w:val="00607471"/>
    <w:rsid w:val="00610A66"/>
    <w:rsid w:val="006119B8"/>
    <w:rsid w:val="00613177"/>
    <w:rsid w:val="00613F7C"/>
    <w:rsid w:val="00614BF2"/>
    <w:rsid w:val="0061557C"/>
    <w:rsid w:val="006208E4"/>
    <w:rsid w:val="00623DE2"/>
    <w:rsid w:val="00627601"/>
    <w:rsid w:val="006300D0"/>
    <w:rsid w:val="00632012"/>
    <w:rsid w:val="00634694"/>
    <w:rsid w:val="00634D55"/>
    <w:rsid w:val="00636517"/>
    <w:rsid w:val="00636EE7"/>
    <w:rsid w:val="00637690"/>
    <w:rsid w:val="00640E1E"/>
    <w:rsid w:val="00641BA3"/>
    <w:rsid w:val="0064389A"/>
    <w:rsid w:val="00645442"/>
    <w:rsid w:val="006525CD"/>
    <w:rsid w:val="00653F7F"/>
    <w:rsid w:val="006572DE"/>
    <w:rsid w:val="00662DCD"/>
    <w:rsid w:val="00662EE8"/>
    <w:rsid w:val="00663813"/>
    <w:rsid w:val="00664AFD"/>
    <w:rsid w:val="006665DC"/>
    <w:rsid w:val="00667567"/>
    <w:rsid w:val="0067391A"/>
    <w:rsid w:val="00674173"/>
    <w:rsid w:val="0067534F"/>
    <w:rsid w:val="00676A33"/>
    <w:rsid w:val="0067717E"/>
    <w:rsid w:val="00677D87"/>
    <w:rsid w:val="00690C2D"/>
    <w:rsid w:val="00690DB1"/>
    <w:rsid w:val="00693404"/>
    <w:rsid w:val="00693E5C"/>
    <w:rsid w:val="006953D9"/>
    <w:rsid w:val="006A1269"/>
    <w:rsid w:val="006A36E7"/>
    <w:rsid w:val="006A5803"/>
    <w:rsid w:val="006A65F3"/>
    <w:rsid w:val="006A69C3"/>
    <w:rsid w:val="006A7C15"/>
    <w:rsid w:val="006B1242"/>
    <w:rsid w:val="006B1DBC"/>
    <w:rsid w:val="006B1F84"/>
    <w:rsid w:val="006B3712"/>
    <w:rsid w:val="006B7D9A"/>
    <w:rsid w:val="006C06D9"/>
    <w:rsid w:val="006C3E22"/>
    <w:rsid w:val="006C5716"/>
    <w:rsid w:val="006C64B2"/>
    <w:rsid w:val="006C74A9"/>
    <w:rsid w:val="006D07DE"/>
    <w:rsid w:val="006D361A"/>
    <w:rsid w:val="006D5B6D"/>
    <w:rsid w:val="006D6A81"/>
    <w:rsid w:val="006D7213"/>
    <w:rsid w:val="006E06D9"/>
    <w:rsid w:val="006E1D40"/>
    <w:rsid w:val="006E2E1F"/>
    <w:rsid w:val="006E5059"/>
    <w:rsid w:val="006F4C5B"/>
    <w:rsid w:val="006F5F03"/>
    <w:rsid w:val="006F5FFF"/>
    <w:rsid w:val="006F7F4C"/>
    <w:rsid w:val="00701431"/>
    <w:rsid w:val="00710804"/>
    <w:rsid w:val="00711FC6"/>
    <w:rsid w:val="00712952"/>
    <w:rsid w:val="007130B1"/>
    <w:rsid w:val="00713487"/>
    <w:rsid w:val="00715071"/>
    <w:rsid w:val="007231E9"/>
    <w:rsid w:val="00723731"/>
    <w:rsid w:val="00724F0E"/>
    <w:rsid w:val="007270A6"/>
    <w:rsid w:val="00727C59"/>
    <w:rsid w:val="007328C6"/>
    <w:rsid w:val="00733730"/>
    <w:rsid w:val="00734E5D"/>
    <w:rsid w:val="0073514E"/>
    <w:rsid w:val="00736013"/>
    <w:rsid w:val="00737BF8"/>
    <w:rsid w:val="0074339B"/>
    <w:rsid w:val="007469DD"/>
    <w:rsid w:val="00750B60"/>
    <w:rsid w:val="00756245"/>
    <w:rsid w:val="00761662"/>
    <w:rsid w:val="00764043"/>
    <w:rsid w:val="00766A36"/>
    <w:rsid w:val="007757CF"/>
    <w:rsid w:val="007769F6"/>
    <w:rsid w:val="00780F9D"/>
    <w:rsid w:val="0078128F"/>
    <w:rsid w:val="007819D9"/>
    <w:rsid w:val="0078642F"/>
    <w:rsid w:val="0078683C"/>
    <w:rsid w:val="00790EDB"/>
    <w:rsid w:val="00791538"/>
    <w:rsid w:val="0079326E"/>
    <w:rsid w:val="00796E1C"/>
    <w:rsid w:val="00796EDE"/>
    <w:rsid w:val="007A5A58"/>
    <w:rsid w:val="007B1C56"/>
    <w:rsid w:val="007B29AB"/>
    <w:rsid w:val="007C1DD7"/>
    <w:rsid w:val="007C35D3"/>
    <w:rsid w:val="007C3CD5"/>
    <w:rsid w:val="007C4756"/>
    <w:rsid w:val="007C5E88"/>
    <w:rsid w:val="007C61EF"/>
    <w:rsid w:val="007D03DE"/>
    <w:rsid w:val="007D1C0D"/>
    <w:rsid w:val="007D2D23"/>
    <w:rsid w:val="007E27D6"/>
    <w:rsid w:val="007E2B06"/>
    <w:rsid w:val="007E3921"/>
    <w:rsid w:val="00801028"/>
    <w:rsid w:val="00803793"/>
    <w:rsid w:val="00804000"/>
    <w:rsid w:val="00805254"/>
    <w:rsid w:val="008101A2"/>
    <w:rsid w:val="00817A01"/>
    <w:rsid w:val="00820937"/>
    <w:rsid w:val="00823DDD"/>
    <w:rsid w:val="00825E35"/>
    <w:rsid w:val="00830A4E"/>
    <w:rsid w:val="008334F8"/>
    <w:rsid w:val="00834249"/>
    <w:rsid w:val="00835FFD"/>
    <w:rsid w:val="0084381F"/>
    <w:rsid w:val="00843E35"/>
    <w:rsid w:val="00845F72"/>
    <w:rsid w:val="00846020"/>
    <w:rsid w:val="0084791E"/>
    <w:rsid w:val="00850A91"/>
    <w:rsid w:val="008524CE"/>
    <w:rsid w:val="00856D9D"/>
    <w:rsid w:val="00857633"/>
    <w:rsid w:val="0086440C"/>
    <w:rsid w:val="008674ED"/>
    <w:rsid w:val="00874EE6"/>
    <w:rsid w:val="00876659"/>
    <w:rsid w:val="0087734C"/>
    <w:rsid w:val="00882141"/>
    <w:rsid w:val="00886BD4"/>
    <w:rsid w:val="00886CA2"/>
    <w:rsid w:val="008876EC"/>
    <w:rsid w:val="008922A8"/>
    <w:rsid w:val="00895BD5"/>
    <w:rsid w:val="008A16C4"/>
    <w:rsid w:val="008A4A27"/>
    <w:rsid w:val="008A649F"/>
    <w:rsid w:val="008A6FED"/>
    <w:rsid w:val="008B0945"/>
    <w:rsid w:val="008B39C5"/>
    <w:rsid w:val="008B51AA"/>
    <w:rsid w:val="008C67F2"/>
    <w:rsid w:val="008C7E63"/>
    <w:rsid w:val="008D064A"/>
    <w:rsid w:val="008D2537"/>
    <w:rsid w:val="008D2B0F"/>
    <w:rsid w:val="008D5EE5"/>
    <w:rsid w:val="008D633C"/>
    <w:rsid w:val="008D76DA"/>
    <w:rsid w:val="008D7DB2"/>
    <w:rsid w:val="008E449E"/>
    <w:rsid w:val="008E4BDD"/>
    <w:rsid w:val="008E5387"/>
    <w:rsid w:val="008E770C"/>
    <w:rsid w:val="008F00F4"/>
    <w:rsid w:val="008F187F"/>
    <w:rsid w:val="008F402F"/>
    <w:rsid w:val="008F76E8"/>
    <w:rsid w:val="00904508"/>
    <w:rsid w:val="009078A1"/>
    <w:rsid w:val="00911E9C"/>
    <w:rsid w:val="00917405"/>
    <w:rsid w:val="00920F7C"/>
    <w:rsid w:val="00922718"/>
    <w:rsid w:val="00924743"/>
    <w:rsid w:val="00932A87"/>
    <w:rsid w:val="00934CAE"/>
    <w:rsid w:val="0093560E"/>
    <w:rsid w:val="0094257D"/>
    <w:rsid w:val="009443B6"/>
    <w:rsid w:val="00946F68"/>
    <w:rsid w:val="0095467C"/>
    <w:rsid w:val="00954A61"/>
    <w:rsid w:val="00955C6F"/>
    <w:rsid w:val="00966C7B"/>
    <w:rsid w:val="009679A2"/>
    <w:rsid w:val="009701DC"/>
    <w:rsid w:val="009715D8"/>
    <w:rsid w:val="0097278E"/>
    <w:rsid w:val="009811A8"/>
    <w:rsid w:val="00985C4F"/>
    <w:rsid w:val="00986E3C"/>
    <w:rsid w:val="00991460"/>
    <w:rsid w:val="009932CF"/>
    <w:rsid w:val="009941BF"/>
    <w:rsid w:val="00995BF9"/>
    <w:rsid w:val="009975CC"/>
    <w:rsid w:val="009A0CAF"/>
    <w:rsid w:val="009A2207"/>
    <w:rsid w:val="009B0EDA"/>
    <w:rsid w:val="009B6C42"/>
    <w:rsid w:val="009C3F38"/>
    <w:rsid w:val="009D2998"/>
    <w:rsid w:val="009D31F7"/>
    <w:rsid w:val="009D32C2"/>
    <w:rsid w:val="009D50DB"/>
    <w:rsid w:val="009E2932"/>
    <w:rsid w:val="009E2DFA"/>
    <w:rsid w:val="009E3A0A"/>
    <w:rsid w:val="009F1936"/>
    <w:rsid w:val="009F3E91"/>
    <w:rsid w:val="009F4E0E"/>
    <w:rsid w:val="00A008DA"/>
    <w:rsid w:val="00A00C93"/>
    <w:rsid w:val="00A0571E"/>
    <w:rsid w:val="00A1397D"/>
    <w:rsid w:val="00A13A27"/>
    <w:rsid w:val="00A1499B"/>
    <w:rsid w:val="00A170D8"/>
    <w:rsid w:val="00A26BC5"/>
    <w:rsid w:val="00A27D73"/>
    <w:rsid w:val="00A30A1B"/>
    <w:rsid w:val="00A314C2"/>
    <w:rsid w:val="00A40B71"/>
    <w:rsid w:val="00A501BF"/>
    <w:rsid w:val="00A519A0"/>
    <w:rsid w:val="00A6249F"/>
    <w:rsid w:val="00A62A2E"/>
    <w:rsid w:val="00A630B4"/>
    <w:rsid w:val="00A63E86"/>
    <w:rsid w:val="00A75185"/>
    <w:rsid w:val="00A754A0"/>
    <w:rsid w:val="00A757C3"/>
    <w:rsid w:val="00A75E5B"/>
    <w:rsid w:val="00A75F4B"/>
    <w:rsid w:val="00A7684A"/>
    <w:rsid w:val="00A80C58"/>
    <w:rsid w:val="00A83B69"/>
    <w:rsid w:val="00A86533"/>
    <w:rsid w:val="00A91CA2"/>
    <w:rsid w:val="00A9220A"/>
    <w:rsid w:val="00A92FB8"/>
    <w:rsid w:val="00A948F1"/>
    <w:rsid w:val="00AA0BE3"/>
    <w:rsid w:val="00AA18F9"/>
    <w:rsid w:val="00AA1D7D"/>
    <w:rsid w:val="00AA2790"/>
    <w:rsid w:val="00AA3806"/>
    <w:rsid w:val="00AB01AC"/>
    <w:rsid w:val="00AB139D"/>
    <w:rsid w:val="00AB2A35"/>
    <w:rsid w:val="00AB2D05"/>
    <w:rsid w:val="00AB348D"/>
    <w:rsid w:val="00AB3EFB"/>
    <w:rsid w:val="00AC0B05"/>
    <w:rsid w:val="00AC1962"/>
    <w:rsid w:val="00AC7F9D"/>
    <w:rsid w:val="00AD079A"/>
    <w:rsid w:val="00AD1890"/>
    <w:rsid w:val="00AD6588"/>
    <w:rsid w:val="00AD7CCB"/>
    <w:rsid w:val="00AE2149"/>
    <w:rsid w:val="00AE2BF3"/>
    <w:rsid w:val="00AE33AE"/>
    <w:rsid w:val="00AE3F91"/>
    <w:rsid w:val="00AF5B63"/>
    <w:rsid w:val="00B0053D"/>
    <w:rsid w:val="00B00FF1"/>
    <w:rsid w:val="00B039E3"/>
    <w:rsid w:val="00B06D36"/>
    <w:rsid w:val="00B12BC4"/>
    <w:rsid w:val="00B22838"/>
    <w:rsid w:val="00B33E8F"/>
    <w:rsid w:val="00B33E95"/>
    <w:rsid w:val="00B3720B"/>
    <w:rsid w:val="00B372DF"/>
    <w:rsid w:val="00B420C8"/>
    <w:rsid w:val="00B45D0B"/>
    <w:rsid w:val="00B5558A"/>
    <w:rsid w:val="00B56513"/>
    <w:rsid w:val="00B5736B"/>
    <w:rsid w:val="00B576F1"/>
    <w:rsid w:val="00B6167E"/>
    <w:rsid w:val="00B61B64"/>
    <w:rsid w:val="00B64376"/>
    <w:rsid w:val="00B6570C"/>
    <w:rsid w:val="00B7401F"/>
    <w:rsid w:val="00B748E5"/>
    <w:rsid w:val="00B769CF"/>
    <w:rsid w:val="00B806C3"/>
    <w:rsid w:val="00B80D6F"/>
    <w:rsid w:val="00B84FCA"/>
    <w:rsid w:val="00B9089F"/>
    <w:rsid w:val="00B91826"/>
    <w:rsid w:val="00B91AEE"/>
    <w:rsid w:val="00B93568"/>
    <w:rsid w:val="00B95F5A"/>
    <w:rsid w:val="00B96EAD"/>
    <w:rsid w:val="00BA4B7C"/>
    <w:rsid w:val="00BA79F5"/>
    <w:rsid w:val="00BA7EA7"/>
    <w:rsid w:val="00BB3AB6"/>
    <w:rsid w:val="00BB766D"/>
    <w:rsid w:val="00BC007B"/>
    <w:rsid w:val="00BC26BA"/>
    <w:rsid w:val="00BC35F8"/>
    <w:rsid w:val="00BC403F"/>
    <w:rsid w:val="00BC481B"/>
    <w:rsid w:val="00BC6EB9"/>
    <w:rsid w:val="00BD08DF"/>
    <w:rsid w:val="00BD2D29"/>
    <w:rsid w:val="00BD617C"/>
    <w:rsid w:val="00BE5974"/>
    <w:rsid w:val="00BE746B"/>
    <w:rsid w:val="00BE782C"/>
    <w:rsid w:val="00BF17B4"/>
    <w:rsid w:val="00BF376F"/>
    <w:rsid w:val="00BF426A"/>
    <w:rsid w:val="00BF46A6"/>
    <w:rsid w:val="00BF572F"/>
    <w:rsid w:val="00BF6CAD"/>
    <w:rsid w:val="00BF71FB"/>
    <w:rsid w:val="00C04DBF"/>
    <w:rsid w:val="00C05C07"/>
    <w:rsid w:val="00C05E4C"/>
    <w:rsid w:val="00C06545"/>
    <w:rsid w:val="00C11D8C"/>
    <w:rsid w:val="00C134AF"/>
    <w:rsid w:val="00C220FC"/>
    <w:rsid w:val="00C24DFA"/>
    <w:rsid w:val="00C24F9D"/>
    <w:rsid w:val="00C2521C"/>
    <w:rsid w:val="00C30182"/>
    <w:rsid w:val="00C31FC9"/>
    <w:rsid w:val="00C37A63"/>
    <w:rsid w:val="00C42248"/>
    <w:rsid w:val="00C46A36"/>
    <w:rsid w:val="00C47037"/>
    <w:rsid w:val="00C509E3"/>
    <w:rsid w:val="00C53625"/>
    <w:rsid w:val="00C548BA"/>
    <w:rsid w:val="00C5679D"/>
    <w:rsid w:val="00C57784"/>
    <w:rsid w:val="00C602C1"/>
    <w:rsid w:val="00C63FC0"/>
    <w:rsid w:val="00C66392"/>
    <w:rsid w:val="00C71B9E"/>
    <w:rsid w:val="00C73D09"/>
    <w:rsid w:val="00C74C5E"/>
    <w:rsid w:val="00C768B0"/>
    <w:rsid w:val="00C82558"/>
    <w:rsid w:val="00C827A2"/>
    <w:rsid w:val="00C82965"/>
    <w:rsid w:val="00C82B69"/>
    <w:rsid w:val="00C82C8E"/>
    <w:rsid w:val="00C82CB3"/>
    <w:rsid w:val="00C91B28"/>
    <w:rsid w:val="00C91F3A"/>
    <w:rsid w:val="00C92E1A"/>
    <w:rsid w:val="00C93590"/>
    <w:rsid w:val="00CA4C7F"/>
    <w:rsid w:val="00CA5446"/>
    <w:rsid w:val="00CB14E5"/>
    <w:rsid w:val="00CB15F8"/>
    <w:rsid w:val="00CB218D"/>
    <w:rsid w:val="00CB377B"/>
    <w:rsid w:val="00CB5625"/>
    <w:rsid w:val="00CB5797"/>
    <w:rsid w:val="00CC1400"/>
    <w:rsid w:val="00CC1C17"/>
    <w:rsid w:val="00CC4CD2"/>
    <w:rsid w:val="00CC4F7F"/>
    <w:rsid w:val="00CD09E1"/>
    <w:rsid w:val="00CD1BB5"/>
    <w:rsid w:val="00CE1780"/>
    <w:rsid w:val="00CE4913"/>
    <w:rsid w:val="00CE66BD"/>
    <w:rsid w:val="00CF0671"/>
    <w:rsid w:val="00CF247A"/>
    <w:rsid w:val="00CF44AD"/>
    <w:rsid w:val="00CF4D7C"/>
    <w:rsid w:val="00CF4FC0"/>
    <w:rsid w:val="00CF7486"/>
    <w:rsid w:val="00D1072F"/>
    <w:rsid w:val="00D108A5"/>
    <w:rsid w:val="00D14585"/>
    <w:rsid w:val="00D153C8"/>
    <w:rsid w:val="00D169F2"/>
    <w:rsid w:val="00D20EFF"/>
    <w:rsid w:val="00D236BB"/>
    <w:rsid w:val="00D3019D"/>
    <w:rsid w:val="00D31324"/>
    <w:rsid w:val="00D4386E"/>
    <w:rsid w:val="00D51432"/>
    <w:rsid w:val="00D53ED8"/>
    <w:rsid w:val="00D541A0"/>
    <w:rsid w:val="00D5697F"/>
    <w:rsid w:val="00D64857"/>
    <w:rsid w:val="00D6493A"/>
    <w:rsid w:val="00D649A5"/>
    <w:rsid w:val="00D660EA"/>
    <w:rsid w:val="00D66833"/>
    <w:rsid w:val="00D67875"/>
    <w:rsid w:val="00D71E86"/>
    <w:rsid w:val="00D72F0F"/>
    <w:rsid w:val="00D731C6"/>
    <w:rsid w:val="00D745C5"/>
    <w:rsid w:val="00D75327"/>
    <w:rsid w:val="00D77D6B"/>
    <w:rsid w:val="00D801FE"/>
    <w:rsid w:val="00D80C36"/>
    <w:rsid w:val="00D81A32"/>
    <w:rsid w:val="00D86EE1"/>
    <w:rsid w:val="00D92392"/>
    <w:rsid w:val="00D945DC"/>
    <w:rsid w:val="00D95E90"/>
    <w:rsid w:val="00D96126"/>
    <w:rsid w:val="00DA090D"/>
    <w:rsid w:val="00DA0FCD"/>
    <w:rsid w:val="00DA2FD5"/>
    <w:rsid w:val="00DB0C86"/>
    <w:rsid w:val="00DB4B1C"/>
    <w:rsid w:val="00DB5085"/>
    <w:rsid w:val="00DB619F"/>
    <w:rsid w:val="00DB7211"/>
    <w:rsid w:val="00DC1062"/>
    <w:rsid w:val="00DC132C"/>
    <w:rsid w:val="00DC181A"/>
    <w:rsid w:val="00DC5727"/>
    <w:rsid w:val="00DD13B9"/>
    <w:rsid w:val="00DD149F"/>
    <w:rsid w:val="00DD43F0"/>
    <w:rsid w:val="00DD44DE"/>
    <w:rsid w:val="00DE09AB"/>
    <w:rsid w:val="00DE352F"/>
    <w:rsid w:val="00DE4A3F"/>
    <w:rsid w:val="00DE5A99"/>
    <w:rsid w:val="00DF2880"/>
    <w:rsid w:val="00DF4367"/>
    <w:rsid w:val="00DF7291"/>
    <w:rsid w:val="00E03FF0"/>
    <w:rsid w:val="00E055BF"/>
    <w:rsid w:val="00E0574A"/>
    <w:rsid w:val="00E1243D"/>
    <w:rsid w:val="00E12742"/>
    <w:rsid w:val="00E146D4"/>
    <w:rsid w:val="00E14815"/>
    <w:rsid w:val="00E21D37"/>
    <w:rsid w:val="00E220ED"/>
    <w:rsid w:val="00E22B44"/>
    <w:rsid w:val="00E233AD"/>
    <w:rsid w:val="00E26EB1"/>
    <w:rsid w:val="00E30ACD"/>
    <w:rsid w:val="00E32735"/>
    <w:rsid w:val="00E34236"/>
    <w:rsid w:val="00E44B88"/>
    <w:rsid w:val="00E50BFA"/>
    <w:rsid w:val="00E66E36"/>
    <w:rsid w:val="00E702ED"/>
    <w:rsid w:val="00E709A4"/>
    <w:rsid w:val="00E71D4A"/>
    <w:rsid w:val="00E75917"/>
    <w:rsid w:val="00E772DB"/>
    <w:rsid w:val="00E86012"/>
    <w:rsid w:val="00E860CA"/>
    <w:rsid w:val="00E86BAB"/>
    <w:rsid w:val="00E92962"/>
    <w:rsid w:val="00E94E10"/>
    <w:rsid w:val="00E96743"/>
    <w:rsid w:val="00E96A42"/>
    <w:rsid w:val="00E97497"/>
    <w:rsid w:val="00EA046F"/>
    <w:rsid w:val="00EA49C5"/>
    <w:rsid w:val="00EA6279"/>
    <w:rsid w:val="00EB402C"/>
    <w:rsid w:val="00EB5027"/>
    <w:rsid w:val="00EC1836"/>
    <w:rsid w:val="00EC3990"/>
    <w:rsid w:val="00EC484B"/>
    <w:rsid w:val="00EC7E58"/>
    <w:rsid w:val="00ED15FA"/>
    <w:rsid w:val="00ED5C9F"/>
    <w:rsid w:val="00EE050C"/>
    <w:rsid w:val="00EE2113"/>
    <w:rsid w:val="00EE5730"/>
    <w:rsid w:val="00EE6E9A"/>
    <w:rsid w:val="00EF2AC4"/>
    <w:rsid w:val="00EF397E"/>
    <w:rsid w:val="00EF762E"/>
    <w:rsid w:val="00F0340C"/>
    <w:rsid w:val="00F04CED"/>
    <w:rsid w:val="00F06F68"/>
    <w:rsid w:val="00F11241"/>
    <w:rsid w:val="00F11D35"/>
    <w:rsid w:val="00F15E9D"/>
    <w:rsid w:val="00F23FA7"/>
    <w:rsid w:val="00F24C2D"/>
    <w:rsid w:val="00F2717E"/>
    <w:rsid w:val="00F272C4"/>
    <w:rsid w:val="00F27D59"/>
    <w:rsid w:val="00F316E1"/>
    <w:rsid w:val="00F32155"/>
    <w:rsid w:val="00F32A81"/>
    <w:rsid w:val="00F40C82"/>
    <w:rsid w:val="00F4197F"/>
    <w:rsid w:val="00F438EE"/>
    <w:rsid w:val="00F44F2A"/>
    <w:rsid w:val="00F45367"/>
    <w:rsid w:val="00F46998"/>
    <w:rsid w:val="00F5093F"/>
    <w:rsid w:val="00F5382D"/>
    <w:rsid w:val="00F53D9C"/>
    <w:rsid w:val="00F5462B"/>
    <w:rsid w:val="00F54653"/>
    <w:rsid w:val="00F569DE"/>
    <w:rsid w:val="00F57205"/>
    <w:rsid w:val="00F634AD"/>
    <w:rsid w:val="00F63677"/>
    <w:rsid w:val="00F659DA"/>
    <w:rsid w:val="00F671CE"/>
    <w:rsid w:val="00F674DA"/>
    <w:rsid w:val="00F70658"/>
    <w:rsid w:val="00F74B50"/>
    <w:rsid w:val="00F75B81"/>
    <w:rsid w:val="00F761CA"/>
    <w:rsid w:val="00F804C4"/>
    <w:rsid w:val="00F80C7E"/>
    <w:rsid w:val="00F82F83"/>
    <w:rsid w:val="00F90C64"/>
    <w:rsid w:val="00F9210C"/>
    <w:rsid w:val="00F92B30"/>
    <w:rsid w:val="00F933B9"/>
    <w:rsid w:val="00F94674"/>
    <w:rsid w:val="00F94919"/>
    <w:rsid w:val="00F94A59"/>
    <w:rsid w:val="00FA25B6"/>
    <w:rsid w:val="00FA2FAF"/>
    <w:rsid w:val="00FA54F6"/>
    <w:rsid w:val="00FA64B1"/>
    <w:rsid w:val="00FA70F3"/>
    <w:rsid w:val="00FA71CD"/>
    <w:rsid w:val="00FA7C66"/>
    <w:rsid w:val="00FB0453"/>
    <w:rsid w:val="00FB0C07"/>
    <w:rsid w:val="00FB298D"/>
    <w:rsid w:val="00FB3171"/>
    <w:rsid w:val="00FB38B5"/>
    <w:rsid w:val="00FB444E"/>
    <w:rsid w:val="00FB5DC9"/>
    <w:rsid w:val="00FC1439"/>
    <w:rsid w:val="00FC3F65"/>
    <w:rsid w:val="00FC5007"/>
    <w:rsid w:val="00FC724B"/>
    <w:rsid w:val="00FC7910"/>
    <w:rsid w:val="00FD01E0"/>
    <w:rsid w:val="00FD50FC"/>
    <w:rsid w:val="00FE1627"/>
    <w:rsid w:val="00FE2D4E"/>
    <w:rsid w:val="00FF092F"/>
    <w:rsid w:val="00FF0DA7"/>
    <w:rsid w:val="00FF2DF6"/>
    <w:rsid w:val="00FF44E0"/>
    <w:rsid w:val="00FF6C72"/>
    <w:rsid w:val="01216A43"/>
    <w:rsid w:val="01436A74"/>
    <w:rsid w:val="01536B3C"/>
    <w:rsid w:val="029B2417"/>
    <w:rsid w:val="02A23F5D"/>
    <w:rsid w:val="03443858"/>
    <w:rsid w:val="045C57FD"/>
    <w:rsid w:val="05912728"/>
    <w:rsid w:val="060D5ED0"/>
    <w:rsid w:val="06CD50C9"/>
    <w:rsid w:val="06EE74DB"/>
    <w:rsid w:val="072015CC"/>
    <w:rsid w:val="08617CF0"/>
    <w:rsid w:val="087846CF"/>
    <w:rsid w:val="08866A97"/>
    <w:rsid w:val="09324853"/>
    <w:rsid w:val="093E5132"/>
    <w:rsid w:val="099C3247"/>
    <w:rsid w:val="09E54B91"/>
    <w:rsid w:val="0AD66B08"/>
    <w:rsid w:val="0B34273F"/>
    <w:rsid w:val="0B48504D"/>
    <w:rsid w:val="0B5759D8"/>
    <w:rsid w:val="0B584B6B"/>
    <w:rsid w:val="0B9A6428"/>
    <w:rsid w:val="0BC76A6E"/>
    <w:rsid w:val="0BD069A1"/>
    <w:rsid w:val="0C0B76AE"/>
    <w:rsid w:val="0C695EBF"/>
    <w:rsid w:val="0C764D16"/>
    <w:rsid w:val="0CB009F0"/>
    <w:rsid w:val="0CCF0636"/>
    <w:rsid w:val="0CF73758"/>
    <w:rsid w:val="0D3E7892"/>
    <w:rsid w:val="0DB72352"/>
    <w:rsid w:val="0DFC12FE"/>
    <w:rsid w:val="0DFF1A91"/>
    <w:rsid w:val="0E30091C"/>
    <w:rsid w:val="0EB116DF"/>
    <w:rsid w:val="0EB9796D"/>
    <w:rsid w:val="0ED93BBF"/>
    <w:rsid w:val="0FC76BB7"/>
    <w:rsid w:val="101653C5"/>
    <w:rsid w:val="10196798"/>
    <w:rsid w:val="10F935A7"/>
    <w:rsid w:val="11D708DB"/>
    <w:rsid w:val="12E83133"/>
    <w:rsid w:val="13607801"/>
    <w:rsid w:val="1375778E"/>
    <w:rsid w:val="14E43199"/>
    <w:rsid w:val="15D078F9"/>
    <w:rsid w:val="16A14FAE"/>
    <w:rsid w:val="16F15C51"/>
    <w:rsid w:val="17146EEB"/>
    <w:rsid w:val="18A85F98"/>
    <w:rsid w:val="19145997"/>
    <w:rsid w:val="1A6E774D"/>
    <w:rsid w:val="1A7C004F"/>
    <w:rsid w:val="1B291D20"/>
    <w:rsid w:val="1D015171"/>
    <w:rsid w:val="1D191BE5"/>
    <w:rsid w:val="1D3B78BE"/>
    <w:rsid w:val="1DEC70E9"/>
    <w:rsid w:val="1E0B00F8"/>
    <w:rsid w:val="1E112FC8"/>
    <w:rsid w:val="1F2E6A6D"/>
    <w:rsid w:val="1F553E78"/>
    <w:rsid w:val="20943C19"/>
    <w:rsid w:val="21326E5F"/>
    <w:rsid w:val="21A12912"/>
    <w:rsid w:val="21E40CFA"/>
    <w:rsid w:val="2302273A"/>
    <w:rsid w:val="237C1D35"/>
    <w:rsid w:val="241D3932"/>
    <w:rsid w:val="247E2DFD"/>
    <w:rsid w:val="24AD08F3"/>
    <w:rsid w:val="25565941"/>
    <w:rsid w:val="265B0373"/>
    <w:rsid w:val="26B91CE3"/>
    <w:rsid w:val="274D5052"/>
    <w:rsid w:val="27E85AF1"/>
    <w:rsid w:val="27F46626"/>
    <w:rsid w:val="28017035"/>
    <w:rsid w:val="288E11CC"/>
    <w:rsid w:val="28A96E2F"/>
    <w:rsid w:val="28AF339E"/>
    <w:rsid w:val="28DF641B"/>
    <w:rsid w:val="299D7CAE"/>
    <w:rsid w:val="29BA3CE5"/>
    <w:rsid w:val="2A1534D2"/>
    <w:rsid w:val="2B151618"/>
    <w:rsid w:val="2B5044AE"/>
    <w:rsid w:val="2B89414F"/>
    <w:rsid w:val="2BA41F0E"/>
    <w:rsid w:val="2BB771B1"/>
    <w:rsid w:val="2BCE60E8"/>
    <w:rsid w:val="2C75429E"/>
    <w:rsid w:val="2CA471A0"/>
    <w:rsid w:val="2D1302BF"/>
    <w:rsid w:val="2D1633EB"/>
    <w:rsid w:val="2D355E3C"/>
    <w:rsid w:val="2D611D48"/>
    <w:rsid w:val="2E0C3040"/>
    <w:rsid w:val="2E992065"/>
    <w:rsid w:val="2EB60132"/>
    <w:rsid w:val="2F850E2A"/>
    <w:rsid w:val="2F8779B7"/>
    <w:rsid w:val="306B16EA"/>
    <w:rsid w:val="30D7543E"/>
    <w:rsid w:val="31966FB2"/>
    <w:rsid w:val="3215051D"/>
    <w:rsid w:val="34152599"/>
    <w:rsid w:val="348C0A37"/>
    <w:rsid w:val="34AF64E5"/>
    <w:rsid w:val="3544508A"/>
    <w:rsid w:val="36557C1C"/>
    <w:rsid w:val="36AD04C3"/>
    <w:rsid w:val="36E71BB0"/>
    <w:rsid w:val="385414FE"/>
    <w:rsid w:val="38CD4FE1"/>
    <w:rsid w:val="3AC21656"/>
    <w:rsid w:val="3B5006E0"/>
    <w:rsid w:val="3B6E1C78"/>
    <w:rsid w:val="3C2546B9"/>
    <w:rsid w:val="3C526830"/>
    <w:rsid w:val="3C9227B9"/>
    <w:rsid w:val="3CBE7DA9"/>
    <w:rsid w:val="3E1715D2"/>
    <w:rsid w:val="3E194DFA"/>
    <w:rsid w:val="408D59ED"/>
    <w:rsid w:val="40B54BA9"/>
    <w:rsid w:val="417C4D58"/>
    <w:rsid w:val="432F1B9E"/>
    <w:rsid w:val="43406525"/>
    <w:rsid w:val="438124F9"/>
    <w:rsid w:val="43947392"/>
    <w:rsid w:val="44CC5046"/>
    <w:rsid w:val="44F243AD"/>
    <w:rsid w:val="4509231A"/>
    <w:rsid w:val="450F32BD"/>
    <w:rsid w:val="45794CE6"/>
    <w:rsid w:val="45B649C6"/>
    <w:rsid w:val="46454EEA"/>
    <w:rsid w:val="46D629D1"/>
    <w:rsid w:val="47462CC7"/>
    <w:rsid w:val="47C27D6C"/>
    <w:rsid w:val="4838270D"/>
    <w:rsid w:val="486C2C02"/>
    <w:rsid w:val="48EC3373"/>
    <w:rsid w:val="48F007C1"/>
    <w:rsid w:val="493B64BB"/>
    <w:rsid w:val="495E0E6D"/>
    <w:rsid w:val="49CD7090"/>
    <w:rsid w:val="49D55251"/>
    <w:rsid w:val="4B0C4228"/>
    <w:rsid w:val="4BE87A98"/>
    <w:rsid w:val="4C1743E7"/>
    <w:rsid w:val="4C2E43AC"/>
    <w:rsid w:val="4D1A70D0"/>
    <w:rsid w:val="4D9540B4"/>
    <w:rsid w:val="4E0462A8"/>
    <w:rsid w:val="4E616C92"/>
    <w:rsid w:val="4E6F2E5D"/>
    <w:rsid w:val="4F9B25B3"/>
    <w:rsid w:val="4FBB34CF"/>
    <w:rsid w:val="502B1AD6"/>
    <w:rsid w:val="508A5A0C"/>
    <w:rsid w:val="50B13DEA"/>
    <w:rsid w:val="53491D61"/>
    <w:rsid w:val="5407371F"/>
    <w:rsid w:val="55076EDB"/>
    <w:rsid w:val="557F62EE"/>
    <w:rsid w:val="56215B1D"/>
    <w:rsid w:val="565019E7"/>
    <w:rsid w:val="56861129"/>
    <w:rsid w:val="569861B6"/>
    <w:rsid w:val="56B6493F"/>
    <w:rsid w:val="56D26221"/>
    <w:rsid w:val="58006EC2"/>
    <w:rsid w:val="5809250B"/>
    <w:rsid w:val="5867485C"/>
    <w:rsid w:val="58946959"/>
    <w:rsid w:val="589E1721"/>
    <w:rsid w:val="59390AFD"/>
    <w:rsid w:val="59561490"/>
    <w:rsid w:val="5962713E"/>
    <w:rsid w:val="5999137D"/>
    <w:rsid w:val="599A3B6B"/>
    <w:rsid w:val="5A492DA3"/>
    <w:rsid w:val="5A5113C2"/>
    <w:rsid w:val="5BEF2E16"/>
    <w:rsid w:val="5C8F7148"/>
    <w:rsid w:val="5D5B355A"/>
    <w:rsid w:val="5D8C4430"/>
    <w:rsid w:val="5F6103C2"/>
    <w:rsid w:val="5FC8476A"/>
    <w:rsid w:val="5FCD130C"/>
    <w:rsid w:val="5FD07FE9"/>
    <w:rsid w:val="5FD121D1"/>
    <w:rsid w:val="60613CC2"/>
    <w:rsid w:val="61737CE0"/>
    <w:rsid w:val="617A62BB"/>
    <w:rsid w:val="61FF434A"/>
    <w:rsid w:val="62450E0A"/>
    <w:rsid w:val="6270505E"/>
    <w:rsid w:val="62A2790D"/>
    <w:rsid w:val="62EB49FC"/>
    <w:rsid w:val="632B05B6"/>
    <w:rsid w:val="63845903"/>
    <w:rsid w:val="63D905AD"/>
    <w:rsid w:val="64551402"/>
    <w:rsid w:val="645F3309"/>
    <w:rsid w:val="647A03AB"/>
    <w:rsid w:val="647E6E92"/>
    <w:rsid w:val="649B39FE"/>
    <w:rsid w:val="652674EA"/>
    <w:rsid w:val="65B46500"/>
    <w:rsid w:val="65F20792"/>
    <w:rsid w:val="66CE3DA3"/>
    <w:rsid w:val="66E2747D"/>
    <w:rsid w:val="66F7550A"/>
    <w:rsid w:val="672636AE"/>
    <w:rsid w:val="673047EC"/>
    <w:rsid w:val="6833421D"/>
    <w:rsid w:val="683B31A6"/>
    <w:rsid w:val="6A4B69A3"/>
    <w:rsid w:val="6A9874AE"/>
    <w:rsid w:val="6AAD1A41"/>
    <w:rsid w:val="6B3F7AD8"/>
    <w:rsid w:val="6B9C347D"/>
    <w:rsid w:val="6BA0712C"/>
    <w:rsid w:val="6BAC18E9"/>
    <w:rsid w:val="6C4048A2"/>
    <w:rsid w:val="6CE978AA"/>
    <w:rsid w:val="6D2F1B21"/>
    <w:rsid w:val="6E4E6782"/>
    <w:rsid w:val="6E5F172B"/>
    <w:rsid w:val="6E674EDA"/>
    <w:rsid w:val="6E940093"/>
    <w:rsid w:val="6F5D0B2F"/>
    <w:rsid w:val="6F6117F5"/>
    <w:rsid w:val="6F84274A"/>
    <w:rsid w:val="6FBE314B"/>
    <w:rsid w:val="6FDC216E"/>
    <w:rsid w:val="700D78EC"/>
    <w:rsid w:val="70217AAF"/>
    <w:rsid w:val="702E26CE"/>
    <w:rsid w:val="708B7819"/>
    <w:rsid w:val="70A0444C"/>
    <w:rsid w:val="71E7396A"/>
    <w:rsid w:val="73397A01"/>
    <w:rsid w:val="743B1556"/>
    <w:rsid w:val="746E7814"/>
    <w:rsid w:val="74FC2405"/>
    <w:rsid w:val="753F3A17"/>
    <w:rsid w:val="75E5524E"/>
    <w:rsid w:val="77C27899"/>
    <w:rsid w:val="78373BAC"/>
    <w:rsid w:val="78D4376C"/>
    <w:rsid w:val="79775D93"/>
    <w:rsid w:val="799B26EC"/>
    <w:rsid w:val="79DA107C"/>
    <w:rsid w:val="7B853EC3"/>
    <w:rsid w:val="7CAE2B9E"/>
    <w:rsid w:val="7CD373C4"/>
    <w:rsid w:val="7D18299B"/>
    <w:rsid w:val="7E2F5732"/>
    <w:rsid w:val="7FDA0D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qFormat="1"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uiPriority="99" w:name="List Continue 3"/>
    <w:lsdException w:qFormat="1" w:unhideWhenUsed="0" w:uiPriority="0" w:semiHidden="0"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nhideWhenUsed="0" w:uiPriority="0" w:semiHidden="0" w:name="HTML Sample"/>
    <w:lsdException w:qFormat="1" w:uiPriority="99" w:name="HTML Typewriter"/>
    <w:lsdException w:qFormat="1"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heme="minorBidi"/>
      <w:lang w:val="en-US" w:eastAsia="zh-CN" w:bidi="ar-SA"/>
    </w:rPr>
  </w:style>
  <w:style w:type="paragraph" w:styleId="2">
    <w:name w:val="heading 1"/>
    <w:basedOn w:val="1"/>
    <w:next w:val="1"/>
    <w:link w:val="9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05"/>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paragraph" w:styleId="4">
    <w:name w:val="heading 3"/>
    <w:basedOn w:val="1"/>
    <w:next w:val="1"/>
    <w:link w:val="94"/>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99"/>
    <w:qFormat/>
    <w:uiPriority w:val="0"/>
    <w:pPr>
      <w:keepNext/>
      <w:keepLines/>
      <w:spacing w:before="280" w:after="290" w:line="376" w:lineRule="auto"/>
      <w:outlineLvl w:val="3"/>
    </w:pPr>
    <w:rPr>
      <w:b/>
      <w:bCs/>
      <w:sz w:val="28"/>
      <w:szCs w:val="28"/>
    </w:rPr>
  </w:style>
  <w:style w:type="paragraph" w:styleId="6">
    <w:name w:val="heading 5"/>
    <w:basedOn w:val="1"/>
    <w:next w:val="1"/>
    <w:link w:val="106"/>
    <w:qFormat/>
    <w:uiPriority w:val="0"/>
    <w:pPr>
      <w:keepNext/>
      <w:keepLines/>
      <w:spacing w:before="280" w:after="290" w:line="376" w:lineRule="auto"/>
      <w:outlineLvl w:val="4"/>
    </w:pPr>
    <w:rPr>
      <w:rFonts w:ascii="Calibri" w:hAnsi="Calibri" w:cs="Times New Roman"/>
      <w:b/>
      <w:bCs/>
      <w:kern w:val="2"/>
      <w:sz w:val="28"/>
      <w:szCs w:val="28"/>
      <w:lang w:val="zh-CN"/>
    </w:rPr>
  </w:style>
  <w:style w:type="paragraph" w:styleId="7">
    <w:name w:val="heading 6"/>
    <w:basedOn w:val="6"/>
    <w:next w:val="1"/>
    <w:link w:val="107"/>
    <w:qFormat/>
    <w:uiPriority w:val="0"/>
    <w:pPr>
      <w:tabs>
        <w:tab w:val="left" w:pos="1440"/>
      </w:tabs>
      <w:spacing w:before="260" w:after="260" w:line="360" w:lineRule="auto"/>
      <w:ind w:left="1134" w:hanging="1134"/>
      <w:outlineLvl w:val="5"/>
    </w:pPr>
    <w:rPr>
      <w:rFonts w:ascii="Times New Roman" w:hAnsi="Times New Roman"/>
      <w:sz w:val="30"/>
      <w:szCs w:val="18"/>
    </w:rPr>
  </w:style>
  <w:style w:type="paragraph" w:styleId="8">
    <w:name w:val="heading 7"/>
    <w:basedOn w:val="7"/>
    <w:next w:val="1"/>
    <w:link w:val="108"/>
    <w:qFormat/>
    <w:uiPriority w:val="0"/>
    <w:pPr>
      <w:tabs>
        <w:tab w:val="left" w:pos="1800"/>
        <w:tab w:val="clear" w:pos="1440"/>
      </w:tabs>
      <w:ind w:left="1276" w:hanging="1276"/>
      <w:outlineLvl w:val="6"/>
    </w:pPr>
  </w:style>
  <w:style w:type="paragraph" w:styleId="9">
    <w:name w:val="heading 8"/>
    <w:basedOn w:val="1"/>
    <w:next w:val="1"/>
    <w:link w:val="109"/>
    <w:qFormat/>
    <w:uiPriority w:val="0"/>
    <w:pPr>
      <w:keepNext/>
      <w:keepLines/>
      <w:spacing w:line="400" w:lineRule="exact"/>
      <w:jc w:val="center"/>
      <w:outlineLvl w:val="7"/>
    </w:pPr>
    <w:rPr>
      <w:rFonts w:eastAsia="黑体" w:cs="Times New Roman"/>
      <w:kern w:val="2"/>
      <w:sz w:val="32"/>
      <w:szCs w:val="32"/>
      <w:lang w:val="zh-CN"/>
    </w:rPr>
  </w:style>
  <w:style w:type="paragraph" w:styleId="10">
    <w:name w:val="heading 9"/>
    <w:basedOn w:val="1"/>
    <w:next w:val="1"/>
    <w:link w:val="110"/>
    <w:unhideWhenUsed/>
    <w:qFormat/>
    <w:uiPriority w:val="0"/>
    <w:pPr>
      <w:keepNext/>
      <w:keepLines/>
      <w:spacing w:before="240" w:after="64" w:line="320" w:lineRule="auto"/>
      <w:outlineLvl w:val="8"/>
    </w:pPr>
    <w:rPr>
      <w:rFonts w:ascii="Cambria" w:hAnsi="Cambria" w:cs="Times New Roman"/>
      <w:kern w:val="2"/>
      <w:sz w:val="21"/>
      <w:szCs w:val="21"/>
      <w:lang w:val="zh-CN"/>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rPr>
      <w:rFonts w:ascii="Calibri" w:hAnsi="Calibri" w:cs="Times New Roman"/>
      <w:kern w:val="2"/>
      <w:sz w:val="21"/>
      <w:szCs w:val="22"/>
    </w:rPr>
  </w:style>
  <w:style w:type="paragraph" w:styleId="12">
    <w:name w:val="toc 7"/>
    <w:basedOn w:val="1"/>
    <w:next w:val="1"/>
    <w:unhideWhenUsed/>
    <w:qFormat/>
    <w:uiPriority w:val="39"/>
    <w:pPr>
      <w:ind w:left="1260"/>
      <w:jc w:val="left"/>
    </w:pPr>
    <w:rPr>
      <w:rFonts w:ascii="Calibri" w:hAnsi="Calibri" w:cs="Calibri"/>
      <w:kern w:val="2"/>
      <w:sz w:val="18"/>
      <w:szCs w:val="18"/>
    </w:rPr>
  </w:style>
  <w:style w:type="paragraph" w:styleId="13">
    <w:name w:val="Normal Indent"/>
    <w:basedOn w:val="1"/>
    <w:qFormat/>
    <w:uiPriority w:val="0"/>
    <w:pPr>
      <w:autoSpaceDE w:val="0"/>
      <w:autoSpaceDN w:val="0"/>
      <w:adjustRightInd w:val="0"/>
      <w:ind w:firstLine="420"/>
      <w:jc w:val="left"/>
    </w:pPr>
    <w:rPr>
      <w:rFonts w:hAnsi="Times New Roman" w:cs="Times New Roman"/>
      <w:sz w:val="24"/>
    </w:rPr>
  </w:style>
  <w:style w:type="paragraph" w:styleId="14">
    <w:name w:val="caption"/>
    <w:basedOn w:val="1"/>
    <w:next w:val="1"/>
    <w:qFormat/>
    <w:uiPriority w:val="0"/>
    <w:pPr>
      <w:spacing w:before="152" w:after="160"/>
    </w:pPr>
    <w:rPr>
      <w:rFonts w:ascii="Arial" w:hAnsi="Arial" w:eastAsia="黑体" w:cs="Arial"/>
      <w:kern w:val="2"/>
    </w:rPr>
  </w:style>
  <w:style w:type="paragraph" w:styleId="15">
    <w:name w:val="Document Map"/>
    <w:basedOn w:val="1"/>
    <w:link w:val="154"/>
    <w:qFormat/>
    <w:uiPriority w:val="0"/>
    <w:pPr>
      <w:shd w:val="clear" w:color="auto" w:fill="000080"/>
    </w:pPr>
    <w:rPr>
      <w:rFonts w:ascii="Calibri" w:hAnsi="Calibri" w:cs="Times New Roman"/>
      <w:bCs/>
      <w:kern w:val="2"/>
      <w:sz w:val="21"/>
      <w:szCs w:val="32"/>
      <w:lang w:val="zh-CN"/>
    </w:rPr>
  </w:style>
  <w:style w:type="paragraph" w:styleId="16">
    <w:name w:val="annotation text"/>
    <w:basedOn w:val="1"/>
    <w:link w:val="91"/>
    <w:qFormat/>
    <w:uiPriority w:val="0"/>
    <w:pPr>
      <w:jc w:val="left"/>
    </w:pPr>
    <w:rPr>
      <w:rFonts w:ascii="Arial" w:hAnsi="Arial" w:eastAsia="黑体" w:cs="Arial"/>
    </w:rPr>
  </w:style>
  <w:style w:type="paragraph" w:styleId="17">
    <w:name w:val="Salutation"/>
    <w:basedOn w:val="1"/>
    <w:next w:val="1"/>
    <w:link w:val="121"/>
    <w:qFormat/>
    <w:uiPriority w:val="0"/>
    <w:rPr>
      <w:rFonts w:ascii="仿宋_GB2312" w:hAnsi="Times New Roman" w:eastAsia="仿宋_GB2312" w:cs="Times New Roman"/>
      <w:kern w:val="2"/>
      <w:sz w:val="28"/>
      <w:lang w:val="zh-CN"/>
    </w:rPr>
  </w:style>
  <w:style w:type="paragraph" w:styleId="18">
    <w:name w:val="Body Text 3"/>
    <w:basedOn w:val="1"/>
    <w:link w:val="140"/>
    <w:qFormat/>
    <w:uiPriority w:val="0"/>
    <w:pPr>
      <w:adjustRightInd w:val="0"/>
      <w:snapToGrid w:val="0"/>
    </w:pPr>
    <w:rPr>
      <w:rFonts w:ascii="仿宋_GB2312" w:eastAsia="仿宋_GB2312" w:cs="Times New Roman"/>
      <w:bCs/>
      <w:color w:val="000000"/>
      <w:kern w:val="2"/>
      <w:sz w:val="24"/>
      <w:szCs w:val="32"/>
      <w:lang w:val="zh-CN"/>
    </w:rPr>
  </w:style>
  <w:style w:type="paragraph" w:styleId="19">
    <w:name w:val="Body Text"/>
    <w:basedOn w:val="1"/>
    <w:next w:val="1"/>
    <w:link w:val="100"/>
    <w:qFormat/>
    <w:uiPriority w:val="0"/>
    <w:pPr>
      <w:spacing w:after="120"/>
    </w:pPr>
    <w:rPr>
      <w:rFonts w:ascii="@微软简标宋" w:hAnsi="@微软简标宋" w:eastAsia="@微软简标宋" w:cs="@微软简标宋"/>
      <w:szCs w:val="24"/>
      <w:lang w:val="zh-CN"/>
    </w:rPr>
  </w:style>
  <w:style w:type="paragraph" w:styleId="20">
    <w:name w:val="Body Text Indent"/>
    <w:basedOn w:val="1"/>
    <w:next w:val="21"/>
    <w:link w:val="115"/>
    <w:unhideWhenUsed/>
    <w:qFormat/>
    <w:uiPriority w:val="0"/>
    <w:pPr>
      <w:spacing w:after="120"/>
      <w:ind w:left="420" w:leftChars="200"/>
    </w:pPr>
    <w:rPr>
      <w:rFonts w:asciiTheme="minorHAnsi" w:hAnsiTheme="minorHAnsi"/>
      <w:kern w:val="2"/>
      <w:sz w:val="21"/>
      <w:szCs w:val="22"/>
    </w:rPr>
  </w:style>
  <w:style w:type="paragraph" w:styleId="21">
    <w:name w:val="envelope return"/>
    <w:basedOn w:val="1"/>
    <w:qFormat/>
    <w:uiPriority w:val="0"/>
    <w:pPr>
      <w:snapToGrid w:val="0"/>
    </w:pPr>
    <w:rPr>
      <w:rFonts w:ascii="Arial" w:hAnsi="Arial"/>
    </w:rPr>
  </w:style>
  <w:style w:type="paragraph" w:styleId="22">
    <w:name w:val="List 2"/>
    <w:basedOn w:val="1"/>
    <w:qFormat/>
    <w:uiPriority w:val="0"/>
    <w:pPr>
      <w:ind w:left="100" w:leftChars="200" w:hanging="200" w:hangingChars="200"/>
    </w:pPr>
    <w:rPr>
      <w:rFonts w:ascii="Calibri" w:hAnsi="Calibri" w:cs="Times New Roman"/>
      <w:kern w:val="2"/>
      <w:sz w:val="21"/>
      <w:szCs w:val="22"/>
    </w:rPr>
  </w:style>
  <w:style w:type="paragraph" w:styleId="23">
    <w:name w:val="List Continue"/>
    <w:basedOn w:val="1"/>
    <w:qFormat/>
    <w:uiPriority w:val="0"/>
    <w:pPr>
      <w:spacing w:after="120"/>
      <w:ind w:left="420" w:leftChars="200"/>
    </w:pPr>
    <w:rPr>
      <w:rFonts w:ascii="Calibri" w:hAnsi="Calibri" w:cs="Times New Roman"/>
      <w:kern w:val="2"/>
      <w:sz w:val="21"/>
      <w:szCs w:val="22"/>
    </w:rPr>
  </w:style>
  <w:style w:type="paragraph" w:styleId="24">
    <w:name w:val="Block Text"/>
    <w:basedOn w:val="1"/>
    <w:qFormat/>
    <w:uiPriority w:val="0"/>
    <w:pPr>
      <w:autoSpaceDE w:val="0"/>
      <w:autoSpaceDN w:val="0"/>
      <w:adjustRightInd w:val="0"/>
      <w:spacing w:line="1270" w:lineRule="exact"/>
      <w:ind w:left="2160" w:right="-20" w:hanging="2160" w:hangingChars="300"/>
      <w:jc w:val="left"/>
    </w:pPr>
    <w:rPr>
      <w:rFonts w:ascii="Calibri" w:hAnsi="Calibri" w:eastAsia="仿宋_GB2312" w:cs="Times New Roman"/>
      <w:kern w:val="2"/>
      <w:sz w:val="72"/>
    </w:rPr>
  </w:style>
  <w:style w:type="paragraph" w:styleId="25">
    <w:name w:val="index 4"/>
    <w:basedOn w:val="1"/>
    <w:next w:val="1"/>
    <w:qFormat/>
    <w:uiPriority w:val="0"/>
    <w:pPr>
      <w:ind w:left="600" w:leftChars="600"/>
    </w:pPr>
    <w:rPr>
      <w:rFonts w:ascii="Times New Roman" w:hAnsi="Times New Roman" w:cs="Times New Roman"/>
      <w:kern w:val="2"/>
      <w:sz w:val="21"/>
      <w:szCs w:val="24"/>
    </w:rPr>
  </w:style>
  <w:style w:type="paragraph" w:styleId="26">
    <w:name w:val="toc 5"/>
    <w:basedOn w:val="1"/>
    <w:next w:val="1"/>
    <w:unhideWhenUsed/>
    <w:qFormat/>
    <w:uiPriority w:val="39"/>
    <w:pPr>
      <w:ind w:left="840"/>
      <w:jc w:val="left"/>
    </w:pPr>
    <w:rPr>
      <w:rFonts w:ascii="Calibri" w:hAnsi="Calibri" w:cs="Calibri"/>
      <w:kern w:val="2"/>
      <w:sz w:val="18"/>
      <w:szCs w:val="18"/>
    </w:rPr>
  </w:style>
  <w:style w:type="paragraph" w:styleId="27">
    <w:name w:val="toc 3"/>
    <w:basedOn w:val="1"/>
    <w:next w:val="1"/>
    <w:unhideWhenUsed/>
    <w:qFormat/>
    <w:uiPriority w:val="39"/>
    <w:pPr>
      <w:widowControl/>
      <w:spacing w:after="100" w:line="276" w:lineRule="auto"/>
      <w:ind w:left="440"/>
      <w:jc w:val="left"/>
    </w:pPr>
    <w:rPr>
      <w:rFonts w:asciiTheme="minorHAnsi" w:hAnsiTheme="minorHAnsi" w:eastAsiaTheme="minorEastAsia"/>
      <w:sz w:val="22"/>
      <w:szCs w:val="22"/>
    </w:rPr>
  </w:style>
  <w:style w:type="paragraph" w:styleId="28">
    <w:name w:val="Plain Text"/>
    <w:basedOn w:val="1"/>
    <w:link w:val="80"/>
    <w:qFormat/>
    <w:uiPriority w:val="0"/>
    <w:rPr>
      <w:rFonts w:hAnsi="Courier New" w:eastAsiaTheme="minorEastAsia"/>
      <w:szCs w:val="22"/>
    </w:rPr>
  </w:style>
  <w:style w:type="paragraph" w:styleId="29">
    <w:name w:val="toc 8"/>
    <w:basedOn w:val="1"/>
    <w:next w:val="1"/>
    <w:unhideWhenUsed/>
    <w:qFormat/>
    <w:uiPriority w:val="39"/>
    <w:pPr>
      <w:ind w:left="1470"/>
      <w:jc w:val="left"/>
    </w:pPr>
    <w:rPr>
      <w:rFonts w:ascii="Calibri" w:hAnsi="Calibri" w:cs="Calibri"/>
      <w:kern w:val="2"/>
      <w:sz w:val="18"/>
      <w:szCs w:val="18"/>
    </w:rPr>
  </w:style>
  <w:style w:type="paragraph" w:styleId="30">
    <w:name w:val="Date"/>
    <w:basedOn w:val="1"/>
    <w:next w:val="1"/>
    <w:link w:val="87"/>
    <w:qFormat/>
    <w:uiPriority w:val="0"/>
    <w:rPr>
      <w:rFonts w:ascii="Arial" w:hAnsi="Arial" w:cs="Arial"/>
      <w:b/>
      <w:sz w:val="28"/>
    </w:rPr>
  </w:style>
  <w:style w:type="paragraph" w:styleId="31">
    <w:name w:val="Body Text Indent 2"/>
    <w:basedOn w:val="1"/>
    <w:link w:val="136"/>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32">
    <w:name w:val="Balloon Text"/>
    <w:basedOn w:val="1"/>
    <w:link w:val="74"/>
    <w:unhideWhenUsed/>
    <w:qFormat/>
    <w:uiPriority w:val="0"/>
    <w:rPr>
      <w:sz w:val="18"/>
      <w:szCs w:val="18"/>
    </w:rPr>
  </w:style>
  <w:style w:type="paragraph" w:styleId="33">
    <w:name w:val="footer"/>
    <w:basedOn w:val="1"/>
    <w:link w:val="79"/>
    <w:unhideWhenUsed/>
    <w:qFormat/>
    <w:uiPriority w:val="99"/>
    <w:pPr>
      <w:tabs>
        <w:tab w:val="center" w:pos="4153"/>
        <w:tab w:val="right" w:pos="8306"/>
      </w:tabs>
      <w:snapToGrid w:val="0"/>
      <w:jc w:val="left"/>
    </w:pPr>
    <w:rPr>
      <w:sz w:val="18"/>
      <w:szCs w:val="18"/>
    </w:rPr>
  </w:style>
  <w:style w:type="paragraph" w:styleId="34">
    <w:name w:val="header"/>
    <w:basedOn w:val="1"/>
    <w:link w:val="78"/>
    <w:unhideWhenUsed/>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unhideWhenUsed/>
    <w:qFormat/>
    <w:uiPriority w:val="39"/>
    <w:pPr>
      <w:widowControl/>
      <w:spacing w:after="100" w:line="276" w:lineRule="auto"/>
      <w:jc w:val="left"/>
    </w:pPr>
    <w:rPr>
      <w:rFonts w:asciiTheme="minorHAnsi" w:hAnsiTheme="minorHAnsi" w:eastAsiaTheme="minorEastAsia"/>
      <w:sz w:val="22"/>
      <w:szCs w:val="22"/>
    </w:rPr>
  </w:style>
  <w:style w:type="paragraph" w:styleId="36">
    <w:name w:val="List Continue 4"/>
    <w:basedOn w:val="1"/>
    <w:qFormat/>
    <w:uiPriority w:val="0"/>
    <w:pPr>
      <w:spacing w:after="120"/>
      <w:ind w:left="1680" w:leftChars="800"/>
    </w:pPr>
    <w:rPr>
      <w:rFonts w:ascii="Calibri" w:hAnsi="Calibri" w:cs="Times New Roman"/>
      <w:kern w:val="2"/>
      <w:sz w:val="21"/>
      <w:szCs w:val="22"/>
    </w:rPr>
  </w:style>
  <w:style w:type="paragraph" w:styleId="37">
    <w:name w:val="toc 4"/>
    <w:basedOn w:val="1"/>
    <w:next w:val="1"/>
    <w:unhideWhenUsed/>
    <w:qFormat/>
    <w:uiPriority w:val="39"/>
    <w:pPr>
      <w:ind w:left="630"/>
      <w:jc w:val="left"/>
    </w:pPr>
    <w:rPr>
      <w:rFonts w:ascii="Calibri" w:hAnsi="Calibri" w:cs="Calibri"/>
      <w:kern w:val="2"/>
      <w:sz w:val="18"/>
      <w:szCs w:val="18"/>
    </w:rPr>
  </w:style>
  <w:style w:type="paragraph" w:styleId="38">
    <w:name w:val="index heading"/>
    <w:basedOn w:val="1"/>
    <w:next w:val="39"/>
    <w:semiHidden/>
    <w:qFormat/>
    <w:uiPriority w:val="0"/>
    <w:rPr>
      <w:rFonts w:ascii="Times New Roman" w:hAnsi="Times New Roman" w:cs="Times New Roman"/>
      <w:kern w:val="2"/>
      <w:sz w:val="21"/>
      <w:szCs w:val="24"/>
    </w:rPr>
  </w:style>
  <w:style w:type="paragraph" w:styleId="39">
    <w:name w:val="index 1"/>
    <w:basedOn w:val="1"/>
    <w:next w:val="1"/>
    <w:qFormat/>
    <w:uiPriority w:val="0"/>
    <w:pPr>
      <w:jc w:val="center"/>
    </w:pPr>
    <w:rPr>
      <w:rFonts w:ascii="Arial" w:hAnsi="Arial" w:eastAsia="Arial" w:cs="Arial"/>
      <w:b/>
      <w:bCs/>
      <w:sz w:val="28"/>
    </w:rPr>
  </w:style>
  <w:style w:type="paragraph" w:styleId="40">
    <w:name w:val="Subtitle"/>
    <w:basedOn w:val="1"/>
    <w:link w:val="228"/>
    <w:qFormat/>
    <w:uiPriority w:val="0"/>
    <w:pPr>
      <w:spacing w:before="240" w:after="60" w:line="312" w:lineRule="auto"/>
      <w:jc w:val="center"/>
      <w:outlineLvl w:val="1"/>
    </w:pPr>
    <w:rPr>
      <w:rFonts w:ascii="Arial" w:hAnsi="Arial" w:cs="Times New Roman"/>
      <w:b/>
      <w:bCs/>
      <w:kern w:val="28"/>
      <w:sz w:val="32"/>
      <w:szCs w:val="32"/>
      <w:lang w:val="zh-CN"/>
    </w:rPr>
  </w:style>
  <w:style w:type="paragraph" w:styleId="41">
    <w:name w:val="List"/>
    <w:basedOn w:val="1"/>
    <w:qFormat/>
    <w:uiPriority w:val="0"/>
    <w:pPr>
      <w:ind w:left="200" w:hanging="200" w:hangingChars="200"/>
    </w:pPr>
    <w:rPr>
      <w:rFonts w:ascii="Calibri" w:hAnsi="Calibri" w:cs="Times New Roman"/>
      <w:kern w:val="2"/>
      <w:sz w:val="21"/>
      <w:szCs w:val="22"/>
    </w:rPr>
  </w:style>
  <w:style w:type="paragraph" w:styleId="42">
    <w:name w:val="footnote text"/>
    <w:basedOn w:val="1"/>
    <w:link w:val="117"/>
    <w:unhideWhenUsed/>
    <w:qFormat/>
    <w:uiPriority w:val="0"/>
    <w:pPr>
      <w:snapToGrid w:val="0"/>
      <w:jc w:val="left"/>
    </w:pPr>
    <w:rPr>
      <w:rFonts w:ascii="Times New Roman" w:hAnsi="Times New Roman" w:cs="Times New Roman"/>
      <w:kern w:val="2"/>
      <w:sz w:val="18"/>
      <w:szCs w:val="18"/>
      <w:lang w:val="zh-CN"/>
    </w:rPr>
  </w:style>
  <w:style w:type="paragraph" w:styleId="43">
    <w:name w:val="toc 6"/>
    <w:basedOn w:val="1"/>
    <w:next w:val="1"/>
    <w:unhideWhenUsed/>
    <w:qFormat/>
    <w:uiPriority w:val="39"/>
    <w:pPr>
      <w:ind w:left="1050"/>
      <w:jc w:val="left"/>
    </w:pPr>
    <w:rPr>
      <w:rFonts w:ascii="Calibri" w:hAnsi="Calibri" w:cs="Calibri"/>
      <w:kern w:val="2"/>
      <w:sz w:val="18"/>
      <w:szCs w:val="18"/>
    </w:rPr>
  </w:style>
  <w:style w:type="paragraph" w:styleId="44">
    <w:name w:val="Body Text Indent 3"/>
    <w:basedOn w:val="1"/>
    <w:link w:val="135"/>
    <w:qFormat/>
    <w:uiPriority w:val="0"/>
    <w:pPr>
      <w:widowControl/>
      <w:overflowPunct w:val="0"/>
      <w:autoSpaceDE w:val="0"/>
      <w:autoSpaceDN w:val="0"/>
      <w:adjustRightInd w:val="0"/>
      <w:spacing w:line="360" w:lineRule="auto"/>
      <w:ind w:firstLine="540"/>
      <w:textAlignment w:val="baseline"/>
    </w:pPr>
    <w:rPr>
      <w:rFonts w:hAnsi="MS Sans Serif" w:cs="Times New Roman"/>
      <w:bCs/>
      <w:color w:val="000000"/>
      <w:sz w:val="24"/>
      <w:lang w:val="zh-CN"/>
    </w:rPr>
  </w:style>
  <w:style w:type="paragraph" w:styleId="45">
    <w:name w:val="toc 2"/>
    <w:basedOn w:val="1"/>
    <w:next w:val="1"/>
    <w:unhideWhenUsed/>
    <w:qFormat/>
    <w:uiPriority w:val="39"/>
    <w:pPr>
      <w:widowControl/>
      <w:spacing w:after="100" w:line="276" w:lineRule="auto"/>
      <w:ind w:left="220"/>
      <w:jc w:val="left"/>
    </w:pPr>
    <w:rPr>
      <w:rFonts w:asciiTheme="minorHAnsi" w:hAnsiTheme="minorHAnsi" w:eastAsiaTheme="minorEastAsia"/>
      <w:sz w:val="22"/>
      <w:szCs w:val="22"/>
    </w:rPr>
  </w:style>
  <w:style w:type="paragraph" w:styleId="46">
    <w:name w:val="toc 9"/>
    <w:basedOn w:val="1"/>
    <w:next w:val="1"/>
    <w:unhideWhenUsed/>
    <w:qFormat/>
    <w:uiPriority w:val="39"/>
    <w:pPr>
      <w:ind w:left="1680"/>
      <w:jc w:val="left"/>
    </w:pPr>
    <w:rPr>
      <w:rFonts w:ascii="Calibri" w:hAnsi="Calibri" w:cs="Calibri"/>
      <w:kern w:val="2"/>
      <w:sz w:val="18"/>
      <w:szCs w:val="18"/>
    </w:rPr>
  </w:style>
  <w:style w:type="paragraph" w:styleId="47">
    <w:name w:val="Body Text 2"/>
    <w:basedOn w:val="1"/>
    <w:link w:val="139"/>
    <w:qFormat/>
    <w:uiPriority w:val="0"/>
    <w:pPr>
      <w:spacing w:line="360" w:lineRule="auto"/>
    </w:pPr>
    <w:rPr>
      <w:rFonts w:hAnsi="Times New Roman" w:cs="Times New Roman"/>
      <w:spacing w:val="-20"/>
      <w:kern w:val="2"/>
      <w:sz w:val="28"/>
      <w:lang w:val="zh-CN"/>
    </w:rPr>
  </w:style>
  <w:style w:type="paragraph" w:styleId="48">
    <w:name w:val="List 4"/>
    <w:basedOn w:val="1"/>
    <w:qFormat/>
    <w:uiPriority w:val="0"/>
    <w:pPr>
      <w:ind w:left="100" w:leftChars="600" w:hanging="200" w:hangingChars="200"/>
    </w:pPr>
    <w:rPr>
      <w:rFonts w:ascii="Calibri" w:hAnsi="Calibri" w:cs="Times New Roman"/>
      <w:kern w:val="2"/>
      <w:sz w:val="21"/>
      <w:szCs w:val="22"/>
    </w:rPr>
  </w:style>
  <w:style w:type="paragraph" w:styleId="49">
    <w:name w:val="List Continue 2"/>
    <w:basedOn w:val="1"/>
    <w:qFormat/>
    <w:uiPriority w:val="0"/>
    <w:pPr>
      <w:spacing w:after="120"/>
      <w:ind w:left="840" w:leftChars="400"/>
    </w:pPr>
    <w:rPr>
      <w:rFonts w:ascii="Calibri" w:hAnsi="Calibri" w:cs="Times New Roman"/>
      <w:kern w:val="2"/>
      <w:sz w:val="21"/>
      <w:szCs w:val="22"/>
    </w:rPr>
  </w:style>
  <w:style w:type="paragraph" w:styleId="50">
    <w:name w:val="Normal (Web)"/>
    <w:basedOn w:val="1"/>
    <w:qFormat/>
    <w:uiPriority w:val="0"/>
    <w:pPr>
      <w:widowControl/>
      <w:spacing w:before="100" w:beforeAutospacing="1" w:after="100" w:afterAutospacing="1"/>
      <w:jc w:val="left"/>
    </w:pPr>
    <w:rPr>
      <w:rFonts w:cs="宋体"/>
      <w:color w:val="0066CC"/>
      <w:sz w:val="24"/>
      <w:szCs w:val="24"/>
    </w:rPr>
  </w:style>
  <w:style w:type="paragraph" w:styleId="51">
    <w:name w:val="Title"/>
    <w:basedOn w:val="3"/>
    <w:next w:val="1"/>
    <w:link w:val="143"/>
    <w:qFormat/>
    <w:uiPriority w:val="0"/>
    <w:pPr>
      <w:spacing w:before="0" w:after="0" w:line="360" w:lineRule="auto"/>
      <w:jc w:val="center"/>
    </w:pPr>
    <w:rPr>
      <w:rFonts w:ascii="宋体" w:hAnsi="宋体" w:eastAsia="黑体"/>
      <w:bCs w:val="0"/>
      <w:smallCaps/>
      <w:snapToGrid w:val="0"/>
      <w:sz w:val="44"/>
      <w:szCs w:val="24"/>
    </w:rPr>
  </w:style>
  <w:style w:type="paragraph" w:styleId="52">
    <w:name w:val="annotation subject"/>
    <w:basedOn w:val="16"/>
    <w:next w:val="16"/>
    <w:link w:val="102"/>
    <w:unhideWhenUsed/>
    <w:qFormat/>
    <w:uiPriority w:val="0"/>
    <w:rPr>
      <w:rFonts w:ascii="宋体" w:hAnsi="宋体" w:eastAsia="宋体" w:cstheme="minorBidi"/>
      <w:b/>
      <w:bCs/>
    </w:rPr>
  </w:style>
  <w:style w:type="paragraph" w:styleId="53">
    <w:name w:val="Body Text First Indent"/>
    <w:basedOn w:val="19"/>
    <w:semiHidden/>
    <w:unhideWhenUsed/>
    <w:qFormat/>
    <w:uiPriority w:val="99"/>
    <w:pPr>
      <w:ind w:firstLine="420" w:firstLineChars="100"/>
    </w:pPr>
  </w:style>
  <w:style w:type="paragraph" w:styleId="54">
    <w:name w:val="Body Text First Indent 2"/>
    <w:basedOn w:val="20"/>
    <w:next w:val="1"/>
    <w:qFormat/>
    <w:uiPriority w:val="0"/>
    <w:pPr>
      <w:spacing w:line="360" w:lineRule="auto"/>
      <w:ind w:firstLine="200"/>
    </w:pPr>
    <w:rPr>
      <w:sz w:val="21"/>
    </w:rPr>
  </w:style>
  <w:style w:type="table" w:styleId="56">
    <w:name w:val="Table Grid"/>
    <w:basedOn w:val="55"/>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8">
    <w:name w:val="Strong"/>
    <w:qFormat/>
    <w:uiPriority w:val="0"/>
    <w:rPr>
      <w:b/>
      <w:bCs/>
    </w:rPr>
  </w:style>
  <w:style w:type="character" w:styleId="59">
    <w:name w:val="page number"/>
    <w:basedOn w:val="57"/>
    <w:qFormat/>
    <w:uiPriority w:val="0"/>
  </w:style>
  <w:style w:type="character" w:styleId="60">
    <w:name w:val="FollowedHyperlink"/>
    <w:basedOn w:val="57"/>
    <w:semiHidden/>
    <w:unhideWhenUsed/>
    <w:qFormat/>
    <w:uiPriority w:val="99"/>
    <w:rPr>
      <w:color w:val="800080" w:themeColor="followedHyperlink"/>
      <w:u w:val="single"/>
      <w14:textFill>
        <w14:solidFill>
          <w14:schemeClr w14:val="folHlink"/>
        </w14:solidFill>
      </w14:textFill>
    </w:rPr>
  </w:style>
  <w:style w:type="character" w:styleId="61">
    <w:name w:val="Emphasis"/>
    <w:qFormat/>
    <w:uiPriority w:val="0"/>
    <w:rPr>
      <w:color w:val="CC0033"/>
    </w:rPr>
  </w:style>
  <w:style w:type="character" w:styleId="62">
    <w:name w:val="HTML Definition"/>
    <w:basedOn w:val="57"/>
    <w:semiHidden/>
    <w:unhideWhenUsed/>
    <w:qFormat/>
    <w:uiPriority w:val="99"/>
  </w:style>
  <w:style w:type="character" w:styleId="63">
    <w:name w:val="HTML Typewriter"/>
    <w:basedOn w:val="57"/>
    <w:semiHidden/>
    <w:unhideWhenUsed/>
    <w:qFormat/>
    <w:uiPriority w:val="99"/>
    <w:rPr>
      <w:rFonts w:ascii="monospace" w:hAnsi="monospace" w:eastAsia="monospace" w:cs="monospace"/>
      <w:sz w:val="20"/>
    </w:rPr>
  </w:style>
  <w:style w:type="character" w:styleId="64">
    <w:name w:val="HTML Acronym"/>
    <w:basedOn w:val="57"/>
    <w:semiHidden/>
    <w:unhideWhenUsed/>
    <w:qFormat/>
    <w:uiPriority w:val="99"/>
  </w:style>
  <w:style w:type="character" w:styleId="65">
    <w:name w:val="HTML Variable"/>
    <w:basedOn w:val="57"/>
    <w:semiHidden/>
    <w:unhideWhenUsed/>
    <w:qFormat/>
    <w:uiPriority w:val="99"/>
  </w:style>
  <w:style w:type="character" w:styleId="66">
    <w:name w:val="Hyperlink"/>
    <w:basedOn w:val="57"/>
    <w:unhideWhenUsed/>
    <w:qFormat/>
    <w:uiPriority w:val="99"/>
    <w:rPr>
      <w:color w:val="0000FF" w:themeColor="hyperlink"/>
      <w:u w:val="single"/>
      <w14:textFill>
        <w14:solidFill>
          <w14:schemeClr w14:val="hlink"/>
        </w14:solidFill>
      </w14:textFill>
    </w:rPr>
  </w:style>
  <w:style w:type="character" w:styleId="67">
    <w:name w:val="HTML Code"/>
    <w:basedOn w:val="57"/>
    <w:semiHidden/>
    <w:unhideWhenUsed/>
    <w:qFormat/>
    <w:uiPriority w:val="99"/>
    <w:rPr>
      <w:rFonts w:hint="default" w:ascii="monospace" w:hAnsi="monospace" w:eastAsia="monospace" w:cs="monospace"/>
      <w:sz w:val="20"/>
    </w:rPr>
  </w:style>
  <w:style w:type="character" w:styleId="68">
    <w:name w:val="annotation reference"/>
    <w:basedOn w:val="57"/>
    <w:unhideWhenUsed/>
    <w:qFormat/>
    <w:uiPriority w:val="0"/>
    <w:rPr>
      <w:sz w:val="21"/>
      <w:szCs w:val="21"/>
    </w:rPr>
  </w:style>
  <w:style w:type="character" w:styleId="69">
    <w:name w:val="HTML Cite"/>
    <w:basedOn w:val="57"/>
    <w:semiHidden/>
    <w:unhideWhenUsed/>
    <w:qFormat/>
    <w:uiPriority w:val="99"/>
  </w:style>
  <w:style w:type="character" w:styleId="70">
    <w:name w:val="footnote reference"/>
    <w:unhideWhenUsed/>
    <w:qFormat/>
    <w:uiPriority w:val="0"/>
    <w:rPr>
      <w:vertAlign w:val="superscript"/>
    </w:rPr>
  </w:style>
  <w:style w:type="character" w:styleId="71">
    <w:name w:val="HTML Keyboard"/>
    <w:basedOn w:val="57"/>
    <w:semiHidden/>
    <w:unhideWhenUsed/>
    <w:qFormat/>
    <w:uiPriority w:val="99"/>
    <w:rPr>
      <w:rFonts w:hint="default" w:ascii="monospace" w:hAnsi="monospace" w:eastAsia="monospace" w:cs="monospace"/>
      <w:sz w:val="20"/>
    </w:rPr>
  </w:style>
  <w:style w:type="character" w:styleId="72">
    <w:name w:val="HTML Sample"/>
    <w:qFormat/>
    <w:uiPriority w:val="0"/>
    <w:rPr>
      <w:rFonts w:hint="default" w:ascii="monospace" w:hAnsi="monospace" w:eastAsia="monospace" w:cs="monospace"/>
      <w:sz w:val="21"/>
      <w:szCs w:val="21"/>
    </w:rPr>
  </w:style>
  <w:style w:type="paragraph" w:customStyle="1" w:styleId="73">
    <w:name w:val="样式1"/>
    <w:basedOn w:val="1"/>
    <w:next w:val="5"/>
    <w:qFormat/>
    <w:uiPriority w:val="0"/>
    <w:pPr>
      <w:spacing w:line="360" w:lineRule="auto"/>
      <w:ind w:firstLine="420" w:firstLineChars="200"/>
    </w:pPr>
    <w:rPr>
      <w:rFonts w:cs="Times New Roman"/>
      <w:kern w:val="2"/>
      <w:sz w:val="21"/>
      <w:szCs w:val="21"/>
    </w:rPr>
  </w:style>
  <w:style w:type="character" w:customStyle="1" w:styleId="74">
    <w:name w:val="批注框文本 Char"/>
    <w:basedOn w:val="57"/>
    <w:link w:val="32"/>
    <w:qFormat/>
    <w:uiPriority w:val="0"/>
    <w:rPr>
      <w:rFonts w:ascii="@仿宋_GB2312" w:hAnsi="@仿宋_GB2312" w:eastAsia="@仿宋_GB2312" w:cs="@仿宋_GB2312"/>
      <w:sz w:val="18"/>
      <w:szCs w:val="18"/>
    </w:rPr>
  </w:style>
  <w:style w:type="paragraph" w:customStyle="1" w:styleId="75">
    <w:name w:val="正文（缩进）"/>
    <w:basedOn w:val="1"/>
    <w:qFormat/>
    <w:uiPriority w:val="0"/>
    <w:pPr>
      <w:widowControl/>
      <w:spacing w:before="156" w:after="156"/>
      <w:ind w:firstLine="480" w:firstLineChars="200"/>
      <w:jc w:val="left"/>
    </w:pPr>
    <w:rPr>
      <w:sz w:val="24"/>
      <w:szCs w:val="24"/>
    </w:rPr>
  </w:style>
  <w:style w:type="paragraph" w:customStyle="1" w:styleId="76">
    <w:name w:val="xl31"/>
    <w:basedOn w:val="1"/>
    <w:qFormat/>
    <w:uiPriority w:val="0"/>
    <w:pPr>
      <w:widowControl/>
      <w:spacing w:before="100" w:beforeAutospacing="1" w:after="100" w:afterAutospacing="1"/>
      <w:jc w:val="center"/>
    </w:pPr>
    <w:rPr>
      <w:b/>
      <w:bCs/>
      <w:sz w:val="28"/>
      <w:szCs w:val="28"/>
    </w:rPr>
  </w:style>
  <w:style w:type="paragraph" w:customStyle="1" w:styleId="77">
    <w:name w:val="D&amp;L"/>
    <w:basedOn w:val="34"/>
    <w:qFormat/>
    <w:uiPriority w:val="0"/>
    <w:pPr>
      <w:pBdr>
        <w:bottom w:val="thinThickSmallGap" w:color="auto" w:sz="18" w:space="1"/>
      </w:pBdr>
      <w:adjustRightInd w:val="0"/>
      <w:snapToGrid/>
      <w:spacing w:line="240" w:lineRule="atLeast"/>
      <w:textAlignment w:val="baseline"/>
    </w:pPr>
    <w:rPr>
      <w:sz w:val="24"/>
      <w:szCs w:val="20"/>
    </w:rPr>
  </w:style>
  <w:style w:type="character" w:customStyle="1" w:styleId="78">
    <w:name w:val="页眉 Char"/>
    <w:basedOn w:val="57"/>
    <w:link w:val="34"/>
    <w:qFormat/>
    <w:uiPriority w:val="99"/>
    <w:rPr>
      <w:rFonts w:ascii="@仿宋_GB2312" w:hAnsi="@仿宋_GB2312" w:eastAsia="@仿宋_GB2312" w:cs="@仿宋_GB2312"/>
      <w:sz w:val="18"/>
      <w:szCs w:val="18"/>
    </w:rPr>
  </w:style>
  <w:style w:type="character" w:customStyle="1" w:styleId="79">
    <w:name w:val="页脚 Char"/>
    <w:basedOn w:val="57"/>
    <w:link w:val="33"/>
    <w:qFormat/>
    <w:uiPriority w:val="99"/>
    <w:rPr>
      <w:rFonts w:ascii="@仿宋_GB2312" w:hAnsi="@仿宋_GB2312" w:eastAsia="@仿宋_GB2312" w:cs="@仿宋_GB2312"/>
      <w:sz w:val="18"/>
      <w:szCs w:val="18"/>
    </w:rPr>
  </w:style>
  <w:style w:type="character" w:customStyle="1" w:styleId="80">
    <w:name w:val="纯文本 Char"/>
    <w:link w:val="28"/>
    <w:qFormat/>
    <w:uiPriority w:val="0"/>
    <w:rPr>
      <w:rFonts w:ascii="宋体" w:hAnsi="Courier New"/>
    </w:rPr>
  </w:style>
  <w:style w:type="character" w:customStyle="1" w:styleId="81">
    <w:name w:val="纯文本 字符1"/>
    <w:basedOn w:val="57"/>
    <w:semiHidden/>
    <w:qFormat/>
    <w:uiPriority w:val="99"/>
    <w:rPr>
      <w:rFonts w:hAnsi="Courier New" w:cs="Courier New" w:asciiTheme="minorEastAsia"/>
      <w:szCs w:val="20"/>
    </w:rPr>
  </w:style>
  <w:style w:type="character" w:customStyle="1" w:styleId="82">
    <w:name w:val="未处理的提及1"/>
    <w:basedOn w:val="57"/>
    <w:semiHidden/>
    <w:unhideWhenUsed/>
    <w:qFormat/>
    <w:uiPriority w:val="99"/>
    <w:rPr>
      <w:color w:val="605E5C"/>
      <w:shd w:val="clear" w:color="auto" w:fill="E1DFDD"/>
    </w:rPr>
  </w:style>
  <w:style w:type="paragraph" w:styleId="83">
    <w:name w:val="List Paragraph"/>
    <w:basedOn w:val="1"/>
    <w:qFormat/>
    <w:uiPriority w:val="34"/>
    <w:pPr>
      <w:ind w:firstLine="420" w:firstLineChars="200"/>
    </w:pPr>
  </w:style>
  <w:style w:type="paragraph" w:customStyle="1" w:styleId="84">
    <w:name w:val="Char Char Char Char Char Char Char1 Char"/>
    <w:basedOn w:val="1"/>
    <w:qFormat/>
    <w:uiPriority w:val="0"/>
    <w:rPr>
      <w:rFonts w:ascii="Arial" w:hAnsi="Arial" w:cs="Arial"/>
      <w:sz w:val="24"/>
    </w:rPr>
  </w:style>
  <w:style w:type="table" w:customStyle="1" w:styleId="85">
    <w:name w:val="网格表 1 浅色1"/>
    <w:basedOn w:val="55"/>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86">
    <w:name w:val="日期 字符"/>
    <w:basedOn w:val="57"/>
    <w:semiHidden/>
    <w:qFormat/>
    <w:uiPriority w:val="99"/>
    <w:rPr>
      <w:rFonts w:ascii="@仿宋_GB2312" w:hAnsi="@仿宋_GB2312" w:eastAsia="@仿宋_GB2312" w:cs="@仿宋_GB2312"/>
      <w:szCs w:val="20"/>
    </w:rPr>
  </w:style>
  <w:style w:type="character" w:customStyle="1" w:styleId="87">
    <w:name w:val="日期 Char"/>
    <w:link w:val="30"/>
    <w:qFormat/>
    <w:uiPriority w:val="0"/>
    <w:rPr>
      <w:rFonts w:ascii="Arial" w:hAnsi="Arial" w:eastAsia="宋体" w:cs="Arial"/>
      <w:b/>
      <w:sz w:val="28"/>
      <w:szCs w:val="20"/>
    </w:rPr>
  </w:style>
  <w:style w:type="character" w:customStyle="1" w:styleId="88">
    <w:name w:val="纯文本 Char1"/>
    <w:link w:val="89"/>
    <w:qFormat/>
    <w:locked/>
    <w:uiPriority w:val="99"/>
    <w:rPr>
      <w:rFonts w:ascii="Arial" w:hAnsi="Arial" w:eastAsia="Arial"/>
      <w:kern w:val="2"/>
      <w:sz w:val="21"/>
      <w:lang w:val="en-US" w:eastAsia="zh-CN" w:bidi="ar-SA"/>
    </w:rPr>
  </w:style>
  <w:style w:type="paragraph" w:customStyle="1" w:styleId="89">
    <w:name w:val="纯文本1"/>
    <w:basedOn w:val="1"/>
    <w:link w:val="88"/>
    <w:qFormat/>
    <w:uiPriority w:val="0"/>
    <w:rPr>
      <w:rFonts w:ascii="Arial" w:hAnsi="Arial" w:eastAsia="Arial"/>
    </w:rPr>
  </w:style>
  <w:style w:type="character" w:customStyle="1" w:styleId="90">
    <w:name w:val="批注文字 Char"/>
    <w:basedOn w:val="57"/>
    <w:qFormat/>
    <w:uiPriority w:val="0"/>
    <w:rPr>
      <w:rFonts w:ascii="@仿宋_GB2312" w:hAnsi="@仿宋_GB2312" w:eastAsia="@仿宋_GB2312" w:cs="@仿宋_GB2312"/>
      <w:szCs w:val="20"/>
    </w:rPr>
  </w:style>
  <w:style w:type="character" w:customStyle="1" w:styleId="91">
    <w:name w:val="批注文字 Char1"/>
    <w:link w:val="16"/>
    <w:qFormat/>
    <w:uiPriority w:val="99"/>
    <w:rPr>
      <w:rFonts w:ascii="Arial" w:hAnsi="Arial" w:eastAsia="黑体" w:cs="Arial"/>
      <w:szCs w:val="20"/>
    </w:rPr>
  </w:style>
  <w:style w:type="character" w:customStyle="1" w:styleId="92">
    <w:name w:val="标题 1 Char"/>
    <w:basedOn w:val="57"/>
    <w:link w:val="2"/>
    <w:qFormat/>
    <w:uiPriority w:val="0"/>
    <w:rPr>
      <w:rFonts w:ascii="@仿宋_GB2312" w:hAnsi="@仿宋_GB2312" w:eastAsia="@仿宋_GB2312" w:cs="@仿宋_GB2312"/>
      <w:b/>
      <w:bCs/>
      <w:kern w:val="44"/>
      <w:sz w:val="44"/>
      <w:szCs w:val="44"/>
    </w:rPr>
  </w:style>
  <w:style w:type="paragraph" w:customStyle="1" w:styleId="93">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94">
    <w:name w:val="标题 3 Char"/>
    <w:basedOn w:val="57"/>
    <w:link w:val="4"/>
    <w:qFormat/>
    <w:uiPriority w:val="0"/>
    <w:rPr>
      <w:rFonts w:ascii="@仿宋_GB2312" w:hAnsi="@仿宋_GB2312" w:eastAsia="@仿宋_GB2312" w:cs="@仿宋_GB2312"/>
      <w:b/>
      <w:bCs/>
      <w:sz w:val="32"/>
      <w:szCs w:val="32"/>
    </w:rPr>
  </w:style>
  <w:style w:type="character" w:customStyle="1" w:styleId="95">
    <w:name w:val="fontstyle01"/>
    <w:basedOn w:val="57"/>
    <w:qFormat/>
    <w:uiPriority w:val="0"/>
    <w:rPr>
      <w:rFonts w:hint="eastAsia" w:ascii="宋体" w:hAnsi="宋体" w:eastAsia="宋体"/>
      <w:color w:val="000000"/>
      <w:sz w:val="22"/>
      <w:szCs w:val="22"/>
    </w:rPr>
  </w:style>
  <w:style w:type="character" w:customStyle="1" w:styleId="96">
    <w:name w:val="fontstyle21"/>
    <w:basedOn w:val="57"/>
    <w:qFormat/>
    <w:uiPriority w:val="0"/>
    <w:rPr>
      <w:rFonts w:hint="default" w:ascii="TimesNewRomanPSMT" w:hAnsi="TimesNewRomanPSMT"/>
      <w:color w:val="000000"/>
      <w:sz w:val="22"/>
      <w:szCs w:val="22"/>
    </w:rPr>
  </w:style>
  <w:style w:type="character" w:customStyle="1" w:styleId="97">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98">
    <w:name w:val="标题 4 字符"/>
    <w:basedOn w:val="57"/>
    <w:semiHidden/>
    <w:qFormat/>
    <w:uiPriority w:val="9"/>
    <w:rPr>
      <w:rFonts w:asciiTheme="majorHAnsi" w:hAnsiTheme="majorHAnsi" w:eastAsiaTheme="majorEastAsia" w:cstheme="majorBidi"/>
      <w:b/>
      <w:bCs/>
      <w:sz w:val="28"/>
      <w:szCs w:val="28"/>
    </w:rPr>
  </w:style>
  <w:style w:type="character" w:customStyle="1" w:styleId="99">
    <w:name w:val="标题 4 Char"/>
    <w:link w:val="5"/>
    <w:qFormat/>
    <w:uiPriority w:val="0"/>
    <w:rPr>
      <w:rFonts w:ascii="@仿宋_GB2312" w:hAnsi="@仿宋_GB2312" w:eastAsia="@仿宋_GB2312" w:cs="@仿宋_GB2312"/>
      <w:b/>
      <w:bCs/>
      <w:sz w:val="28"/>
      <w:szCs w:val="28"/>
    </w:rPr>
  </w:style>
  <w:style w:type="character" w:customStyle="1" w:styleId="100">
    <w:name w:val="正文文本 Char"/>
    <w:basedOn w:val="57"/>
    <w:link w:val="19"/>
    <w:qFormat/>
    <w:uiPriority w:val="0"/>
    <w:rPr>
      <w:rFonts w:ascii="@微软简标宋" w:hAnsi="@微软简标宋" w:eastAsia="@微软简标宋" w:cs="@微软简标宋"/>
      <w:szCs w:val="24"/>
      <w:lang w:val="zh-CN" w:eastAsia="zh-CN"/>
    </w:rPr>
  </w:style>
  <w:style w:type="table" w:customStyle="1" w:styleId="101">
    <w:name w:val="网格型1"/>
    <w:basedOn w:val="55"/>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2">
    <w:name w:val="批注主题 Char"/>
    <w:basedOn w:val="91"/>
    <w:link w:val="52"/>
    <w:qFormat/>
    <w:uiPriority w:val="0"/>
    <w:rPr>
      <w:rFonts w:ascii="Arial" w:hAnsi="Arial" w:eastAsia="黑体" w:cs="Arial"/>
      <w:b/>
      <w:bCs/>
      <w:szCs w:val="20"/>
    </w:rPr>
  </w:style>
  <w:style w:type="paragraph" w:customStyle="1" w:styleId="103">
    <w:name w:val="普通 (Web)"/>
    <w:basedOn w:val="1"/>
    <w:qFormat/>
    <w:uiPriority w:val="0"/>
    <w:pPr>
      <w:widowControl/>
      <w:spacing w:before="100" w:beforeAutospacing="1" w:after="100" w:afterAutospacing="1"/>
      <w:jc w:val="left"/>
    </w:pPr>
    <w:rPr>
      <w:rFonts w:cs="Times New Roman"/>
      <w:sz w:val="24"/>
      <w:szCs w:val="24"/>
    </w:rPr>
  </w:style>
  <w:style w:type="table" w:customStyle="1" w:styleId="104">
    <w:name w:val="网格型2"/>
    <w:basedOn w:val="55"/>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5">
    <w:name w:val="标题 2 Char"/>
    <w:basedOn w:val="57"/>
    <w:link w:val="3"/>
    <w:qFormat/>
    <w:uiPriority w:val="0"/>
    <w:rPr>
      <w:rFonts w:ascii="Cambria" w:hAnsi="Cambria" w:cs="Times New Roman"/>
      <w:b/>
      <w:bCs/>
      <w:kern w:val="2"/>
      <w:sz w:val="32"/>
      <w:szCs w:val="32"/>
      <w:lang w:val="zh-CN" w:eastAsia="zh-CN"/>
    </w:rPr>
  </w:style>
  <w:style w:type="character" w:customStyle="1" w:styleId="106">
    <w:name w:val="标题 5 Char"/>
    <w:basedOn w:val="57"/>
    <w:link w:val="6"/>
    <w:qFormat/>
    <w:uiPriority w:val="0"/>
    <w:rPr>
      <w:rFonts w:ascii="Calibri" w:hAnsi="Calibri" w:cs="Times New Roman"/>
      <w:b/>
      <w:bCs/>
      <w:kern w:val="2"/>
      <w:sz w:val="28"/>
      <w:szCs w:val="28"/>
      <w:lang w:val="zh-CN" w:eastAsia="zh-CN"/>
    </w:rPr>
  </w:style>
  <w:style w:type="character" w:customStyle="1" w:styleId="107">
    <w:name w:val="标题 6 Char"/>
    <w:basedOn w:val="57"/>
    <w:link w:val="7"/>
    <w:qFormat/>
    <w:uiPriority w:val="0"/>
    <w:rPr>
      <w:rFonts w:ascii="Times New Roman" w:hAnsi="Times New Roman" w:cs="Times New Roman"/>
      <w:b/>
      <w:bCs/>
      <w:kern w:val="2"/>
      <w:sz w:val="30"/>
      <w:szCs w:val="18"/>
      <w:lang w:val="zh-CN" w:eastAsia="zh-CN"/>
    </w:rPr>
  </w:style>
  <w:style w:type="character" w:customStyle="1" w:styleId="108">
    <w:name w:val="标题 7 Char"/>
    <w:basedOn w:val="57"/>
    <w:link w:val="8"/>
    <w:qFormat/>
    <w:uiPriority w:val="0"/>
    <w:rPr>
      <w:rFonts w:ascii="Times New Roman" w:hAnsi="Times New Roman" w:cs="Times New Roman"/>
      <w:b/>
      <w:bCs/>
      <w:kern w:val="2"/>
      <w:sz w:val="30"/>
      <w:szCs w:val="18"/>
      <w:lang w:val="zh-CN" w:eastAsia="zh-CN"/>
    </w:rPr>
  </w:style>
  <w:style w:type="character" w:customStyle="1" w:styleId="109">
    <w:name w:val="标题 8 Char"/>
    <w:basedOn w:val="57"/>
    <w:link w:val="9"/>
    <w:qFormat/>
    <w:uiPriority w:val="0"/>
    <w:rPr>
      <w:rFonts w:eastAsia="黑体" w:cs="Times New Roman"/>
      <w:kern w:val="2"/>
      <w:sz w:val="32"/>
      <w:szCs w:val="32"/>
      <w:lang w:val="zh-CN" w:eastAsia="zh-CN"/>
    </w:rPr>
  </w:style>
  <w:style w:type="character" w:customStyle="1" w:styleId="110">
    <w:name w:val="标题 9 Char"/>
    <w:basedOn w:val="57"/>
    <w:link w:val="10"/>
    <w:qFormat/>
    <w:uiPriority w:val="0"/>
    <w:rPr>
      <w:rFonts w:ascii="Cambria" w:hAnsi="Cambria" w:cs="Times New Roman"/>
      <w:kern w:val="2"/>
      <w:sz w:val="21"/>
      <w:szCs w:val="21"/>
      <w:lang w:val="zh-CN" w:eastAsia="zh-CN"/>
    </w:rPr>
  </w:style>
  <w:style w:type="character" w:customStyle="1" w:styleId="111">
    <w:name w:val="纯文本 Char2"/>
    <w:qFormat/>
    <w:uiPriority w:val="0"/>
    <w:rPr>
      <w:rFonts w:ascii="宋体" w:hAnsi="Courier New"/>
    </w:rPr>
  </w:style>
  <w:style w:type="table" w:customStyle="1" w:styleId="112">
    <w:name w:val="网格型3"/>
    <w:basedOn w:val="55"/>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3">
    <w:name w:val="网格表 1 浅色11"/>
    <w:basedOn w:val="55"/>
    <w:qFormat/>
    <w:uiPriority w:val="46"/>
    <w:rPr>
      <w:rFonts w:asciiTheme="minorHAnsi" w:hAnsiTheme="minorHAnsi" w:eastAsiaTheme="minorEastAsia"/>
      <w:kern w:val="2"/>
      <w:sz w:val="21"/>
      <w:szCs w:val="22"/>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paragraph" w:customStyle="1" w:styleId="11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15">
    <w:name w:val="正文文本缩进 Char"/>
    <w:basedOn w:val="57"/>
    <w:link w:val="20"/>
    <w:qFormat/>
    <w:uiPriority w:val="0"/>
    <w:rPr>
      <w:rFonts w:asciiTheme="minorHAnsi" w:hAnsiTheme="minorHAnsi"/>
      <w:kern w:val="2"/>
      <w:sz w:val="21"/>
      <w:szCs w:val="22"/>
    </w:rPr>
  </w:style>
  <w:style w:type="paragraph" w:customStyle="1" w:styleId="116">
    <w:name w:val="Char"/>
    <w:basedOn w:val="1"/>
    <w:qFormat/>
    <w:uiPriority w:val="0"/>
    <w:rPr>
      <w:rFonts w:ascii="Tahoma" w:hAnsi="Tahoma" w:cs="Times New Roman"/>
      <w:sz w:val="24"/>
    </w:rPr>
  </w:style>
  <w:style w:type="character" w:customStyle="1" w:styleId="117">
    <w:name w:val="脚注文本 Char"/>
    <w:basedOn w:val="57"/>
    <w:link w:val="42"/>
    <w:qFormat/>
    <w:uiPriority w:val="0"/>
    <w:rPr>
      <w:rFonts w:ascii="Times New Roman" w:hAnsi="Times New Roman" w:cs="Times New Roman"/>
      <w:kern w:val="2"/>
      <w:sz w:val="18"/>
      <w:szCs w:val="18"/>
      <w:lang w:val="zh-CN" w:eastAsia="zh-CN"/>
    </w:rPr>
  </w:style>
  <w:style w:type="paragraph" w:customStyle="1" w:styleId="118">
    <w:name w:val="样式 标题 3 + (中文) 黑体 小四 非加粗 段前: 7.8 磅 段后: 0 磅 行距: 固定值 20 磅"/>
    <w:basedOn w:val="4"/>
    <w:qFormat/>
    <w:uiPriority w:val="0"/>
    <w:pPr>
      <w:spacing w:before="120" w:after="120" w:line="400" w:lineRule="exact"/>
      <w:jc w:val="left"/>
    </w:pPr>
    <w:rPr>
      <w:rFonts w:ascii="黑体" w:hAnsi="黑体" w:eastAsia="黑体" w:cs="宋体"/>
      <w:bCs w:val="0"/>
      <w:kern w:val="2"/>
      <w:sz w:val="24"/>
      <w:szCs w:val="20"/>
      <w:lang w:val="zh-CN"/>
    </w:rPr>
  </w:style>
  <w:style w:type="paragraph" w:customStyle="1" w:styleId="119">
    <w:name w:val="样式 标题 2 + Times New Roman 四号 非加粗 段前: 5 磅 段后: 0 磅 行距: 固定值 20..."/>
    <w:basedOn w:val="3"/>
    <w:qFormat/>
    <w:uiPriority w:val="0"/>
    <w:pPr>
      <w:spacing w:before="100" w:after="0" w:line="400" w:lineRule="exact"/>
    </w:pPr>
    <w:rPr>
      <w:rFonts w:ascii="Times New Roman" w:hAnsi="Times New Roman" w:eastAsia="黑体" w:cs="宋体"/>
      <w:b w:val="0"/>
      <w:bCs w:val="0"/>
      <w:sz w:val="28"/>
      <w:szCs w:val="20"/>
    </w:rPr>
  </w:style>
  <w:style w:type="paragraph" w:customStyle="1" w:styleId="120">
    <w:name w:val="Normal_2"/>
    <w:qFormat/>
    <w:uiPriority w:val="0"/>
    <w:rPr>
      <w:rFonts w:ascii="Times New Roman" w:hAnsi="Times New Roman" w:eastAsia="Times New Roman" w:cs="Times New Roman"/>
      <w:sz w:val="24"/>
      <w:szCs w:val="24"/>
      <w:lang w:val="en-US" w:eastAsia="zh-CN" w:bidi="ar-SA"/>
    </w:rPr>
  </w:style>
  <w:style w:type="character" w:customStyle="1" w:styleId="121">
    <w:name w:val="称呼 Char"/>
    <w:basedOn w:val="57"/>
    <w:link w:val="17"/>
    <w:qFormat/>
    <w:uiPriority w:val="0"/>
    <w:rPr>
      <w:rFonts w:ascii="仿宋_GB2312" w:hAnsi="Times New Roman" w:eastAsia="仿宋_GB2312" w:cs="Times New Roman"/>
      <w:kern w:val="2"/>
      <w:sz w:val="28"/>
      <w:lang w:val="zh-CN" w:eastAsia="zh-CN"/>
    </w:rPr>
  </w:style>
  <w:style w:type="paragraph" w:customStyle="1" w:styleId="12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23">
    <w:name w:val="正文1"/>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24">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5">
    <w:name w:val="正文_2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6">
    <w:name w:val="正文_2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7">
    <w:name w:val="Normal_1"/>
    <w:qFormat/>
    <w:uiPriority w:val="0"/>
    <w:rPr>
      <w:rFonts w:ascii="Times New Roman" w:hAnsi="Times New Roman" w:eastAsia="Times New Roman" w:cs="Times New Roman"/>
      <w:sz w:val="24"/>
      <w:szCs w:val="24"/>
      <w:lang w:val="en-US" w:eastAsia="zh-CN" w:bidi="ar-SA"/>
    </w:rPr>
  </w:style>
  <w:style w:type="paragraph" w:customStyle="1" w:styleId="128">
    <w:name w:val="Normal_3"/>
    <w:qFormat/>
    <w:uiPriority w:val="0"/>
    <w:rPr>
      <w:rFonts w:ascii="Times New Roman" w:hAnsi="Times New Roman" w:eastAsia="Times New Roman" w:cs="Times New Roman"/>
      <w:sz w:val="24"/>
      <w:szCs w:val="24"/>
      <w:lang w:val="en-US" w:eastAsia="zh-CN" w:bidi="ar-SA"/>
    </w:rPr>
  </w:style>
  <w:style w:type="paragraph" w:customStyle="1" w:styleId="129">
    <w:name w:val="Char Char Char Char Char Char"/>
    <w:basedOn w:val="1"/>
    <w:qFormat/>
    <w:uiPriority w:val="0"/>
    <w:rPr>
      <w:rFonts w:ascii="Tahoma" w:hAnsi="Tahoma" w:cs="Times New Roman"/>
      <w:kern w:val="2"/>
      <w:sz w:val="24"/>
    </w:rPr>
  </w:style>
  <w:style w:type="paragraph" w:customStyle="1" w:styleId="130">
    <w:name w:val="Blockquote"/>
    <w:basedOn w:val="1"/>
    <w:link w:val="131"/>
    <w:qFormat/>
    <w:uiPriority w:val="0"/>
    <w:pPr>
      <w:autoSpaceDE w:val="0"/>
      <w:autoSpaceDN w:val="0"/>
      <w:adjustRightInd w:val="0"/>
      <w:spacing w:before="100" w:after="100"/>
      <w:ind w:left="360" w:right="360"/>
      <w:jc w:val="left"/>
    </w:pPr>
    <w:rPr>
      <w:rFonts w:ascii="Times New Roman" w:hAnsi="Times New Roman" w:cs="Times New Roman"/>
      <w:sz w:val="24"/>
      <w:lang w:val="zh-CN"/>
    </w:rPr>
  </w:style>
  <w:style w:type="character" w:customStyle="1" w:styleId="131">
    <w:name w:val="Blockquote Char"/>
    <w:link w:val="130"/>
    <w:qFormat/>
    <w:uiPriority w:val="0"/>
    <w:rPr>
      <w:rFonts w:ascii="Times New Roman" w:hAnsi="Times New Roman" w:cs="Times New Roman"/>
      <w:sz w:val="24"/>
      <w:lang w:val="zh-CN" w:eastAsia="zh-CN"/>
    </w:rPr>
  </w:style>
  <w:style w:type="paragraph" w:customStyle="1" w:styleId="132">
    <w:name w:val="xl22"/>
    <w:basedOn w:val="1"/>
    <w:qFormat/>
    <w:uiPriority w:val="0"/>
    <w:pPr>
      <w:widowControl/>
      <w:pBdr>
        <w:bottom w:val="single" w:color="auto" w:sz="4" w:space="0"/>
        <w:right w:val="single" w:color="auto" w:sz="4" w:space="0"/>
      </w:pBdr>
      <w:spacing w:before="100" w:beforeAutospacing="1" w:after="100" w:afterAutospacing="1"/>
      <w:jc w:val="center"/>
    </w:pPr>
    <w:rPr>
      <w:rFonts w:ascii="Calibri" w:hAnsi="Calibri" w:cs="Times New Roman"/>
      <w:sz w:val="24"/>
      <w:szCs w:val="22"/>
    </w:rPr>
  </w:style>
  <w:style w:type="character" w:customStyle="1" w:styleId="133">
    <w:name w:val="tdrownotice1"/>
    <w:qFormat/>
    <w:uiPriority w:val="0"/>
    <w:rPr>
      <w:sz w:val="22"/>
    </w:rPr>
  </w:style>
  <w:style w:type="paragraph" w:customStyle="1" w:styleId="134">
    <w:name w:val="段落2"/>
    <w:basedOn w:val="1"/>
    <w:qFormat/>
    <w:uiPriority w:val="0"/>
    <w:pPr>
      <w:spacing w:line="360" w:lineRule="auto"/>
      <w:ind w:firstLine="480" w:firstLineChars="200"/>
    </w:pPr>
    <w:rPr>
      <w:rFonts w:ascii="Calibri" w:hAnsi="Calibri" w:cs="Courier New"/>
      <w:kern w:val="2"/>
      <w:sz w:val="24"/>
      <w:szCs w:val="21"/>
    </w:rPr>
  </w:style>
  <w:style w:type="character" w:customStyle="1" w:styleId="135">
    <w:name w:val="正文文本缩进 3 Char"/>
    <w:basedOn w:val="57"/>
    <w:link w:val="44"/>
    <w:qFormat/>
    <w:uiPriority w:val="0"/>
    <w:rPr>
      <w:rFonts w:hAnsi="MS Sans Serif" w:cs="Times New Roman"/>
      <w:bCs/>
      <w:color w:val="000000"/>
      <w:sz w:val="24"/>
      <w:lang w:val="zh-CN" w:eastAsia="zh-CN"/>
    </w:rPr>
  </w:style>
  <w:style w:type="character" w:customStyle="1" w:styleId="136">
    <w:name w:val="正文文本缩进 2 Char"/>
    <w:basedOn w:val="57"/>
    <w:link w:val="31"/>
    <w:qFormat/>
    <w:uiPriority w:val="0"/>
    <w:rPr>
      <w:rFonts w:hAnsi="MS Sans Serif" w:cs="Times New Roman"/>
      <w:bCs/>
      <w:spacing w:val="12"/>
      <w:sz w:val="24"/>
      <w:lang w:val="zh-CN" w:eastAsia="zh-CN"/>
    </w:rPr>
  </w:style>
  <w:style w:type="paragraph" w:customStyle="1" w:styleId="137">
    <w:name w:val="目录"/>
    <w:basedOn w:val="1"/>
    <w:qFormat/>
    <w:uiPriority w:val="0"/>
    <w:pPr>
      <w:widowControl/>
      <w:jc w:val="center"/>
    </w:pPr>
    <w:rPr>
      <w:rFonts w:hAnsi="Calibri" w:cs="Times New Roman"/>
      <w:b/>
      <w:sz w:val="36"/>
    </w:rPr>
  </w:style>
  <w:style w:type="paragraph" w:customStyle="1" w:styleId="138">
    <w:name w:val="目录文字"/>
    <w:basedOn w:val="1"/>
    <w:qFormat/>
    <w:uiPriority w:val="0"/>
    <w:pPr>
      <w:widowControl/>
      <w:spacing w:line="480" w:lineRule="auto"/>
      <w:jc w:val="left"/>
    </w:pPr>
    <w:rPr>
      <w:rFonts w:cs="Times New Roman"/>
      <w:sz w:val="24"/>
    </w:rPr>
  </w:style>
  <w:style w:type="character" w:customStyle="1" w:styleId="139">
    <w:name w:val="正文文本 2 Char"/>
    <w:basedOn w:val="57"/>
    <w:link w:val="47"/>
    <w:qFormat/>
    <w:uiPriority w:val="0"/>
    <w:rPr>
      <w:rFonts w:hAnsi="Times New Roman" w:cs="Times New Roman"/>
      <w:spacing w:val="-20"/>
      <w:kern w:val="2"/>
      <w:sz w:val="28"/>
      <w:lang w:val="zh-CN" w:eastAsia="zh-CN"/>
    </w:rPr>
  </w:style>
  <w:style w:type="character" w:customStyle="1" w:styleId="140">
    <w:name w:val="正文文本 3 Char"/>
    <w:basedOn w:val="57"/>
    <w:link w:val="18"/>
    <w:qFormat/>
    <w:uiPriority w:val="0"/>
    <w:rPr>
      <w:rFonts w:ascii="仿宋_GB2312" w:eastAsia="仿宋_GB2312" w:cs="Times New Roman"/>
      <w:bCs/>
      <w:color w:val="000000"/>
      <w:kern w:val="2"/>
      <w:sz w:val="24"/>
      <w:szCs w:val="32"/>
      <w:lang w:val="zh-CN" w:eastAsia="zh-CN"/>
    </w:rPr>
  </w:style>
  <w:style w:type="paragraph" w:customStyle="1" w:styleId="14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cs="Times New Roman"/>
    </w:rPr>
  </w:style>
  <w:style w:type="paragraph" w:customStyle="1" w:styleId="142">
    <w:name w:val="xl33"/>
    <w:basedOn w:val="1"/>
    <w:qFormat/>
    <w:uiPriority w:val="0"/>
    <w:pPr>
      <w:widowControl/>
      <w:pBdr>
        <w:left w:val="single" w:color="auto" w:sz="4" w:space="0"/>
      </w:pBdr>
      <w:spacing w:before="100" w:beforeAutospacing="1" w:after="100" w:afterAutospacing="1"/>
      <w:jc w:val="center"/>
      <w:textAlignment w:val="center"/>
    </w:pPr>
    <w:rPr>
      <w:rFonts w:ascii="Arial Unicode MS" w:hAnsi="Arial Unicode MS" w:eastAsia="Arial Unicode MS" w:cs="Arial Unicode MS"/>
      <w:sz w:val="28"/>
      <w:szCs w:val="28"/>
    </w:rPr>
  </w:style>
  <w:style w:type="character" w:customStyle="1" w:styleId="143">
    <w:name w:val="标题 Char"/>
    <w:basedOn w:val="57"/>
    <w:link w:val="51"/>
    <w:qFormat/>
    <w:uiPriority w:val="0"/>
    <w:rPr>
      <w:rFonts w:eastAsia="黑体" w:cs="Times New Roman"/>
      <w:b/>
      <w:smallCaps/>
      <w:snapToGrid w:val="0"/>
      <w:kern w:val="2"/>
      <w:sz w:val="44"/>
      <w:szCs w:val="24"/>
      <w:lang w:val="zh-CN" w:eastAsia="zh-CN"/>
    </w:rPr>
  </w:style>
  <w:style w:type="paragraph" w:customStyle="1" w:styleId="144">
    <w:name w:val="段落1 Char"/>
    <w:basedOn w:val="28"/>
    <w:qFormat/>
    <w:uiPriority w:val="0"/>
    <w:pPr>
      <w:spacing w:line="360" w:lineRule="auto"/>
    </w:pPr>
    <w:rPr>
      <w:rFonts w:ascii="Times New Roman" w:hAnsi="Times New Roman" w:eastAsia="宋体" w:cs="Times New Roman"/>
      <w:kern w:val="2"/>
      <w:sz w:val="24"/>
      <w:szCs w:val="21"/>
      <w:lang w:val="zh-CN"/>
    </w:rPr>
  </w:style>
  <w:style w:type="paragraph" w:customStyle="1" w:styleId="145">
    <w:name w:val="样式3"/>
    <w:basedOn w:val="1"/>
    <w:qFormat/>
    <w:uiPriority w:val="0"/>
    <w:pPr>
      <w:tabs>
        <w:tab w:val="left" w:pos="560"/>
        <w:tab w:val="left" w:pos="1120"/>
      </w:tabs>
      <w:spacing w:line="480" w:lineRule="atLeast"/>
    </w:pPr>
    <w:rPr>
      <w:rFonts w:ascii="Calibri" w:hAnsi="Calibri" w:eastAsia="创艺简黑体" w:cs="Times New Roman"/>
      <w:b/>
      <w:kern w:val="2"/>
      <w:sz w:val="28"/>
    </w:rPr>
  </w:style>
  <w:style w:type="paragraph" w:customStyle="1" w:styleId="146">
    <w:name w:val="简单回函地址"/>
    <w:basedOn w:val="1"/>
    <w:qFormat/>
    <w:uiPriority w:val="0"/>
    <w:rPr>
      <w:rFonts w:ascii="Calibri" w:hAnsi="Calibri" w:cs="Times New Roman"/>
      <w:kern w:val="2"/>
      <w:sz w:val="21"/>
      <w:szCs w:val="22"/>
    </w:rPr>
  </w:style>
  <w:style w:type="paragraph" w:customStyle="1" w:styleId="147">
    <w:name w:val="Char Char Char Char"/>
    <w:basedOn w:val="1"/>
    <w:qFormat/>
    <w:uiPriority w:val="0"/>
    <w:pPr>
      <w:snapToGrid w:val="0"/>
      <w:spacing w:line="360" w:lineRule="auto"/>
      <w:ind w:firstLine="200" w:firstLineChars="200"/>
    </w:pPr>
    <w:rPr>
      <w:rFonts w:ascii="Calibri" w:hAnsi="Calibri" w:eastAsia="仿宋_GB2312" w:cs="Times New Roman"/>
      <w:kern w:val="2"/>
      <w:sz w:val="24"/>
      <w:szCs w:val="22"/>
    </w:rPr>
  </w:style>
  <w:style w:type="paragraph" w:customStyle="1" w:styleId="148">
    <w:name w:val="Default Paragraph Char Char Char Char"/>
    <w:basedOn w:val="1"/>
    <w:next w:val="1"/>
    <w:qFormat/>
    <w:uiPriority w:val="0"/>
    <w:pPr>
      <w:widowControl/>
      <w:spacing w:line="360" w:lineRule="auto"/>
      <w:jc w:val="left"/>
    </w:pPr>
    <w:rPr>
      <w:rFonts w:ascii="Calibri" w:hAnsi="Calibri" w:cs="Times New Roman"/>
      <w:sz w:val="21"/>
      <w:lang w:eastAsia="en-US"/>
    </w:rPr>
  </w:style>
  <w:style w:type="character" w:customStyle="1" w:styleId="149">
    <w:name w:val="t_tag"/>
    <w:basedOn w:val="57"/>
    <w:qFormat/>
    <w:uiPriority w:val="0"/>
  </w:style>
  <w:style w:type="table" w:customStyle="1" w:styleId="150">
    <w:name w:val="网格型11"/>
    <w:basedOn w:val="55"/>
    <w:qFormat/>
    <w:uiPriority w:val="5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51">
    <w:name w:val="批注框文本 Char1"/>
    <w:basedOn w:val="57"/>
    <w:qFormat/>
    <w:uiPriority w:val="0"/>
    <w:rPr>
      <w:rFonts w:ascii="Times New Roman" w:hAnsi="Times New Roman" w:eastAsia="宋体" w:cs="Times New Roman"/>
      <w:sz w:val="18"/>
      <w:szCs w:val="18"/>
    </w:rPr>
  </w:style>
  <w:style w:type="character" w:customStyle="1" w:styleId="152">
    <w:name w:val="批注主题 Char1"/>
    <w:basedOn w:val="91"/>
    <w:qFormat/>
    <w:uiPriority w:val="0"/>
    <w:rPr>
      <w:rFonts w:ascii="@仿宋_GB2312" w:hAnsi="@仿宋_GB2312" w:eastAsia="@仿宋_GB2312" w:cs="@仿宋_GB2312"/>
      <w:b/>
      <w:bCs/>
      <w:szCs w:val="20"/>
    </w:rPr>
  </w:style>
  <w:style w:type="paragraph" w:customStyle="1" w:styleId="153">
    <w:name w:val="Char10 Char Char Char Char Char Char Char Char Char"/>
    <w:basedOn w:val="1"/>
    <w:next w:val="1"/>
    <w:qFormat/>
    <w:uiPriority w:val="0"/>
    <w:rPr>
      <w:rFonts w:ascii="Calibri" w:hAnsi="Calibri" w:cs="Times New Roman"/>
      <w:kern w:val="2"/>
      <w:sz w:val="21"/>
      <w:szCs w:val="22"/>
    </w:rPr>
  </w:style>
  <w:style w:type="character" w:customStyle="1" w:styleId="154">
    <w:name w:val="文档结构图 Char"/>
    <w:basedOn w:val="57"/>
    <w:link w:val="15"/>
    <w:qFormat/>
    <w:uiPriority w:val="0"/>
    <w:rPr>
      <w:rFonts w:ascii="Calibri" w:hAnsi="Calibri" w:cs="Times New Roman"/>
      <w:bCs/>
      <w:kern w:val="2"/>
      <w:sz w:val="21"/>
      <w:szCs w:val="32"/>
      <w:shd w:val="clear" w:color="auto" w:fill="000080"/>
      <w:lang w:val="zh-CN" w:eastAsia="zh-CN"/>
    </w:rPr>
  </w:style>
  <w:style w:type="character" w:customStyle="1" w:styleId="155">
    <w:name w:val="标题 1 Char1"/>
    <w:qFormat/>
    <w:uiPriority w:val="0"/>
    <w:rPr>
      <w:rFonts w:ascii="Calibri" w:hAnsi="Calibri" w:eastAsia="宋体"/>
      <w:b/>
      <w:kern w:val="44"/>
      <w:sz w:val="44"/>
      <w:szCs w:val="44"/>
    </w:rPr>
  </w:style>
  <w:style w:type="character" w:customStyle="1" w:styleId="156">
    <w:name w:val="标题 3 Char1"/>
    <w:semiHidden/>
    <w:qFormat/>
    <w:uiPriority w:val="0"/>
    <w:rPr>
      <w:rFonts w:ascii="Calibri" w:hAnsi="Calibri" w:eastAsia="宋体"/>
      <w:b/>
      <w:kern w:val="2"/>
      <w:sz w:val="32"/>
    </w:rPr>
  </w:style>
  <w:style w:type="character" w:customStyle="1" w:styleId="157">
    <w:name w:val="标题 4 Char1"/>
    <w:semiHidden/>
    <w:qFormat/>
    <w:uiPriority w:val="0"/>
    <w:rPr>
      <w:rFonts w:ascii="Cambria" w:hAnsi="Cambria" w:eastAsia="宋体"/>
      <w:b/>
      <w:kern w:val="2"/>
      <w:sz w:val="28"/>
      <w:szCs w:val="28"/>
    </w:rPr>
  </w:style>
  <w:style w:type="character" w:customStyle="1" w:styleId="158">
    <w:name w:val="标题 5 Char1"/>
    <w:semiHidden/>
    <w:qFormat/>
    <w:uiPriority w:val="0"/>
    <w:rPr>
      <w:rFonts w:ascii="Calibri" w:hAnsi="Calibri" w:eastAsia="宋体"/>
      <w:b/>
      <w:kern w:val="2"/>
      <w:sz w:val="28"/>
      <w:szCs w:val="28"/>
    </w:rPr>
  </w:style>
  <w:style w:type="character" w:customStyle="1" w:styleId="159">
    <w:name w:val="标题 6 Char1"/>
    <w:semiHidden/>
    <w:qFormat/>
    <w:uiPriority w:val="0"/>
    <w:rPr>
      <w:rFonts w:ascii="Cambria" w:hAnsi="Cambria" w:eastAsia="宋体"/>
      <w:b/>
      <w:kern w:val="2"/>
      <w:sz w:val="24"/>
      <w:szCs w:val="24"/>
    </w:rPr>
  </w:style>
  <w:style w:type="character" w:customStyle="1" w:styleId="160">
    <w:name w:val="标题 7 Char1"/>
    <w:semiHidden/>
    <w:qFormat/>
    <w:uiPriority w:val="0"/>
    <w:rPr>
      <w:rFonts w:ascii="Calibri" w:hAnsi="Calibri" w:eastAsia="宋体"/>
      <w:b/>
      <w:kern w:val="2"/>
      <w:sz w:val="24"/>
      <w:szCs w:val="24"/>
    </w:rPr>
  </w:style>
  <w:style w:type="character" w:customStyle="1" w:styleId="161">
    <w:name w:val="标题 8 Char1"/>
    <w:semiHidden/>
    <w:qFormat/>
    <w:uiPriority w:val="0"/>
    <w:rPr>
      <w:rFonts w:ascii="Cambria" w:hAnsi="Cambria" w:eastAsia="宋体"/>
      <w:kern w:val="2"/>
      <w:sz w:val="24"/>
      <w:szCs w:val="24"/>
    </w:rPr>
  </w:style>
  <w:style w:type="character" w:customStyle="1" w:styleId="162">
    <w:name w:val="标题 9 Char1"/>
    <w:semiHidden/>
    <w:qFormat/>
    <w:uiPriority w:val="0"/>
    <w:rPr>
      <w:rFonts w:ascii="Cambria" w:hAnsi="Cambria" w:eastAsia="宋体"/>
      <w:kern w:val="2"/>
      <w:sz w:val="21"/>
      <w:szCs w:val="21"/>
    </w:rPr>
  </w:style>
  <w:style w:type="paragraph" w:customStyle="1" w:styleId="163">
    <w:name w:val="MsoNormal"/>
    <w:basedOn w:val="164"/>
    <w:qFormat/>
    <w:uiPriority w:val="0"/>
    <w:rPr>
      <w:rFonts w:ascii="Calibri" w:hAnsi="Calibri" w:eastAsia="Calibri"/>
      <w:sz w:val="21"/>
    </w:rPr>
  </w:style>
  <w:style w:type="paragraph" w:customStyle="1" w:styleId="164">
    <w:name w:val="Normal_0"/>
    <w:qFormat/>
    <w:uiPriority w:val="0"/>
    <w:rPr>
      <w:rFonts w:ascii="Times New Roman" w:hAnsi="Times New Roman" w:eastAsia="宋体" w:cs="Times New Roman"/>
      <w:sz w:val="24"/>
      <w:szCs w:val="24"/>
      <w:lang w:val="en-US" w:eastAsia="zh-CN" w:bidi="ar-SA"/>
    </w:rPr>
  </w:style>
  <w:style w:type="paragraph" w:customStyle="1" w:styleId="165">
    <w:name w:val="标题 2_0"/>
    <w:basedOn w:val="166"/>
    <w:next w:val="167"/>
    <w:link w:val="168"/>
    <w:qFormat/>
    <w:uiPriority w:val="0"/>
    <w:pPr>
      <w:keepNext/>
      <w:keepLines/>
      <w:spacing w:before="260" w:after="260" w:line="500" w:lineRule="exact"/>
      <w:jc w:val="center"/>
      <w:outlineLvl w:val="1"/>
    </w:pPr>
    <w:rPr>
      <w:rFonts w:ascii="黑体" w:hAnsi="宋体" w:eastAsia="黑体"/>
      <w:b/>
      <w:smallCaps/>
      <w:snapToGrid w:val="0"/>
      <w:kern w:val="0"/>
      <w:sz w:val="36"/>
      <w:lang w:val="zh-CN"/>
    </w:rPr>
  </w:style>
  <w:style w:type="paragraph" w:customStyle="1" w:styleId="166">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7">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8">
    <w:name w:val="标题 2 Char_0"/>
    <w:link w:val="165"/>
    <w:qFormat/>
    <w:uiPriority w:val="0"/>
    <w:rPr>
      <w:rFonts w:ascii="黑体" w:eastAsia="黑体" w:cs="Times New Roman"/>
      <w:b/>
      <w:smallCaps/>
      <w:snapToGrid w:val="0"/>
      <w:sz w:val="36"/>
      <w:szCs w:val="24"/>
      <w:lang w:val="zh-CN" w:eastAsia="zh-CN"/>
    </w:rPr>
  </w:style>
  <w:style w:type="paragraph" w:customStyle="1" w:styleId="169">
    <w:name w:val="纯文本_0"/>
    <w:basedOn w:val="167"/>
    <w:link w:val="170"/>
    <w:qFormat/>
    <w:uiPriority w:val="99"/>
    <w:rPr>
      <w:rFonts w:ascii="宋体" w:hAnsi="Courier New"/>
      <w:szCs w:val="21"/>
    </w:rPr>
  </w:style>
  <w:style w:type="character" w:customStyle="1" w:styleId="170">
    <w:name w:val="Texte Char1"/>
    <w:link w:val="169"/>
    <w:qFormat/>
    <w:uiPriority w:val="99"/>
    <w:rPr>
      <w:rFonts w:hAnsi="Courier New" w:cs="Times New Roman"/>
      <w:kern w:val="2"/>
      <w:sz w:val="21"/>
      <w:szCs w:val="21"/>
    </w:rPr>
  </w:style>
  <w:style w:type="paragraph" w:customStyle="1" w:styleId="171">
    <w:name w:val="纯文本_1"/>
    <w:basedOn w:val="172"/>
    <w:link w:val="173"/>
    <w:qFormat/>
    <w:uiPriority w:val="0"/>
    <w:rPr>
      <w:rFonts w:ascii="宋体" w:hAnsi="Courier New"/>
      <w:szCs w:val="21"/>
      <w:lang w:val="zh-CN"/>
    </w:rPr>
  </w:style>
  <w:style w:type="paragraph" w:customStyle="1" w:styleId="172">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3">
    <w:name w:val="纯文本 Char1_0"/>
    <w:link w:val="171"/>
    <w:qFormat/>
    <w:uiPriority w:val="0"/>
    <w:rPr>
      <w:rFonts w:hAnsi="Courier New" w:cs="Times New Roman"/>
      <w:kern w:val="2"/>
      <w:sz w:val="21"/>
      <w:szCs w:val="21"/>
      <w:lang w:val="zh-CN" w:eastAsia="zh-CN"/>
    </w:rPr>
  </w:style>
  <w:style w:type="paragraph" w:customStyle="1" w:styleId="174">
    <w:name w:val="标题 3_0"/>
    <w:basedOn w:val="175"/>
    <w:next w:val="176"/>
    <w:link w:val="187"/>
    <w:qFormat/>
    <w:uiPriority w:val="0"/>
    <w:pPr>
      <w:keepNext/>
      <w:keepLines/>
      <w:widowControl/>
      <w:numPr>
        <w:ilvl w:val="2"/>
        <w:numId w:val="1"/>
      </w:numPr>
      <w:spacing w:before="120" w:after="120" w:line="360" w:lineRule="auto"/>
      <w:jc w:val="center"/>
      <w:outlineLvl w:val="2"/>
    </w:pPr>
    <w:rPr>
      <w:b/>
      <w:kern w:val="0"/>
      <w:sz w:val="32"/>
      <w:szCs w:val="20"/>
      <w:lang w:val="zh-CN"/>
    </w:rPr>
  </w:style>
  <w:style w:type="paragraph" w:customStyle="1" w:styleId="175">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6">
    <w:name w:val="正文缩进_0"/>
    <w:basedOn w:val="175"/>
    <w:unhideWhenUsed/>
    <w:qFormat/>
    <w:uiPriority w:val="0"/>
    <w:pPr>
      <w:ind w:firstLine="420" w:firstLineChars="200"/>
    </w:pPr>
    <w:rPr>
      <w:rFonts w:ascii="Calibri" w:hAnsi="Calibri"/>
      <w:bCs/>
      <w:szCs w:val="32"/>
    </w:rPr>
  </w:style>
  <w:style w:type="paragraph" w:customStyle="1" w:styleId="177">
    <w:name w:val="标题 1_0"/>
    <w:basedOn w:val="175"/>
    <w:next w:val="175"/>
    <w:link w:val="178"/>
    <w:qFormat/>
    <w:uiPriority w:val="0"/>
    <w:pPr>
      <w:keepNext/>
      <w:widowControl/>
      <w:numPr>
        <w:ilvl w:val="0"/>
        <w:numId w:val="1"/>
      </w:numPr>
      <w:jc w:val="center"/>
      <w:outlineLvl w:val="0"/>
    </w:pPr>
    <w:rPr>
      <w:rFonts w:ascii="黑体" w:eastAsia="黑体"/>
      <w:kern w:val="0"/>
      <w:sz w:val="52"/>
      <w:szCs w:val="20"/>
      <w:lang w:val="zh-CN"/>
    </w:rPr>
  </w:style>
  <w:style w:type="character" w:customStyle="1" w:styleId="178">
    <w:name w:val="标题 1 Char_0"/>
    <w:link w:val="177"/>
    <w:qFormat/>
    <w:uiPriority w:val="0"/>
    <w:rPr>
      <w:rFonts w:ascii="黑体" w:hAnsi="Times New Roman" w:eastAsia="黑体" w:cs="Times New Roman"/>
      <w:sz w:val="52"/>
      <w:lang w:val="zh-CN" w:eastAsia="zh-CN"/>
    </w:rPr>
  </w:style>
  <w:style w:type="paragraph" w:customStyle="1" w:styleId="179">
    <w:name w:val="标题 6_0"/>
    <w:basedOn w:val="175"/>
    <w:next w:val="175"/>
    <w:link w:val="180"/>
    <w:qFormat/>
    <w:uiPriority w:val="0"/>
    <w:pPr>
      <w:keepNext/>
      <w:keepLines/>
      <w:widowControl/>
      <w:numPr>
        <w:ilvl w:val="5"/>
        <w:numId w:val="1"/>
      </w:numPr>
      <w:spacing w:before="240" w:after="64" w:line="320" w:lineRule="auto"/>
      <w:jc w:val="left"/>
      <w:outlineLvl w:val="5"/>
    </w:pPr>
    <w:rPr>
      <w:rFonts w:ascii="Arial" w:hAnsi="Arial" w:eastAsia="黑体"/>
      <w:b/>
      <w:bCs/>
      <w:kern w:val="0"/>
      <w:sz w:val="24"/>
      <w:lang w:val="zh-CN"/>
    </w:rPr>
  </w:style>
  <w:style w:type="character" w:customStyle="1" w:styleId="180">
    <w:name w:val="标题 6 Char_0"/>
    <w:link w:val="179"/>
    <w:qFormat/>
    <w:uiPriority w:val="0"/>
    <w:rPr>
      <w:rFonts w:ascii="Arial" w:hAnsi="Arial" w:eastAsia="黑体" w:cs="Times New Roman"/>
      <w:b/>
      <w:bCs/>
      <w:sz w:val="24"/>
      <w:szCs w:val="24"/>
      <w:lang w:val="zh-CN" w:eastAsia="zh-CN"/>
    </w:rPr>
  </w:style>
  <w:style w:type="paragraph" w:customStyle="1" w:styleId="181">
    <w:name w:val="标题 7_0"/>
    <w:basedOn w:val="175"/>
    <w:next w:val="175"/>
    <w:link w:val="182"/>
    <w:qFormat/>
    <w:uiPriority w:val="0"/>
    <w:pPr>
      <w:keepNext/>
      <w:keepLines/>
      <w:widowControl/>
      <w:numPr>
        <w:ilvl w:val="6"/>
        <w:numId w:val="1"/>
      </w:numPr>
      <w:spacing w:before="240" w:after="64" w:line="320" w:lineRule="auto"/>
      <w:jc w:val="left"/>
      <w:outlineLvl w:val="6"/>
    </w:pPr>
    <w:rPr>
      <w:b/>
      <w:bCs/>
      <w:kern w:val="0"/>
      <w:sz w:val="24"/>
      <w:lang w:val="zh-CN"/>
    </w:rPr>
  </w:style>
  <w:style w:type="character" w:customStyle="1" w:styleId="182">
    <w:name w:val="标题 7 Char_0"/>
    <w:link w:val="181"/>
    <w:qFormat/>
    <w:uiPriority w:val="0"/>
    <w:rPr>
      <w:rFonts w:ascii="Times New Roman" w:hAnsi="Times New Roman" w:cs="Times New Roman"/>
      <w:b/>
      <w:bCs/>
      <w:sz w:val="24"/>
      <w:szCs w:val="24"/>
      <w:lang w:val="zh-CN" w:eastAsia="zh-CN"/>
    </w:rPr>
  </w:style>
  <w:style w:type="paragraph" w:customStyle="1" w:styleId="183">
    <w:name w:val="标题 8_0"/>
    <w:basedOn w:val="175"/>
    <w:next w:val="175"/>
    <w:link w:val="184"/>
    <w:qFormat/>
    <w:uiPriority w:val="0"/>
    <w:pPr>
      <w:keepNext/>
      <w:keepLines/>
      <w:widowControl/>
      <w:numPr>
        <w:ilvl w:val="7"/>
        <w:numId w:val="1"/>
      </w:numPr>
      <w:spacing w:before="240" w:after="64" w:line="320" w:lineRule="auto"/>
      <w:jc w:val="left"/>
      <w:outlineLvl w:val="7"/>
    </w:pPr>
    <w:rPr>
      <w:rFonts w:ascii="Arial" w:hAnsi="Arial" w:eastAsia="黑体"/>
      <w:kern w:val="0"/>
      <w:sz w:val="24"/>
      <w:lang w:val="zh-CN"/>
    </w:rPr>
  </w:style>
  <w:style w:type="character" w:customStyle="1" w:styleId="184">
    <w:name w:val="标题 8 Char_0"/>
    <w:link w:val="183"/>
    <w:qFormat/>
    <w:uiPriority w:val="0"/>
    <w:rPr>
      <w:rFonts w:ascii="Arial" w:hAnsi="Arial" w:eastAsia="黑体" w:cs="Times New Roman"/>
      <w:sz w:val="24"/>
      <w:szCs w:val="24"/>
      <w:lang w:val="zh-CN" w:eastAsia="zh-CN"/>
    </w:rPr>
  </w:style>
  <w:style w:type="paragraph" w:customStyle="1" w:styleId="185">
    <w:name w:val="标题 9_0"/>
    <w:basedOn w:val="175"/>
    <w:next w:val="175"/>
    <w:link w:val="186"/>
    <w:qFormat/>
    <w:uiPriority w:val="0"/>
    <w:pPr>
      <w:keepNext/>
      <w:keepLines/>
      <w:widowControl/>
      <w:numPr>
        <w:ilvl w:val="8"/>
        <w:numId w:val="1"/>
      </w:numPr>
      <w:spacing w:before="240" w:after="64" w:line="320" w:lineRule="auto"/>
      <w:jc w:val="left"/>
      <w:outlineLvl w:val="8"/>
    </w:pPr>
    <w:rPr>
      <w:rFonts w:ascii="Arial" w:hAnsi="Arial" w:eastAsia="黑体"/>
      <w:kern w:val="0"/>
      <w:szCs w:val="21"/>
      <w:lang w:val="zh-CN"/>
    </w:rPr>
  </w:style>
  <w:style w:type="character" w:customStyle="1" w:styleId="186">
    <w:name w:val="标题 9 Char_0"/>
    <w:link w:val="185"/>
    <w:qFormat/>
    <w:uiPriority w:val="0"/>
    <w:rPr>
      <w:rFonts w:ascii="Arial" w:hAnsi="Arial" w:eastAsia="黑体" w:cs="Times New Roman"/>
      <w:sz w:val="21"/>
      <w:szCs w:val="21"/>
      <w:lang w:val="zh-CN" w:eastAsia="zh-CN"/>
    </w:rPr>
  </w:style>
  <w:style w:type="character" w:customStyle="1" w:styleId="187">
    <w:name w:val="标题 3 Char_0"/>
    <w:link w:val="174"/>
    <w:qFormat/>
    <w:uiPriority w:val="0"/>
    <w:rPr>
      <w:rFonts w:ascii="Times New Roman" w:hAnsi="Times New Roman" w:cs="Times New Roman"/>
      <w:b/>
      <w:sz w:val="32"/>
      <w:lang w:val="zh-CN" w:eastAsia="zh-CN"/>
    </w:rPr>
  </w:style>
  <w:style w:type="paragraph" w:customStyle="1" w:styleId="188">
    <w:name w:val="Blockquote_0"/>
    <w:basedOn w:val="175"/>
    <w:link w:val="189"/>
    <w:qFormat/>
    <w:uiPriority w:val="0"/>
    <w:pPr>
      <w:autoSpaceDE w:val="0"/>
      <w:autoSpaceDN w:val="0"/>
      <w:adjustRightInd w:val="0"/>
      <w:spacing w:before="100" w:after="100"/>
      <w:ind w:left="360" w:right="360"/>
      <w:jc w:val="left"/>
    </w:pPr>
    <w:rPr>
      <w:kern w:val="0"/>
      <w:sz w:val="24"/>
      <w:szCs w:val="20"/>
      <w:lang w:val="zh-CN"/>
    </w:rPr>
  </w:style>
  <w:style w:type="character" w:customStyle="1" w:styleId="189">
    <w:name w:val="Blockquote Char_0"/>
    <w:link w:val="188"/>
    <w:qFormat/>
    <w:locked/>
    <w:uiPriority w:val="0"/>
    <w:rPr>
      <w:rFonts w:ascii="Times New Roman" w:hAnsi="Times New Roman" w:cs="Times New Roman"/>
      <w:sz w:val="24"/>
      <w:lang w:val="zh-CN" w:eastAsia="zh-CN"/>
    </w:rPr>
  </w:style>
  <w:style w:type="paragraph" w:customStyle="1" w:styleId="190">
    <w:name w:val="标题 4_0"/>
    <w:basedOn w:val="175"/>
    <w:next w:val="175"/>
    <w:link w:val="191"/>
    <w:qFormat/>
    <w:uiPriority w:val="0"/>
    <w:pPr>
      <w:keepNext/>
      <w:keepLines/>
      <w:widowControl/>
      <w:spacing w:before="120" w:after="120" w:line="360" w:lineRule="auto"/>
      <w:jc w:val="center"/>
      <w:outlineLvl w:val="3"/>
    </w:pPr>
    <w:rPr>
      <w:rFonts w:ascii="Arial" w:hAnsi="Arial" w:eastAsia="黑体"/>
      <w:kern w:val="0"/>
      <w:sz w:val="28"/>
      <w:szCs w:val="20"/>
      <w:lang w:val="zh-CN"/>
    </w:rPr>
  </w:style>
  <w:style w:type="character" w:customStyle="1" w:styleId="191">
    <w:name w:val="标题 4 Char_0"/>
    <w:link w:val="190"/>
    <w:qFormat/>
    <w:uiPriority w:val="0"/>
    <w:rPr>
      <w:rFonts w:ascii="Arial" w:hAnsi="Arial" w:eastAsia="黑体" w:cs="Times New Roman"/>
      <w:sz w:val="28"/>
      <w:lang w:val="zh-CN" w:eastAsia="zh-CN"/>
    </w:rPr>
  </w:style>
  <w:style w:type="paragraph" w:customStyle="1" w:styleId="192">
    <w:name w:val="纯文本_2"/>
    <w:basedOn w:val="175"/>
    <w:link w:val="193"/>
    <w:qFormat/>
    <w:uiPriority w:val="0"/>
    <w:rPr>
      <w:rFonts w:ascii="宋体" w:hAnsi="Courier New"/>
      <w:szCs w:val="21"/>
      <w:lang w:val="zh-CN"/>
    </w:rPr>
  </w:style>
  <w:style w:type="character" w:customStyle="1" w:styleId="193">
    <w:name w:val="纯文本 Char1_1"/>
    <w:link w:val="192"/>
    <w:qFormat/>
    <w:uiPriority w:val="0"/>
    <w:rPr>
      <w:rFonts w:hAnsi="Courier New" w:cs="Times New Roman"/>
      <w:kern w:val="2"/>
      <w:sz w:val="21"/>
      <w:szCs w:val="21"/>
      <w:lang w:val="zh-CN" w:eastAsia="zh-CN"/>
    </w:rPr>
  </w:style>
  <w:style w:type="paragraph" w:customStyle="1" w:styleId="194">
    <w:name w:val="Blockquote_0_1"/>
    <w:basedOn w:val="195"/>
    <w:link w:val="196"/>
    <w:qFormat/>
    <w:uiPriority w:val="0"/>
    <w:pPr>
      <w:autoSpaceDE w:val="0"/>
      <w:autoSpaceDN w:val="0"/>
      <w:adjustRightInd w:val="0"/>
      <w:spacing w:before="100" w:after="100"/>
      <w:ind w:left="360" w:right="360"/>
      <w:jc w:val="left"/>
    </w:pPr>
    <w:rPr>
      <w:kern w:val="0"/>
      <w:sz w:val="24"/>
      <w:szCs w:val="20"/>
      <w:lang w:val="zh-CN"/>
    </w:rPr>
  </w:style>
  <w:style w:type="paragraph" w:customStyle="1" w:styleId="195">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96">
    <w:name w:val="Blockquote Char_0_1"/>
    <w:link w:val="194"/>
    <w:qFormat/>
    <w:locked/>
    <w:uiPriority w:val="0"/>
    <w:rPr>
      <w:rFonts w:ascii="Times New Roman" w:hAnsi="Times New Roman" w:cs="Times New Roman"/>
      <w:sz w:val="24"/>
      <w:lang w:val="zh-CN" w:eastAsia="zh-CN"/>
    </w:rPr>
  </w:style>
  <w:style w:type="paragraph" w:customStyle="1" w:styleId="197">
    <w:name w:val="正文文本_0"/>
    <w:basedOn w:val="175"/>
    <w:link w:val="198"/>
    <w:qFormat/>
    <w:uiPriority w:val="0"/>
    <w:pPr>
      <w:spacing w:after="120"/>
    </w:pPr>
    <w:rPr>
      <w:lang w:val="zh-CN"/>
    </w:rPr>
  </w:style>
  <w:style w:type="character" w:customStyle="1" w:styleId="198">
    <w:name w:val="正文文本 Char_0"/>
    <w:link w:val="197"/>
    <w:qFormat/>
    <w:uiPriority w:val="0"/>
    <w:rPr>
      <w:rFonts w:ascii="Times New Roman" w:hAnsi="Times New Roman" w:cs="Times New Roman"/>
      <w:kern w:val="2"/>
      <w:sz w:val="21"/>
      <w:szCs w:val="24"/>
      <w:lang w:val="zh-CN" w:eastAsia="zh-CN"/>
    </w:rPr>
  </w:style>
  <w:style w:type="paragraph" w:customStyle="1" w:styleId="199">
    <w:name w:val="普通(网站)_0"/>
    <w:basedOn w:val="175"/>
    <w:qFormat/>
    <w:uiPriority w:val="0"/>
    <w:pPr>
      <w:widowControl/>
      <w:spacing w:before="100" w:beforeAutospacing="1" w:after="100" w:afterAutospacing="1"/>
      <w:jc w:val="left"/>
    </w:pPr>
    <w:rPr>
      <w:rFonts w:ascii="宋体" w:hAnsi="宋体"/>
      <w:kern w:val="0"/>
      <w:sz w:val="24"/>
    </w:rPr>
  </w:style>
  <w:style w:type="paragraph" w:customStyle="1" w:styleId="200">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1">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2">
    <w:name w:val="脚注文本_0"/>
    <w:basedOn w:val="124"/>
    <w:link w:val="203"/>
    <w:unhideWhenUsed/>
    <w:qFormat/>
    <w:uiPriority w:val="0"/>
    <w:pPr>
      <w:adjustRightInd w:val="0"/>
      <w:snapToGrid w:val="0"/>
      <w:spacing w:line="420" w:lineRule="atLeast"/>
      <w:ind w:firstLine="454"/>
      <w:jc w:val="left"/>
    </w:pPr>
    <w:rPr>
      <w:rFonts w:ascii="Times New Roman" w:hAnsi="Times New Roman"/>
      <w:kern w:val="0"/>
      <w:sz w:val="18"/>
      <w:szCs w:val="20"/>
      <w:lang w:val="zh-CN"/>
    </w:rPr>
  </w:style>
  <w:style w:type="character" w:customStyle="1" w:styleId="203">
    <w:name w:val="脚注文本 Char_0"/>
    <w:link w:val="202"/>
    <w:qFormat/>
    <w:uiPriority w:val="0"/>
    <w:rPr>
      <w:rFonts w:ascii="Times New Roman" w:hAnsi="Times New Roman" w:cs="Times New Roman"/>
      <w:sz w:val="18"/>
      <w:lang w:val="zh-CN" w:eastAsia="zh-CN"/>
    </w:rPr>
  </w:style>
  <w:style w:type="paragraph" w:customStyle="1" w:styleId="204">
    <w:name w:val="font5"/>
    <w:basedOn w:val="1"/>
    <w:qFormat/>
    <w:uiPriority w:val="0"/>
    <w:pPr>
      <w:widowControl/>
      <w:spacing w:before="100" w:beforeAutospacing="1" w:after="100" w:afterAutospacing="1"/>
      <w:jc w:val="left"/>
    </w:pPr>
    <w:rPr>
      <w:rFonts w:hint="eastAsia" w:cs="Times New Roman"/>
      <w:sz w:val="18"/>
      <w:szCs w:val="18"/>
    </w:rPr>
  </w:style>
  <w:style w:type="paragraph" w:customStyle="1" w:styleId="20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20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20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208">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18"/>
      <w:szCs w:val="18"/>
    </w:rPr>
  </w:style>
  <w:style w:type="paragraph" w:customStyle="1" w:styleId="20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10">
    <w:name w:val="xl2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11">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4"/>
      <w:szCs w:val="24"/>
    </w:rPr>
  </w:style>
  <w:style w:type="paragraph" w:customStyle="1" w:styleId="212">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21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18"/>
      <w:szCs w:val="18"/>
    </w:rPr>
  </w:style>
  <w:style w:type="paragraph" w:customStyle="1" w:styleId="214">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215">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2"/>
      <w:szCs w:val="22"/>
    </w:rPr>
  </w:style>
  <w:style w:type="paragraph" w:customStyle="1" w:styleId="216">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24"/>
      <w:szCs w:val="24"/>
    </w:rPr>
  </w:style>
  <w:style w:type="paragraph" w:customStyle="1" w:styleId="217">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21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20">
    <w:name w:val="xl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21">
    <w:name w:val="xl42"/>
    <w:basedOn w:val="1"/>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22">
    <w:name w:val="xl43"/>
    <w:basedOn w:val="1"/>
    <w:qFormat/>
    <w:uiPriority w:val="0"/>
    <w:pPr>
      <w:widowControl/>
      <w:spacing w:before="100" w:beforeAutospacing="1" w:after="100" w:afterAutospacing="1"/>
      <w:jc w:val="left"/>
      <w:textAlignment w:val="top"/>
    </w:pPr>
    <w:rPr>
      <w:rFonts w:cs="Times New Roman"/>
      <w:sz w:val="24"/>
      <w:szCs w:val="24"/>
    </w:rPr>
  </w:style>
  <w:style w:type="paragraph" w:customStyle="1" w:styleId="223">
    <w:name w:val="xl44"/>
    <w:basedOn w:val="1"/>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24">
    <w:name w:val="xl45"/>
    <w:basedOn w:val="1"/>
    <w:qFormat/>
    <w:uiPriority w:val="0"/>
    <w:pPr>
      <w:widowControl/>
      <w:spacing w:before="100" w:beforeAutospacing="1" w:after="100" w:afterAutospacing="1"/>
      <w:jc w:val="left"/>
      <w:textAlignment w:val="top"/>
    </w:pPr>
    <w:rPr>
      <w:rFonts w:cs="Times New Roman"/>
      <w:sz w:val="24"/>
      <w:szCs w:val="24"/>
    </w:rPr>
  </w:style>
  <w:style w:type="paragraph" w:customStyle="1" w:styleId="225">
    <w:name w:val="font6"/>
    <w:basedOn w:val="1"/>
    <w:qFormat/>
    <w:uiPriority w:val="0"/>
    <w:pPr>
      <w:widowControl/>
      <w:spacing w:before="100" w:beforeAutospacing="1" w:after="100" w:afterAutospacing="1"/>
      <w:jc w:val="left"/>
    </w:pPr>
    <w:rPr>
      <w:rFonts w:ascii="Times New Roman" w:hAnsi="Times New Roman" w:cs="Times New Roman"/>
      <w:sz w:val="18"/>
      <w:szCs w:val="18"/>
    </w:rPr>
  </w:style>
  <w:style w:type="paragraph" w:customStyle="1" w:styleId="226">
    <w:name w:val="Char Char Char Char Char"/>
    <w:basedOn w:val="1"/>
    <w:qFormat/>
    <w:uiPriority w:val="0"/>
    <w:rPr>
      <w:rFonts w:ascii="Tahoma" w:hAnsi="Tahoma" w:cs="Times New Roman"/>
      <w:kern w:val="2"/>
      <w:sz w:val="24"/>
    </w:rPr>
  </w:style>
  <w:style w:type="paragraph" w:customStyle="1" w:styleId="227">
    <w:name w:val="范本目录"/>
    <w:basedOn w:val="1"/>
    <w:qFormat/>
    <w:uiPriority w:val="0"/>
    <w:pPr>
      <w:adjustRightInd w:val="0"/>
      <w:snapToGrid w:val="0"/>
      <w:spacing w:before="48" w:beforeLines="20" w:after="48" w:afterLines="20" w:line="540" w:lineRule="exact"/>
      <w:jc w:val="center"/>
    </w:pPr>
    <w:rPr>
      <w:rFonts w:ascii="Times New Roman" w:cs="Times New Roman"/>
      <w:b/>
      <w:bCs/>
      <w:kern w:val="2"/>
      <w:sz w:val="36"/>
      <w:szCs w:val="24"/>
    </w:rPr>
  </w:style>
  <w:style w:type="character" w:customStyle="1" w:styleId="228">
    <w:name w:val="副标题 Char"/>
    <w:basedOn w:val="57"/>
    <w:link w:val="40"/>
    <w:qFormat/>
    <w:uiPriority w:val="0"/>
    <w:rPr>
      <w:rFonts w:ascii="Arial" w:hAnsi="Arial" w:cs="Times New Roman"/>
      <w:b/>
      <w:bCs/>
      <w:kern w:val="28"/>
      <w:sz w:val="32"/>
      <w:szCs w:val="32"/>
      <w:lang w:val="zh-CN" w:eastAsia="zh-CN"/>
    </w:rPr>
  </w:style>
  <w:style w:type="character" w:customStyle="1" w:styleId="229">
    <w:name w:val="Char Char"/>
    <w:qFormat/>
    <w:uiPriority w:val="0"/>
    <w:rPr>
      <w:rFonts w:ascii="宋体" w:hAnsi="Courier New" w:eastAsia="宋体" w:cs="Courier New"/>
      <w:kern w:val="2"/>
      <w:sz w:val="21"/>
      <w:szCs w:val="21"/>
      <w:lang w:val="en-US" w:eastAsia="zh-CN" w:bidi="ar-SA"/>
    </w:rPr>
  </w:style>
  <w:style w:type="character" w:customStyle="1" w:styleId="230">
    <w:name w:val="标题4 Char Char"/>
    <w:link w:val="231"/>
    <w:qFormat/>
    <w:uiPriority w:val="0"/>
    <w:rPr>
      <w:rFonts w:ascii="Arial" w:hAnsi="Arial"/>
      <w:b/>
      <w:bCs/>
      <w:sz w:val="24"/>
      <w:szCs w:val="32"/>
    </w:rPr>
  </w:style>
  <w:style w:type="paragraph" w:customStyle="1" w:styleId="231">
    <w:name w:val="标题4"/>
    <w:basedOn w:val="3"/>
    <w:next w:val="25"/>
    <w:link w:val="230"/>
    <w:qFormat/>
    <w:uiPriority w:val="0"/>
    <w:pPr>
      <w:spacing w:before="0" w:after="0" w:line="413" w:lineRule="auto"/>
    </w:pPr>
    <w:rPr>
      <w:rFonts w:ascii="Arial" w:hAnsi="Arial" w:cstheme="minorBidi"/>
      <w:kern w:val="0"/>
      <w:sz w:val="24"/>
      <w:lang w:val="en-US"/>
    </w:rPr>
  </w:style>
  <w:style w:type="character" w:customStyle="1" w:styleId="232">
    <w:name w:val="明显引用 Char"/>
    <w:link w:val="233"/>
    <w:qFormat/>
    <w:uiPriority w:val="0"/>
    <w:rPr>
      <w:b/>
      <w:bCs/>
      <w:i/>
      <w:iCs/>
      <w:color w:val="4F81BD"/>
    </w:rPr>
  </w:style>
  <w:style w:type="paragraph" w:styleId="233">
    <w:name w:val="Intense Quote"/>
    <w:basedOn w:val="1"/>
    <w:next w:val="1"/>
    <w:link w:val="232"/>
    <w:qFormat/>
    <w:uiPriority w:val="0"/>
    <w:pPr>
      <w:pBdr>
        <w:bottom w:val="single" w:color="4F81BD" w:themeColor="accent1" w:sz="4" w:space="4"/>
      </w:pBdr>
      <w:spacing w:before="200" w:after="280"/>
      <w:ind w:left="936" w:right="936"/>
    </w:pPr>
    <w:rPr>
      <w:b/>
      <w:bCs/>
      <w:i/>
      <w:iCs/>
      <w:color w:val="4F81BD"/>
    </w:rPr>
  </w:style>
  <w:style w:type="paragraph" w:customStyle="1" w:styleId="234">
    <w:name w:val="明显引用1"/>
    <w:basedOn w:val="1"/>
    <w:next w:val="1"/>
    <w:qFormat/>
    <w:uiPriority w:val="0"/>
    <w:pPr>
      <w:pBdr>
        <w:bottom w:val="single" w:color="4F81BD" w:sz="4" w:space="4"/>
      </w:pBdr>
      <w:spacing w:before="200" w:after="280"/>
      <w:ind w:left="936" w:right="936"/>
    </w:pPr>
    <w:rPr>
      <w:rFonts w:ascii="Calibri" w:hAnsi="Calibri" w:cs="Times New Roman"/>
      <w:b/>
      <w:bCs/>
      <w:i/>
      <w:iCs/>
      <w:color w:val="4F81BD"/>
      <w:kern w:val="2"/>
      <w:sz w:val="21"/>
      <w:szCs w:val="22"/>
    </w:rPr>
  </w:style>
  <w:style w:type="character" w:customStyle="1" w:styleId="235">
    <w:name w:val="明显引用 Char1"/>
    <w:basedOn w:val="57"/>
    <w:qFormat/>
    <w:uiPriority w:val="30"/>
    <w:rPr>
      <w:rFonts w:ascii="Times New Roman" w:hAnsi="Times New Roman" w:eastAsia="宋体" w:cs="Times New Roman"/>
      <w:i/>
      <w:iCs/>
      <w:color w:val="5B9BD5"/>
      <w:szCs w:val="24"/>
    </w:rPr>
  </w:style>
  <w:style w:type="character" w:customStyle="1" w:styleId="236">
    <w:name w:val="标题5 Char Char"/>
    <w:link w:val="237"/>
    <w:qFormat/>
    <w:uiPriority w:val="0"/>
    <w:rPr>
      <w:rFonts w:ascii="Arial" w:hAnsi="Arial"/>
      <w:b/>
      <w:bCs/>
      <w:sz w:val="24"/>
      <w:szCs w:val="32"/>
    </w:rPr>
  </w:style>
  <w:style w:type="paragraph" w:customStyle="1" w:styleId="237">
    <w:name w:val="标题5"/>
    <w:basedOn w:val="4"/>
    <w:link w:val="236"/>
    <w:qFormat/>
    <w:uiPriority w:val="0"/>
    <w:pPr>
      <w:spacing w:line="413" w:lineRule="auto"/>
      <w:jc w:val="left"/>
    </w:pPr>
    <w:rPr>
      <w:rFonts w:ascii="Arial" w:hAnsi="Arial"/>
      <w:sz w:val="24"/>
    </w:rPr>
  </w:style>
  <w:style w:type="character" w:customStyle="1" w:styleId="238">
    <w:name w:val="引用 Char"/>
    <w:link w:val="239"/>
    <w:qFormat/>
    <w:uiPriority w:val="0"/>
    <w:rPr>
      <w:i/>
      <w:iCs/>
      <w:color w:val="000000"/>
    </w:rPr>
  </w:style>
  <w:style w:type="paragraph" w:styleId="239">
    <w:name w:val="Quote"/>
    <w:basedOn w:val="1"/>
    <w:next w:val="1"/>
    <w:link w:val="238"/>
    <w:qFormat/>
    <w:uiPriority w:val="0"/>
    <w:rPr>
      <w:i/>
      <w:iCs/>
      <w:color w:val="000000"/>
    </w:rPr>
  </w:style>
  <w:style w:type="paragraph" w:customStyle="1" w:styleId="240">
    <w:name w:val="引用1"/>
    <w:basedOn w:val="1"/>
    <w:next w:val="1"/>
    <w:qFormat/>
    <w:uiPriority w:val="0"/>
    <w:rPr>
      <w:rFonts w:ascii="Calibri" w:hAnsi="Calibri" w:cs="Times New Roman"/>
      <w:i/>
      <w:iCs/>
      <w:color w:val="000000"/>
      <w:kern w:val="2"/>
      <w:sz w:val="21"/>
      <w:szCs w:val="22"/>
    </w:rPr>
  </w:style>
  <w:style w:type="character" w:customStyle="1" w:styleId="241">
    <w:name w:val="引用 Char1"/>
    <w:basedOn w:val="57"/>
    <w:qFormat/>
    <w:uiPriority w:val="29"/>
    <w:rPr>
      <w:rFonts w:ascii="Times New Roman" w:hAnsi="Times New Roman" w:eastAsia="宋体" w:cs="Times New Roman"/>
      <w:i/>
      <w:iCs/>
      <w:color w:val="404040"/>
      <w:szCs w:val="24"/>
    </w:rPr>
  </w:style>
  <w:style w:type="character" w:customStyle="1" w:styleId="242">
    <w:name w:val="ask-title2"/>
    <w:qFormat/>
    <w:uiPriority w:val="0"/>
  </w:style>
  <w:style w:type="character" w:customStyle="1" w:styleId="243">
    <w:name w:val="正文文本 Char1"/>
    <w:qFormat/>
    <w:uiPriority w:val="0"/>
    <w:rPr>
      <w:kern w:val="2"/>
      <w:sz w:val="21"/>
      <w:szCs w:val="22"/>
    </w:rPr>
  </w:style>
  <w:style w:type="character" w:customStyle="1" w:styleId="244">
    <w:name w:val="不明显强调1"/>
    <w:qFormat/>
    <w:uiPriority w:val="0"/>
    <w:rPr>
      <w:i/>
      <w:iCs/>
      <w:color w:val="808080"/>
    </w:rPr>
  </w:style>
  <w:style w:type="character" w:customStyle="1" w:styleId="245">
    <w:name w:val="明显参考1"/>
    <w:qFormat/>
    <w:uiPriority w:val="0"/>
    <w:rPr>
      <w:b/>
      <w:bCs/>
      <w:smallCaps/>
      <w:color w:val="C0504D"/>
      <w:spacing w:val="5"/>
      <w:u w:val="single"/>
    </w:rPr>
  </w:style>
  <w:style w:type="character" w:customStyle="1" w:styleId="246">
    <w:name w:val="书籍标题1"/>
    <w:qFormat/>
    <w:uiPriority w:val="0"/>
    <w:rPr>
      <w:b/>
      <w:bCs/>
      <w:smallCaps/>
      <w:spacing w:val="5"/>
    </w:rPr>
  </w:style>
  <w:style w:type="character" w:customStyle="1" w:styleId="247">
    <w:name w:val="日期 Char1"/>
    <w:qFormat/>
    <w:uiPriority w:val="0"/>
    <w:rPr>
      <w:kern w:val="2"/>
      <w:sz w:val="21"/>
      <w:szCs w:val="22"/>
    </w:rPr>
  </w:style>
  <w:style w:type="character" w:customStyle="1" w:styleId="248">
    <w:name w:val="明显强调1"/>
    <w:qFormat/>
    <w:uiPriority w:val="0"/>
    <w:rPr>
      <w:b/>
      <w:bCs/>
      <w:i/>
      <w:iCs/>
      <w:color w:val="4F81BD"/>
    </w:rPr>
  </w:style>
  <w:style w:type="character" w:customStyle="1" w:styleId="249">
    <w:name w:val="textcontents"/>
    <w:qFormat/>
    <w:uiPriority w:val="0"/>
    <w:rPr>
      <w:rFonts w:cs="Times New Roman"/>
    </w:rPr>
  </w:style>
  <w:style w:type="character" w:customStyle="1" w:styleId="250">
    <w:name w:val="不明显参考1"/>
    <w:qFormat/>
    <w:uiPriority w:val="0"/>
    <w:rPr>
      <w:smallCaps/>
      <w:color w:val="C0504D"/>
      <w:u w:val="single"/>
    </w:rPr>
  </w:style>
  <w:style w:type="character" w:customStyle="1" w:styleId="251">
    <w:name w:val="批注文字 Char Char"/>
    <w:qFormat/>
    <w:uiPriority w:val="0"/>
    <w:rPr>
      <w:rFonts w:ascii="宋体" w:hAnsi="Times New Roman" w:eastAsia="宋体" w:cs="Times New Roman"/>
      <w:sz w:val="28"/>
      <w:szCs w:val="20"/>
    </w:rPr>
  </w:style>
  <w:style w:type="character" w:customStyle="1" w:styleId="252">
    <w:name w:val="文档结构图 Char1"/>
    <w:qFormat/>
    <w:uiPriority w:val="0"/>
    <w:rPr>
      <w:rFonts w:ascii="宋体"/>
      <w:kern w:val="2"/>
      <w:sz w:val="18"/>
      <w:szCs w:val="18"/>
    </w:rPr>
  </w:style>
  <w:style w:type="paragraph" w:customStyle="1" w:styleId="253">
    <w:name w:val="修订1"/>
    <w:qFormat/>
    <w:uiPriority w:val="0"/>
    <w:rPr>
      <w:rFonts w:ascii="Times New Roman" w:hAnsi="Times New Roman" w:eastAsia="宋体" w:cs="Times New Roman"/>
      <w:kern w:val="2"/>
      <w:sz w:val="21"/>
      <w:szCs w:val="24"/>
      <w:lang w:val="en-US" w:eastAsia="zh-CN" w:bidi="ar-SA"/>
    </w:rPr>
  </w:style>
  <w:style w:type="character" w:customStyle="1" w:styleId="254">
    <w:name w:val="页脚 Char1"/>
    <w:semiHidden/>
    <w:qFormat/>
    <w:uiPriority w:val="99"/>
    <w:rPr>
      <w:kern w:val="2"/>
      <w:sz w:val="18"/>
      <w:szCs w:val="18"/>
    </w:rPr>
  </w:style>
  <w:style w:type="character" w:customStyle="1" w:styleId="255">
    <w:name w:val="批注框文本 Char2"/>
    <w:semiHidden/>
    <w:qFormat/>
    <w:uiPriority w:val="99"/>
    <w:rPr>
      <w:kern w:val="2"/>
      <w:sz w:val="18"/>
      <w:szCs w:val="18"/>
    </w:rPr>
  </w:style>
  <w:style w:type="character" w:customStyle="1" w:styleId="256">
    <w:name w:val="批注主题 Char2"/>
    <w:semiHidden/>
    <w:qFormat/>
    <w:uiPriority w:val="99"/>
    <w:rPr>
      <w:b/>
      <w:bCs/>
      <w:kern w:val="2"/>
      <w:sz w:val="21"/>
      <w:szCs w:val="22"/>
    </w:rPr>
  </w:style>
  <w:style w:type="character" w:customStyle="1" w:styleId="257">
    <w:name w:val="文档结构图 Char2"/>
    <w:semiHidden/>
    <w:qFormat/>
    <w:uiPriority w:val="99"/>
    <w:rPr>
      <w:rFonts w:ascii="宋体"/>
      <w:kern w:val="2"/>
      <w:sz w:val="18"/>
      <w:szCs w:val="18"/>
    </w:rPr>
  </w:style>
  <w:style w:type="character" w:customStyle="1" w:styleId="258">
    <w:name w:val="页眉 Char1"/>
    <w:semiHidden/>
    <w:qFormat/>
    <w:uiPriority w:val="99"/>
    <w:rPr>
      <w:kern w:val="2"/>
      <w:sz w:val="18"/>
      <w:szCs w:val="18"/>
    </w:rPr>
  </w:style>
  <w:style w:type="character" w:customStyle="1" w:styleId="259">
    <w:name w:val="日期 Char2"/>
    <w:semiHidden/>
    <w:qFormat/>
    <w:uiPriority w:val="99"/>
    <w:rPr>
      <w:kern w:val="2"/>
      <w:sz w:val="21"/>
      <w:szCs w:val="22"/>
    </w:rPr>
  </w:style>
  <w:style w:type="character" w:customStyle="1" w:styleId="260">
    <w:name w:val="正文文本 Char2"/>
    <w:semiHidden/>
    <w:qFormat/>
    <w:uiPriority w:val="99"/>
    <w:rPr>
      <w:kern w:val="2"/>
      <w:sz w:val="21"/>
      <w:szCs w:val="22"/>
    </w:rPr>
  </w:style>
  <w:style w:type="character" w:customStyle="1" w:styleId="261">
    <w:name w:val="标题 Char1"/>
    <w:qFormat/>
    <w:uiPriority w:val="10"/>
    <w:rPr>
      <w:rFonts w:ascii="Cambria" w:hAnsi="Cambria" w:cs="Times New Roman"/>
      <w:b/>
      <w:bCs/>
      <w:kern w:val="2"/>
      <w:sz w:val="32"/>
      <w:szCs w:val="32"/>
    </w:rPr>
  </w:style>
  <w:style w:type="character" w:customStyle="1" w:styleId="262">
    <w:name w:val="副标题 Char1"/>
    <w:qFormat/>
    <w:uiPriority w:val="11"/>
    <w:rPr>
      <w:rFonts w:ascii="Cambria" w:hAnsi="Cambria" w:cs="Times New Roman"/>
      <w:b/>
      <w:bCs/>
      <w:kern w:val="28"/>
      <w:sz w:val="32"/>
      <w:szCs w:val="32"/>
    </w:rPr>
  </w:style>
  <w:style w:type="paragraph" w:customStyle="1" w:styleId="263">
    <w:name w:val="空半行"/>
    <w:basedOn w:val="1"/>
    <w:qFormat/>
    <w:uiPriority w:val="0"/>
    <w:pPr>
      <w:adjustRightInd w:val="0"/>
      <w:spacing w:line="120" w:lineRule="exact"/>
      <w:textAlignment w:val="baseline"/>
    </w:pPr>
    <w:rPr>
      <w:rFonts w:ascii="Times New Roman" w:hAnsi="Times New Roman" w:eastAsia="仿宋_GB2312" w:cs="Times New Roman"/>
      <w:color w:val="FFFFFF"/>
      <w:sz w:val="30"/>
    </w:rPr>
  </w:style>
  <w:style w:type="paragraph" w:styleId="264">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5">
    <w:name w:val="flNote"/>
    <w:basedOn w:val="1"/>
    <w:qFormat/>
    <w:uiPriority w:val="0"/>
    <w:pPr>
      <w:adjustRightInd w:val="0"/>
      <w:spacing w:before="320" w:after="160" w:line="360" w:lineRule="atLeast"/>
      <w:jc w:val="center"/>
      <w:textAlignment w:val="baseline"/>
    </w:pPr>
    <w:rPr>
      <w:rFonts w:ascii="Arial" w:hAnsi="Times New Roman" w:eastAsia="黑体" w:cs="Times New Roman"/>
      <w:sz w:val="30"/>
    </w:rPr>
  </w:style>
  <w:style w:type="character" w:customStyle="1" w:styleId="266">
    <w:name w:val="正文2 Char"/>
    <w:link w:val="267"/>
    <w:qFormat/>
    <w:uiPriority w:val="0"/>
    <w:rPr>
      <w:rFonts w:ascii="楷体" w:eastAsia="楷体"/>
      <w:b/>
      <w:color w:val="0000FF"/>
    </w:rPr>
  </w:style>
  <w:style w:type="paragraph" w:customStyle="1" w:styleId="267">
    <w:name w:val="正文2"/>
    <w:link w:val="266"/>
    <w:qFormat/>
    <w:uiPriority w:val="0"/>
    <w:pPr>
      <w:widowControl w:val="0"/>
      <w:adjustRightInd w:val="0"/>
      <w:snapToGrid w:val="0"/>
      <w:spacing w:line="360" w:lineRule="auto"/>
      <w:ind w:firstLine="200" w:firstLineChars="200"/>
      <w:jc w:val="both"/>
      <w:textAlignment w:val="baseline"/>
    </w:pPr>
    <w:rPr>
      <w:rFonts w:ascii="楷体" w:hAnsi="宋体" w:eastAsia="楷体" w:cstheme="minorBidi"/>
      <w:b/>
      <w:color w:val="0000FF"/>
      <w:lang w:val="en-US" w:eastAsia="zh-CN" w:bidi="ar-SA"/>
    </w:rPr>
  </w:style>
  <w:style w:type="paragraph" w:customStyle="1" w:styleId="268">
    <w:name w:val="p0"/>
    <w:basedOn w:val="1"/>
    <w:qFormat/>
    <w:uiPriority w:val="0"/>
    <w:pPr>
      <w:widowControl/>
      <w:spacing w:before="100" w:beforeAutospacing="1" w:after="100" w:afterAutospacing="1"/>
      <w:jc w:val="left"/>
    </w:pPr>
    <w:rPr>
      <w:rFonts w:cs="宋体"/>
      <w:sz w:val="24"/>
      <w:szCs w:val="24"/>
    </w:rPr>
  </w:style>
  <w:style w:type="character" w:customStyle="1" w:styleId="269">
    <w:name w:val="正文文本 (2)_"/>
    <w:link w:val="270"/>
    <w:qFormat/>
    <w:locked/>
    <w:uiPriority w:val="99"/>
    <w:rPr>
      <w:rFonts w:ascii="MingLiU" w:eastAsia="MingLiU" w:cs="MingLiU"/>
      <w:spacing w:val="20"/>
      <w:sz w:val="22"/>
      <w:shd w:val="clear" w:color="auto" w:fill="FFFFFF"/>
    </w:rPr>
  </w:style>
  <w:style w:type="paragraph" w:customStyle="1" w:styleId="270">
    <w:name w:val="正文文本 (2)1"/>
    <w:basedOn w:val="1"/>
    <w:link w:val="269"/>
    <w:qFormat/>
    <w:uiPriority w:val="99"/>
    <w:pPr>
      <w:shd w:val="clear" w:color="auto" w:fill="FFFFFF"/>
      <w:spacing w:before="300" w:line="439" w:lineRule="exact"/>
      <w:jc w:val="distribute"/>
    </w:pPr>
    <w:rPr>
      <w:rFonts w:ascii="MingLiU" w:eastAsia="MingLiU" w:cs="MingLiU"/>
      <w:spacing w:val="20"/>
      <w:sz w:val="22"/>
    </w:rPr>
  </w:style>
  <w:style w:type="character" w:customStyle="1" w:styleId="271">
    <w:name w:val="正文文本 (2) + 间距 0 pt5"/>
    <w:qFormat/>
    <w:uiPriority w:val="99"/>
    <w:rPr>
      <w:rFonts w:ascii="MingLiU" w:eastAsia="MingLiU" w:cs="MingLiU"/>
      <w:spacing w:val="0"/>
      <w:sz w:val="22"/>
      <w:shd w:val="clear" w:color="auto" w:fill="FFFFFF"/>
    </w:rPr>
  </w:style>
  <w:style w:type="character" w:customStyle="1" w:styleId="272">
    <w:name w:val="访问过的超链接1"/>
    <w:basedOn w:val="57"/>
    <w:semiHidden/>
    <w:unhideWhenUsed/>
    <w:qFormat/>
    <w:uiPriority w:val="99"/>
    <w:rPr>
      <w:color w:val="954F72"/>
      <w:u w:val="single"/>
    </w:rPr>
  </w:style>
  <w:style w:type="character" w:customStyle="1" w:styleId="273">
    <w:name w:val="明显引用 Char2"/>
    <w:basedOn w:val="57"/>
    <w:qFormat/>
    <w:uiPriority w:val="30"/>
    <w:rPr>
      <w:b/>
      <w:bCs/>
      <w:i/>
      <w:iCs/>
      <w:color w:val="4F81BD" w:themeColor="accent1"/>
      <w14:textFill>
        <w14:solidFill>
          <w14:schemeClr w14:val="accent1"/>
        </w14:solidFill>
      </w14:textFill>
    </w:rPr>
  </w:style>
  <w:style w:type="character" w:customStyle="1" w:styleId="274">
    <w:name w:val="引用 Char2"/>
    <w:basedOn w:val="57"/>
    <w:qFormat/>
    <w:uiPriority w:val="29"/>
    <w:rPr>
      <w:i/>
      <w:iCs/>
      <w:color w:val="000000" w:themeColor="text1"/>
      <w14:textFill>
        <w14:solidFill>
          <w14:schemeClr w14:val="tx1"/>
        </w14:solidFill>
      </w14:textFill>
    </w:rPr>
  </w:style>
  <w:style w:type="table" w:customStyle="1" w:styleId="275">
    <w:name w:val="网格型4"/>
    <w:basedOn w:val="55"/>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76">
    <w:name w:val="Table Normal"/>
    <w:semiHidden/>
    <w:unhideWhenUsed/>
    <w:qFormat/>
    <w:uiPriority w:val="0"/>
    <w:tblPr>
      <w:tblCellMar>
        <w:top w:w="0" w:type="dxa"/>
        <w:left w:w="0" w:type="dxa"/>
        <w:bottom w:w="0" w:type="dxa"/>
        <w:right w:w="0" w:type="dxa"/>
      </w:tblCellMar>
    </w:tblPr>
  </w:style>
  <w:style w:type="paragraph" w:customStyle="1" w:styleId="277">
    <w:name w:val="Table Text"/>
    <w:basedOn w:val="1"/>
    <w:semiHidden/>
    <w:qFormat/>
    <w:uiPriority w:val="0"/>
    <w:rPr>
      <w:rFonts w:ascii="Arial" w:hAnsi="Arial" w:eastAsia="Arial" w:cs="Arial"/>
      <w:sz w:val="21"/>
      <w:szCs w:val="21"/>
      <w:lang w:val="en-US" w:eastAsia="en-US" w:bidi="ar-SA"/>
    </w:rPr>
  </w:style>
  <w:style w:type="paragraph" w:customStyle="1" w:styleId="278">
    <w:name w:val="段"/>
    <w:next w:val="1"/>
    <w:qFormat/>
    <w:uiPriority w:val="0"/>
    <w:pPr>
      <w:autoSpaceDE w:val="0"/>
      <w:autoSpaceDN w:val="0"/>
      <w:ind w:firstLine="420" w:firstLineChars="200"/>
      <w:jc w:val="both"/>
    </w:pPr>
    <w:rPr>
      <w:rFonts w:ascii="宋体" w:hAnsi="Times New Roman" w:eastAsia="宋体" w:cs="Times New Roman"/>
      <w:sz w:val="21"/>
      <w:szCs w:val="22"/>
      <w:lang w:val="en-US" w:eastAsia="zh-CN" w:bidi="ar-SA"/>
    </w:rPr>
  </w:style>
  <w:style w:type="character" w:customStyle="1" w:styleId="279">
    <w:name w:val="layui-this"/>
    <w:basedOn w:val="57"/>
    <w:qFormat/>
    <w:uiPriority w:val="0"/>
    <w:rPr>
      <w:bdr w:val="single" w:color="EEEEEE" w:sz="6" w:space="0"/>
      <w:shd w:val="clear" w:fill="FFFFFF"/>
    </w:rPr>
  </w:style>
  <w:style w:type="character" w:customStyle="1" w:styleId="280">
    <w:name w:val="first-child"/>
    <w:basedOn w:val="57"/>
    <w:qFormat/>
    <w:uiPriority w:val="0"/>
  </w:style>
  <w:style w:type="character" w:customStyle="1" w:styleId="281">
    <w:name w:val="time"/>
    <w:basedOn w:val="57"/>
    <w:qFormat/>
    <w:uiPriority w:val="0"/>
  </w:style>
  <w:style w:type="character" w:customStyle="1" w:styleId="282">
    <w:name w:val="status"/>
    <w:basedOn w:val="57"/>
    <w:qFormat/>
    <w:uiPriority w:val="0"/>
    <w:rPr>
      <w:color w:val="0776DD"/>
    </w:rPr>
  </w:style>
  <w:style w:type="character" w:customStyle="1" w:styleId="283">
    <w:name w:val="fontstyle31"/>
    <w:autoRedefine/>
    <w:qFormat/>
    <w:uiPriority w:val="0"/>
    <w:rPr>
      <w:rFonts w:hint="default" w:ascii="Times New Roman" w:hAnsi="Times New Roman" w:cs="Times New Roman"/>
      <w:color w:val="000000"/>
      <w:sz w:val="24"/>
      <w:szCs w:val="24"/>
    </w:rPr>
  </w:style>
  <w:style w:type="paragraph" w:customStyle="1" w:styleId="284">
    <w:name w:val=" Char Char Char Char Char Char Char Char Char Char Char Char Char"/>
    <w:basedOn w:val="1"/>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0E076E-A9C2-429F-926B-BF1D28797E37}">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61</Pages>
  <Words>4484</Words>
  <Characters>5355</Characters>
  <Lines>451</Lines>
  <Paragraphs>127</Paragraphs>
  <TotalTime>12</TotalTime>
  <ScaleCrop>false</ScaleCrop>
  <LinksUpToDate>false</LinksUpToDate>
  <CharactersWithSpaces>5512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2021-12-20T01:21:00Z</dcterms:created>
  <dc:creator>Anakin</dc:creator>
  <cp:lastModifiedBy>Pim Pom丶</cp:lastModifiedBy>
  <cp:lastPrinted>2019-12-07T15:20:00Z</cp:lastPrinted>
  <dcterms:modified xsi:type="dcterms:W3CDTF">2026-11-06T02:01:02Z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456A8E0987814F0689620C34DD97C5FE_12</vt:lpwstr>
  </property>
  <property fmtid="{D5CDD505-2E9C-101B-9397-08002B2CF9AE}" pid="4" name="KSOTemplateDocerSaveRecord">
    <vt:lpwstr>eyJoZGlkIjoiOTk1OGJkZDZlMmJiZjgxZThhZWQ4YzE0YWIxYTUyMmQiLCJ1c2VySWQiOiI0MDkyMjI1MTkifQ==</vt:lpwstr>
  </property>
</Properties>
</file>