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8313B7">
      <w:pPr>
        <w:tabs>
          <w:tab w:val="left" w:pos="315"/>
          <w:tab w:val="left" w:pos="8820"/>
        </w:tabs>
        <w:spacing w:before="312" w:beforeLines="100" w:after="156" w:afterLines="50" w:line="500" w:lineRule="exact"/>
        <w:ind w:right="267" w:rightChars="127"/>
        <w:jc w:val="center"/>
        <w:rPr>
          <w:rFonts w:ascii="宋体" w:hAnsi="宋体" w:eastAsia="宋体"/>
          <w:b/>
          <w:bCs/>
          <w:color w:val="auto"/>
          <w:sz w:val="52"/>
          <w:szCs w:val="52"/>
          <w:highlight w:val="none"/>
        </w:rPr>
      </w:pPr>
    </w:p>
    <w:p w14:paraId="29A2C363">
      <w:pPr>
        <w:tabs>
          <w:tab w:val="left" w:pos="315"/>
          <w:tab w:val="left" w:pos="8820"/>
        </w:tabs>
        <w:spacing w:before="312" w:beforeLines="100" w:after="156" w:afterLines="50" w:line="500" w:lineRule="exact"/>
        <w:ind w:right="267" w:rightChars="127"/>
        <w:jc w:val="center"/>
        <w:rPr>
          <w:rFonts w:ascii="宋体" w:hAnsi="宋体" w:eastAsia="宋体"/>
          <w:b/>
          <w:bCs/>
          <w:color w:val="auto"/>
          <w:sz w:val="52"/>
          <w:szCs w:val="52"/>
          <w:highlight w:val="none"/>
        </w:rPr>
      </w:pPr>
    </w:p>
    <w:p w14:paraId="7A3BD873">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52"/>
          <w:szCs w:val="52"/>
          <w:highlight w:val="none"/>
          <w:lang w:val="en-US" w:eastAsia="zh-CN"/>
        </w:rPr>
      </w:pPr>
      <w:bookmarkStart w:id="0" w:name="_Hlk9544796"/>
      <w:r>
        <w:rPr>
          <w:rFonts w:hint="eastAsia" w:ascii="宋体" w:hAnsi="宋体" w:eastAsia="宋体"/>
          <w:b/>
          <w:bCs/>
          <w:color w:val="auto"/>
          <w:sz w:val="52"/>
          <w:szCs w:val="52"/>
          <w:highlight w:val="none"/>
          <w:lang w:val="en-US" w:eastAsia="zh-CN"/>
        </w:rPr>
        <w:t>安徽省</w:t>
      </w:r>
      <w:r>
        <w:rPr>
          <w:rFonts w:hint="eastAsia" w:ascii="宋体" w:hAnsi="宋体" w:eastAsia="宋体"/>
          <w:b/>
          <w:bCs/>
          <w:color w:val="auto"/>
          <w:sz w:val="52"/>
          <w:szCs w:val="52"/>
          <w:highlight w:val="none"/>
        </w:rPr>
        <w:t>政府采购</w:t>
      </w:r>
      <w:r>
        <w:rPr>
          <w:rFonts w:hint="eastAsia" w:ascii="宋体" w:hAnsi="宋体" w:eastAsia="宋体"/>
          <w:b/>
          <w:bCs/>
          <w:color w:val="auto"/>
          <w:sz w:val="52"/>
          <w:szCs w:val="52"/>
          <w:highlight w:val="none"/>
          <w:lang w:eastAsia="zh-CN"/>
        </w:rPr>
        <w:t>项目</w:t>
      </w:r>
    </w:p>
    <w:p w14:paraId="33C65E79">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52"/>
          <w:szCs w:val="52"/>
          <w:highlight w:val="none"/>
          <w:lang w:eastAsia="zh-CN"/>
        </w:rPr>
      </w:pPr>
      <w:r>
        <w:rPr>
          <w:rFonts w:hint="eastAsia" w:ascii="宋体" w:hAnsi="宋体" w:eastAsia="宋体"/>
          <w:b/>
          <w:bCs/>
          <w:color w:val="auto"/>
          <w:sz w:val="52"/>
          <w:szCs w:val="52"/>
          <w:highlight w:val="none"/>
        </w:rPr>
        <w:t>公开招标文件示范文本</w:t>
      </w:r>
      <w:bookmarkEnd w:id="0"/>
      <w:r>
        <w:rPr>
          <w:rFonts w:hint="eastAsia" w:ascii="宋体" w:hAnsi="宋体" w:eastAsia="宋体"/>
          <w:b/>
          <w:bCs/>
          <w:color w:val="auto"/>
          <w:sz w:val="52"/>
          <w:szCs w:val="52"/>
          <w:highlight w:val="none"/>
          <w:lang w:eastAsia="zh-CN"/>
        </w:rPr>
        <w:t>（</w:t>
      </w:r>
      <w:r>
        <w:rPr>
          <w:rFonts w:hint="eastAsia" w:ascii="宋体" w:hAnsi="宋体" w:eastAsia="宋体"/>
          <w:b/>
          <w:bCs/>
          <w:color w:val="auto"/>
          <w:sz w:val="52"/>
          <w:szCs w:val="52"/>
          <w:highlight w:val="none"/>
          <w:lang w:val="en-US" w:eastAsia="zh-CN"/>
        </w:rPr>
        <w:t>服务类</w:t>
      </w:r>
      <w:r>
        <w:rPr>
          <w:rFonts w:hint="eastAsia" w:ascii="宋体" w:hAnsi="宋体" w:eastAsia="宋体"/>
          <w:b/>
          <w:bCs/>
          <w:color w:val="auto"/>
          <w:sz w:val="52"/>
          <w:szCs w:val="52"/>
          <w:highlight w:val="none"/>
          <w:lang w:eastAsia="zh-CN"/>
        </w:rPr>
        <w:t>）</w:t>
      </w:r>
    </w:p>
    <w:p w14:paraId="6E073B72">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52"/>
          <w:szCs w:val="52"/>
          <w:highlight w:val="none"/>
          <w:lang w:eastAsia="zh-CN"/>
        </w:rPr>
      </w:pPr>
      <w:r>
        <w:rPr>
          <w:rFonts w:hint="eastAsia" w:ascii="宋体" w:hAnsi="宋体" w:eastAsia="宋体"/>
          <w:b/>
          <w:bCs/>
          <w:color w:val="auto"/>
          <w:sz w:val="52"/>
          <w:szCs w:val="52"/>
          <w:highlight w:val="none"/>
          <w:lang w:eastAsia="zh-CN"/>
        </w:rPr>
        <w:t>（</w:t>
      </w:r>
      <w:r>
        <w:rPr>
          <w:rFonts w:hint="eastAsia" w:ascii="宋体" w:hAnsi="宋体" w:eastAsia="宋体"/>
          <w:b/>
          <w:bCs/>
          <w:color w:val="auto"/>
          <w:sz w:val="52"/>
          <w:szCs w:val="52"/>
          <w:highlight w:val="none"/>
          <w:lang w:val="en-US" w:eastAsia="zh-CN"/>
        </w:rPr>
        <w:t>2024年版</w:t>
      </w:r>
      <w:r>
        <w:rPr>
          <w:rFonts w:hint="eastAsia" w:ascii="宋体" w:hAnsi="宋体" w:eastAsia="宋体"/>
          <w:b/>
          <w:bCs/>
          <w:color w:val="auto"/>
          <w:sz w:val="52"/>
          <w:szCs w:val="52"/>
          <w:highlight w:val="none"/>
          <w:lang w:eastAsia="zh-CN"/>
        </w:rPr>
        <w:t>）</w:t>
      </w:r>
    </w:p>
    <w:p w14:paraId="5EA128B9">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4906415B">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695FA1B1">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60A1EADB">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0689800D">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6C7303FF">
      <w:pPr>
        <w:tabs>
          <w:tab w:val="left" w:pos="2410"/>
        </w:tabs>
        <w:autoSpaceDE w:val="0"/>
        <w:autoSpaceDN w:val="0"/>
        <w:adjustRightInd w:val="0"/>
        <w:snapToGrid w:val="0"/>
        <w:spacing w:line="360" w:lineRule="auto"/>
        <w:ind w:left="2244" w:leftChars="304" w:hanging="1606" w:hangingChars="500"/>
        <w:rPr>
          <w:rFonts w:hint="default" w:ascii="宋体" w:hAnsi="宋体" w:eastAsia="宋体"/>
          <w:b/>
          <w:color w:val="auto"/>
          <w:spacing w:val="0"/>
          <w:kern w:val="0"/>
          <w:sz w:val="32"/>
          <w:szCs w:val="32"/>
          <w:highlight w:val="none"/>
          <w:lang w:val="en-US" w:eastAsia="zh-CN"/>
        </w:rPr>
      </w:pPr>
      <w:r>
        <w:rPr>
          <w:rFonts w:hint="eastAsia" w:ascii="宋体" w:hAnsi="宋体" w:eastAsia="宋体"/>
          <w:b/>
          <w:color w:val="auto"/>
          <w:spacing w:val="0"/>
          <w:kern w:val="0"/>
          <w:sz w:val="32"/>
          <w:szCs w:val="32"/>
          <w:highlight w:val="none"/>
        </w:rPr>
        <w:t>项目名称：</w:t>
      </w:r>
      <w:r>
        <w:rPr>
          <w:rFonts w:hint="eastAsia" w:ascii="宋体" w:hAnsi="宋体" w:eastAsia="宋体"/>
          <w:b/>
          <w:color w:val="auto"/>
          <w:spacing w:val="0"/>
          <w:kern w:val="0"/>
          <w:sz w:val="32"/>
          <w:szCs w:val="32"/>
          <w:highlight w:val="none"/>
          <w:u w:val="single"/>
          <w:lang w:val="en-US" w:eastAsia="zh-CN"/>
        </w:rPr>
        <w:t>2025年市政基础设施中修、安保和养护工程桥梁检测项目</w:t>
      </w:r>
    </w:p>
    <w:p w14:paraId="5A980217">
      <w:pPr>
        <w:tabs>
          <w:tab w:val="left" w:pos="2410"/>
        </w:tabs>
        <w:autoSpaceDE w:val="0"/>
        <w:autoSpaceDN w:val="0"/>
        <w:adjustRightInd w:val="0"/>
        <w:snapToGrid w:val="0"/>
        <w:spacing w:line="360" w:lineRule="auto"/>
        <w:ind w:firstLine="643" w:firstLineChars="200"/>
        <w:rPr>
          <w:rFonts w:hint="default" w:ascii="宋体" w:hAnsi="宋体" w:eastAsia="宋体"/>
          <w:b/>
          <w:color w:val="auto"/>
          <w:spacing w:val="0"/>
          <w:kern w:val="0"/>
          <w:sz w:val="32"/>
          <w:szCs w:val="32"/>
          <w:highlight w:val="none"/>
          <w:lang w:val="en-US"/>
        </w:rPr>
      </w:pPr>
      <w:r>
        <w:rPr>
          <w:rFonts w:hint="eastAsia" w:ascii="宋体" w:hAnsi="宋体" w:eastAsia="宋体"/>
          <w:b/>
          <w:color w:val="auto"/>
          <w:spacing w:val="0"/>
          <w:kern w:val="0"/>
          <w:sz w:val="32"/>
          <w:szCs w:val="32"/>
          <w:highlight w:val="none"/>
        </w:rPr>
        <w:t>项目编号：</w:t>
      </w:r>
      <w:r>
        <w:rPr>
          <w:rFonts w:hint="eastAsia" w:ascii="宋体" w:hAnsi="宋体" w:eastAsia="宋体"/>
          <w:b/>
          <w:color w:val="auto"/>
          <w:spacing w:val="0"/>
          <w:kern w:val="0"/>
          <w:sz w:val="32"/>
          <w:szCs w:val="32"/>
          <w:highlight w:val="none"/>
          <w:u w:val="single"/>
          <w:lang w:val="en-US" w:eastAsia="zh-CN"/>
        </w:rPr>
        <w:t>czsjcg202508-055</w:t>
      </w:r>
    </w:p>
    <w:p w14:paraId="58E96628">
      <w:pPr>
        <w:tabs>
          <w:tab w:val="left" w:pos="2410"/>
        </w:tabs>
        <w:autoSpaceDE w:val="0"/>
        <w:autoSpaceDN w:val="0"/>
        <w:adjustRightInd w:val="0"/>
        <w:snapToGrid w:val="0"/>
        <w:spacing w:line="360" w:lineRule="auto"/>
        <w:ind w:firstLine="643" w:firstLineChars="200"/>
        <w:rPr>
          <w:rFonts w:hint="default" w:ascii="宋体" w:hAnsi="宋体" w:eastAsia="宋体"/>
          <w:b/>
          <w:color w:val="auto"/>
          <w:spacing w:val="0"/>
          <w:kern w:val="0"/>
          <w:sz w:val="32"/>
          <w:szCs w:val="32"/>
          <w:highlight w:val="none"/>
          <w:lang w:val="en-US"/>
        </w:rPr>
      </w:pPr>
      <w:r>
        <w:rPr>
          <w:rFonts w:hint="eastAsia" w:ascii="宋体" w:hAnsi="宋体" w:eastAsia="宋体"/>
          <w:b/>
          <w:color w:val="auto"/>
          <w:spacing w:val="0"/>
          <w:kern w:val="0"/>
          <w:sz w:val="32"/>
          <w:szCs w:val="32"/>
          <w:highlight w:val="none"/>
        </w:rPr>
        <w:t>采 购 人：</w:t>
      </w:r>
      <w:r>
        <w:rPr>
          <w:rFonts w:hint="eastAsia" w:ascii="宋体" w:hAnsi="宋体" w:eastAsia="宋体"/>
          <w:b/>
          <w:color w:val="auto"/>
          <w:spacing w:val="0"/>
          <w:kern w:val="0"/>
          <w:sz w:val="32"/>
          <w:szCs w:val="32"/>
          <w:highlight w:val="none"/>
          <w:u w:val="single"/>
          <w:lang w:val="en-US" w:eastAsia="zh-CN"/>
        </w:rPr>
        <w:t>滁州市市政设施管理中心</w:t>
      </w:r>
    </w:p>
    <w:p w14:paraId="3428804D">
      <w:pPr>
        <w:tabs>
          <w:tab w:val="left" w:pos="2410"/>
        </w:tabs>
        <w:autoSpaceDE w:val="0"/>
        <w:autoSpaceDN w:val="0"/>
        <w:adjustRightInd w:val="0"/>
        <w:snapToGrid w:val="0"/>
        <w:spacing w:line="360" w:lineRule="auto"/>
        <w:ind w:firstLine="643" w:firstLineChars="200"/>
        <w:rPr>
          <w:rFonts w:hint="default" w:ascii="宋体" w:hAnsi="宋体" w:eastAsia="宋体"/>
          <w:b/>
          <w:color w:val="auto"/>
          <w:spacing w:val="0"/>
          <w:kern w:val="0"/>
          <w:sz w:val="32"/>
          <w:szCs w:val="32"/>
          <w:highlight w:val="none"/>
          <w:lang w:val="en-US"/>
        </w:rPr>
      </w:pPr>
      <w:r>
        <w:rPr>
          <w:rFonts w:hint="eastAsia" w:ascii="宋体" w:hAnsi="宋体" w:eastAsia="宋体"/>
          <w:b/>
          <w:color w:val="auto"/>
          <w:spacing w:val="0"/>
          <w:kern w:val="0"/>
          <w:sz w:val="32"/>
          <w:szCs w:val="32"/>
          <w:highlight w:val="none"/>
        </w:rPr>
        <w:t>采购代理机构：</w:t>
      </w:r>
      <w:r>
        <w:rPr>
          <w:rFonts w:hint="eastAsia" w:ascii="宋体" w:hAnsi="宋体" w:eastAsia="宋体"/>
          <w:b/>
          <w:color w:val="auto"/>
          <w:spacing w:val="0"/>
          <w:kern w:val="0"/>
          <w:sz w:val="32"/>
          <w:szCs w:val="32"/>
          <w:highlight w:val="none"/>
          <w:u w:val="single"/>
          <w:lang w:val="en-US" w:eastAsia="zh-CN"/>
        </w:rPr>
        <w:t>滁州市城投工程咨询管理有限公司</w:t>
      </w:r>
    </w:p>
    <w:p w14:paraId="0CC2DDED">
      <w:pPr>
        <w:tabs>
          <w:tab w:val="left" w:pos="2410"/>
        </w:tabs>
        <w:autoSpaceDE w:val="0"/>
        <w:autoSpaceDN w:val="0"/>
        <w:adjustRightInd w:val="0"/>
        <w:snapToGrid w:val="0"/>
        <w:spacing w:line="360" w:lineRule="auto"/>
        <w:ind w:firstLine="643" w:firstLineChars="200"/>
        <w:rPr>
          <w:rFonts w:hint="eastAsia" w:ascii="宋体" w:hAnsi="宋体" w:eastAsia="宋体"/>
          <w:b/>
          <w:color w:val="auto"/>
          <w:spacing w:val="0"/>
          <w:kern w:val="0"/>
          <w:sz w:val="32"/>
          <w:szCs w:val="32"/>
          <w:highlight w:val="none"/>
        </w:rPr>
      </w:pPr>
    </w:p>
    <w:p w14:paraId="3ACBB2D2">
      <w:pPr>
        <w:tabs>
          <w:tab w:val="left" w:pos="2410"/>
        </w:tabs>
        <w:autoSpaceDE w:val="0"/>
        <w:autoSpaceDN w:val="0"/>
        <w:adjustRightInd w:val="0"/>
        <w:snapToGrid w:val="0"/>
        <w:spacing w:line="360" w:lineRule="auto"/>
        <w:jc w:val="center"/>
        <w:rPr>
          <w:rFonts w:ascii="宋体" w:hAnsi="宋体" w:eastAsia="宋体"/>
          <w:b/>
          <w:color w:val="auto"/>
          <w:sz w:val="36"/>
          <w:highlight w:val="none"/>
        </w:rPr>
      </w:pPr>
      <w:r>
        <w:rPr>
          <w:rFonts w:hint="eastAsia" w:ascii="宋体" w:hAnsi="宋体" w:eastAsia="宋体"/>
          <w:b/>
          <w:color w:val="auto"/>
          <w:sz w:val="36"/>
          <w:highlight w:val="none"/>
          <w:u w:val="single"/>
        </w:rPr>
        <w:t xml:space="preserve"> </w:t>
      </w:r>
      <w:r>
        <w:rPr>
          <w:rFonts w:hint="eastAsia" w:ascii="宋体" w:hAnsi="宋体" w:eastAsia="宋体"/>
          <w:b/>
          <w:color w:val="auto"/>
          <w:sz w:val="36"/>
          <w:highlight w:val="none"/>
          <w:u w:val="single"/>
          <w:lang w:val="en-US" w:eastAsia="zh-CN"/>
        </w:rPr>
        <w:t>2025</w:t>
      </w:r>
      <w:r>
        <w:rPr>
          <w:rFonts w:hint="eastAsia" w:ascii="宋体" w:hAnsi="宋体" w:eastAsia="宋体"/>
          <w:b/>
          <w:color w:val="auto"/>
          <w:sz w:val="36"/>
          <w:highlight w:val="none"/>
          <w:u w:val="single"/>
        </w:rPr>
        <w:t xml:space="preserve"> </w:t>
      </w:r>
      <w:r>
        <w:rPr>
          <w:rFonts w:hint="eastAsia" w:ascii="宋体" w:hAnsi="宋体" w:eastAsia="宋体"/>
          <w:b/>
          <w:color w:val="auto"/>
          <w:sz w:val="36"/>
          <w:highlight w:val="none"/>
        </w:rPr>
        <w:t>年</w:t>
      </w:r>
      <w:r>
        <w:rPr>
          <w:rFonts w:hint="eastAsia" w:ascii="宋体" w:hAnsi="宋体" w:eastAsia="宋体"/>
          <w:b/>
          <w:color w:val="auto"/>
          <w:sz w:val="36"/>
          <w:highlight w:val="none"/>
          <w:u w:val="single"/>
        </w:rPr>
        <w:t xml:space="preserve"> </w:t>
      </w:r>
      <w:r>
        <w:rPr>
          <w:rFonts w:hint="eastAsia" w:ascii="宋体" w:hAnsi="宋体" w:eastAsia="宋体"/>
          <w:b/>
          <w:color w:val="auto"/>
          <w:sz w:val="36"/>
          <w:highlight w:val="none"/>
          <w:u w:val="single"/>
          <w:lang w:val="en-US" w:eastAsia="zh-CN"/>
        </w:rPr>
        <w:t xml:space="preserve">8 </w:t>
      </w:r>
      <w:r>
        <w:rPr>
          <w:rFonts w:hint="eastAsia" w:ascii="宋体" w:hAnsi="宋体" w:eastAsia="宋体"/>
          <w:b/>
          <w:color w:val="auto"/>
          <w:sz w:val="36"/>
          <w:highlight w:val="none"/>
        </w:rPr>
        <w:t>月</w:t>
      </w:r>
      <w:r>
        <w:rPr>
          <w:rFonts w:ascii="宋体" w:hAnsi="宋体" w:eastAsia="宋体"/>
          <w:b/>
          <w:color w:val="auto"/>
          <w:sz w:val="36"/>
          <w:highlight w:val="none"/>
        </w:rPr>
        <w:br w:type="page"/>
      </w:r>
    </w:p>
    <w:p w14:paraId="7B3C2829">
      <w:pPr>
        <w:tabs>
          <w:tab w:val="left" w:pos="2410"/>
        </w:tabs>
        <w:autoSpaceDE w:val="0"/>
        <w:autoSpaceDN w:val="0"/>
        <w:adjustRightInd w:val="0"/>
        <w:snapToGrid w:val="0"/>
        <w:spacing w:line="360" w:lineRule="auto"/>
        <w:jc w:val="center"/>
        <w:rPr>
          <w:rFonts w:ascii="宋体" w:hAnsi="宋体" w:eastAsia="宋体"/>
          <w:b/>
          <w:color w:val="auto"/>
          <w:sz w:val="28"/>
          <w:highlight w:val="none"/>
        </w:rPr>
      </w:pPr>
      <w:r>
        <w:rPr>
          <w:rFonts w:hint="eastAsia" w:ascii="宋体" w:hAnsi="宋体" w:eastAsia="宋体"/>
          <w:b/>
          <w:color w:val="auto"/>
          <w:sz w:val="28"/>
          <w:highlight w:val="none"/>
        </w:rPr>
        <w:t>目  录</w:t>
      </w:r>
    </w:p>
    <w:p w14:paraId="4BB17896">
      <w:pPr>
        <w:pStyle w:val="16"/>
        <w:tabs>
          <w:tab w:val="right" w:leader="dot" w:pos="8306"/>
        </w:tabs>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fldChar w:fldCharType="begin"/>
      </w:r>
      <w:r>
        <w:rPr>
          <w:rFonts w:hint="eastAsia" w:ascii="宋体" w:hAnsi="宋体" w:eastAsia="宋体" w:cs="宋体"/>
          <w:b/>
          <w:color w:val="auto"/>
          <w:sz w:val="24"/>
          <w:szCs w:val="24"/>
          <w:highlight w:val="none"/>
        </w:rPr>
        <w:instrText xml:space="preserve"> TOC \o "1-2" \h \z \u </w:instrText>
      </w:r>
      <w:r>
        <w:rPr>
          <w:rFonts w:hint="eastAsia" w:ascii="宋体" w:hAnsi="宋体" w:eastAsia="宋体" w:cs="宋体"/>
          <w:b/>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_Toc32331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第一章  投标邀请</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_Toc32331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626E201">
      <w:pPr>
        <w:pStyle w:val="16"/>
        <w:tabs>
          <w:tab w:val="right" w:leader="dot" w:pos="8306"/>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_Toc8888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第二章  投标人须知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_Toc8888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42BCD65">
      <w:pPr>
        <w:pStyle w:val="16"/>
        <w:tabs>
          <w:tab w:val="right" w:leader="dot" w:pos="8306"/>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_Toc22605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eastAsia="zh-CN"/>
        </w:rPr>
        <w:t xml:space="preserve">第三章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采购需求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_Toc22605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AA27E5C">
      <w:pPr>
        <w:pStyle w:val="16"/>
        <w:tabs>
          <w:tab w:val="right" w:leader="dot" w:pos="8306"/>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_Toc30824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第四章  评标方法和标准（综合评分法）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_Toc30824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CEA6CFD">
      <w:pPr>
        <w:pStyle w:val="16"/>
        <w:tabs>
          <w:tab w:val="right" w:leader="dot" w:pos="8306"/>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_Toc20405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第五章  政府采购合同</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_Toc20405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F35B883">
      <w:pPr>
        <w:pStyle w:val="16"/>
        <w:tabs>
          <w:tab w:val="right" w:leader="dot" w:pos="8306"/>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_Toc13555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第六章  投标文件格式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_Toc13555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6317B1C">
      <w:pPr>
        <w:pStyle w:val="16"/>
        <w:tabs>
          <w:tab w:val="right" w:leader="dot" w:pos="8306"/>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_Toc20819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w:t>
      </w:r>
      <w:r>
        <w:rPr>
          <w:rFonts w:hint="eastAsia" w:ascii="宋体" w:hAnsi="宋体" w:eastAsia="宋体" w:cs="宋体"/>
          <w:color w:val="auto"/>
          <w:sz w:val="24"/>
          <w:szCs w:val="24"/>
          <w:highlight w:val="none"/>
          <w:lang w:val="en-US" w:eastAsia="zh-CN"/>
        </w:rPr>
        <w:t>七</w:t>
      </w:r>
      <w:r>
        <w:rPr>
          <w:rFonts w:hint="eastAsia" w:ascii="宋体" w:hAnsi="宋体" w:eastAsia="宋体" w:cs="宋体"/>
          <w:color w:val="auto"/>
          <w:sz w:val="24"/>
          <w:szCs w:val="24"/>
          <w:highlight w:val="none"/>
        </w:rPr>
        <w:t>章</w:t>
      </w:r>
      <w:r>
        <w:rPr>
          <w:rFonts w:hint="eastAsia" w:ascii="宋体" w:hAnsi="宋体" w:eastAsia="宋体" w:cs="宋体"/>
          <w:bCs/>
          <w:color w:val="auto"/>
          <w:sz w:val="24"/>
          <w:szCs w:val="24"/>
          <w:highlight w:val="none"/>
        </w:rPr>
        <w:t xml:space="preserve">  政府采购</w:t>
      </w:r>
      <w:r>
        <w:rPr>
          <w:rFonts w:hint="eastAsia" w:ascii="宋体" w:hAnsi="宋体" w:eastAsia="宋体" w:cs="宋体"/>
          <w:color w:val="auto"/>
          <w:sz w:val="24"/>
          <w:szCs w:val="24"/>
          <w:highlight w:val="none"/>
        </w:rPr>
        <w:t>供应</w:t>
      </w:r>
      <w:r>
        <w:rPr>
          <w:rFonts w:hint="eastAsia" w:ascii="宋体" w:hAnsi="宋体" w:eastAsia="宋体" w:cs="宋体"/>
          <w:bCs/>
          <w:color w:val="auto"/>
          <w:sz w:val="24"/>
          <w:szCs w:val="24"/>
          <w:highlight w:val="none"/>
        </w:rPr>
        <w:t>商询问函和质疑函范本</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_Toc20819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103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2CAED9F">
      <w:pPr>
        <w:spacing w:line="360" w:lineRule="auto"/>
        <w:rPr>
          <w:rFonts w:asciiTheme="minorEastAsia" w:hAnsiTheme="minorEastAsia" w:eastAsiaTheme="minorEastAsia"/>
          <w:b/>
          <w:color w:val="auto"/>
          <w:sz w:val="32"/>
          <w:highlight w:val="none"/>
        </w:rPr>
      </w:pPr>
      <w:r>
        <w:rPr>
          <w:rFonts w:hint="eastAsia" w:ascii="宋体" w:hAnsi="宋体" w:eastAsia="宋体" w:cs="宋体"/>
          <w:color w:val="auto"/>
          <w:sz w:val="24"/>
          <w:szCs w:val="24"/>
          <w:highlight w:val="none"/>
        </w:rPr>
        <w:fldChar w:fldCharType="end"/>
      </w:r>
    </w:p>
    <w:p w14:paraId="798E8BD7">
      <w:pPr>
        <w:spacing w:line="360" w:lineRule="auto"/>
        <w:rPr>
          <w:rFonts w:asciiTheme="minorEastAsia" w:hAnsiTheme="minorEastAsia" w:eastAsiaTheme="minorEastAsia"/>
          <w:b/>
          <w:color w:val="auto"/>
          <w:sz w:val="32"/>
          <w:highlight w:val="none"/>
        </w:rPr>
      </w:pPr>
    </w:p>
    <w:p w14:paraId="171E0F57">
      <w:pPr>
        <w:spacing w:line="360" w:lineRule="auto"/>
        <w:jc w:val="center"/>
        <w:outlineLvl w:val="1"/>
        <w:rPr>
          <w:rFonts w:asciiTheme="minorEastAsia" w:hAnsiTheme="minorEastAsia" w:eastAsiaTheme="minorEastAsia"/>
          <w:b/>
          <w:color w:val="auto"/>
          <w:sz w:val="28"/>
          <w:highlight w:val="none"/>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14:paraId="67E88731">
      <w:pPr>
        <w:spacing w:line="360" w:lineRule="auto"/>
        <w:jc w:val="center"/>
        <w:outlineLvl w:val="0"/>
        <w:rPr>
          <w:rFonts w:asciiTheme="minorEastAsia" w:hAnsiTheme="minorEastAsia" w:eastAsiaTheme="minorEastAsia"/>
          <w:b/>
          <w:color w:val="auto"/>
          <w:sz w:val="28"/>
          <w:highlight w:val="none"/>
        </w:rPr>
      </w:pPr>
      <w:bookmarkStart w:id="1" w:name="_Toc32331"/>
      <w:r>
        <w:rPr>
          <w:rFonts w:hint="eastAsia" w:asciiTheme="minorEastAsia" w:hAnsiTheme="minorEastAsia" w:eastAsiaTheme="minorEastAsia"/>
          <w:b/>
          <w:color w:val="auto"/>
          <w:sz w:val="28"/>
          <w:highlight w:val="none"/>
        </w:rPr>
        <w:t xml:space="preserve">第一章 </w:t>
      </w:r>
      <w:r>
        <w:rPr>
          <w:rFonts w:asciiTheme="minorEastAsia" w:hAnsiTheme="minorEastAsia" w:eastAsiaTheme="minorEastAsia"/>
          <w:b/>
          <w:color w:val="auto"/>
          <w:sz w:val="28"/>
          <w:highlight w:val="none"/>
        </w:rPr>
        <w:t xml:space="preserve"> 投标邀请</w:t>
      </w:r>
      <w:bookmarkEnd w:id="1"/>
    </w:p>
    <w:p w14:paraId="77110E7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bookmarkStart w:id="2" w:name="_Toc1215"/>
      <w:r>
        <w:rPr>
          <w:rFonts w:hint="eastAsia" w:ascii="宋体" w:hAnsi="宋体" w:eastAsia="宋体"/>
          <w:color w:val="auto"/>
          <w:sz w:val="24"/>
          <w:szCs w:val="18"/>
          <w:highlight w:val="none"/>
          <w:lang w:val="en-US" w:eastAsia="zh-CN"/>
        </w:rPr>
        <w:t>项目概况</w:t>
      </w:r>
    </w:p>
    <w:p w14:paraId="546F568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u w:val="single"/>
          <w:lang w:val="en-US" w:eastAsia="zh-CN"/>
        </w:rPr>
        <w:t>2025年市政基础设施中修、安保和养护工程桥梁检测项目</w:t>
      </w:r>
      <w:r>
        <w:rPr>
          <w:rFonts w:hint="eastAsia" w:ascii="宋体" w:hAnsi="宋体" w:eastAsia="宋体"/>
          <w:color w:val="auto"/>
          <w:sz w:val="24"/>
          <w:szCs w:val="18"/>
          <w:highlight w:val="none"/>
          <w:lang w:val="en-US" w:eastAsia="zh-CN"/>
        </w:rPr>
        <w:t>的潜在投标人应在</w:t>
      </w:r>
      <w:r>
        <w:rPr>
          <w:rFonts w:hint="eastAsia" w:ascii="宋体" w:hAnsi="宋体" w:eastAsia="宋体"/>
          <w:color w:val="auto"/>
          <w:sz w:val="24"/>
          <w:szCs w:val="18"/>
          <w:highlight w:val="none"/>
          <w:u w:val="single"/>
          <w:lang w:val="en-US" w:eastAsia="zh-CN"/>
        </w:rPr>
        <w:t>滁州市公共资源交易中心网（http：//ggzy.chuzhou.gov.cn/）</w:t>
      </w:r>
      <w:r>
        <w:rPr>
          <w:rFonts w:hint="eastAsia" w:ascii="宋体" w:hAnsi="宋体" w:eastAsia="宋体"/>
          <w:color w:val="auto"/>
          <w:sz w:val="24"/>
          <w:szCs w:val="18"/>
          <w:highlight w:val="none"/>
          <w:lang w:val="en-US" w:eastAsia="zh-CN"/>
        </w:rPr>
        <w:t>获取招标文件，并于</w:t>
      </w:r>
      <w:r>
        <w:rPr>
          <w:rFonts w:hint="eastAsia" w:ascii="宋体" w:hAnsi="宋体" w:eastAsia="宋体"/>
          <w:color w:val="auto"/>
          <w:sz w:val="24"/>
          <w:szCs w:val="18"/>
          <w:highlight w:val="none"/>
          <w:u w:val="single"/>
          <w:lang w:val="en-US" w:eastAsia="zh-CN"/>
        </w:rPr>
        <w:t>2025年9月16日8点00分</w:t>
      </w:r>
      <w:r>
        <w:rPr>
          <w:rFonts w:hint="eastAsia" w:ascii="宋体" w:hAnsi="宋体" w:eastAsia="宋体"/>
          <w:color w:val="auto"/>
          <w:sz w:val="24"/>
          <w:szCs w:val="18"/>
          <w:highlight w:val="none"/>
          <w:lang w:val="en-US" w:eastAsia="zh-CN"/>
        </w:rPr>
        <w:t>（北京时间）前递交投标文件。</w:t>
      </w:r>
    </w:p>
    <w:p w14:paraId="1755728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宋体" w:hAnsi="宋体" w:eastAsia="宋体"/>
          <w:b/>
          <w:bCs/>
          <w:color w:val="auto"/>
          <w:sz w:val="24"/>
          <w:szCs w:val="18"/>
          <w:highlight w:val="none"/>
          <w:lang w:val="en-US" w:eastAsia="zh-CN"/>
        </w:rPr>
      </w:pPr>
      <w:r>
        <w:rPr>
          <w:rFonts w:hint="eastAsia" w:ascii="宋体" w:hAnsi="宋体" w:eastAsia="宋体"/>
          <w:b/>
          <w:bCs/>
          <w:color w:val="auto"/>
          <w:sz w:val="24"/>
          <w:szCs w:val="18"/>
          <w:highlight w:val="none"/>
          <w:lang w:val="en-US" w:eastAsia="zh-CN"/>
        </w:rPr>
        <w:t>一、项目基本情况</w:t>
      </w:r>
    </w:p>
    <w:p w14:paraId="054B4F3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项目编号：czsjcg202508-055</w:t>
      </w:r>
    </w:p>
    <w:p w14:paraId="2A38677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项目名称：2025年市政基础设施中修、安保和养护工程桥梁检测项目</w:t>
      </w:r>
    </w:p>
    <w:p w14:paraId="11ED70D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default"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预算金额：400000.00元</w:t>
      </w:r>
    </w:p>
    <w:p w14:paraId="78D3FDDB">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最高限价：400000.00元，投标人投标报价不得高于最高限价，否则，其投标文件按无效标处理。</w:t>
      </w:r>
    </w:p>
    <w:p w14:paraId="6C25D00E">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采购需求：主要内容为滁州市市管桥梁的常规定期检测和结构定期检测。</w:t>
      </w:r>
    </w:p>
    <w:p w14:paraId="066292D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合同履行期限：一年（包含检测报告完成并通过专家评审），具体以合同签订日期为准。</w:t>
      </w:r>
    </w:p>
    <w:p w14:paraId="2BA09F6B">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本项目不接受联合体投标。</w:t>
      </w:r>
    </w:p>
    <w:p w14:paraId="0A0F013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宋体" w:hAnsi="宋体" w:eastAsia="宋体"/>
          <w:b/>
          <w:bCs/>
          <w:color w:val="auto"/>
          <w:sz w:val="24"/>
          <w:szCs w:val="18"/>
          <w:highlight w:val="none"/>
          <w:lang w:val="en-US" w:eastAsia="zh-CN"/>
        </w:rPr>
      </w:pPr>
      <w:r>
        <w:rPr>
          <w:rFonts w:hint="eastAsia" w:ascii="宋体" w:hAnsi="宋体" w:eastAsia="宋体"/>
          <w:b/>
          <w:bCs/>
          <w:color w:val="auto"/>
          <w:sz w:val="24"/>
          <w:szCs w:val="18"/>
          <w:highlight w:val="none"/>
          <w:lang w:val="en-US" w:eastAsia="zh-CN"/>
        </w:rPr>
        <w:t>二、申请人的资格要求</w:t>
      </w:r>
    </w:p>
    <w:p w14:paraId="01EED53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1.满足《中华人民共和国政府采购法》第二十二条规定；</w:t>
      </w:r>
    </w:p>
    <w:p w14:paraId="66DA104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2.落实政府采购政策需满足的资格要求：</w:t>
      </w:r>
      <w:r>
        <w:rPr>
          <w:rFonts w:hint="eastAsia" w:ascii="宋体" w:hAnsi="宋体" w:eastAsia="宋体"/>
          <w:color w:val="auto"/>
          <w:sz w:val="24"/>
          <w:szCs w:val="18"/>
          <w:highlight w:val="none"/>
          <w:u w:val="single"/>
          <w:lang w:val="en-US" w:eastAsia="zh-CN"/>
        </w:rPr>
        <w:t>按照财政部、工业和信息化部制定的《政府采购促进中小企业发展管理办法》第六条第三款（按照本办法规定预留采购份额无法确保充分供应、充分竞争，或者存在可能影响政府采购目标实现的情形）之规定，本项目为非专门面向中小企业采购项目。若中小企业对此有质疑，可按以下渠道递交质疑：①以书面材料递交至采购人或采购代理机构处；②在滁州市公共资源交易中心网电子交易系统中进行质疑，具体操作步骤和程序请参见服务指南&gt;交易须知&gt;在线异议、质疑和投诉操作手册。</w:t>
      </w:r>
    </w:p>
    <w:p w14:paraId="32CDCE35">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3.本项目的特定资格要求：（1）投标人须具有下列资质之一：</w:t>
      </w:r>
    </w:p>
    <w:p w14:paraId="6CB6800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①建设工程质量检测机构综合资质证书或建设工程质量检测机构专项资质证书(专项资质须包括：桥梁与地下工程)；</w:t>
      </w:r>
    </w:p>
    <w:p w14:paraId="716B62C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②公路工程试验检测综合甲级资质或公路工程试验检测桥梁隧道工程专项资质。</w:t>
      </w:r>
    </w:p>
    <w:p w14:paraId="626DD1E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（2）拟派的项目负责人须具有桥梁试验检测工程师证书。</w:t>
      </w:r>
    </w:p>
    <w:p w14:paraId="4EB7CB2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4.信誉要求：投标人不得存在以下情形：</w:t>
      </w:r>
    </w:p>
    <w:p w14:paraId="4C43AA35">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①被列入“信用中国”网站“失信被执行人”的；</w:t>
      </w:r>
    </w:p>
    <w:p w14:paraId="1AEC88F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②被列入“信用中国”网站“重大税收违法失信主体”的；</w:t>
      </w:r>
    </w:p>
    <w:p w14:paraId="2CA8B24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③被列入“信用中国”网站 “严重失信主体名单”的；</w:t>
      </w:r>
    </w:p>
    <w:p w14:paraId="0F6331F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④在</w:t>
      </w:r>
      <w:bookmarkStart w:id="3" w:name="OLE_LINK127"/>
      <w:bookmarkStart w:id="4" w:name="OLE_LINK129"/>
      <w:bookmarkStart w:id="5" w:name="OLE_LINK128"/>
      <w:r>
        <w:rPr>
          <w:rFonts w:hint="eastAsia" w:ascii="宋体" w:hAnsi="宋体" w:eastAsia="宋体"/>
          <w:color w:val="auto"/>
          <w:sz w:val="24"/>
          <w:szCs w:val="18"/>
          <w:highlight w:val="none"/>
          <w:lang w:val="en-US" w:eastAsia="zh-CN"/>
        </w:rPr>
        <w:t>“信用中国”网站</w:t>
      </w:r>
      <w:bookmarkEnd w:id="3"/>
      <w:bookmarkEnd w:id="4"/>
      <w:bookmarkEnd w:id="5"/>
      <w:r>
        <w:rPr>
          <w:rFonts w:hint="eastAsia" w:ascii="宋体" w:hAnsi="宋体" w:eastAsia="宋体"/>
          <w:color w:val="auto"/>
          <w:sz w:val="24"/>
          <w:szCs w:val="18"/>
          <w:highlight w:val="none"/>
          <w:lang w:val="en-US" w:eastAsia="zh-CN"/>
        </w:rPr>
        <w:t>上披露的仍在公示期的严重失信行为(具体行为类别及判定依据见“信用中国”查询的严重失信行为类别及判定依据)的。</w:t>
      </w:r>
    </w:p>
    <w:p w14:paraId="402AE8E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⑤被列入国家企业信用信息公示系统网站“经营异常名录”或者“严重违法失信名单”的。</w:t>
      </w:r>
    </w:p>
    <w:p w14:paraId="266DBCB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bookmarkStart w:id="6" w:name="OLE_LINK114"/>
      <w:bookmarkStart w:id="7" w:name="OLE_LINK113"/>
      <w:r>
        <w:rPr>
          <w:rFonts w:hint="eastAsia" w:ascii="宋体" w:hAnsi="宋体" w:eastAsia="宋体"/>
          <w:color w:val="auto"/>
          <w:sz w:val="24"/>
          <w:szCs w:val="18"/>
          <w:highlight w:val="none"/>
          <w:lang w:val="en-US" w:eastAsia="zh-CN"/>
        </w:rPr>
        <w:t>⑥</w:t>
      </w:r>
      <w:bookmarkEnd w:id="6"/>
      <w:bookmarkEnd w:id="7"/>
      <w:r>
        <w:rPr>
          <w:rFonts w:hint="eastAsia" w:ascii="宋体" w:hAnsi="宋体" w:eastAsia="宋体"/>
          <w:color w:val="auto"/>
          <w:sz w:val="24"/>
          <w:szCs w:val="18"/>
          <w:highlight w:val="none"/>
          <w:lang w:val="en-US" w:eastAsia="zh-CN"/>
        </w:rPr>
        <w:t>被列入中国政府采购网站“政府采购严重违法失信行为信息记录”的。</w:t>
      </w:r>
    </w:p>
    <w:p w14:paraId="00F90A0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⑦前三年有行贿犯罪行为的单位和个人。</w:t>
      </w:r>
    </w:p>
    <w:p w14:paraId="5204B02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5.投标人所属分公司、办事处等分支机构存在第4款信誉要求①-⑦项情形之一的，接受投标人参加本项目。</w:t>
      </w:r>
    </w:p>
    <w:p w14:paraId="45AD772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备注：第4、5条按照“关于联合惩戒失信行为加强信用查询管理的通知”查询或承诺。</w:t>
      </w:r>
    </w:p>
    <w:p w14:paraId="2A28A55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宋体" w:hAnsi="宋体" w:eastAsia="宋体"/>
          <w:b/>
          <w:bCs/>
          <w:color w:val="auto"/>
          <w:sz w:val="24"/>
          <w:szCs w:val="18"/>
          <w:highlight w:val="none"/>
          <w:lang w:val="en-US" w:eastAsia="zh-CN"/>
        </w:rPr>
      </w:pPr>
      <w:r>
        <w:rPr>
          <w:rFonts w:hint="eastAsia" w:ascii="宋体" w:hAnsi="宋体" w:eastAsia="宋体"/>
          <w:b/>
          <w:bCs/>
          <w:color w:val="auto"/>
          <w:sz w:val="24"/>
          <w:szCs w:val="18"/>
          <w:highlight w:val="none"/>
          <w:lang w:val="en-US" w:eastAsia="zh-CN"/>
        </w:rPr>
        <w:t>三、获取招标文件</w:t>
      </w:r>
    </w:p>
    <w:p w14:paraId="10BC6F1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时间：</w:t>
      </w:r>
      <w:r>
        <w:rPr>
          <w:rFonts w:hint="eastAsia" w:ascii="宋体" w:hAnsi="宋体" w:eastAsia="宋体"/>
          <w:color w:val="auto"/>
          <w:sz w:val="24"/>
          <w:szCs w:val="18"/>
          <w:highlight w:val="none"/>
          <w:u w:val="single"/>
          <w:lang w:val="en-US" w:eastAsia="zh-CN"/>
        </w:rPr>
        <w:t>2025年8月26日</w:t>
      </w:r>
      <w:r>
        <w:rPr>
          <w:rFonts w:hint="eastAsia" w:ascii="宋体" w:hAnsi="宋体" w:eastAsia="宋体"/>
          <w:color w:val="auto"/>
          <w:sz w:val="24"/>
          <w:szCs w:val="18"/>
          <w:highlight w:val="none"/>
          <w:lang w:val="en-US" w:eastAsia="zh-CN"/>
        </w:rPr>
        <w:t>至</w:t>
      </w:r>
      <w:r>
        <w:rPr>
          <w:rFonts w:hint="eastAsia" w:ascii="宋体" w:hAnsi="宋体" w:eastAsia="宋体"/>
          <w:color w:val="auto"/>
          <w:sz w:val="24"/>
          <w:szCs w:val="18"/>
          <w:highlight w:val="none"/>
          <w:u w:val="single"/>
          <w:lang w:val="en-US" w:eastAsia="zh-CN"/>
        </w:rPr>
        <w:t>2025年9月16日</w:t>
      </w:r>
      <w:r>
        <w:rPr>
          <w:rFonts w:hint="eastAsia" w:ascii="宋体" w:hAnsi="宋体" w:eastAsia="宋体"/>
          <w:color w:val="auto"/>
          <w:sz w:val="24"/>
          <w:szCs w:val="18"/>
          <w:highlight w:val="none"/>
          <w:lang w:val="en-US" w:eastAsia="zh-CN"/>
        </w:rPr>
        <w:t>（提供期限自本公告发布之日起不得少于5个工作日）</w:t>
      </w:r>
    </w:p>
    <w:p w14:paraId="7546DDC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地点：滁州市公共资源交易中心网</w:t>
      </w:r>
    </w:p>
    <w:p w14:paraId="1E34036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方式：网上下载</w:t>
      </w:r>
    </w:p>
    <w:p w14:paraId="55D9C89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售价：0元</w:t>
      </w:r>
    </w:p>
    <w:p w14:paraId="534E1A2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宋体" w:hAnsi="宋体" w:eastAsia="宋体"/>
          <w:b/>
          <w:bCs/>
          <w:color w:val="auto"/>
          <w:sz w:val="24"/>
          <w:szCs w:val="18"/>
          <w:highlight w:val="none"/>
          <w:lang w:val="en-US" w:eastAsia="zh-CN"/>
        </w:rPr>
      </w:pPr>
      <w:r>
        <w:rPr>
          <w:rFonts w:hint="eastAsia" w:ascii="宋体" w:hAnsi="宋体" w:eastAsia="宋体"/>
          <w:b/>
          <w:bCs/>
          <w:color w:val="auto"/>
          <w:sz w:val="24"/>
          <w:szCs w:val="18"/>
          <w:highlight w:val="none"/>
          <w:lang w:val="en-US" w:eastAsia="zh-CN"/>
        </w:rPr>
        <w:t>四、提交投标文件截止时间、开标时间和地点</w:t>
      </w:r>
    </w:p>
    <w:p w14:paraId="7AB6B51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u w:val="single"/>
          <w:lang w:val="en-US" w:eastAsia="zh-CN"/>
        </w:rPr>
        <w:t>2025年9月16日8点00分</w:t>
      </w:r>
      <w:r>
        <w:rPr>
          <w:rFonts w:hint="eastAsia" w:ascii="宋体" w:hAnsi="宋体" w:eastAsia="宋体"/>
          <w:color w:val="auto"/>
          <w:sz w:val="24"/>
          <w:szCs w:val="18"/>
          <w:highlight w:val="none"/>
          <w:lang w:val="en-US" w:eastAsia="zh-CN"/>
        </w:rPr>
        <w:t>（北京时间）（自招标文件开始发出之日起至投标人提交投标文件截止之日止，不得少于20日）</w:t>
      </w:r>
    </w:p>
    <w:p w14:paraId="257AB60B">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地点：滁州市公共资源交易平台电子交易系统</w:t>
      </w:r>
    </w:p>
    <w:p w14:paraId="4687E87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宋体" w:hAnsi="宋体" w:eastAsia="宋体"/>
          <w:b/>
          <w:bCs/>
          <w:color w:val="auto"/>
          <w:sz w:val="24"/>
          <w:szCs w:val="18"/>
          <w:highlight w:val="none"/>
          <w:lang w:val="en-US" w:eastAsia="zh-CN"/>
        </w:rPr>
      </w:pPr>
      <w:r>
        <w:rPr>
          <w:rFonts w:hint="eastAsia" w:ascii="宋体" w:hAnsi="宋体" w:eastAsia="宋体"/>
          <w:b/>
          <w:bCs/>
          <w:color w:val="auto"/>
          <w:sz w:val="24"/>
          <w:szCs w:val="18"/>
          <w:highlight w:val="none"/>
          <w:lang w:val="en-US" w:eastAsia="zh-CN"/>
        </w:rPr>
        <w:t>五、公告期限</w:t>
      </w:r>
    </w:p>
    <w:p w14:paraId="65A3D60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自本公告发布之日起5个工作日。</w:t>
      </w:r>
    </w:p>
    <w:p w14:paraId="16E7CEF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宋体" w:hAnsi="宋体" w:eastAsia="宋体"/>
          <w:b/>
          <w:bCs/>
          <w:color w:val="auto"/>
          <w:sz w:val="24"/>
          <w:szCs w:val="18"/>
          <w:highlight w:val="none"/>
        </w:rPr>
      </w:pPr>
      <w:r>
        <w:rPr>
          <w:rFonts w:hint="eastAsia" w:ascii="宋体" w:hAnsi="宋体" w:eastAsia="宋体"/>
          <w:b/>
          <w:bCs/>
          <w:color w:val="auto"/>
          <w:sz w:val="24"/>
          <w:szCs w:val="18"/>
          <w:highlight w:val="none"/>
          <w:lang w:val="en-US" w:eastAsia="zh-CN"/>
        </w:rPr>
        <w:t>六、其他补充事宜</w:t>
      </w:r>
    </w:p>
    <w:p w14:paraId="27A83F1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1.本项目只接受在安徽省公共资源交易市场主体库（http://ggzy.ah.gov.cn/ahggfwpt-zhutiku/dengludenglu）登记并进行信息确认提交的投标人投标，未登记的投标人请及时办理CA数字证书并登录安徽省公共资源交易市场主体库进行信息填写及确认提交；已办理过CA数字证书视为已在省库登记，进行信息更新及确认提交即可。办理流程为登录滁州市公共资源交易中心网&gt;服务指南&gt;办事指南中的“CA数字证书和电子签章”及“市场主体登记”。相关服务电话：1.安徽省公共资源交易市场主体库使用相关问题（系统登录、信息登记、录入及提交、数字证书关联等）：010-86483801转5-2 ；2. CA数字证书有关问题：安徽CA客服400-880-4959、0550-3019013（工作日），CFCA客服025-66085508 、0550-3801669（工作日）；3.市场主体招标环节和投标环节系统使用问题：0512-58188516（8：00-21：00）、0550-3801701（工作日）。因未及时通过CA数字证书登录省主体库对相关信息进行补充完善并确认提交，导致无法投标的，责任自负。为保证系统使用过程中产生的问题能够及时得到解决，请各主体在工作时间进行主体信息登记、更新、投标文件制作等相关操作。</w:t>
      </w:r>
    </w:p>
    <w:p w14:paraId="442644F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2.请投标人登录滁州市公共资源交易中心网站查看参加本项目的程序。（具体操作步骤和程序请参见服务指南&gt;交易须知&gt;投标人填写投标信息、下载文件及网上提问操作手册）。</w:t>
      </w:r>
    </w:p>
    <w:p w14:paraId="1F398C6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3.本项目采用不见面开标（远程解密)方式，开标时投标人无须至开标现场进行解密，开标采取远程解密方式解密投标文件，解密方式为：投标人在开标时间前使用CA数字证书登录滁州市“不见面开标系统”，网址为https：//ggzy.chuzhou.gov.cn/BidOpening,等待开标并按系统提示进行相应的投标人解密等事项，无需到开标现场。采用本方式可以观看开标现场音视频直播并进行互动交流。具体操作方法见中心网站&gt;服务指南&gt;交易须知中的《滁州市不见面开标系统操作手册》；</w:t>
      </w:r>
    </w:p>
    <w:p w14:paraId="7F9BEA2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2"/>
        <w:rPr>
          <w:rFonts w:hint="default"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4.投标人接到远程解密指令后，须在规定时间内解密。因投标人自身原因导致投标文件在规定时间内未能解密、解密失败或解密超时，投标文件无效；因采购代理机构原因或网上平台发生故障，导致无法按时完成投标文件解密的，经采购代理机构申请后可延迟解密时间。</w:t>
      </w:r>
    </w:p>
    <w:bookmarkEnd w:id="2"/>
    <w:p w14:paraId="7D1577E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宋体" w:hAnsi="宋体" w:eastAsia="宋体"/>
          <w:b/>
          <w:bCs/>
          <w:color w:val="auto"/>
          <w:sz w:val="24"/>
          <w:szCs w:val="18"/>
          <w:highlight w:val="none"/>
        </w:rPr>
      </w:pPr>
      <w:bookmarkStart w:id="8" w:name="_Toc7265"/>
      <w:bookmarkStart w:id="9" w:name="_Toc13296"/>
      <w:r>
        <w:rPr>
          <w:rFonts w:hint="eastAsia" w:ascii="宋体" w:hAnsi="宋体" w:eastAsia="宋体"/>
          <w:b/>
          <w:bCs/>
          <w:color w:val="auto"/>
          <w:sz w:val="24"/>
          <w:szCs w:val="18"/>
          <w:highlight w:val="none"/>
        </w:rPr>
        <w:t>七、</w:t>
      </w:r>
      <w:bookmarkEnd w:id="8"/>
      <w:r>
        <w:rPr>
          <w:rFonts w:hint="eastAsia" w:ascii="宋体" w:hAnsi="宋体" w:eastAsia="宋体"/>
          <w:b/>
          <w:bCs/>
          <w:color w:val="auto"/>
          <w:sz w:val="24"/>
          <w:szCs w:val="18"/>
          <w:highlight w:val="none"/>
        </w:rPr>
        <w:t>对本次招标提出询问，请按以下方式联系</w:t>
      </w:r>
      <w:bookmarkEnd w:id="9"/>
    </w:p>
    <w:p w14:paraId="4CD86D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rPr>
        <w:t>1.采购人</w:t>
      </w:r>
      <w:r>
        <w:rPr>
          <w:rFonts w:hint="eastAsia" w:ascii="宋体" w:hAnsi="宋体" w:eastAsia="宋体"/>
          <w:color w:val="auto"/>
          <w:sz w:val="24"/>
          <w:szCs w:val="18"/>
          <w:highlight w:val="none"/>
          <w:lang w:val="en-US" w:eastAsia="zh-CN"/>
        </w:rPr>
        <w:t>信息</w:t>
      </w:r>
    </w:p>
    <w:p w14:paraId="16AC87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auto"/>
          <w:sz w:val="24"/>
          <w:szCs w:val="18"/>
          <w:highlight w:val="none"/>
        </w:rPr>
      </w:pPr>
      <w:r>
        <w:rPr>
          <w:rFonts w:hint="eastAsia" w:ascii="宋体" w:hAnsi="宋体" w:eastAsia="宋体" w:cs="宋体"/>
          <w:color w:val="auto"/>
          <w:sz w:val="24"/>
          <w:szCs w:val="24"/>
          <w:highlight w:val="none"/>
          <w:lang w:val="en-US" w:eastAsia="zh-CN"/>
        </w:rPr>
        <w:t>名  称</w:t>
      </w:r>
      <w:r>
        <w:rPr>
          <w:rFonts w:hint="eastAsia" w:ascii="宋体" w:hAnsi="宋体" w:eastAsia="宋体"/>
          <w:color w:val="auto"/>
          <w:sz w:val="24"/>
          <w:szCs w:val="18"/>
          <w:highlight w:val="none"/>
        </w:rPr>
        <w:t>：</w:t>
      </w:r>
      <w:r>
        <w:rPr>
          <w:rFonts w:hint="eastAsia" w:ascii="宋体" w:hAnsi="宋体" w:eastAsia="宋体"/>
          <w:color w:val="auto"/>
          <w:sz w:val="24"/>
          <w:szCs w:val="18"/>
          <w:highlight w:val="none"/>
          <w:u w:val="single"/>
        </w:rPr>
        <w:t>滁州市市政设施管理中心</w:t>
      </w:r>
    </w:p>
    <w:p w14:paraId="2920F8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auto"/>
          <w:sz w:val="24"/>
          <w:szCs w:val="18"/>
          <w:highlight w:val="none"/>
          <w:u w:val="single"/>
        </w:rPr>
      </w:pPr>
      <w:r>
        <w:rPr>
          <w:rFonts w:hint="eastAsia" w:ascii="宋体" w:hAnsi="宋体" w:eastAsia="宋体"/>
          <w:color w:val="auto"/>
          <w:sz w:val="24"/>
          <w:szCs w:val="18"/>
          <w:highlight w:val="none"/>
        </w:rPr>
        <w:t xml:space="preserve">地 </w:t>
      </w:r>
      <w:r>
        <w:rPr>
          <w:rFonts w:ascii="宋体" w:hAnsi="宋体" w:eastAsia="宋体"/>
          <w:color w:val="auto"/>
          <w:sz w:val="24"/>
          <w:szCs w:val="18"/>
          <w:highlight w:val="none"/>
        </w:rPr>
        <w:t xml:space="preserve"> </w:t>
      </w:r>
      <w:r>
        <w:rPr>
          <w:rFonts w:hint="eastAsia" w:ascii="宋体" w:hAnsi="宋体" w:eastAsia="宋体"/>
          <w:color w:val="auto"/>
          <w:sz w:val="24"/>
          <w:szCs w:val="18"/>
          <w:highlight w:val="none"/>
        </w:rPr>
        <w:t>址：</w:t>
      </w:r>
      <w:r>
        <w:rPr>
          <w:rFonts w:hint="eastAsia" w:ascii="宋体" w:hAnsi="宋体" w:eastAsia="宋体"/>
          <w:color w:val="auto"/>
          <w:sz w:val="24"/>
          <w:szCs w:val="18"/>
          <w:highlight w:val="none"/>
          <w:u w:val="single"/>
        </w:rPr>
        <w:t>滁州市琅琊</w:t>
      </w:r>
      <w:r>
        <w:rPr>
          <w:rFonts w:hint="eastAsia" w:ascii="宋体" w:hAnsi="宋体" w:eastAsia="宋体"/>
          <w:color w:val="auto"/>
          <w:sz w:val="24"/>
          <w:szCs w:val="18"/>
          <w:highlight w:val="none"/>
          <w:u w:val="single"/>
          <w:lang w:val="en-US" w:eastAsia="zh-CN"/>
        </w:rPr>
        <w:t>西</w:t>
      </w:r>
      <w:r>
        <w:rPr>
          <w:rFonts w:hint="eastAsia" w:ascii="宋体" w:hAnsi="宋体" w:eastAsia="宋体"/>
          <w:color w:val="auto"/>
          <w:sz w:val="24"/>
          <w:szCs w:val="18"/>
          <w:highlight w:val="none"/>
          <w:u w:val="single"/>
        </w:rPr>
        <w:t>路建设大厦七楼</w:t>
      </w:r>
    </w:p>
    <w:p w14:paraId="3752DB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szCs w:val="18"/>
          <w:highlight w:val="none"/>
          <w:lang w:val="en-US" w:eastAsia="zh-CN"/>
        </w:rPr>
      </w:pPr>
      <w:r>
        <w:rPr>
          <w:rFonts w:hint="eastAsia" w:ascii="宋体" w:hAnsi="宋体" w:eastAsia="宋体"/>
          <w:color w:val="auto"/>
          <w:sz w:val="24"/>
          <w:szCs w:val="18"/>
          <w:highlight w:val="none"/>
          <w:lang w:val="en-US" w:eastAsia="zh-CN"/>
        </w:rPr>
        <w:t>联系人：</w:t>
      </w:r>
      <w:r>
        <w:rPr>
          <w:rFonts w:hint="eastAsia" w:ascii="宋体" w:hAnsi="宋体" w:eastAsia="宋体"/>
          <w:color w:val="auto"/>
          <w:sz w:val="24"/>
          <w:szCs w:val="18"/>
          <w:highlight w:val="none"/>
          <w:u w:val="single"/>
          <w:lang w:val="en-US" w:eastAsia="zh-CN"/>
        </w:rPr>
        <w:t>马雪婷</w:t>
      </w:r>
    </w:p>
    <w:p w14:paraId="74B7D3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olor w:val="auto"/>
          <w:sz w:val="24"/>
          <w:szCs w:val="18"/>
          <w:highlight w:val="none"/>
          <w:lang w:val="en-US" w:eastAsia="zh-CN"/>
        </w:rPr>
      </w:pPr>
      <w:r>
        <w:rPr>
          <w:rFonts w:hint="eastAsia" w:ascii="宋体" w:hAnsi="宋体" w:eastAsia="宋体"/>
          <w:color w:val="auto"/>
          <w:sz w:val="24"/>
          <w:szCs w:val="18"/>
          <w:highlight w:val="none"/>
        </w:rPr>
        <w:t>联系</w:t>
      </w:r>
      <w:r>
        <w:rPr>
          <w:rFonts w:hint="eastAsia" w:ascii="宋体" w:hAnsi="宋体" w:eastAsia="宋体"/>
          <w:color w:val="auto"/>
          <w:sz w:val="24"/>
          <w:szCs w:val="18"/>
          <w:highlight w:val="none"/>
          <w:lang w:val="en-US" w:eastAsia="zh-CN"/>
        </w:rPr>
        <w:t>方式</w:t>
      </w:r>
      <w:r>
        <w:rPr>
          <w:rFonts w:hint="eastAsia" w:ascii="宋体" w:hAnsi="宋体" w:eastAsia="宋体"/>
          <w:color w:val="auto"/>
          <w:sz w:val="24"/>
          <w:szCs w:val="18"/>
          <w:highlight w:val="none"/>
        </w:rPr>
        <w:t>：</w:t>
      </w:r>
      <w:r>
        <w:rPr>
          <w:rFonts w:hint="eastAsia" w:ascii="宋体" w:hAnsi="宋体" w:eastAsia="宋体"/>
          <w:color w:val="auto"/>
          <w:sz w:val="24"/>
          <w:szCs w:val="18"/>
          <w:highlight w:val="none"/>
          <w:u w:val="single"/>
          <w:lang w:val="en-US" w:eastAsia="zh-CN"/>
        </w:rPr>
        <w:t>18855021449</w:t>
      </w:r>
    </w:p>
    <w:p w14:paraId="4D2A21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olor w:val="auto"/>
          <w:sz w:val="24"/>
          <w:szCs w:val="18"/>
          <w:highlight w:val="none"/>
          <w:lang w:val="en-US" w:eastAsia="zh-CN"/>
        </w:rPr>
      </w:pPr>
      <w:r>
        <w:rPr>
          <w:rFonts w:ascii="宋体" w:hAnsi="宋体" w:eastAsia="宋体"/>
          <w:color w:val="auto"/>
          <w:sz w:val="24"/>
          <w:szCs w:val="18"/>
          <w:highlight w:val="none"/>
        </w:rPr>
        <w:t>2.采购代理机构</w:t>
      </w:r>
      <w:r>
        <w:rPr>
          <w:rFonts w:hint="eastAsia" w:ascii="宋体" w:hAnsi="宋体" w:eastAsia="宋体"/>
          <w:color w:val="auto"/>
          <w:sz w:val="24"/>
          <w:szCs w:val="18"/>
          <w:highlight w:val="none"/>
          <w:lang w:val="en-US" w:eastAsia="zh-CN"/>
        </w:rPr>
        <w:t>信息</w:t>
      </w:r>
    </w:p>
    <w:p w14:paraId="43E648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auto"/>
          <w:sz w:val="24"/>
          <w:szCs w:val="18"/>
          <w:highlight w:val="none"/>
        </w:rPr>
      </w:pPr>
      <w:r>
        <w:rPr>
          <w:rFonts w:hint="eastAsia" w:ascii="宋体" w:hAnsi="宋体" w:eastAsia="宋体" w:cs="宋体"/>
          <w:color w:val="auto"/>
          <w:sz w:val="24"/>
          <w:szCs w:val="24"/>
          <w:highlight w:val="none"/>
          <w:lang w:val="en-US" w:eastAsia="zh-CN"/>
        </w:rPr>
        <w:t>名  称</w:t>
      </w:r>
      <w:r>
        <w:rPr>
          <w:rFonts w:hint="eastAsia" w:ascii="宋体" w:hAnsi="宋体" w:eastAsia="宋体"/>
          <w:color w:val="auto"/>
          <w:sz w:val="24"/>
          <w:szCs w:val="18"/>
          <w:highlight w:val="none"/>
        </w:rPr>
        <w:t>：</w:t>
      </w:r>
      <w:r>
        <w:rPr>
          <w:rFonts w:hint="eastAsia" w:ascii="宋体" w:hAnsi="宋体" w:eastAsia="宋体"/>
          <w:color w:val="auto"/>
          <w:sz w:val="24"/>
          <w:szCs w:val="18"/>
          <w:highlight w:val="none"/>
          <w:u w:val="single"/>
        </w:rPr>
        <w:t>滁州市城投工程咨询管理有限公司</w:t>
      </w:r>
    </w:p>
    <w:p w14:paraId="4B46F9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auto"/>
          <w:sz w:val="24"/>
          <w:szCs w:val="18"/>
          <w:highlight w:val="none"/>
          <w:u w:val="single"/>
        </w:rPr>
      </w:pPr>
      <w:r>
        <w:rPr>
          <w:rFonts w:hint="eastAsia" w:ascii="宋体" w:hAnsi="宋体" w:eastAsia="宋体"/>
          <w:color w:val="auto"/>
          <w:sz w:val="24"/>
          <w:szCs w:val="18"/>
          <w:highlight w:val="none"/>
        </w:rPr>
        <w:t>地</w:t>
      </w:r>
      <w:r>
        <w:rPr>
          <w:rFonts w:ascii="宋体" w:hAnsi="宋体" w:eastAsia="宋体"/>
          <w:color w:val="auto"/>
          <w:sz w:val="24"/>
          <w:szCs w:val="18"/>
          <w:highlight w:val="none"/>
        </w:rPr>
        <w:t xml:space="preserve">  址：</w:t>
      </w:r>
      <w:r>
        <w:rPr>
          <w:rFonts w:hint="eastAsia" w:ascii="宋体" w:hAnsi="宋体" w:eastAsia="宋体"/>
          <w:color w:val="auto"/>
          <w:sz w:val="24"/>
          <w:szCs w:val="18"/>
          <w:highlight w:val="none"/>
          <w:u w:val="single"/>
        </w:rPr>
        <w:t>滁州市龙蟠大道109号房产商务大厦6楼</w:t>
      </w:r>
    </w:p>
    <w:p w14:paraId="566D51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highlight w:val="none"/>
        </w:rPr>
      </w:pPr>
      <w:r>
        <w:rPr>
          <w:rFonts w:hint="eastAsia" w:ascii="宋体" w:hAnsi="宋体" w:eastAsia="宋体"/>
          <w:color w:val="auto"/>
          <w:sz w:val="24"/>
          <w:szCs w:val="18"/>
          <w:highlight w:val="none"/>
          <w:lang w:val="en-US" w:eastAsia="zh-CN"/>
        </w:rPr>
        <w:t>联系人：</w:t>
      </w:r>
      <w:r>
        <w:rPr>
          <w:rFonts w:hint="eastAsia" w:ascii="宋体" w:hAnsi="宋体" w:eastAsia="宋体"/>
          <w:color w:val="auto"/>
          <w:sz w:val="24"/>
          <w:szCs w:val="18"/>
          <w:highlight w:val="none"/>
          <w:u w:val="single"/>
        </w:rPr>
        <w:t>胡国庆</w:t>
      </w:r>
    </w:p>
    <w:p w14:paraId="6D5839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auto"/>
          <w:sz w:val="24"/>
          <w:szCs w:val="18"/>
          <w:highlight w:val="none"/>
        </w:rPr>
      </w:pPr>
      <w:r>
        <w:rPr>
          <w:rFonts w:hint="eastAsia" w:ascii="宋体" w:hAnsi="宋体" w:eastAsia="宋体"/>
          <w:color w:val="auto"/>
          <w:sz w:val="24"/>
          <w:szCs w:val="18"/>
          <w:highlight w:val="none"/>
        </w:rPr>
        <w:t>联系</w:t>
      </w:r>
      <w:r>
        <w:rPr>
          <w:rFonts w:hint="eastAsia" w:ascii="宋体" w:hAnsi="宋体" w:eastAsia="宋体"/>
          <w:color w:val="auto"/>
          <w:sz w:val="24"/>
          <w:szCs w:val="18"/>
          <w:highlight w:val="none"/>
          <w:lang w:val="en-US" w:eastAsia="zh-CN"/>
        </w:rPr>
        <w:t>方式</w:t>
      </w:r>
      <w:r>
        <w:rPr>
          <w:rFonts w:hint="eastAsia" w:ascii="宋体" w:hAnsi="宋体" w:eastAsia="宋体"/>
          <w:color w:val="auto"/>
          <w:sz w:val="24"/>
          <w:szCs w:val="18"/>
          <w:highlight w:val="none"/>
        </w:rPr>
        <w:t>：</w:t>
      </w:r>
      <w:r>
        <w:rPr>
          <w:rFonts w:hint="eastAsia" w:ascii="宋体" w:hAnsi="宋体" w:eastAsia="宋体"/>
          <w:color w:val="auto"/>
          <w:sz w:val="24"/>
          <w:szCs w:val="18"/>
          <w:highlight w:val="none"/>
          <w:u w:val="single"/>
        </w:rPr>
        <w:t>0550-3519517、18005500950</w:t>
      </w:r>
    </w:p>
    <w:p w14:paraId="00A452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b/>
          <w:color w:val="auto"/>
          <w:sz w:val="24"/>
          <w:szCs w:val="18"/>
          <w:highlight w:val="none"/>
          <w:lang w:val="en-US" w:eastAsia="zh-CN"/>
        </w:rPr>
      </w:pPr>
      <w:r>
        <w:rPr>
          <w:rFonts w:hint="eastAsia" w:ascii="宋体" w:hAnsi="宋体" w:eastAsia="宋体"/>
          <w:b w:val="0"/>
          <w:bCs/>
          <w:color w:val="auto"/>
          <w:sz w:val="24"/>
          <w:szCs w:val="18"/>
          <w:highlight w:val="none"/>
          <w:lang w:val="en-US" w:eastAsia="zh-CN"/>
        </w:rPr>
        <w:t>3</w:t>
      </w:r>
      <w:r>
        <w:rPr>
          <w:rFonts w:hint="eastAsia" w:ascii="宋体" w:hAnsi="宋体" w:eastAsia="宋体"/>
          <w:b/>
          <w:color w:val="auto"/>
          <w:sz w:val="24"/>
          <w:szCs w:val="18"/>
          <w:highlight w:val="none"/>
        </w:rPr>
        <w:t>.</w:t>
      </w:r>
      <w:r>
        <w:rPr>
          <w:rFonts w:hint="eastAsia" w:ascii="宋体" w:hAnsi="宋体" w:eastAsia="宋体"/>
          <w:color w:val="auto"/>
          <w:sz w:val="24"/>
          <w:szCs w:val="18"/>
          <w:highlight w:val="none"/>
        </w:rPr>
        <w:t>政府采购监督管理部门</w:t>
      </w:r>
      <w:r>
        <w:rPr>
          <w:rFonts w:hint="eastAsia" w:ascii="宋体" w:hAnsi="宋体" w:eastAsia="宋体"/>
          <w:color w:val="auto"/>
          <w:sz w:val="24"/>
          <w:szCs w:val="18"/>
          <w:highlight w:val="none"/>
          <w:lang w:val="en-US" w:eastAsia="zh-CN"/>
        </w:rPr>
        <w:t>信息</w:t>
      </w:r>
    </w:p>
    <w:p w14:paraId="5FC318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auto"/>
          <w:sz w:val="24"/>
          <w:szCs w:val="18"/>
          <w:highlight w:val="none"/>
        </w:rPr>
      </w:pPr>
      <w:r>
        <w:rPr>
          <w:rFonts w:hint="eastAsia" w:ascii="宋体" w:hAnsi="宋体" w:eastAsia="宋体" w:cs="宋体"/>
          <w:color w:val="auto"/>
          <w:sz w:val="24"/>
          <w:szCs w:val="24"/>
          <w:highlight w:val="none"/>
          <w:lang w:val="en-US" w:eastAsia="zh-CN"/>
        </w:rPr>
        <w:t>名  称</w:t>
      </w:r>
      <w:r>
        <w:rPr>
          <w:rFonts w:hint="eastAsia" w:ascii="宋体" w:hAnsi="宋体" w:eastAsia="宋体"/>
          <w:color w:val="auto"/>
          <w:sz w:val="24"/>
          <w:szCs w:val="18"/>
          <w:highlight w:val="none"/>
        </w:rPr>
        <w:t>：</w:t>
      </w:r>
      <w:r>
        <w:rPr>
          <w:rFonts w:hint="eastAsia" w:ascii="宋体" w:hAnsi="宋体" w:eastAsia="宋体"/>
          <w:color w:val="auto"/>
          <w:sz w:val="24"/>
          <w:szCs w:val="18"/>
          <w:highlight w:val="none"/>
          <w:u w:val="single"/>
        </w:rPr>
        <w:t>滁州市公共资源交易监督管理局</w:t>
      </w:r>
    </w:p>
    <w:p w14:paraId="60DCEF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auto"/>
          <w:sz w:val="24"/>
          <w:szCs w:val="18"/>
          <w:highlight w:val="none"/>
        </w:rPr>
      </w:pPr>
      <w:r>
        <w:rPr>
          <w:rFonts w:hint="eastAsia" w:ascii="宋体" w:hAnsi="宋体" w:eastAsia="宋体"/>
          <w:color w:val="auto"/>
          <w:sz w:val="24"/>
          <w:szCs w:val="18"/>
          <w:highlight w:val="none"/>
        </w:rPr>
        <w:t>地  址：</w:t>
      </w:r>
      <w:r>
        <w:rPr>
          <w:rFonts w:hint="eastAsia" w:ascii="宋体" w:hAnsi="宋体" w:eastAsia="宋体"/>
          <w:color w:val="auto"/>
          <w:sz w:val="24"/>
          <w:szCs w:val="18"/>
          <w:highlight w:val="none"/>
          <w:u w:val="single"/>
        </w:rPr>
        <w:t>滁州市龙蟠大道109号房产大厦三楼</w:t>
      </w:r>
    </w:p>
    <w:p w14:paraId="2D976B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auto"/>
          <w:sz w:val="24"/>
          <w:szCs w:val="18"/>
          <w:highlight w:val="none"/>
          <w:u w:val="single"/>
        </w:rPr>
      </w:pPr>
      <w:r>
        <w:rPr>
          <w:rFonts w:hint="eastAsia" w:ascii="宋体" w:hAnsi="宋体" w:eastAsia="宋体"/>
          <w:color w:val="auto"/>
          <w:sz w:val="24"/>
          <w:szCs w:val="18"/>
          <w:highlight w:val="none"/>
        </w:rPr>
        <w:t>联系</w:t>
      </w:r>
      <w:r>
        <w:rPr>
          <w:rFonts w:hint="eastAsia" w:ascii="宋体" w:hAnsi="宋体" w:eastAsia="宋体"/>
          <w:color w:val="auto"/>
          <w:sz w:val="24"/>
          <w:szCs w:val="18"/>
          <w:highlight w:val="none"/>
          <w:lang w:val="en-US" w:eastAsia="zh-CN"/>
        </w:rPr>
        <w:t>方式</w:t>
      </w:r>
      <w:r>
        <w:rPr>
          <w:rFonts w:hint="eastAsia" w:ascii="宋体" w:hAnsi="宋体" w:eastAsia="宋体"/>
          <w:color w:val="auto"/>
          <w:sz w:val="24"/>
          <w:szCs w:val="18"/>
          <w:highlight w:val="none"/>
        </w:rPr>
        <w:t>：</w:t>
      </w:r>
      <w:r>
        <w:rPr>
          <w:rFonts w:hint="eastAsia" w:ascii="宋体" w:hAnsi="宋体" w:eastAsia="宋体"/>
          <w:color w:val="auto"/>
          <w:sz w:val="24"/>
          <w:szCs w:val="18"/>
          <w:highlight w:val="none"/>
          <w:u w:val="single"/>
        </w:rPr>
        <w:t>0550-38016</w:t>
      </w:r>
      <w:r>
        <w:rPr>
          <w:rFonts w:hint="eastAsia" w:ascii="宋体" w:hAnsi="宋体" w:eastAsia="宋体"/>
          <w:color w:val="auto"/>
          <w:sz w:val="24"/>
          <w:szCs w:val="18"/>
          <w:highlight w:val="none"/>
          <w:u w:val="single"/>
          <w:lang w:val="en-US" w:eastAsia="zh-CN"/>
        </w:rPr>
        <w:t>0</w:t>
      </w:r>
      <w:r>
        <w:rPr>
          <w:rFonts w:hint="eastAsia" w:ascii="宋体" w:hAnsi="宋体" w:eastAsia="宋体"/>
          <w:color w:val="auto"/>
          <w:sz w:val="24"/>
          <w:szCs w:val="18"/>
          <w:highlight w:val="none"/>
          <w:u w:val="single"/>
        </w:rPr>
        <w:t>1</w:t>
      </w:r>
    </w:p>
    <w:p w14:paraId="7B09BF4C">
      <w:pPr>
        <w:widowControl/>
        <w:jc w:val="left"/>
        <w:rPr>
          <w:rFonts w:ascii="宋体" w:hAnsi="宋体" w:eastAsia="宋体"/>
          <w:color w:val="auto"/>
          <w:sz w:val="24"/>
          <w:szCs w:val="18"/>
          <w:highlight w:val="none"/>
        </w:rPr>
      </w:pPr>
      <w:r>
        <w:rPr>
          <w:rFonts w:ascii="宋体" w:hAnsi="宋体" w:eastAsia="宋体"/>
          <w:color w:val="auto"/>
          <w:sz w:val="24"/>
          <w:szCs w:val="18"/>
          <w:highlight w:val="none"/>
        </w:rPr>
        <w:br w:type="page"/>
      </w:r>
    </w:p>
    <w:p w14:paraId="08F1F5F3">
      <w:pPr>
        <w:spacing w:line="360" w:lineRule="auto"/>
        <w:jc w:val="center"/>
        <w:outlineLvl w:val="0"/>
        <w:rPr>
          <w:rFonts w:asciiTheme="minorEastAsia" w:hAnsiTheme="minorEastAsia" w:eastAsiaTheme="minorEastAsia"/>
          <w:b/>
          <w:color w:val="auto"/>
          <w:sz w:val="28"/>
          <w:highlight w:val="none"/>
        </w:rPr>
      </w:pPr>
      <w:bookmarkStart w:id="10" w:name="_Toc8888"/>
      <w:r>
        <w:rPr>
          <w:rFonts w:hint="eastAsia" w:asciiTheme="minorEastAsia" w:hAnsiTheme="minorEastAsia" w:eastAsiaTheme="minorEastAsia"/>
          <w:b/>
          <w:color w:val="auto"/>
          <w:sz w:val="28"/>
          <w:highlight w:val="none"/>
        </w:rPr>
        <w:t>第二章</w:t>
      </w:r>
      <w:r>
        <w:rPr>
          <w:rFonts w:asciiTheme="minorEastAsia" w:hAnsiTheme="minorEastAsia" w:eastAsiaTheme="minorEastAsia"/>
          <w:b/>
          <w:color w:val="auto"/>
          <w:sz w:val="28"/>
          <w:highlight w:val="none"/>
        </w:rPr>
        <w:t xml:space="preserve"> </w:t>
      </w:r>
      <w:r>
        <w:rPr>
          <w:rFonts w:hint="eastAsia" w:asciiTheme="minorEastAsia" w:hAnsiTheme="minorEastAsia" w:eastAsiaTheme="minorEastAsia"/>
          <w:b/>
          <w:color w:val="auto"/>
          <w:sz w:val="28"/>
          <w:highlight w:val="none"/>
        </w:rPr>
        <w:t xml:space="preserve"> </w:t>
      </w:r>
      <w:r>
        <w:rPr>
          <w:rFonts w:asciiTheme="minorEastAsia" w:hAnsiTheme="minorEastAsia" w:eastAsiaTheme="minorEastAsia"/>
          <w:b/>
          <w:color w:val="auto"/>
          <w:sz w:val="28"/>
          <w:highlight w:val="none"/>
        </w:rPr>
        <w:t>投标人须知</w:t>
      </w:r>
      <w:bookmarkEnd w:id="10"/>
    </w:p>
    <w:p w14:paraId="4B5073EA">
      <w:pPr>
        <w:spacing w:line="360" w:lineRule="auto"/>
        <w:jc w:val="center"/>
        <w:outlineLvl w:val="1"/>
        <w:rPr>
          <w:rFonts w:asciiTheme="minorEastAsia" w:hAnsiTheme="minorEastAsia" w:eastAsiaTheme="minorEastAsia"/>
          <w:b/>
          <w:color w:val="auto"/>
          <w:sz w:val="24"/>
          <w:highlight w:val="none"/>
        </w:rPr>
      </w:pPr>
      <w:bookmarkStart w:id="11" w:name="_Toc7178"/>
      <w:bookmarkStart w:id="12" w:name="_Toc13589"/>
      <w:r>
        <w:rPr>
          <w:rFonts w:hint="eastAsia" w:asciiTheme="minorEastAsia" w:hAnsiTheme="minorEastAsia" w:eastAsiaTheme="minorEastAsia"/>
          <w:b/>
          <w:color w:val="auto"/>
          <w:sz w:val="24"/>
          <w:highlight w:val="none"/>
        </w:rPr>
        <w:t>一、</w:t>
      </w:r>
      <w:r>
        <w:rPr>
          <w:rFonts w:asciiTheme="minorEastAsia" w:hAnsiTheme="minorEastAsia" w:eastAsiaTheme="minorEastAsia"/>
          <w:b/>
          <w:color w:val="auto"/>
          <w:sz w:val="24"/>
          <w:highlight w:val="none"/>
        </w:rPr>
        <w:t>投标人须知前附表</w:t>
      </w:r>
      <w:bookmarkEnd w:id="11"/>
      <w:bookmarkEnd w:id="12"/>
    </w:p>
    <w:p w14:paraId="3C62F146">
      <w:pPr>
        <w:spacing w:line="360" w:lineRule="auto"/>
        <w:ind w:firstLine="435"/>
        <w:rPr>
          <w:rFonts w:ascii="宋体" w:hAnsi="宋体" w:eastAsia="宋体"/>
          <w:color w:val="auto"/>
          <w:sz w:val="24"/>
          <w:szCs w:val="18"/>
          <w:highlight w:val="none"/>
        </w:rPr>
      </w:pPr>
      <w:r>
        <w:rPr>
          <w:rFonts w:hint="eastAsia" w:ascii="宋体" w:hAnsi="宋体" w:eastAsia="宋体"/>
          <w:b/>
          <w:bCs/>
          <w:color w:val="auto"/>
          <w:sz w:val="24"/>
          <w:szCs w:val="18"/>
          <w:highlight w:val="none"/>
        </w:rPr>
        <w:t>注：</w:t>
      </w:r>
      <w:r>
        <w:rPr>
          <w:rFonts w:hint="eastAsia" w:ascii="宋体" w:hAnsi="宋体" w:eastAsia="宋体"/>
          <w:color w:val="auto"/>
          <w:sz w:val="24"/>
          <w:szCs w:val="18"/>
          <w:highlight w:val="none"/>
        </w:rPr>
        <w:t>本表是本项目的具体要求，是对投标人须知的具体补充和修改，如有不一致，以本表为准。</w:t>
      </w:r>
    </w:p>
    <w:tbl>
      <w:tblPr>
        <w:tblStyle w:val="23"/>
        <w:tblW w:w="50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2033"/>
        <w:gridCol w:w="5618"/>
      </w:tblGrid>
      <w:tr w14:paraId="71DD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2" w:hRule="atLeast"/>
          <w:jc w:val="center"/>
        </w:trPr>
        <w:tc>
          <w:tcPr>
            <w:tcW w:w="581" w:type="pct"/>
            <w:vAlign w:val="center"/>
          </w:tcPr>
          <w:p w14:paraId="334978A7">
            <w:pPr>
              <w:pStyle w:val="41"/>
              <w:keepNext w:val="0"/>
              <w:keepLines w:val="0"/>
              <w:widowControl w:val="0"/>
              <w:suppressLineNumbers w:val="0"/>
              <w:spacing w:before="0" w:beforeAutospacing="0" w:after="0" w:afterAutospacing="0"/>
              <w:ind w:left="0" w:right="0"/>
              <w:rPr>
                <w:rFonts w:hint="default" w:ascii="宋体" w:hAnsi="宋体" w:eastAsia="宋体"/>
                <w:bCs w:val="0"/>
                <w:color w:val="auto"/>
                <w:kern w:val="2"/>
                <w:sz w:val="24"/>
                <w:szCs w:val="20"/>
                <w:highlight w:val="none"/>
              </w:rPr>
            </w:pPr>
            <w:r>
              <w:rPr>
                <w:rFonts w:hint="eastAsia" w:ascii="宋体" w:hAnsi="宋体" w:eastAsia="宋体"/>
                <w:bCs w:val="0"/>
                <w:color w:val="auto"/>
                <w:kern w:val="2"/>
                <w:sz w:val="24"/>
                <w:szCs w:val="20"/>
                <w:highlight w:val="none"/>
              </w:rPr>
              <w:t>条款号</w:t>
            </w:r>
          </w:p>
        </w:tc>
        <w:tc>
          <w:tcPr>
            <w:tcW w:w="1174" w:type="pct"/>
            <w:vAlign w:val="center"/>
          </w:tcPr>
          <w:p w14:paraId="7F26F51A">
            <w:pPr>
              <w:pStyle w:val="41"/>
              <w:keepNext w:val="0"/>
              <w:keepLines w:val="0"/>
              <w:widowControl w:val="0"/>
              <w:suppressLineNumbers w:val="0"/>
              <w:spacing w:before="0" w:beforeAutospacing="0" w:after="0" w:afterAutospacing="0"/>
              <w:ind w:left="0" w:right="0"/>
              <w:rPr>
                <w:rFonts w:hint="default" w:ascii="宋体" w:hAnsi="宋体" w:eastAsia="宋体"/>
                <w:bCs w:val="0"/>
                <w:color w:val="auto"/>
                <w:kern w:val="2"/>
                <w:sz w:val="24"/>
                <w:szCs w:val="20"/>
                <w:highlight w:val="none"/>
              </w:rPr>
            </w:pPr>
            <w:r>
              <w:rPr>
                <w:rFonts w:hint="eastAsia" w:ascii="宋体" w:hAnsi="宋体" w:eastAsia="宋体"/>
                <w:bCs w:val="0"/>
                <w:color w:val="auto"/>
                <w:kern w:val="2"/>
                <w:sz w:val="24"/>
                <w:szCs w:val="20"/>
                <w:highlight w:val="none"/>
              </w:rPr>
              <w:t>条款名称</w:t>
            </w:r>
          </w:p>
        </w:tc>
        <w:tc>
          <w:tcPr>
            <w:tcW w:w="3244" w:type="pct"/>
            <w:vAlign w:val="center"/>
          </w:tcPr>
          <w:p w14:paraId="63D9511A">
            <w:pPr>
              <w:pStyle w:val="41"/>
              <w:keepNext w:val="0"/>
              <w:keepLines w:val="0"/>
              <w:widowControl w:val="0"/>
              <w:suppressLineNumbers w:val="0"/>
              <w:spacing w:before="0" w:beforeAutospacing="0" w:after="0" w:afterAutospacing="0"/>
              <w:ind w:left="0" w:right="0"/>
              <w:rPr>
                <w:rFonts w:hint="default" w:ascii="宋体" w:hAnsi="宋体" w:eastAsia="宋体"/>
                <w:bCs w:val="0"/>
                <w:color w:val="auto"/>
                <w:kern w:val="2"/>
                <w:sz w:val="24"/>
                <w:szCs w:val="20"/>
                <w:highlight w:val="none"/>
              </w:rPr>
            </w:pPr>
            <w:r>
              <w:rPr>
                <w:rFonts w:hint="eastAsia" w:ascii="宋体" w:hAnsi="宋体" w:eastAsia="宋体"/>
                <w:bCs w:val="0"/>
                <w:color w:val="auto"/>
                <w:kern w:val="2"/>
                <w:sz w:val="24"/>
                <w:szCs w:val="20"/>
                <w:highlight w:val="none"/>
              </w:rPr>
              <w:t>内容、说明与要求</w:t>
            </w:r>
          </w:p>
        </w:tc>
      </w:tr>
      <w:tr w14:paraId="19872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646972ED">
            <w:pPr>
              <w:pStyle w:val="42"/>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eastAsia" w:ascii="宋体" w:hAnsi="宋体" w:eastAsia="宋体"/>
                <w:bCs/>
                <w:color w:val="auto"/>
                <w:kern w:val="2"/>
                <w:highlight w:val="none"/>
                <w:lang w:eastAsia="zh-CN"/>
              </w:rPr>
            </w:pPr>
            <w:r>
              <w:rPr>
                <w:rFonts w:hint="eastAsia" w:ascii="宋体" w:hAnsi="宋体" w:eastAsia="宋体"/>
                <w:bCs/>
                <w:color w:val="auto"/>
                <w:kern w:val="2"/>
                <w:highlight w:val="none"/>
                <w:lang w:val="en-US" w:eastAsia="zh-CN"/>
              </w:rPr>
              <w:t>5</w:t>
            </w:r>
            <w:r>
              <w:rPr>
                <w:rFonts w:hint="default" w:ascii="宋体" w:hAnsi="宋体" w:eastAsia="宋体"/>
                <w:bCs/>
                <w:color w:val="auto"/>
                <w:kern w:val="2"/>
                <w:highlight w:val="none"/>
              </w:rPr>
              <w:t>.</w:t>
            </w:r>
            <w:r>
              <w:rPr>
                <w:rFonts w:hint="eastAsia" w:ascii="宋体" w:hAnsi="宋体" w:eastAsia="宋体"/>
                <w:bCs/>
                <w:color w:val="auto"/>
                <w:kern w:val="2"/>
                <w:highlight w:val="none"/>
                <w:lang w:val="en-US" w:eastAsia="zh-CN"/>
              </w:rPr>
              <w:t>2</w:t>
            </w:r>
          </w:p>
        </w:tc>
        <w:tc>
          <w:tcPr>
            <w:tcW w:w="1174" w:type="pct"/>
            <w:vAlign w:val="center"/>
          </w:tcPr>
          <w:p w14:paraId="006AD13F">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b w:val="0"/>
                <w:color w:val="auto"/>
                <w:sz w:val="24"/>
                <w:highlight w:val="none"/>
                <w:lang w:eastAsia="zh-CN"/>
              </w:rPr>
            </w:pPr>
            <w:r>
              <w:rPr>
                <w:rFonts w:hint="eastAsia" w:ascii="宋体" w:hAnsi="宋体" w:eastAsia="宋体" w:cs="@仿宋_GB2312"/>
                <w:b w:val="0"/>
                <w:bCs/>
                <w:color w:val="auto"/>
                <w:kern w:val="2"/>
                <w:sz w:val="24"/>
                <w:szCs w:val="22"/>
                <w:highlight w:val="none"/>
                <w:lang w:val="en-US" w:eastAsia="zh-CN" w:bidi="ar-SA"/>
              </w:rPr>
              <w:t>现场考察或标前答疑会</w:t>
            </w:r>
          </w:p>
        </w:tc>
        <w:tc>
          <w:tcPr>
            <w:tcW w:w="3244" w:type="pct"/>
            <w:vAlign w:val="center"/>
          </w:tcPr>
          <w:p w14:paraId="40A0FD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bCs/>
                <w:color w:val="auto"/>
                <w:sz w:val="24"/>
                <w:szCs w:val="20"/>
                <w:highlight w:val="none"/>
                <w:lang w:val="en-US" w:eastAsia="zh-CN"/>
              </w:rPr>
            </w:pPr>
            <w:r>
              <w:rPr>
                <w:rFonts w:hint="eastAsia" w:ascii="宋体" w:hAnsi="宋体" w:eastAsia="宋体"/>
                <w:bCs/>
                <w:color w:val="auto"/>
                <w:sz w:val="24"/>
                <w:szCs w:val="24"/>
                <w:highlight w:val="none"/>
                <w:lang w:eastAsia="zh-CN"/>
              </w:rPr>
              <w:t>☑</w:t>
            </w:r>
            <w:r>
              <w:rPr>
                <w:rFonts w:hint="eastAsia" w:ascii="宋体" w:hAnsi="宋体" w:eastAsia="宋体"/>
                <w:color w:val="auto"/>
                <w:sz w:val="24"/>
                <w:szCs w:val="20"/>
                <w:highlight w:val="none"/>
              </w:rPr>
              <w:t>不组织</w:t>
            </w:r>
            <w:r>
              <w:rPr>
                <w:rFonts w:hint="eastAsia" w:ascii="宋体" w:hAnsi="宋体" w:eastAsia="宋体"/>
                <w:color w:val="auto"/>
                <w:sz w:val="24"/>
                <w:szCs w:val="20"/>
                <w:highlight w:val="none"/>
                <w:lang w:val="en-US" w:eastAsia="zh-CN"/>
              </w:rPr>
              <w:t>或不召开</w:t>
            </w:r>
          </w:p>
          <w:p w14:paraId="08501C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bCs/>
                <w:color w:val="auto"/>
                <w:sz w:val="24"/>
                <w:szCs w:val="20"/>
                <w:highlight w:val="none"/>
                <w:lang w:val="en-US" w:eastAsia="zh-CN"/>
              </w:rPr>
            </w:pPr>
            <w:r>
              <w:rPr>
                <w:rFonts w:hint="eastAsia" w:ascii="宋体" w:hAnsi="宋体" w:eastAsia="宋体"/>
                <w:color w:val="auto"/>
                <w:sz w:val="24"/>
                <w:szCs w:val="20"/>
                <w:highlight w:val="none"/>
              </w:rPr>
              <w:t>□</w:t>
            </w:r>
            <w:r>
              <w:rPr>
                <w:rFonts w:hint="eastAsia" w:ascii="宋体" w:hAnsi="宋体" w:eastAsia="宋体"/>
                <w:bCs/>
                <w:color w:val="auto"/>
                <w:sz w:val="24"/>
                <w:szCs w:val="20"/>
                <w:highlight w:val="none"/>
              </w:rPr>
              <w:t>统一组织</w:t>
            </w:r>
            <w:r>
              <w:rPr>
                <w:rFonts w:hint="eastAsia" w:ascii="宋体" w:hAnsi="宋体" w:eastAsia="宋体"/>
                <w:bCs/>
                <w:color w:val="auto"/>
                <w:sz w:val="24"/>
                <w:szCs w:val="20"/>
                <w:highlight w:val="none"/>
                <w:lang w:val="en-US" w:eastAsia="zh-CN"/>
              </w:rPr>
              <w:t>或统一召开</w:t>
            </w:r>
          </w:p>
          <w:p w14:paraId="57B0E6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bCs/>
                <w:color w:val="auto"/>
                <w:sz w:val="24"/>
                <w:szCs w:val="20"/>
                <w:highlight w:val="none"/>
                <w:u w:val="single"/>
              </w:rPr>
            </w:pPr>
            <w:r>
              <w:rPr>
                <w:rFonts w:hint="eastAsia" w:ascii="宋体" w:hAnsi="宋体" w:eastAsia="宋体"/>
                <w:bCs/>
                <w:color w:val="auto"/>
                <w:sz w:val="24"/>
                <w:szCs w:val="20"/>
                <w:highlight w:val="none"/>
              </w:rPr>
              <w:t>时间：</w:t>
            </w:r>
            <w:r>
              <w:rPr>
                <w:rFonts w:hint="eastAsia" w:ascii="宋体" w:hAnsi="宋体" w:eastAsia="宋体"/>
                <w:bCs/>
                <w:color w:val="auto"/>
                <w:sz w:val="24"/>
                <w:szCs w:val="20"/>
                <w:highlight w:val="none"/>
                <w:u w:val="single"/>
              </w:rPr>
              <w:t xml:space="preserve"> /</w:t>
            </w:r>
            <w:r>
              <w:rPr>
                <w:rFonts w:hint="default" w:ascii="宋体" w:hAnsi="宋体" w:eastAsia="宋体"/>
                <w:bCs/>
                <w:color w:val="auto"/>
                <w:sz w:val="24"/>
                <w:szCs w:val="20"/>
                <w:highlight w:val="none"/>
                <w:u w:val="single"/>
              </w:rPr>
              <w:t xml:space="preserve"> </w:t>
            </w:r>
            <w:r>
              <w:rPr>
                <w:rFonts w:hint="eastAsia" w:ascii="宋体" w:hAnsi="宋体" w:eastAsia="宋体"/>
                <w:bCs/>
                <w:color w:val="auto"/>
                <w:sz w:val="24"/>
                <w:szCs w:val="20"/>
                <w:highlight w:val="none"/>
              </w:rPr>
              <w:t>年</w:t>
            </w:r>
            <w:r>
              <w:rPr>
                <w:rFonts w:hint="eastAsia" w:ascii="宋体" w:hAnsi="宋体" w:eastAsia="宋体"/>
                <w:bCs/>
                <w:color w:val="auto"/>
                <w:sz w:val="24"/>
                <w:szCs w:val="20"/>
                <w:highlight w:val="none"/>
                <w:u w:val="single"/>
              </w:rPr>
              <w:t xml:space="preserve"> /</w:t>
            </w:r>
            <w:r>
              <w:rPr>
                <w:rFonts w:hint="default" w:ascii="宋体" w:hAnsi="宋体" w:eastAsia="宋体"/>
                <w:bCs/>
                <w:color w:val="auto"/>
                <w:sz w:val="24"/>
                <w:szCs w:val="20"/>
                <w:highlight w:val="none"/>
                <w:u w:val="single"/>
              </w:rPr>
              <w:t xml:space="preserve"> </w:t>
            </w:r>
            <w:r>
              <w:rPr>
                <w:rFonts w:hint="eastAsia" w:ascii="宋体" w:hAnsi="宋体" w:eastAsia="宋体"/>
                <w:bCs/>
                <w:color w:val="auto"/>
                <w:sz w:val="24"/>
                <w:szCs w:val="20"/>
                <w:highlight w:val="none"/>
              </w:rPr>
              <w:t>月</w:t>
            </w:r>
            <w:r>
              <w:rPr>
                <w:rFonts w:hint="eastAsia" w:ascii="宋体" w:hAnsi="宋体" w:eastAsia="宋体"/>
                <w:bCs/>
                <w:color w:val="auto"/>
                <w:sz w:val="24"/>
                <w:szCs w:val="20"/>
                <w:highlight w:val="none"/>
                <w:u w:val="single"/>
              </w:rPr>
              <w:t xml:space="preserve"> /</w:t>
            </w:r>
            <w:r>
              <w:rPr>
                <w:rFonts w:hint="default" w:ascii="宋体" w:hAnsi="宋体" w:eastAsia="宋体"/>
                <w:bCs/>
                <w:color w:val="auto"/>
                <w:sz w:val="24"/>
                <w:szCs w:val="20"/>
                <w:highlight w:val="none"/>
                <w:u w:val="single"/>
              </w:rPr>
              <w:t xml:space="preserve"> </w:t>
            </w:r>
            <w:r>
              <w:rPr>
                <w:rFonts w:hint="eastAsia" w:ascii="宋体" w:hAnsi="宋体" w:eastAsia="宋体"/>
                <w:bCs/>
                <w:color w:val="auto"/>
                <w:sz w:val="24"/>
                <w:szCs w:val="20"/>
                <w:highlight w:val="none"/>
              </w:rPr>
              <w:t>日</w:t>
            </w:r>
            <w:r>
              <w:rPr>
                <w:rFonts w:hint="eastAsia" w:ascii="宋体" w:hAnsi="宋体" w:eastAsia="宋体"/>
                <w:bCs/>
                <w:color w:val="auto"/>
                <w:sz w:val="24"/>
                <w:szCs w:val="20"/>
                <w:highlight w:val="none"/>
                <w:u w:val="single"/>
              </w:rPr>
              <w:t xml:space="preserve"> /</w:t>
            </w:r>
            <w:r>
              <w:rPr>
                <w:rFonts w:hint="default" w:ascii="宋体" w:hAnsi="宋体" w:eastAsia="宋体"/>
                <w:bCs/>
                <w:color w:val="auto"/>
                <w:sz w:val="24"/>
                <w:szCs w:val="20"/>
                <w:highlight w:val="none"/>
                <w:u w:val="single"/>
              </w:rPr>
              <w:t xml:space="preserve"> </w:t>
            </w:r>
            <w:r>
              <w:rPr>
                <w:rFonts w:hint="eastAsia" w:ascii="宋体" w:hAnsi="宋体" w:eastAsia="宋体"/>
                <w:bCs/>
                <w:color w:val="auto"/>
                <w:sz w:val="24"/>
                <w:szCs w:val="20"/>
                <w:highlight w:val="none"/>
              </w:rPr>
              <w:t>时</w:t>
            </w:r>
            <w:r>
              <w:rPr>
                <w:rFonts w:hint="eastAsia" w:ascii="宋体" w:hAnsi="宋体" w:eastAsia="宋体"/>
                <w:bCs/>
                <w:color w:val="auto"/>
                <w:sz w:val="24"/>
                <w:szCs w:val="20"/>
                <w:highlight w:val="none"/>
                <w:u w:val="single"/>
              </w:rPr>
              <w:t xml:space="preserve"> /</w:t>
            </w:r>
            <w:r>
              <w:rPr>
                <w:rFonts w:hint="default" w:ascii="宋体" w:hAnsi="宋体" w:eastAsia="宋体"/>
                <w:bCs/>
                <w:color w:val="auto"/>
                <w:sz w:val="24"/>
                <w:szCs w:val="20"/>
                <w:highlight w:val="none"/>
                <w:u w:val="single"/>
              </w:rPr>
              <w:t xml:space="preserve"> </w:t>
            </w:r>
            <w:r>
              <w:rPr>
                <w:rFonts w:hint="eastAsia" w:ascii="宋体" w:hAnsi="宋体" w:eastAsia="宋体"/>
                <w:bCs/>
                <w:color w:val="auto"/>
                <w:sz w:val="24"/>
                <w:szCs w:val="20"/>
                <w:highlight w:val="none"/>
              </w:rPr>
              <w:t>分</w:t>
            </w:r>
          </w:p>
          <w:p w14:paraId="6154A1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bCs/>
                <w:color w:val="auto"/>
                <w:sz w:val="24"/>
                <w:szCs w:val="20"/>
                <w:highlight w:val="none"/>
                <w:u w:val="single"/>
              </w:rPr>
            </w:pPr>
            <w:r>
              <w:rPr>
                <w:rFonts w:hint="eastAsia" w:ascii="宋体" w:hAnsi="宋体" w:eastAsia="宋体"/>
                <w:bCs/>
                <w:color w:val="auto"/>
                <w:sz w:val="24"/>
                <w:szCs w:val="20"/>
                <w:highlight w:val="none"/>
              </w:rPr>
              <w:t>地点：</w:t>
            </w:r>
            <w:r>
              <w:rPr>
                <w:rFonts w:hint="eastAsia" w:ascii="宋体" w:hAnsi="宋体" w:eastAsia="宋体"/>
                <w:bCs/>
                <w:color w:val="auto"/>
                <w:sz w:val="24"/>
                <w:szCs w:val="20"/>
                <w:highlight w:val="none"/>
                <w:u w:val="single"/>
              </w:rPr>
              <w:t xml:space="preserve"> </w:t>
            </w:r>
            <w:r>
              <w:rPr>
                <w:rFonts w:hint="default" w:ascii="宋体" w:hAnsi="宋体" w:eastAsia="宋体"/>
                <w:bCs/>
                <w:color w:val="auto"/>
                <w:sz w:val="24"/>
                <w:szCs w:val="20"/>
                <w:highlight w:val="none"/>
                <w:u w:val="single"/>
              </w:rPr>
              <w:t xml:space="preserve"> </w:t>
            </w:r>
            <w:r>
              <w:rPr>
                <w:rFonts w:hint="eastAsia" w:ascii="宋体" w:hAnsi="宋体" w:eastAsia="宋体"/>
                <w:bCs/>
                <w:color w:val="auto"/>
                <w:sz w:val="24"/>
                <w:szCs w:val="20"/>
                <w:highlight w:val="none"/>
                <w:u w:val="single"/>
              </w:rPr>
              <w:t>/</w:t>
            </w:r>
            <w:r>
              <w:rPr>
                <w:rFonts w:hint="default" w:ascii="宋体" w:hAnsi="宋体" w:eastAsia="宋体"/>
                <w:bCs/>
                <w:color w:val="auto"/>
                <w:sz w:val="24"/>
                <w:szCs w:val="20"/>
                <w:highlight w:val="none"/>
                <w:u w:val="single"/>
              </w:rPr>
              <w:t xml:space="preserve">                  </w:t>
            </w:r>
          </w:p>
          <w:p w14:paraId="1F4F88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bCs/>
                <w:color w:val="auto"/>
                <w:sz w:val="24"/>
                <w:szCs w:val="20"/>
                <w:highlight w:val="none"/>
                <w:u w:val="single"/>
              </w:rPr>
            </w:pPr>
            <w:r>
              <w:rPr>
                <w:rFonts w:hint="eastAsia" w:ascii="宋体" w:hAnsi="宋体" w:eastAsia="宋体"/>
                <w:bCs/>
                <w:color w:val="auto"/>
                <w:sz w:val="24"/>
                <w:szCs w:val="20"/>
                <w:highlight w:val="none"/>
              </w:rPr>
              <w:t>联系人及联系电话：</w:t>
            </w:r>
            <w:r>
              <w:rPr>
                <w:rFonts w:hint="eastAsia" w:ascii="宋体" w:hAnsi="宋体" w:eastAsia="宋体"/>
                <w:bCs/>
                <w:color w:val="auto"/>
                <w:sz w:val="24"/>
                <w:szCs w:val="20"/>
                <w:highlight w:val="none"/>
                <w:u w:val="single"/>
              </w:rPr>
              <w:t xml:space="preserve"> </w:t>
            </w:r>
            <w:r>
              <w:rPr>
                <w:rFonts w:hint="default" w:ascii="宋体" w:hAnsi="宋体" w:eastAsia="宋体"/>
                <w:bCs/>
                <w:color w:val="auto"/>
                <w:sz w:val="24"/>
                <w:szCs w:val="20"/>
                <w:highlight w:val="none"/>
                <w:u w:val="single"/>
              </w:rPr>
              <w:t xml:space="preserve"> </w:t>
            </w:r>
            <w:r>
              <w:rPr>
                <w:rFonts w:hint="eastAsia" w:ascii="宋体" w:hAnsi="宋体" w:eastAsia="宋体"/>
                <w:bCs/>
                <w:color w:val="auto"/>
                <w:sz w:val="24"/>
                <w:szCs w:val="20"/>
                <w:highlight w:val="none"/>
                <w:u w:val="single"/>
              </w:rPr>
              <w:t>/</w:t>
            </w:r>
            <w:r>
              <w:rPr>
                <w:rFonts w:hint="default" w:ascii="宋体" w:hAnsi="宋体" w:eastAsia="宋体"/>
                <w:bCs/>
                <w:color w:val="auto"/>
                <w:sz w:val="24"/>
                <w:szCs w:val="20"/>
                <w:highlight w:val="none"/>
                <w:u w:val="single"/>
              </w:rPr>
              <w:t xml:space="preserve">      </w:t>
            </w:r>
          </w:p>
          <w:p w14:paraId="7825C740">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宋体" w:hAnsi="宋体" w:eastAsia="宋体"/>
                <w:b w:val="0"/>
                <w:color w:val="auto"/>
                <w:sz w:val="24"/>
                <w:highlight w:val="none"/>
              </w:rPr>
            </w:pPr>
            <w:r>
              <w:rPr>
                <w:rFonts w:hint="eastAsia" w:ascii="宋体" w:hAnsi="宋体" w:eastAsia="宋体"/>
                <w:bCs w:val="0"/>
                <w:color w:val="auto"/>
                <w:sz w:val="24"/>
                <w:highlight w:val="none"/>
                <w:lang w:eastAsia="zh-CN"/>
              </w:rPr>
              <w:t>注：</w:t>
            </w:r>
            <w:r>
              <w:rPr>
                <w:rFonts w:hint="eastAsia" w:ascii="宋体" w:hAnsi="宋体" w:eastAsia="宋体"/>
                <w:bCs w:val="0"/>
                <w:color w:val="auto"/>
                <w:sz w:val="24"/>
                <w:highlight w:val="none"/>
              </w:rPr>
              <w:t>如投标人未参加采购人统一组织的现场考察</w:t>
            </w:r>
            <w:r>
              <w:rPr>
                <w:rFonts w:hint="eastAsia" w:ascii="宋体" w:hAnsi="宋体" w:eastAsia="宋体"/>
                <w:bCs w:val="0"/>
                <w:color w:val="auto"/>
                <w:sz w:val="24"/>
                <w:highlight w:val="none"/>
                <w:lang w:val="en-US" w:eastAsia="zh-CN"/>
              </w:rPr>
              <w:t>或采购人统一召开的标前答疑会</w:t>
            </w:r>
            <w:r>
              <w:rPr>
                <w:rFonts w:hint="eastAsia" w:ascii="宋体" w:hAnsi="宋体" w:eastAsia="宋体"/>
                <w:bCs w:val="0"/>
                <w:color w:val="auto"/>
                <w:sz w:val="24"/>
                <w:highlight w:val="none"/>
              </w:rPr>
              <w:t>，视同放弃现场考察</w:t>
            </w:r>
            <w:r>
              <w:rPr>
                <w:rFonts w:hint="eastAsia" w:ascii="宋体" w:hAnsi="宋体" w:eastAsia="宋体"/>
                <w:bCs w:val="0"/>
                <w:color w:val="auto"/>
                <w:sz w:val="24"/>
                <w:highlight w:val="none"/>
                <w:lang w:val="en-US" w:eastAsia="zh-CN"/>
              </w:rPr>
              <w:t>或标前答疑会</w:t>
            </w:r>
            <w:r>
              <w:rPr>
                <w:rFonts w:hint="eastAsia" w:ascii="宋体" w:hAnsi="宋体" w:eastAsia="宋体"/>
                <w:bCs w:val="0"/>
                <w:color w:val="auto"/>
                <w:sz w:val="24"/>
                <w:highlight w:val="none"/>
              </w:rPr>
              <w:t>，由此引起的一切责任由投标人自行承担。</w:t>
            </w:r>
          </w:p>
        </w:tc>
      </w:tr>
      <w:tr w14:paraId="5E639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77FD8A6C">
            <w:pPr>
              <w:pStyle w:val="42"/>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lang w:val="en-US" w:eastAsia="zh-CN"/>
              </w:rPr>
              <w:t>6</w:t>
            </w:r>
            <w:r>
              <w:rPr>
                <w:rFonts w:hint="default" w:ascii="宋体" w:hAnsi="宋体" w:eastAsia="宋体"/>
                <w:bCs/>
                <w:color w:val="auto"/>
                <w:kern w:val="2"/>
                <w:highlight w:val="none"/>
              </w:rPr>
              <w:t>.1</w:t>
            </w:r>
          </w:p>
        </w:tc>
        <w:tc>
          <w:tcPr>
            <w:tcW w:w="1174" w:type="pct"/>
            <w:vAlign w:val="center"/>
          </w:tcPr>
          <w:p w14:paraId="2852B095">
            <w:pPr>
              <w:pStyle w:val="41"/>
              <w:keepNext w:val="0"/>
              <w:keepLines w:val="0"/>
              <w:widowControl w:val="0"/>
              <w:suppressLineNumbers w:val="0"/>
              <w:spacing w:before="0" w:beforeAutospacing="0" w:after="0" w:afterAutospacing="0"/>
              <w:ind w:left="0" w:right="0"/>
              <w:jc w:val="left"/>
              <w:rPr>
                <w:rFonts w:hint="default" w:ascii="宋体" w:hAnsi="宋体" w:eastAsia="宋体"/>
                <w:b w:val="0"/>
                <w:color w:val="auto"/>
                <w:sz w:val="24"/>
                <w:highlight w:val="none"/>
              </w:rPr>
            </w:pPr>
            <w:r>
              <w:rPr>
                <w:rFonts w:hint="eastAsia" w:ascii="宋体" w:hAnsi="宋体" w:eastAsia="宋体"/>
                <w:b w:val="0"/>
                <w:color w:val="auto"/>
                <w:sz w:val="24"/>
                <w:highlight w:val="none"/>
              </w:rPr>
              <w:t>网上询问截止时间</w:t>
            </w:r>
          </w:p>
        </w:tc>
        <w:tc>
          <w:tcPr>
            <w:tcW w:w="3244" w:type="pct"/>
            <w:vAlign w:val="center"/>
          </w:tcPr>
          <w:p w14:paraId="263F07F0">
            <w:pPr>
              <w:pStyle w:val="41"/>
              <w:keepNext w:val="0"/>
              <w:keepLines w:val="0"/>
              <w:widowControl w:val="0"/>
              <w:suppressLineNumbers w:val="0"/>
              <w:spacing w:before="0" w:beforeAutospacing="0" w:after="0" w:afterAutospacing="0"/>
              <w:ind w:left="0" w:right="0"/>
              <w:jc w:val="both"/>
              <w:rPr>
                <w:rFonts w:hint="default" w:ascii="宋体" w:hAnsi="宋体" w:eastAsia="宋体"/>
                <w:b w:val="0"/>
                <w:color w:val="auto"/>
                <w:sz w:val="24"/>
                <w:highlight w:val="none"/>
              </w:rPr>
            </w:pPr>
            <w:r>
              <w:rPr>
                <w:rFonts w:hint="default" w:ascii="宋体" w:hAnsi="宋体" w:eastAsia="宋体"/>
                <w:b w:val="0"/>
                <w:color w:val="auto"/>
                <w:sz w:val="24"/>
                <w:highlight w:val="none"/>
                <w:u w:val="single"/>
              </w:rPr>
              <w:t xml:space="preserve"> </w:t>
            </w:r>
            <w:r>
              <w:rPr>
                <w:rFonts w:hint="eastAsia" w:ascii="宋体" w:hAnsi="宋体" w:eastAsia="宋体"/>
                <w:b w:val="0"/>
                <w:color w:val="auto"/>
                <w:sz w:val="24"/>
                <w:highlight w:val="none"/>
                <w:u w:val="single"/>
                <w:lang w:val="en-US" w:eastAsia="zh-CN"/>
              </w:rPr>
              <w:t>2025</w:t>
            </w:r>
            <w:r>
              <w:rPr>
                <w:rFonts w:hint="default" w:ascii="宋体" w:hAnsi="宋体" w:eastAsia="宋体"/>
                <w:b w:val="0"/>
                <w:color w:val="auto"/>
                <w:sz w:val="24"/>
                <w:highlight w:val="none"/>
                <w:u w:val="single"/>
              </w:rPr>
              <w:t xml:space="preserve"> </w:t>
            </w:r>
            <w:r>
              <w:rPr>
                <w:rFonts w:hint="default" w:ascii="宋体" w:hAnsi="宋体" w:eastAsia="宋体"/>
                <w:b w:val="0"/>
                <w:color w:val="auto"/>
                <w:sz w:val="24"/>
                <w:highlight w:val="none"/>
              </w:rPr>
              <w:t>年</w:t>
            </w:r>
            <w:r>
              <w:rPr>
                <w:rFonts w:hint="default" w:ascii="宋体" w:hAnsi="宋体" w:eastAsia="宋体"/>
                <w:b w:val="0"/>
                <w:color w:val="auto"/>
                <w:sz w:val="24"/>
                <w:highlight w:val="none"/>
                <w:u w:val="single"/>
              </w:rPr>
              <w:t xml:space="preserve"> </w:t>
            </w:r>
            <w:r>
              <w:rPr>
                <w:rFonts w:hint="eastAsia" w:ascii="宋体" w:hAnsi="宋体" w:eastAsia="宋体"/>
                <w:b w:val="0"/>
                <w:color w:val="auto"/>
                <w:sz w:val="24"/>
                <w:highlight w:val="none"/>
                <w:u w:val="single"/>
                <w:lang w:val="en-US" w:eastAsia="zh-CN"/>
              </w:rPr>
              <w:t>9</w:t>
            </w:r>
            <w:r>
              <w:rPr>
                <w:rFonts w:hint="default" w:ascii="宋体" w:hAnsi="宋体" w:eastAsia="宋体"/>
                <w:b w:val="0"/>
                <w:color w:val="auto"/>
                <w:sz w:val="24"/>
                <w:highlight w:val="none"/>
                <w:u w:val="single"/>
              </w:rPr>
              <w:t xml:space="preserve"> </w:t>
            </w:r>
            <w:r>
              <w:rPr>
                <w:rFonts w:hint="default" w:ascii="宋体" w:hAnsi="宋体" w:eastAsia="宋体"/>
                <w:b w:val="0"/>
                <w:color w:val="auto"/>
                <w:sz w:val="24"/>
                <w:highlight w:val="none"/>
              </w:rPr>
              <w:t>月</w:t>
            </w:r>
            <w:r>
              <w:rPr>
                <w:rFonts w:hint="default" w:ascii="宋体" w:hAnsi="宋体" w:eastAsia="宋体"/>
                <w:b w:val="0"/>
                <w:color w:val="auto"/>
                <w:sz w:val="24"/>
                <w:highlight w:val="none"/>
                <w:u w:val="single"/>
              </w:rPr>
              <w:t xml:space="preserve"> </w:t>
            </w:r>
            <w:r>
              <w:rPr>
                <w:rFonts w:hint="eastAsia" w:ascii="宋体" w:hAnsi="宋体" w:eastAsia="宋体"/>
                <w:b w:val="0"/>
                <w:color w:val="auto"/>
                <w:sz w:val="24"/>
                <w:highlight w:val="none"/>
                <w:u w:val="single"/>
                <w:lang w:val="en-US" w:eastAsia="zh-CN"/>
              </w:rPr>
              <w:t>2</w:t>
            </w:r>
            <w:r>
              <w:rPr>
                <w:rFonts w:hint="default" w:ascii="宋体" w:hAnsi="宋体" w:eastAsia="宋体"/>
                <w:b w:val="0"/>
                <w:color w:val="auto"/>
                <w:sz w:val="24"/>
                <w:highlight w:val="none"/>
                <w:u w:val="single"/>
              </w:rPr>
              <w:t xml:space="preserve"> </w:t>
            </w:r>
            <w:r>
              <w:rPr>
                <w:rFonts w:hint="default" w:ascii="宋体" w:hAnsi="宋体" w:eastAsia="宋体"/>
                <w:b w:val="0"/>
                <w:color w:val="auto"/>
                <w:sz w:val="24"/>
                <w:highlight w:val="none"/>
              </w:rPr>
              <w:t>日</w:t>
            </w:r>
            <w:r>
              <w:rPr>
                <w:rFonts w:hint="default" w:ascii="宋体" w:hAnsi="宋体" w:eastAsia="宋体"/>
                <w:b w:val="0"/>
                <w:color w:val="auto"/>
                <w:sz w:val="24"/>
                <w:highlight w:val="none"/>
                <w:u w:val="single"/>
              </w:rPr>
              <w:t xml:space="preserve"> </w:t>
            </w:r>
            <w:r>
              <w:rPr>
                <w:rFonts w:hint="eastAsia" w:ascii="宋体" w:hAnsi="宋体" w:eastAsia="宋体"/>
                <w:b w:val="0"/>
                <w:color w:val="auto"/>
                <w:sz w:val="24"/>
                <w:highlight w:val="none"/>
                <w:u w:val="single"/>
                <w:lang w:val="en-US" w:eastAsia="zh-CN"/>
              </w:rPr>
              <w:t>17</w:t>
            </w:r>
            <w:r>
              <w:rPr>
                <w:rFonts w:hint="default" w:ascii="宋体" w:hAnsi="宋体" w:eastAsia="宋体"/>
                <w:b w:val="0"/>
                <w:color w:val="auto"/>
                <w:sz w:val="24"/>
                <w:highlight w:val="none"/>
                <w:u w:val="single"/>
              </w:rPr>
              <w:t xml:space="preserve"> </w:t>
            </w:r>
            <w:r>
              <w:rPr>
                <w:rFonts w:hint="default" w:ascii="宋体" w:hAnsi="宋体" w:eastAsia="宋体"/>
                <w:b w:val="0"/>
                <w:color w:val="auto"/>
                <w:sz w:val="24"/>
                <w:highlight w:val="none"/>
              </w:rPr>
              <w:t>时</w:t>
            </w:r>
            <w:r>
              <w:rPr>
                <w:rFonts w:hint="default" w:ascii="宋体" w:hAnsi="宋体" w:eastAsia="宋体"/>
                <w:b w:val="0"/>
                <w:color w:val="auto"/>
                <w:sz w:val="24"/>
                <w:highlight w:val="none"/>
                <w:u w:val="single"/>
              </w:rPr>
              <w:t xml:space="preserve"> </w:t>
            </w:r>
            <w:r>
              <w:rPr>
                <w:rFonts w:hint="eastAsia" w:ascii="宋体" w:hAnsi="宋体" w:eastAsia="宋体"/>
                <w:b w:val="0"/>
                <w:color w:val="auto"/>
                <w:sz w:val="24"/>
                <w:highlight w:val="none"/>
                <w:u w:val="single"/>
                <w:lang w:val="en-US" w:eastAsia="zh-CN"/>
              </w:rPr>
              <w:t>30</w:t>
            </w:r>
            <w:r>
              <w:rPr>
                <w:rFonts w:hint="default" w:ascii="宋体" w:hAnsi="宋体" w:eastAsia="宋体"/>
                <w:b w:val="0"/>
                <w:color w:val="auto"/>
                <w:sz w:val="24"/>
                <w:highlight w:val="none"/>
                <w:u w:val="single"/>
              </w:rPr>
              <w:t xml:space="preserve"> </w:t>
            </w:r>
            <w:r>
              <w:rPr>
                <w:rFonts w:hint="eastAsia" w:ascii="宋体" w:hAnsi="宋体" w:eastAsia="宋体"/>
                <w:b w:val="0"/>
                <w:color w:val="auto"/>
                <w:sz w:val="24"/>
                <w:highlight w:val="none"/>
              </w:rPr>
              <w:t>分</w:t>
            </w:r>
          </w:p>
        </w:tc>
      </w:tr>
      <w:tr w14:paraId="40E9F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2C0E09A7">
            <w:pPr>
              <w:pStyle w:val="42"/>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lang w:val="en-US" w:eastAsia="zh-CN"/>
              </w:rPr>
              <w:t>7</w:t>
            </w:r>
            <w:r>
              <w:rPr>
                <w:rFonts w:hint="default" w:ascii="宋体" w:hAnsi="宋体" w:eastAsia="宋体"/>
                <w:bCs/>
                <w:color w:val="auto"/>
                <w:kern w:val="2"/>
                <w:highlight w:val="none"/>
              </w:rPr>
              <w:t>.1</w:t>
            </w:r>
          </w:p>
        </w:tc>
        <w:tc>
          <w:tcPr>
            <w:tcW w:w="1174" w:type="pct"/>
            <w:vAlign w:val="center"/>
          </w:tcPr>
          <w:p w14:paraId="60B28958">
            <w:pPr>
              <w:pStyle w:val="41"/>
              <w:keepNext w:val="0"/>
              <w:keepLines w:val="0"/>
              <w:widowControl w:val="0"/>
              <w:suppressLineNumbers w:val="0"/>
              <w:spacing w:before="0" w:beforeAutospacing="0" w:after="0" w:afterAutospacing="0"/>
              <w:ind w:left="0" w:right="0"/>
              <w:jc w:val="left"/>
              <w:rPr>
                <w:rFonts w:hint="default" w:ascii="宋体" w:hAnsi="宋体" w:eastAsia="宋体"/>
                <w:b w:val="0"/>
                <w:color w:val="auto"/>
                <w:sz w:val="24"/>
                <w:highlight w:val="none"/>
              </w:rPr>
            </w:pPr>
            <w:r>
              <w:rPr>
                <w:rFonts w:hint="eastAsia" w:ascii="宋体" w:hAnsi="宋体" w:eastAsia="宋体"/>
                <w:b w:val="0"/>
                <w:color w:val="auto"/>
                <w:sz w:val="24"/>
                <w:highlight w:val="none"/>
              </w:rPr>
              <w:t>包别划分</w:t>
            </w:r>
          </w:p>
        </w:tc>
        <w:tc>
          <w:tcPr>
            <w:tcW w:w="3244" w:type="pct"/>
            <w:vAlign w:val="center"/>
          </w:tcPr>
          <w:p w14:paraId="54BDDA71">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bCs w:val="0"/>
                <w:color w:val="auto"/>
                <w:sz w:val="24"/>
                <w:szCs w:val="24"/>
                <w:highlight w:val="none"/>
                <w:lang w:eastAsia="zh-CN"/>
              </w:rPr>
              <w:t>☑</w:t>
            </w:r>
            <w:r>
              <w:rPr>
                <w:rFonts w:hint="default" w:ascii="宋体" w:hAnsi="宋体" w:eastAsia="宋体"/>
                <w:b w:val="0"/>
                <w:color w:val="auto"/>
                <w:sz w:val="24"/>
                <w:highlight w:val="none"/>
              </w:rPr>
              <w:t>不分包     □分为</w:t>
            </w:r>
            <w:r>
              <w:rPr>
                <w:rFonts w:hint="default" w:ascii="宋体" w:hAnsi="宋体" w:eastAsia="宋体"/>
                <w:b w:val="0"/>
                <w:color w:val="auto"/>
                <w:sz w:val="24"/>
                <w:highlight w:val="none"/>
                <w:u w:val="single"/>
              </w:rPr>
              <w:t xml:space="preserve"> </w:t>
            </w:r>
            <w:r>
              <w:rPr>
                <w:rFonts w:hint="eastAsia" w:ascii="宋体" w:hAnsi="宋体" w:eastAsia="宋体"/>
                <w:b w:val="0"/>
                <w:color w:val="auto"/>
                <w:sz w:val="24"/>
                <w:highlight w:val="none"/>
                <w:u w:val="single"/>
                <w:lang w:val="en-US" w:eastAsia="zh-CN"/>
              </w:rPr>
              <w:t>/</w:t>
            </w:r>
            <w:r>
              <w:rPr>
                <w:rFonts w:hint="default" w:ascii="宋体" w:hAnsi="宋体" w:eastAsia="宋体"/>
                <w:b w:val="0"/>
                <w:color w:val="auto"/>
                <w:sz w:val="24"/>
                <w:highlight w:val="none"/>
                <w:u w:val="single"/>
              </w:rPr>
              <w:t xml:space="preserve"> </w:t>
            </w:r>
            <w:r>
              <w:rPr>
                <w:rFonts w:hint="default" w:ascii="宋体" w:hAnsi="宋体" w:eastAsia="宋体"/>
                <w:b w:val="0"/>
                <w:color w:val="auto"/>
                <w:sz w:val="24"/>
                <w:highlight w:val="none"/>
              </w:rPr>
              <w:t>个包</w:t>
            </w:r>
          </w:p>
          <w:p w14:paraId="3880D049">
            <w:pPr>
              <w:pStyle w:val="41"/>
              <w:keepNext w:val="0"/>
              <w:keepLines w:val="0"/>
              <w:widowControl w:val="0"/>
              <w:suppressLineNumbers w:val="0"/>
              <w:spacing w:before="0" w:beforeAutospacing="0" w:after="0" w:afterAutospacing="0"/>
              <w:ind w:left="0" w:right="0"/>
              <w:jc w:val="both"/>
              <w:rPr>
                <w:rFonts w:hint="default" w:ascii="宋体" w:hAnsi="宋体" w:eastAsia="宋体"/>
                <w:b w:val="0"/>
                <w:color w:val="auto"/>
                <w:sz w:val="24"/>
                <w:highlight w:val="none"/>
                <w:u w:val="single"/>
              </w:rPr>
            </w:pPr>
            <w:r>
              <w:rPr>
                <w:rFonts w:hint="eastAsia" w:ascii="宋体" w:hAnsi="宋体" w:eastAsia="宋体"/>
                <w:b w:val="0"/>
                <w:color w:val="auto"/>
                <w:sz w:val="24"/>
                <w:highlight w:val="none"/>
              </w:rPr>
              <w:t>投标人对多个包进行投标的中标</w:t>
            </w:r>
            <w:r>
              <w:rPr>
                <w:rFonts w:hint="default" w:ascii="宋体" w:hAnsi="宋体" w:eastAsia="宋体"/>
                <w:b w:val="0"/>
                <w:color w:val="auto"/>
                <w:sz w:val="24"/>
                <w:highlight w:val="none"/>
              </w:rPr>
              <w:t>包</w:t>
            </w:r>
            <w:r>
              <w:rPr>
                <w:rFonts w:hint="eastAsia" w:ascii="宋体" w:hAnsi="宋体" w:eastAsia="宋体"/>
                <w:b w:val="0"/>
                <w:color w:val="auto"/>
                <w:sz w:val="24"/>
                <w:highlight w:val="none"/>
              </w:rPr>
              <w:t>数规定：</w:t>
            </w:r>
            <w:r>
              <w:rPr>
                <w:rFonts w:hint="eastAsia" w:ascii="宋体" w:hAnsi="宋体" w:eastAsia="宋体"/>
                <w:b w:val="0"/>
                <w:bCs w:val="0"/>
                <w:color w:val="auto"/>
                <w:sz w:val="24"/>
                <w:szCs w:val="18"/>
                <w:highlight w:val="none"/>
                <w:u w:val="single"/>
              </w:rPr>
              <w:t xml:space="preserve"> </w:t>
            </w:r>
            <w:r>
              <w:rPr>
                <w:rFonts w:hint="default" w:ascii="宋体" w:hAnsi="宋体" w:eastAsia="宋体"/>
                <w:b w:val="0"/>
                <w:bCs w:val="0"/>
                <w:color w:val="auto"/>
                <w:sz w:val="24"/>
                <w:szCs w:val="18"/>
                <w:highlight w:val="none"/>
                <w:u w:val="single"/>
              </w:rPr>
              <w:t xml:space="preserve"> </w:t>
            </w:r>
            <w:r>
              <w:rPr>
                <w:rFonts w:hint="eastAsia" w:ascii="宋体" w:hAnsi="宋体" w:eastAsia="宋体"/>
                <w:b w:val="0"/>
                <w:bCs w:val="0"/>
                <w:color w:val="auto"/>
                <w:sz w:val="24"/>
                <w:szCs w:val="18"/>
                <w:highlight w:val="none"/>
                <w:u w:val="single"/>
              </w:rPr>
              <w:t>/</w:t>
            </w:r>
            <w:r>
              <w:rPr>
                <w:rFonts w:hint="default" w:ascii="宋体" w:hAnsi="宋体" w:eastAsia="宋体"/>
                <w:b w:val="0"/>
                <w:bCs w:val="0"/>
                <w:color w:val="auto"/>
                <w:sz w:val="24"/>
                <w:szCs w:val="18"/>
                <w:highlight w:val="none"/>
                <w:u w:val="single"/>
              </w:rPr>
              <w:t xml:space="preserve">    </w:t>
            </w:r>
          </w:p>
        </w:tc>
      </w:tr>
      <w:tr w14:paraId="0B0BB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581" w:type="pct"/>
            <w:vAlign w:val="center"/>
          </w:tcPr>
          <w:p w14:paraId="3D8E0E45">
            <w:pPr>
              <w:pStyle w:val="42"/>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rPr>
              <w:t>1</w:t>
            </w:r>
            <w:r>
              <w:rPr>
                <w:rFonts w:hint="eastAsia" w:ascii="宋体" w:hAnsi="宋体" w:eastAsia="宋体"/>
                <w:bCs/>
                <w:color w:val="auto"/>
                <w:kern w:val="2"/>
                <w:highlight w:val="none"/>
                <w:lang w:val="en-US" w:eastAsia="zh-CN"/>
              </w:rPr>
              <w:t>0</w:t>
            </w:r>
            <w:r>
              <w:rPr>
                <w:rFonts w:hint="default" w:ascii="宋体" w:hAnsi="宋体" w:eastAsia="宋体"/>
                <w:bCs/>
                <w:color w:val="auto"/>
                <w:kern w:val="2"/>
                <w:highlight w:val="none"/>
              </w:rPr>
              <w:t>.1</w:t>
            </w:r>
          </w:p>
        </w:tc>
        <w:tc>
          <w:tcPr>
            <w:tcW w:w="1174" w:type="pct"/>
            <w:vAlign w:val="center"/>
          </w:tcPr>
          <w:p w14:paraId="5E2AF00E">
            <w:pPr>
              <w:pStyle w:val="41"/>
              <w:keepNext w:val="0"/>
              <w:keepLines w:val="0"/>
              <w:widowControl w:val="0"/>
              <w:suppressLineNumbers w:val="0"/>
              <w:spacing w:before="0" w:beforeAutospacing="0" w:after="0" w:afterAutospacing="0" w:line="360" w:lineRule="auto"/>
              <w:ind w:left="0" w:right="0"/>
              <w:jc w:val="left"/>
              <w:rPr>
                <w:rFonts w:hint="default" w:ascii="宋体" w:hAnsi="宋体" w:eastAsia="宋体"/>
                <w:b w:val="0"/>
                <w:color w:val="auto"/>
                <w:sz w:val="24"/>
                <w:highlight w:val="none"/>
              </w:rPr>
            </w:pPr>
            <w:r>
              <w:rPr>
                <w:rFonts w:hint="eastAsia" w:ascii="宋体" w:hAnsi="宋体" w:eastAsia="宋体"/>
                <w:b w:val="0"/>
                <w:color w:val="auto"/>
                <w:sz w:val="24"/>
                <w:highlight w:val="none"/>
              </w:rPr>
              <w:t>投标保证金</w:t>
            </w:r>
          </w:p>
        </w:tc>
        <w:tc>
          <w:tcPr>
            <w:tcW w:w="3244" w:type="pct"/>
            <w:vAlign w:val="center"/>
          </w:tcPr>
          <w:p w14:paraId="12B3035A">
            <w:pPr>
              <w:keepNext w:val="0"/>
              <w:keepLines w:val="0"/>
              <w:suppressLineNumbers w:val="0"/>
              <w:spacing w:before="0" w:beforeAutospacing="0" w:after="0" w:afterAutospacing="0" w:line="360" w:lineRule="auto"/>
              <w:ind w:left="0" w:right="0"/>
              <w:rPr>
                <w:rFonts w:hint="default"/>
                <w:color w:val="auto"/>
                <w:szCs w:val="20"/>
                <w:highlight w:val="none"/>
              </w:rPr>
            </w:pPr>
            <w:r>
              <w:rPr>
                <w:rFonts w:hint="eastAsia" w:ascii="宋体" w:hAnsi="宋体" w:eastAsia="宋体"/>
                <w:bCs/>
                <w:color w:val="auto"/>
                <w:kern w:val="0"/>
                <w:sz w:val="24"/>
                <w:szCs w:val="28"/>
                <w:highlight w:val="none"/>
              </w:rPr>
              <w:t>不收取</w:t>
            </w:r>
          </w:p>
        </w:tc>
      </w:tr>
      <w:tr w14:paraId="6EBCD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304AF87D">
            <w:pPr>
              <w:pStyle w:val="42"/>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rPr>
              <w:t>1</w:t>
            </w:r>
            <w:r>
              <w:rPr>
                <w:rFonts w:hint="eastAsia" w:ascii="宋体" w:hAnsi="宋体" w:eastAsia="宋体"/>
                <w:bCs/>
                <w:color w:val="auto"/>
                <w:kern w:val="2"/>
                <w:highlight w:val="none"/>
                <w:lang w:val="en-US" w:eastAsia="zh-CN"/>
              </w:rPr>
              <w:t>1</w:t>
            </w:r>
            <w:r>
              <w:rPr>
                <w:rFonts w:hint="default" w:ascii="宋体" w:hAnsi="宋体" w:eastAsia="宋体"/>
                <w:bCs/>
                <w:color w:val="auto"/>
                <w:kern w:val="2"/>
                <w:highlight w:val="none"/>
              </w:rPr>
              <w:t>.1</w:t>
            </w:r>
          </w:p>
        </w:tc>
        <w:tc>
          <w:tcPr>
            <w:tcW w:w="1174" w:type="pct"/>
            <w:vAlign w:val="center"/>
          </w:tcPr>
          <w:p w14:paraId="1CDCD482">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投标有效期</w:t>
            </w:r>
          </w:p>
        </w:tc>
        <w:tc>
          <w:tcPr>
            <w:tcW w:w="3244" w:type="pct"/>
            <w:vAlign w:val="center"/>
          </w:tcPr>
          <w:p w14:paraId="0DDE922F">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u w:val="single"/>
              </w:rPr>
              <w:t xml:space="preserve"> </w:t>
            </w:r>
            <w:r>
              <w:rPr>
                <w:rFonts w:hint="eastAsia" w:ascii="宋体" w:hAnsi="宋体" w:eastAsia="宋体"/>
                <w:b w:val="0"/>
                <w:color w:val="auto"/>
                <w:sz w:val="24"/>
                <w:highlight w:val="none"/>
                <w:u w:val="single"/>
                <w:lang w:val="en-US" w:eastAsia="zh-CN"/>
              </w:rPr>
              <w:t xml:space="preserve">90 </w:t>
            </w:r>
            <w:r>
              <w:rPr>
                <w:rFonts w:hint="eastAsia" w:ascii="宋体" w:hAnsi="宋体" w:eastAsia="宋体"/>
                <w:b w:val="0"/>
                <w:color w:val="auto"/>
                <w:sz w:val="24"/>
                <w:highlight w:val="none"/>
              </w:rPr>
              <w:t>日历日</w:t>
            </w:r>
          </w:p>
        </w:tc>
      </w:tr>
      <w:tr w14:paraId="0D3FA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317B4BAB">
            <w:pPr>
              <w:pStyle w:val="42"/>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eastAsia" w:ascii="宋体" w:hAnsi="宋体" w:eastAsia="宋体"/>
                <w:bCs/>
                <w:color w:val="auto"/>
                <w:kern w:val="2"/>
                <w:highlight w:val="none"/>
                <w:lang w:eastAsia="zh-CN"/>
              </w:rPr>
            </w:pPr>
            <w:r>
              <w:rPr>
                <w:rFonts w:hint="eastAsia" w:ascii="宋体" w:hAnsi="宋体" w:eastAsia="宋体"/>
                <w:bCs/>
                <w:color w:val="auto"/>
                <w:kern w:val="2"/>
                <w:highlight w:val="none"/>
              </w:rPr>
              <w:t>1</w:t>
            </w:r>
            <w:r>
              <w:rPr>
                <w:rFonts w:hint="eastAsia" w:ascii="宋体" w:hAnsi="宋体" w:eastAsia="宋体"/>
                <w:bCs/>
                <w:color w:val="auto"/>
                <w:kern w:val="2"/>
                <w:highlight w:val="none"/>
                <w:lang w:val="en-US" w:eastAsia="zh-CN"/>
              </w:rPr>
              <w:t>3</w:t>
            </w:r>
            <w:r>
              <w:rPr>
                <w:rFonts w:hint="default" w:ascii="宋体" w:hAnsi="宋体" w:eastAsia="宋体"/>
                <w:bCs/>
                <w:color w:val="auto"/>
                <w:kern w:val="2"/>
                <w:highlight w:val="none"/>
              </w:rPr>
              <w:t>.</w:t>
            </w:r>
            <w:r>
              <w:rPr>
                <w:rFonts w:hint="eastAsia" w:ascii="宋体" w:hAnsi="宋体" w:eastAsia="宋体"/>
                <w:bCs/>
                <w:color w:val="auto"/>
                <w:kern w:val="2"/>
                <w:highlight w:val="none"/>
                <w:lang w:val="en-US" w:eastAsia="zh-CN"/>
              </w:rPr>
              <w:t>1</w:t>
            </w:r>
          </w:p>
        </w:tc>
        <w:tc>
          <w:tcPr>
            <w:tcW w:w="1174" w:type="pct"/>
            <w:vAlign w:val="center"/>
          </w:tcPr>
          <w:p w14:paraId="018309B9">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投标文件解密时间</w:t>
            </w:r>
          </w:p>
        </w:tc>
        <w:tc>
          <w:tcPr>
            <w:tcW w:w="3244" w:type="pct"/>
            <w:vAlign w:val="center"/>
          </w:tcPr>
          <w:p w14:paraId="09D73816">
            <w:pPr>
              <w:pStyle w:val="41"/>
              <w:keepNext w:val="0"/>
              <w:keepLines w:val="0"/>
              <w:widowControl w:val="0"/>
              <w:suppressLineNumbers w:val="0"/>
              <w:spacing w:before="0" w:beforeAutospacing="0" w:after="0" w:afterAutospacing="0" w:line="360" w:lineRule="auto"/>
              <w:ind w:left="0" w:right="0"/>
              <w:jc w:val="both"/>
              <w:rPr>
                <w:rFonts w:hint="eastAsia" w:ascii="宋体" w:hAnsi="宋体" w:eastAsia="宋体"/>
                <w:b w:val="0"/>
                <w:color w:val="auto"/>
                <w:sz w:val="24"/>
                <w:highlight w:val="none"/>
                <w:u w:val="single"/>
                <w:lang w:val="en-US" w:eastAsia="zh-CN"/>
              </w:rPr>
            </w:pPr>
            <w:r>
              <w:rPr>
                <w:rFonts w:hint="eastAsia" w:ascii="宋体" w:hAnsi="宋体" w:eastAsia="宋体"/>
                <w:b w:val="0"/>
                <w:color w:val="auto"/>
                <w:sz w:val="24"/>
                <w:highlight w:val="none"/>
                <w:u w:val="none"/>
              </w:rPr>
              <w:t>投标截止时间后</w:t>
            </w:r>
            <w:r>
              <w:rPr>
                <w:rFonts w:hint="eastAsia" w:ascii="宋体" w:hAnsi="宋体" w:eastAsia="宋体"/>
                <w:b w:val="0"/>
                <w:color w:val="auto"/>
                <w:sz w:val="24"/>
                <w:highlight w:val="none"/>
                <w:u w:val="single"/>
                <w:lang w:val="en-US" w:eastAsia="zh-CN"/>
              </w:rPr>
              <w:t xml:space="preserve"> 60 </w:t>
            </w:r>
            <w:r>
              <w:rPr>
                <w:rFonts w:hint="eastAsia" w:ascii="宋体" w:hAnsi="宋体" w:eastAsia="宋体"/>
                <w:b w:val="0"/>
                <w:color w:val="auto"/>
                <w:sz w:val="24"/>
                <w:highlight w:val="none"/>
                <w:u w:val="none"/>
              </w:rPr>
              <w:t>分钟内</w:t>
            </w:r>
          </w:p>
        </w:tc>
      </w:tr>
      <w:tr w14:paraId="2F879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1EF71177">
            <w:pPr>
              <w:pStyle w:val="42"/>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rPr>
              <w:t>1</w:t>
            </w:r>
            <w:r>
              <w:rPr>
                <w:rFonts w:hint="eastAsia" w:ascii="宋体" w:hAnsi="宋体" w:eastAsia="宋体"/>
                <w:bCs/>
                <w:color w:val="auto"/>
                <w:kern w:val="2"/>
                <w:highlight w:val="none"/>
                <w:lang w:val="en-US" w:eastAsia="zh-CN"/>
              </w:rPr>
              <w:t>4</w:t>
            </w:r>
            <w:r>
              <w:rPr>
                <w:rFonts w:hint="eastAsia" w:ascii="宋体" w:hAnsi="宋体" w:eastAsia="宋体"/>
                <w:bCs/>
                <w:color w:val="auto"/>
                <w:kern w:val="2"/>
                <w:highlight w:val="none"/>
              </w:rPr>
              <w:t>.1</w:t>
            </w:r>
          </w:p>
        </w:tc>
        <w:tc>
          <w:tcPr>
            <w:tcW w:w="1174" w:type="pct"/>
            <w:vAlign w:val="center"/>
          </w:tcPr>
          <w:p w14:paraId="6D31BB10">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资格审查</w:t>
            </w:r>
          </w:p>
        </w:tc>
        <w:tc>
          <w:tcPr>
            <w:tcW w:w="3244" w:type="pct"/>
            <w:vAlign w:val="center"/>
          </w:tcPr>
          <w:p w14:paraId="05062135">
            <w:pPr>
              <w:pStyle w:val="41"/>
              <w:keepNext w:val="0"/>
              <w:keepLines w:val="0"/>
              <w:widowControl w:val="0"/>
              <w:suppressLineNumbers w:val="0"/>
              <w:spacing w:before="0" w:beforeAutospacing="0" w:after="0" w:afterAutospacing="0" w:line="360" w:lineRule="auto"/>
              <w:ind w:left="0" w:right="0"/>
              <w:jc w:val="both"/>
              <w:rPr>
                <w:rFonts w:hint="eastAsia" w:ascii="宋体" w:hAnsi="宋体" w:eastAsia="宋体"/>
                <w:b w:val="0"/>
                <w:bCs w:val="0"/>
                <w:color w:val="auto"/>
                <w:sz w:val="24"/>
                <w:highlight w:val="none"/>
              </w:rPr>
            </w:pPr>
            <w:r>
              <w:rPr>
                <w:rFonts w:hint="eastAsia" w:ascii="宋体" w:hAnsi="宋体" w:eastAsia="宋体"/>
                <w:b w:val="0"/>
                <w:bCs w:val="0"/>
                <w:color w:val="auto"/>
                <w:sz w:val="24"/>
                <w:szCs w:val="24"/>
                <w:highlight w:val="none"/>
                <w:lang w:eastAsia="zh-CN"/>
              </w:rPr>
              <w:t>☑</w:t>
            </w:r>
            <w:r>
              <w:rPr>
                <w:rFonts w:hint="eastAsia" w:ascii="宋体" w:hAnsi="宋体" w:eastAsia="宋体"/>
                <w:b w:val="0"/>
                <w:bCs w:val="0"/>
                <w:color w:val="auto"/>
                <w:sz w:val="24"/>
                <w:highlight w:val="none"/>
              </w:rPr>
              <w:t>采购人审查</w:t>
            </w:r>
          </w:p>
          <w:p w14:paraId="1DB4A6C8">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u w:val="single"/>
              </w:rPr>
            </w:pPr>
            <w:r>
              <w:rPr>
                <w:rFonts w:hint="default" w:ascii="宋体" w:hAnsi="宋体" w:eastAsia="宋体"/>
                <w:b w:val="0"/>
                <w:bCs w:val="0"/>
                <w:color w:val="auto"/>
                <w:sz w:val="24"/>
                <w:szCs w:val="24"/>
                <w:highlight w:val="none"/>
              </w:rPr>
              <w:t>□</w:t>
            </w:r>
            <w:r>
              <w:rPr>
                <w:rFonts w:hint="eastAsia" w:ascii="宋体" w:hAnsi="宋体" w:eastAsia="宋体"/>
                <w:b w:val="0"/>
                <w:bCs w:val="0"/>
                <w:color w:val="auto"/>
                <w:sz w:val="24"/>
                <w:highlight w:val="none"/>
              </w:rPr>
              <w:t>采购人出具委托函委托采购代理机构进行审查</w:t>
            </w:r>
          </w:p>
        </w:tc>
      </w:tr>
      <w:tr w14:paraId="34B55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20F0ED9D">
            <w:pPr>
              <w:pStyle w:val="42"/>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lang w:val="en-US" w:eastAsia="zh-CN"/>
              </w:rPr>
              <w:t>17</w:t>
            </w:r>
            <w:r>
              <w:rPr>
                <w:rFonts w:hint="default" w:ascii="宋体" w:hAnsi="宋体" w:eastAsia="宋体"/>
                <w:bCs/>
                <w:color w:val="auto"/>
                <w:kern w:val="2"/>
                <w:highlight w:val="none"/>
              </w:rPr>
              <w:t>.2</w:t>
            </w:r>
          </w:p>
        </w:tc>
        <w:tc>
          <w:tcPr>
            <w:tcW w:w="1174" w:type="pct"/>
            <w:vAlign w:val="center"/>
          </w:tcPr>
          <w:p w14:paraId="7096BC39">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评标方法</w:t>
            </w:r>
          </w:p>
        </w:tc>
        <w:tc>
          <w:tcPr>
            <w:tcW w:w="3244" w:type="pct"/>
            <w:vAlign w:val="center"/>
          </w:tcPr>
          <w:p w14:paraId="42929DE9">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u w:val="single"/>
              </w:rPr>
            </w:pPr>
            <w:r>
              <w:rPr>
                <w:rFonts w:hint="default" w:ascii="宋体" w:hAnsi="宋体" w:eastAsia="宋体"/>
                <w:b w:val="0"/>
                <w:bCs w:val="0"/>
                <w:color w:val="auto"/>
                <w:sz w:val="24"/>
                <w:szCs w:val="24"/>
                <w:highlight w:val="none"/>
              </w:rPr>
              <w:t>□</w:t>
            </w:r>
            <w:r>
              <w:rPr>
                <w:rFonts w:hint="eastAsia" w:ascii="宋体" w:hAnsi="宋体" w:eastAsia="宋体"/>
                <w:b w:val="0"/>
                <w:color w:val="auto"/>
                <w:sz w:val="24"/>
                <w:highlight w:val="none"/>
                <w:u w:val="none"/>
              </w:rPr>
              <w:t>最低评标价法</w:t>
            </w:r>
          </w:p>
          <w:p w14:paraId="3004EA74">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bCs w:val="0"/>
                <w:color w:val="auto"/>
                <w:sz w:val="24"/>
                <w:szCs w:val="24"/>
                <w:highlight w:val="none"/>
                <w:lang w:eastAsia="zh-CN"/>
              </w:rPr>
              <w:t>☑</w:t>
            </w:r>
            <w:r>
              <w:rPr>
                <w:rFonts w:hint="eastAsia" w:ascii="宋体" w:hAnsi="宋体" w:eastAsia="宋体"/>
                <w:b w:val="0"/>
                <w:color w:val="auto"/>
                <w:sz w:val="24"/>
                <w:highlight w:val="none"/>
                <w:u w:val="none"/>
              </w:rPr>
              <w:t>综合评分法</w:t>
            </w:r>
          </w:p>
        </w:tc>
      </w:tr>
      <w:tr w14:paraId="40232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5CF5BF7B">
            <w:pPr>
              <w:pStyle w:val="42"/>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lang w:val="en-US" w:eastAsia="zh-CN"/>
              </w:rPr>
              <w:t>17</w:t>
            </w:r>
            <w:r>
              <w:rPr>
                <w:rFonts w:hint="default" w:ascii="宋体" w:hAnsi="宋体" w:eastAsia="宋体"/>
                <w:bCs/>
                <w:color w:val="auto"/>
                <w:kern w:val="2"/>
                <w:highlight w:val="none"/>
              </w:rPr>
              <w:t>.3</w:t>
            </w:r>
          </w:p>
        </w:tc>
        <w:tc>
          <w:tcPr>
            <w:tcW w:w="1174" w:type="pct"/>
            <w:vAlign w:val="center"/>
          </w:tcPr>
          <w:p w14:paraId="7A389318">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i/>
                <w:color w:val="auto"/>
                <w:sz w:val="24"/>
                <w:highlight w:val="none"/>
              </w:rPr>
            </w:pPr>
            <w:r>
              <w:rPr>
                <w:rFonts w:hint="eastAsia" w:ascii="宋体" w:hAnsi="宋体" w:eastAsia="宋体"/>
                <w:b w:val="0"/>
                <w:color w:val="auto"/>
                <w:sz w:val="24"/>
                <w:highlight w:val="none"/>
              </w:rPr>
              <w:t>报价扣除</w:t>
            </w:r>
          </w:p>
        </w:tc>
        <w:tc>
          <w:tcPr>
            <w:tcW w:w="3244" w:type="pct"/>
            <w:vAlign w:val="center"/>
          </w:tcPr>
          <w:p w14:paraId="33547318">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（1）</w:t>
            </w:r>
            <w:r>
              <w:rPr>
                <w:rFonts w:hint="default" w:ascii="宋体" w:hAnsi="宋体" w:eastAsia="宋体"/>
                <w:b w:val="0"/>
                <w:color w:val="auto"/>
                <w:sz w:val="24"/>
                <w:highlight w:val="none"/>
              </w:rPr>
              <w:t>小型和微型</w:t>
            </w:r>
            <w:r>
              <w:rPr>
                <w:rFonts w:hint="eastAsia" w:ascii="宋体" w:hAnsi="宋体" w:eastAsia="宋体"/>
                <w:b w:val="0"/>
                <w:color w:val="auto"/>
                <w:sz w:val="24"/>
                <w:highlight w:val="none"/>
              </w:rPr>
              <w:t>企业价格扣除：</w:t>
            </w:r>
            <w:r>
              <w:rPr>
                <w:rFonts w:hint="eastAsia" w:ascii="宋体" w:hAnsi="宋体" w:eastAsia="宋体"/>
                <w:b w:val="0"/>
                <w:color w:val="auto"/>
                <w:sz w:val="24"/>
                <w:highlight w:val="none"/>
                <w:u w:val="single"/>
                <w:lang w:val="en-US" w:eastAsia="zh-CN"/>
              </w:rPr>
              <w:t>对小型和微型企业产品的价格给予10%的扣除后参与评审，其评审价=投标报价*90%</w:t>
            </w:r>
            <w:r>
              <w:rPr>
                <w:rFonts w:hint="eastAsia" w:ascii="宋体" w:hAnsi="宋体" w:eastAsia="宋体"/>
                <w:b w:val="0"/>
                <w:color w:val="auto"/>
                <w:sz w:val="24"/>
                <w:highlight w:val="none"/>
              </w:rPr>
              <w:t>。</w:t>
            </w:r>
          </w:p>
          <w:p w14:paraId="574AA586">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（2）监狱企业价格扣除：</w:t>
            </w:r>
            <w:r>
              <w:rPr>
                <w:rFonts w:hint="eastAsia" w:ascii="宋体" w:hAnsi="宋体" w:eastAsia="宋体"/>
                <w:b w:val="0"/>
                <w:color w:val="auto"/>
                <w:sz w:val="24"/>
                <w:highlight w:val="none"/>
                <w:u w:val="single"/>
              </w:rPr>
              <w:t>同</w:t>
            </w:r>
            <w:r>
              <w:rPr>
                <w:rFonts w:hint="default" w:ascii="宋体" w:hAnsi="宋体" w:eastAsia="宋体"/>
                <w:b w:val="0"/>
                <w:color w:val="auto"/>
                <w:sz w:val="24"/>
                <w:highlight w:val="none"/>
                <w:u w:val="single"/>
              </w:rPr>
              <w:t>小型和微型企业</w:t>
            </w:r>
            <w:r>
              <w:rPr>
                <w:rFonts w:hint="eastAsia" w:ascii="宋体" w:hAnsi="宋体" w:eastAsia="宋体"/>
                <w:b w:val="0"/>
                <w:color w:val="auto"/>
                <w:sz w:val="24"/>
                <w:highlight w:val="none"/>
                <w:u w:val="single"/>
              </w:rPr>
              <w:t>。</w:t>
            </w:r>
          </w:p>
          <w:p w14:paraId="4F64E6C9">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（3）残疾人福利性单位价格扣除：</w:t>
            </w:r>
            <w:r>
              <w:rPr>
                <w:rFonts w:hint="eastAsia" w:ascii="宋体" w:hAnsi="宋体" w:eastAsia="宋体"/>
                <w:b w:val="0"/>
                <w:color w:val="auto"/>
                <w:sz w:val="24"/>
                <w:highlight w:val="none"/>
                <w:u w:val="single"/>
              </w:rPr>
              <w:t>同</w:t>
            </w:r>
            <w:r>
              <w:rPr>
                <w:rFonts w:hint="default" w:ascii="宋体" w:hAnsi="宋体" w:eastAsia="宋体"/>
                <w:b w:val="0"/>
                <w:color w:val="auto"/>
                <w:sz w:val="24"/>
                <w:highlight w:val="none"/>
                <w:u w:val="single"/>
              </w:rPr>
              <w:t>小型和微型企业</w:t>
            </w:r>
            <w:r>
              <w:rPr>
                <w:rFonts w:hint="eastAsia" w:ascii="宋体" w:hAnsi="宋体" w:eastAsia="宋体"/>
                <w:b w:val="0"/>
                <w:color w:val="auto"/>
                <w:sz w:val="24"/>
                <w:highlight w:val="none"/>
                <w:u w:val="single"/>
              </w:rPr>
              <w:t>。</w:t>
            </w:r>
          </w:p>
          <w:p w14:paraId="6ADD9E4C">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（4）符合条件的联合体价格扣除：</w:t>
            </w:r>
            <w:r>
              <w:rPr>
                <w:rFonts w:hint="eastAsia" w:ascii="宋体" w:hAnsi="宋体" w:eastAsia="宋体"/>
                <w:b w:val="0"/>
                <w:color w:val="auto"/>
                <w:sz w:val="24"/>
                <w:highlight w:val="none"/>
                <w:u w:val="single"/>
                <w:lang w:val="en-US" w:eastAsia="zh-CN"/>
              </w:rPr>
              <w:t>联合体投标的，小型、微型企业的协议合同金额占联合体协议合同总金额30%以上的，价格给予联合体3%的扣除后参与评审，其评审价=投标报价*97%；联合体各方均为小型、微型企业的，联合体视同为小型、微型企业，其评审价按（1）款执行</w:t>
            </w:r>
            <w:r>
              <w:rPr>
                <w:rFonts w:hint="eastAsia" w:ascii="宋体" w:hAnsi="宋体" w:eastAsia="宋体"/>
                <w:b w:val="0"/>
                <w:color w:val="auto"/>
                <w:sz w:val="24"/>
                <w:highlight w:val="none"/>
              </w:rPr>
              <w:t>。</w:t>
            </w:r>
          </w:p>
          <w:p w14:paraId="1A0EE003">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（5）符合条件的向小微企业分包的大中型企业价格扣除：</w:t>
            </w:r>
            <w:r>
              <w:rPr>
                <w:rFonts w:hint="eastAsia" w:ascii="宋体" w:hAnsi="宋体" w:eastAsia="宋体"/>
                <w:b w:val="0"/>
                <w:color w:val="auto"/>
                <w:sz w:val="24"/>
                <w:highlight w:val="none"/>
                <w:u w:val="single"/>
                <w:lang w:val="en-US" w:eastAsia="zh-CN"/>
              </w:rPr>
              <w:t>允许大中型企业向一家或者多家小微企业分包的，对于分包意向协议约定小微企业的合同份额占到合同总金额30%以上的，给予大中型企业的投标报价按照3%标准扣除后的价格参与评审，其评审价=投标报价*97%</w:t>
            </w:r>
            <w:r>
              <w:rPr>
                <w:rFonts w:hint="eastAsia" w:ascii="宋体" w:hAnsi="宋体" w:eastAsia="宋体"/>
                <w:b w:val="0"/>
                <w:color w:val="auto"/>
                <w:sz w:val="24"/>
                <w:highlight w:val="none"/>
              </w:rPr>
              <w:t>。</w:t>
            </w:r>
            <w:r>
              <w:rPr>
                <w:rFonts w:hint="eastAsia" w:ascii="宋体" w:hAnsi="宋体" w:eastAsia="宋体"/>
                <w:b w:val="0"/>
                <w:i/>
                <w:color w:val="auto"/>
                <w:sz w:val="24"/>
                <w:highlight w:val="none"/>
              </w:rPr>
              <w:t>（允许大中型企业向小微企业分包的项目适用）</w:t>
            </w:r>
          </w:p>
        </w:tc>
      </w:tr>
      <w:tr w14:paraId="116C5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5A819615">
            <w:pPr>
              <w:pStyle w:val="42"/>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rPr>
              <w:t>2</w:t>
            </w:r>
            <w:r>
              <w:rPr>
                <w:rFonts w:hint="eastAsia" w:ascii="宋体" w:hAnsi="宋体" w:eastAsia="宋体"/>
                <w:bCs/>
                <w:color w:val="auto"/>
                <w:kern w:val="2"/>
                <w:highlight w:val="none"/>
                <w:lang w:val="en-US" w:eastAsia="zh-CN"/>
              </w:rPr>
              <w:t>1</w:t>
            </w:r>
            <w:r>
              <w:rPr>
                <w:rFonts w:hint="default" w:ascii="宋体" w:hAnsi="宋体" w:eastAsia="宋体"/>
                <w:bCs/>
                <w:color w:val="auto"/>
                <w:kern w:val="2"/>
                <w:highlight w:val="none"/>
              </w:rPr>
              <w:t>.</w:t>
            </w:r>
            <w:r>
              <w:rPr>
                <w:rFonts w:hint="eastAsia" w:ascii="宋体" w:hAnsi="宋体" w:eastAsia="宋体"/>
                <w:bCs/>
                <w:color w:val="auto"/>
                <w:kern w:val="2"/>
                <w:highlight w:val="none"/>
              </w:rPr>
              <w:t>1</w:t>
            </w:r>
          </w:p>
        </w:tc>
        <w:tc>
          <w:tcPr>
            <w:tcW w:w="1174" w:type="pct"/>
            <w:vAlign w:val="center"/>
          </w:tcPr>
          <w:p w14:paraId="221295B0">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评标委员会推荐</w:t>
            </w:r>
            <w:r>
              <w:rPr>
                <w:rFonts w:hint="default" w:ascii="宋体" w:hAnsi="宋体" w:eastAsia="宋体"/>
                <w:b w:val="0"/>
                <w:color w:val="auto"/>
                <w:sz w:val="24"/>
                <w:highlight w:val="none"/>
              </w:rPr>
              <w:t>中标候选</w:t>
            </w:r>
            <w:r>
              <w:rPr>
                <w:rFonts w:hint="eastAsia" w:ascii="宋体" w:hAnsi="宋体" w:eastAsia="宋体"/>
                <w:b w:val="0"/>
                <w:color w:val="auto"/>
                <w:sz w:val="24"/>
                <w:highlight w:val="none"/>
              </w:rPr>
              <w:t>人的</w:t>
            </w:r>
            <w:r>
              <w:rPr>
                <w:rFonts w:hint="default" w:ascii="宋体" w:hAnsi="宋体" w:eastAsia="宋体"/>
                <w:b w:val="0"/>
                <w:color w:val="auto"/>
                <w:sz w:val="24"/>
                <w:highlight w:val="none"/>
              </w:rPr>
              <w:t>数量</w:t>
            </w:r>
          </w:p>
        </w:tc>
        <w:tc>
          <w:tcPr>
            <w:tcW w:w="3244" w:type="pct"/>
            <w:vAlign w:val="center"/>
          </w:tcPr>
          <w:p w14:paraId="1D62FBB6">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u w:val="single"/>
              </w:rPr>
            </w:pPr>
            <w:r>
              <w:rPr>
                <w:rFonts w:hint="eastAsia" w:ascii="宋体" w:hAnsi="宋体" w:eastAsia="宋体"/>
                <w:b w:val="0"/>
                <w:color w:val="auto"/>
                <w:sz w:val="24"/>
                <w:highlight w:val="none"/>
                <w:u w:val="single"/>
                <w:lang w:val="en-US" w:eastAsia="zh-CN"/>
              </w:rPr>
              <w:t>推荐3名中标候选人</w:t>
            </w:r>
          </w:p>
        </w:tc>
      </w:tr>
      <w:tr w14:paraId="5382F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176A5EAB">
            <w:pPr>
              <w:pStyle w:val="42"/>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rPr>
              <w:t>2</w:t>
            </w:r>
            <w:r>
              <w:rPr>
                <w:rFonts w:hint="eastAsia" w:ascii="宋体" w:hAnsi="宋体" w:eastAsia="宋体"/>
                <w:bCs/>
                <w:color w:val="auto"/>
                <w:kern w:val="2"/>
                <w:highlight w:val="none"/>
                <w:lang w:val="en-US" w:eastAsia="zh-CN"/>
              </w:rPr>
              <w:t>1</w:t>
            </w:r>
            <w:r>
              <w:rPr>
                <w:rFonts w:hint="default" w:ascii="宋体" w:hAnsi="宋体" w:eastAsia="宋体"/>
                <w:bCs/>
                <w:color w:val="auto"/>
                <w:kern w:val="2"/>
                <w:highlight w:val="none"/>
              </w:rPr>
              <w:t>.</w:t>
            </w:r>
            <w:r>
              <w:rPr>
                <w:rFonts w:hint="eastAsia" w:ascii="宋体" w:hAnsi="宋体" w:eastAsia="宋体"/>
                <w:bCs/>
                <w:color w:val="auto"/>
                <w:kern w:val="2"/>
                <w:highlight w:val="none"/>
              </w:rPr>
              <w:t>2</w:t>
            </w:r>
          </w:p>
        </w:tc>
        <w:tc>
          <w:tcPr>
            <w:tcW w:w="1174" w:type="pct"/>
            <w:vAlign w:val="center"/>
          </w:tcPr>
          <w:p w14:paraId="6724FA50">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确定中标人</w:t>
            </w:r>
          </w:p>
        </w:tc>
        <w:tc>
          <w:tcPr>
            <w:tcW w:w="3244" w:type="pct"/>
            <w:vAlign w:val="center"/>
          </w:tcPr>
          <w:p w14:paraId="6FDB0931">
            <w:pPr>
              <w:keepNext w:val="0"/>
              <w:keepLines w:val="0"/>
              <w:suppressLineNumbers w:val="0"/>
              <w:spacing w:before="0" w:beforeAutospacing="0" w:after="0" w:afterAutospacing="0" w:line="360" w:lineRule="auto"/>
              <w:ind w:left="0" w:right="0"/>
              <w:rPr>
                <w:rFonts w:hint="default" w:asciiTheme="minorEastAsia" w:hAnsiTheme="minorEastAsia" w:eastAsiaTheme="minorEastAsia"/>
                <w:color w:val="auto"/>
                <w:kern w:val="0"/>
                <w:sz w:val="24"/>
                <w:szCs w:val="24"/>
                <w:highlight w:val="none"/>
              </w:rPr>
            </w:pPr>
            <w:r>
              <w:rPr>
                <w:rFonts w:hint="eastAsia" w:asciiTheme="minorEastAsia" w:hAnsiTheme="minorEastAsia" w:eastAsiaTheme="minorEastAsia"/>
                <w:b w:val="0"/>
                <w:bCs w:val="0"/>
                <w:color w:val="auto"/>
                <w:kern w:val="2"/>
                <w:sz w:val="24"/>
                <w:szCs w:val="24"/>
                <w:highlight w:val="none"/>
              </w:rPr>
              <w:t>□采购</w:t>
            </w:r>
            <w:r>
              <w:rPr>
                <w:rFonts w:hint="eastAsia" w:asciiTheme="minorEastAsia" w:hAnsiTheme="minorEastAsia" w:eastAsiaTheme="minorEastAsia"/>
                <w:color w:val="auto"/>
                <w:kern w:val="0"/>
                <w:sz w:val="24"/>
                <w:szCs w:val="24"/>
                <w:highlight w:val="none"/>
              </w:rPr>
              <w:t>人委托评标委员会确定</w:t>
            </w:r>
          </w:p>
          <w:p w14:paraId="14FF358A">
            <w:pPr>
              <w:keepNext w:val="0"/>
              <w:keepLines w:val="0"/>
              <w:suppressLineNumbers w:val="0"/>
              <w:spacing w:before="0" w:beforeAutospacing="0" w:after="0" w:afterAutospacing="0" w:line="360" w:lineRule="auto"/>
              <w:ind w:left="0" w:right="0"/>
              <w:rPr>
                <w:rFonts w:hint="default" w:ascii="宋体" w:hAnsi="宋体" w:eastAsia="宋体"/>
                <w:b w:val="0"/>
                <w:color w:val="auto"/>
                <w:sz w:val="24"/>
                <w:szCs w:val="20"/>
                <w:highlight w:val="none"/>
              </w:rPr>
            </w:pPr>
            <w:r>
              <w:rPr>
                <w:rFonts w:hint="eastAsia" w:asciiTheme="minorEastAsia" w:hAnsiTheme="minorEastAsia" w:eastAsiaTheme="minorEastAsia"/>
                <w:color w:val="auto"/>
                <w:kern w:val="0"/>
                <w:sz w:val="24"/>
                <w:szCs w:val="24"/>
                <w:highlight w:val="none"/>
              </w:rPr>
              <w:sym w:font="Wingdings" w:char="00FE"/>
            </w:r>
            <w:r>
              <w:rPr>
                <w:rFonts w:hint="eastAsia" w:asciiTheme="minorEastAsia" w:hAnsiTheme="minorEastAsia" w:eastAsiaTheme="minorEastAsia"/>
                <w:color w:val="auto"/>
                <w:kern w:val="0"/>
                <w:sz w:val="24"/>
                <w:szCs w:val="24"/>
                <w:highlight w:val="none"/>
              </w:rPr>
              <w:t>采购人确定</w:t>
            </w:r>
          </w:p>
        </w:tc>
      </w:tr>
      <w:tr w14:paraId="0226C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17B35E69">
            <w:pPr>
              <w:pStyle w:val="42"/>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default" w:ascii="宋体" w:hAnsi="宋体" w:eastAsia="宋体"/>
                <w:bCs/>
                <w:color w:val="auto"/>
                <w:kern w:val="2"/>
                <w:highlight w:val="none"/>
              </w:rPr>
              <w:t>2</w:t>
            </w:r>
            <w:r>
              <w:rPr>
                <w:rFonts w:hint="eastAsia" w:ascii="宋体" w:hAnsi="宋体" w:eastAsia="宋体"/>
                <w:bCs/>
                <w:color w:val="auto"/>
                <w:kern w:val="2"/>
                <w:highlight w:val="none"/>
                <w:lang w:val="en-US" w:eastAsia="zh-CN"/>
              </w:rPr>
              <w:t>3</w:t>
            </w:r>
            <w:r>
              <w:rPr>
                <w:rFonts w:hint="default" w:ascii="宋体" w:hAnsi="宋体" w:eastAsia="宋体"/>
                <w:bCs/>
                <w:color w:val="auto"/>
                <w:kern w:val="2"/>
                <w:highlight w:val="none"/>
              </w:rPr>
              <w:t>.3</w:t>
            </w:r>
          </w:p>
        </w:tc>
        <w:tc>
          <w:tcPr>
            <w:tcW w:w="1174" w:type="pct"/>
            <w:vAlign w:val="center"/>
          </w:tcPr>
          <w:p w14:paraId="3C549F15">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随中标结果公告同时</w:t>
            </w:r>
            <w:r>
              <w:rPr>
                <w:rFonts w:hint="eastAsia" w:ascii="宋体" w:hAnsi="宋体" w:eastAsia="宋体"/>
                <w:b w:val="0"/>
                <w:color w:val="auto"/>
                <w:sz w:val="24"/>
                <w:highlight w:val="none"/>
                <w:lang w:val="en-US" w:eastAsia="zh-CN"/>
              </w:rPr>
              <w:t>公告</w:t>
            </w:r>
            <w:r>
              <w:rPr>
                <w:rFonts w:hint="eastAsia" w:ascii="宋体" w:hAnsi="宋体" w:eastAsia="宋体"/>
                <w:b w:val="0"/>
                <w:color w:val="auto"/>
                <w:sz w:val="24"/>
                <w:highlight w:val="none"/>
              </w:rPr>
              <w:t>的内容</w:t>
            </w:r>
          </w:p>
        </w:tc>
        <w:tc>
          <w:tcPr>
            <w:tcW w:w="3244" w:type="pct"/>
            <w:vAlign w:val="center"/>
          </w:tcPr>
          <w:p w14:paraId="6DB478A1">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u w:val="none"/>
              </w:rPr>
            </w:pPr>
            <w:r>
              <w:rPr>
                <w:rFonts w:hint="eastAsia" w:ascii="宋体" w:hAnsi="宋体" w:eastAsia="宋体"/>
                <w:b w:val="0"/>
                <w:color w:val="auto"/>
                <w:sz w:val="24"/>
                <w:highlight w:val="none"/>
                <w:u w:val="none"/>
              </w:rPr>
              <w:t>（</w:t>
            </w:r>
            <w:r>
              <w:rPr>
                <w:rFonts w:hint="eastAsia" w:ascii="宋体" w:hAnsi="宋体" w:eastAsia="宋体"/>
                <w:b w:val="0"/>
                <w:color w:val="auto"/>
                <w:sz w:val="24"/>
                <w:highlight w:val="none"/>
                <w:u w:val="none"/>
                <w:lang w:val="en-US" w:eastAsia="zh-CN"/>
              </w:rPr>
              <w:t>1</w:t>
            </w:r>
            <w:r>
              <w:rPr>
                <w:rFonts w:hint="eastAsia" w:ascii="宋体" w:hAnsi="宋体" w:eastAsia="宋体"/>
                <w:b w:val="0"/>
                <w:color w:val="auto"/>
                <w:sz w:val="24"/>
                <w:highlight w:val="none"/>
                <w:u w:val="none"/>
              </w:rPr>
              <w:t>）中小企业声明函；</w:t>
            </w:r>
            <w:r>
              <w:rPr>
                <w:rFonts w:hint="eastAsia" w:ascii="宋体" w:hAnsi="宋体" w:eastAsia="宋体"/>
                <w:b w:val="0"/>
                <w:i/>
                <w:iCs/>
                <w:color w:val="auto"/>
                <w:sz w:val="24"/>
                <w:highlight w:val="none"/>
                <w:u w:val="none"/>
              </w:rPr>
              <w:t>（如有）</w:t>
            </w:r>
          </w:p>
          <w:p w14:paraId="45CC5E28">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i/>
                <w:color w:val="auto"/>
                <w:sz w:val="24"/>
                <w:highlight w:val="none"/>
                <w:u w:val="none"/>
              </w:rPr>
            </w:pPr>
            <w:r>
              <w:rPr>
                <w:rFonts w:hint="eastAsia" w:ascii="宋体" w:hAnsi="宋体" w:eastAsia="宋体"/>
                <w:b w:val="0"/>
                <w:color w:val="auto"/>
                <w:sz w:val="24"/>
                <w:highlight w:val="none"/>
                <w:u w:val="none"/>
              </w:rPr>
              <w:t>（</w:t>
            </w:r>
            <w:r>
              <w:rPr>
                <w:rFonts w:hint="eastAsia" w:ascii="宋体" w:hAnsi="宋体" w:eastAsia="宋体"/>
                <w:b w:val="0"/>
                <w:color w:val="auto"/>
                <w:sz w:val="24"/>
                <w:highlight w:val="none"/>
                <w:u w:val="none"/>
                <w:lang w:val="en-US" w:eastAsia="zh-CN"/>
              </w:rPr>
              <w:t>2</w:t>
            </w:r>
            <w:r>
              <w:rPr>
                <w:rFonts w:hint="eastAsia" w:ascii="宋体" w:hAnsi="宋体" w:eastAsia="宋体"/>
                <w:b w:val="0"/>
                <w:color w:val="auto"/>
                <w:sz w:val="24"/>
                <w:highlight w:val="none"/>
                <w:u w:val="none"/>
              </w:rPr>
              <w:t>）残疾人福利性单位声明函；</w:t>
            </w:r>
            <w:r>
              <w:rPr>
                <w:rFonts w:hint="eastAsia" w:ascii="宋体" w:hAnsi="宋体" w:eastAsia="宋体"/>
                <w:b w:val="0"/>
                <w:i/>
                <w:iCs/>
                <w:color w:val="auto"/>
                <w:sz w:val="24"/>
                <w:highlight w:val="none"/>
                <w:u w:val="none"/>
              </w:rPr>
              <w:t>（如有）</w:t>
            </w:r>
          </w:p>
          <w:p w14:paraId="1249065C">
            <w:pPr>
              <w:pStyle w:val="41"/>
              <w:keepNext w:val="0"/>
              <w:keepLines w:val="0"/>
              <w:widowControl w:val="0"/>
              <w:suppressLineNumbers w:val="0"/>
              <w:spacing w:before="0" w:beforeAutospacing="0" w:after="0" w:afterAutospacing="0" w:line="360" w:lineRule="auto"/>
              <w:ind w:left="0" w:right="0"/>
              <w:jc w:val="both"/>
              <w:rPr>
                <w:rFonts w:hint="eastAsia" w:ascii="宋体" w:hAnsi="宋体" w:eastAsia="宋体"/>
                <w:b w:val="0"/>
                <w:color w:val="auto"/>
                <w:sz w:val="24"/>
                <w:highlight w:val="none"/>
                <w:u w:val="none"/>
                <w:lang w:eastAsia="zh-CN"/>
              </w:rPr>
            </w:pPr>
            <w:r>
              <w:rPr>
                <w:rFonts w:hint="eastAsia" w:ascii="宋体" w:hAnsi="宋体" w:eastAsia="宋体"/>
                <w:b w:val="0"/>
                <w:color w:val="auto"/>
                <w:sz w:val="24"/>
                <w:highlight w:val="none"/>
                <w:u w:val="none"/>
              </w:rPr>
              <w:t>（</w:t>
            </w:r>
            <w:r>
              <w:rPr>
                <w:rFonts w:hint="eastAsia" w:ascii="宋体" w:hAnsi="宋体" w:eastAsia="宋体"/>
                <w:b w:val="0"/>
                <w:color w:val="auto"/>
                <w:sz w:val="24"/>
                <w:highlight w:val="none"/>
                <w:u w:val="none"/>
                <w:lang w:val="en-US" w:eastAsia="zh-CN"/>
              </w:rPr>
              <w:t>3</w:t>
            </w:r>
            <w:r>
              <w:rPr>
                <w:rFonts w:hint="eastAsia" w:ascii="宋体" w:hAnsi="宋体" w:eastAsia="宋体"/>
                <w:b w:val="0"/>
                <w:color w:val="auto"/>
                <w:sz w:val="24"/>
                <w:highlight w:val="none"/>
                <w:u w:val="none"/>
              </w:rPr>
              <w:t>）因落实政府采购政策等原因进行价格扣除后中标</w:t>
            </w: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rPr>
              <w:t>成交</w:t>
            </w: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rPr>
              <w:t>供应商的评审报价</w:t>
            </w:r>
            <w:r>
              <w:rPr>
                <w:rFonts w:hint="eastAsia" w:ascii="宋体" w:hAnsi="宋体" w:eastAsia="宋体"/>
                <w:b w:val="0"/>
                <w:i/>
                <w:iCs/>
                <w:color w:val="auto"/>
                <w:sz w:val="24"/>
                <w:highlight w:val="none"/>
                <w:u w:val="none"/>
                <w:lang w:eastAsia="zh-CN"/>
              </w:rPr>
              <w:t>（</w:t>
            </w:r>
            <w:r>
              <w:rPr>
                <w:rFonts w:hint="eastAsia" w:ascii="宋体" w:hAnsi="宋体" w:eastAsia="宋体"/>
                <w:b w:val="0"/>
                <w:i/>
                <w:iCs/>
                <w:color w:val="auto"/>
                <w:sz w:val="24"/>
                <w:highlight w:val="none"/>
                <w:u w:val="none"/>
                <w:lang w:val="en-US" w:eastAsia="zh-CN"/>
              </w:rPr>
              <w:t>适用最低评标价法</w:t>
            </w:r>
            <w:r>
              <w:rPr>
                <w:rFonts w:hint="eastAsia" w:ascii="宋体" w:hAnsi="宋体" w:eastAsia="宋体"/>
                <w:b w:val="0"/>
                <w:i/>
                <w:iCs/>
                <w:color w:val="auto"/>
                <w:sz w:val="24"/>
                <w:highlight w:val="none"/>
                <w:u w:val="none"/>
                <w:lang w:eastAsia="zh-CN"/>
              </w:rPr>
              <w:t>）</w:t>
            </w:r>
          </w:p>
          <w:p w14:paraId="51E8A61C">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bCs w:val="0"/>
                <w:color w:val="auto"/>
                <w:sz w:val="24"/>
                <w:szCs w:val="24"/>
                <w:highlight w:val="none"/>
              </w:rPr>
            </w:pP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lang w:val="en-US" w:eastAsia="zh-CN"/>
              </w:rPr>
              <w:t>4</w:t>
            </w: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rPr>
              <w:t>中标</w:t>
            </w: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rPr>
              <w:t>成交</w:t>
            </w: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rPr>
              <w:t>供应商的评审总得分</w:t>
            </w:r>
            <w:r>
              <w:rPr>
                <w:rFonts w:hint="eastAsia" w:ascii="宋体" w:hAnsi="宋体" w:eastAsia="宋体"/>
                <w:b w:val="0"/>
                <w:i/>
                <w:iCs/>
                <w:color w:val="auto"/>
                <w:sz w:val="24"/>
                <w:highlight w:val="none"/>
                <w:u w:val="none"/>
                <w:lang w:eastAsia="zh-CN"/>
              </w:rPr>
              <w:t>（</w:t>
            </w:r>
            <w:r>
              <w:rPr>
                <w:rFonts w:hint="eastAsia" w:ascii="宋体" w:hAnsi="宋体" w:eastAsia="宋体"/>
                <w:b w:val="0"/>
                <w:i/>
                <w:iCs/>
                <w:color w:val="auto"/>
                <w:sz w:val="24"/>
                <w:highlight w:val="none"/>
                <w:u w:val="none"/>
                <w:lang w:val="en-US" w:eastAsia="zh-CN"/>
              </w:rPr>
              <w:t>适用综合评分法</w:t>
            </w:r>
            <w:r>
              <w:rPr>
                <w:rFonts w:hint="eastAsia" w:ascii="宋体" w:hAnsi="宋体" w:eastAsia="宋体"/>
                <w:b w:val="0"/>
                <w:i/>
                <w:iCs/>
                <w:color w:val="auto"/>
                <w:sz w:val="24"/>
                <w:highlight w:val="none"/>
                <w:u w:val="none"/>
                <w:lang w:eastAsia="zh-CN"/>
              </w:rPr>
              <w:t>）</w:t>
            </w:r>
          </w:p>
        </w:tc>
      </w:tr>
      <w:tr w14:paraId="30A4E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00A04F9E">
            <w:pPr>
              <w:pStyle w:val="42"/>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rPr>
              <w:t>2</w:t>
            </w:r>
            <w:r>
              <w:rPr>
                <w:rFonts w:hint="eastAsia" w:ascii="宋体" w:hAnsi="宋体" w:eastAsia="宋体"/>
                <w:bCs/>
                <w:color w:val="auto"/>
                <w:kern w:val="2"/>
                <w:highlight w:val="none"/>
                <w:lang w:val="en-US" w:eastAsia="zh-CN"/>
              </w:rPr>
              <w:t>4</w:t>
            </w:r>
            <w:r>
              <w:rPr>
                <w:rFonts w:hint="default" w:ascii="宋体" w:hAnsi="宋体" w:eastAsia="宋体"/>
                <w:bCs/>
                <w:color w:val="auto"/>
                <w:kern w:val="2"/>
                <w:highlight w:val="none"/>
              </w:rPr>
              <w:t>.1</w:t>
            </w:r>
          </w:p>
        </w:tc>
        <w:tc>
          <w:tcPr>
            <w:tcW w:w="1174" w:type="pct"/>
            <w:vAlign w:val="center"/>
          </w:tcPr>
          <w:p w14:paraId="7E99A843">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中标通知书发出的形式</w:t>
            </w:r>
          </w:p>
        </w:tc>
        <w:tc>
          <w:tcPr>
            <w:tcW w:w="3244" w:type="pct"/>
            <w:vAlign w:val="center"/>
          </w:tcPr>
          <w:p w14:paraId="616F045B">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rPr>
              <w:t xml:space="preserve">□书面 </w:t>
            </w:r>
            <w:r>
              <w:rPr>
                <w:rFonts w:hint="default" w:ascii="宋体" w:hAnsi="宋体" w:eastAsia="宋体"/>
                <w:b w:val="0"/>
                <w:bCs w:val="0"/>
                <w:color w:val="auto"/>
                <w:sz w:val="24"/>
                <w:szCs w:val="24"/>
                <w:highlight w:val="none"/>
              </w:rPr>
              <w:t xml:space="preserve">    </w:t>
            </w:r>
            <w:r>
              <w:rPr>
                <w:rFonts w:hint="eastAsia" w:ascii="宋体" w:hAnsi="宋体" w:eastAsia="宋体"/>
                <w:b w:val="0"/>
                <w:bCs w:val="0"/>
                <w:color w:val="auto"/>
                <w:sz w:val="24"/>
                <w:szCs w:val="24"/>
                <w:highlight w:val="none"/>
              </w:rPr>
              <w:sym w:font="Wingdings" w:char="00FE"/>
            </w:r>
            <w:r>
              <w:rPr>
                <w:rFonts w:hint="eastAsia" w:ascii="宋体" w:hAnsi="宋体" w:eastAsia="宋体"/>
                <w:b w:val="0"/>
                <w:bCs w:val="0"/>
                <w:color w:val="auto"/>
                <w:sz w:val="24"/>
                <w:szCs w:val="24"/>
                <w:highlight w:val="none"/>
              </w:rPr>
              <w:t>数据电文</w:t>
            </w:r>
          </w:p>
        </w:tc>
      </w:tr>
      <w:tr w14:paraId="1CA01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35E83877">
            <w:pPr>
              <w:pStyle w:val="42"/>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lang w:val="en-US" w:eastAsia="zh-CN"/>
              </w:rPr>
              <w:t>25</w:t>
            </w:r>
            <w:r>
              <w:rPr>
                <w:rFonts w:hint="default" w:ascii="宋体" w:hAnsi="宋体" w:eastAsia="宋体"/>
                <w:bCs/>
                <w:color w:val="auto"/>
                <w:kern w:val="2"/>
                <w:highlight w:val="none"/>
              </w:rPr>
              <w:t>.1</w:t>
            </w:r>
          </w:p>
        </w:tc>
        <w:tc>
          <w:tcPr>
            <w:tcW w:w="1174" w:type="pct"/>
            <w:vAlign w:val="center"/>
          </w:tcPr>
          <w:p w14:paraId="744470DF">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告知招标结果的形式</w:t>
            </w:r>
          </w:p>
        </w:tc>
        <w:tc>
          <w:tcPr>
            <w:tcW w:w="3244" w:type="pct"/>
            <w:vAlign w:val="center"/>
          </w:tcPr>
          <w:p w14:paraId="00C8E1BB">
            <w:pPr>
              <w:keepNext w:val="0"/>
              <w:keepLines w:val="0"/>
              <w:suppressLineNumbers w:val="0"/>
              <w:spacing w:before="0" w:beforeAutospacing="0" w:after="0" w:afterAutospacing="0" w:line="360" w:lineRule="auto"/>
              <w:ind w:left="0" w:right="0"/>
              <w:rPr>
                <w:rFonts w:hint="default" w:asciiTheme="minorEastAsia" w:hAnsiTheme="minorEastAsia" w:eastAsiaTheme="minorEastAsia"/>
                <w:color w:val="auto"/>
                <w:kern w:val="0"/>
                <w:sz w:val="24"/>
                <w:szCs w:val="24"/>
                <w:highlight w:val="none"/>
              </w:rPr>
            </w:pPr>
            <w:r>
              <w:rPr>
                <w:rFonts w:hint="eastAsia" w:asciiTheme="minorEastAsia" w:hAnsiTheme="minorEastAsia" w:eastAsiaTheme="minorEastAsia"/>
                <w:b w:val="0"/>
                <w:bCs w:val="0"/>
                <w:color w:val="auto"/>
                <w:kern w:val="0"/>
                <w:sz w:val="24"/>
                <w:szCs w:val="24"/>
                <w:highlight w:val="none"/>
              </w:rPr>
              <w:sym w:font="Wingdings" w:char="00FE"/>
            </w:r>
            <w:r>
              <w:rPr>
                <w:rFonts w:hint="eastAsia" w:asciiTheme="minorEastAsia" w:hAnsiTheme="minorEastAsia" w:eastAsiaTheme="minorEastAsia"/>
                <w:color w:val="auto"/>
                <w:kern w:val="0"/>
                <w:sz w:val="24"/>
                <w:szCs w:val="24"/>
                <w:highlight w:val="none"/>
              </w:rPr>
              <w:t>投标人自行登录电子</w:t>
            </w:r>
            <w:r>
              <w:rPr>
                <w:rFonts w:hint="eastAsia" w:ascii="宋体" w:hAnsi="宋体" w:eastAsia="宋体" w:cs="宋体"/>
                <w:b w:val="0"/>
                <w:bCs w:val="0"/>
                <w:color w:val="auto"/>
                <w:sz w:val="24"/>
                <w:szCs w:val="24"/>
                <w:highlight w:val="none"/>
                <w:lang w:val="en-US" w:eastAsia="zh-CN"/>
              </w:rPr>
              <w:t>交易</w:t>
            </w:r>
            <w:r>
              <w:rPr>
                <w:rFonts w:hint="eastAsia" w:asciiTheme="minorEastAsia" w:hAnsiTheme="minorEastAsia" w:eastAsiaTheme="minorEastAsia"/>
                <w:color w:val="auto"/>
                <w:kern w:val="0"/>
                <w:sz w:val="24"/>
                <w:szCs w:val="24"/>
                <w:highlight w:val="none"/>
              </w:rPr>
              <w:t>系统查看</w:t>
            </w:r>
          </w:p>
          <w:p w14:paraId="30A7F281">
            <w:pPr>
              <w:pStyle w:val="41"/>
              <w:keepNext w:val="0"/>
              <w:keepLines w:val="0"/>
              <w:widowControl w:val="0"/>
              <w:suppressLineNumbers w:val="0"/>
              <w:spacing w:before="0" w:beforeAutospacing="0" w:after="0" w:afterAutospacing="0" w:line="360" w:lineRule="auto"/>
              <w:ind w:left="0" w:right="0"/>
              <w:jc w:val="both"/>
              <w:rPr>
                <w:rFonts w:hint="default" w:asciiTheme="minorEastAsia" w:hAnsiTheme="minorEastAsia" w:eastAsiaTheme="minorEastAsia"/>
                <w:b w:val="0"/>
                <w:bCs w:val="0"/>
                <w:color w:val="auto"/>
                <w:kern w:val="2"/>
                <w:sz w:val="24"/>
                <w:szCs w:val="24"/>
                <w:highlight w:val="none"/>
                <w:lang w:val="en-US" w:eastAsia="zh-CN"/>
              </w:rPr>
            </w:pPr>
            <w:r>
              <w:rPr>
                <w:rFonts w:hint="eastAsia" w:asciiTheme="minorEastAsia" w:hAnsiTheme="minorEastAsia" w:eastAsiaTheme="minorEastAsia"/>
                <w:b w:val="0"/>
                <w:bCs w:val="0"/>
                <w:color w:val="auto"/>
                <w:kern w:val="2"/>
                <w:sz w:val="24"/>
                <w:szCs w:val="24"/>
                <w:highlight w:val="none"/>
              </w:rPr>
              <w:t>□评标现场告知</w:t>
            </w:r>
          </w:p>
        </w:tc>
      </w:tr>
      <w:tr w14:paraId="31CE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7" w:hRule="atLeast"/>
          <w:jc w:val="center"/>
        </w:trPr>
        <w:tc>
          <w:tcPr>
            <w:tcW w:w="581" w:type="pct"/>
            <w:vAlign w:val="center"/>
          </w:tcPr>
          <w:p w14:paraId="0F7C764E">
            <w:pPr>
              <w:pStyle w:val="42"/>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lang w:val="en-US" w:eastAsia="zh-CN"/>
              </w:rPr>
              <w:t>26</w:t>
            </w:r>
            <w:r>
              <w:rPr>
                <w:rFonts w:hint="default" w:ascii="宋体" w:hAnsi="宋体" w:eastAsia="宋体"/>
                <w:bCs/>
                <w:color w:val="auto"/>
                <w:kern w:val="2"/>
                <w:highlight w:val="none"/>
              </w:rPr>
              <w:t>.1</w:t>
            </w:r>
          </w:p>
        </w:tc>
        <w:tc>
          <w:tcPr>
            <w:tcW w:w="1174" w:type="pct"/>
            <w:vAlign w:val="center"/>
          </w:tcPr>
          <w:p w14:paraId="038A5BE7">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履约保证金</w:t>
            </w:r>
          </w:p>
        </w:tc>
        <w:tc>
          <w:tcPr>
            <w:tcW w:w="3244" w:type="pct"/>
          </w:tcPr>
          <w:p w14:paraId="5522405C">
            <w:pPr>
              <w:keepNext w:val="0"/>
              <w:keepLines w:val="0"/>
              <w:suppressLineNumbers w:val="0"/>
              <w:spacing w:before="0" w:beforeAutospacing="0" w:after="0" w:afterAutospacing="0" w:line="360" w:lineRule="auto"/>
              <w:ind w:left="0" w:right="0"/>
              <w:rPr>
                <w:rFonts w:hint="default"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t>（1）金额：</w:t>
            </w:r>
          </w:p>
          <w:p w14:paraId="4C43F34D">
            <w:pPr>
              <w:keepNext w:val="0"/>
              <w:keepLines w:val="0"/>
              <w:suppressLineNumbers w:val="0"/>
              <w:spacing w:before="0" w:beforeAutospacing="0" w:after="0" w:afterAutospacing="0" w:line="360" w:lineRule="auto"/>
              <w:ind w:left="0" w:right="0"/>
              <w:rPr>
                <w:rFonts w:hint="default"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lang w:eastAsia="zh-CN"/>
              </w:rPr>
              <w:t>☑</w:t>
            </w:r>
            <w:r>
              <w:rPr>
                <w:rFonts w:hint="eastAsia" w:ascii="宋体" w:hAnsi="宋体" w:eastAsia="宋体"/>
                <w:bCs/>
                <w:color w:val="auto"/>
                <w:kern w:val="0"/>
                <w:sz w:val="24"/>
                <w:szCs w:val="28"/>
                <w:highlight w:val="none"/>
              </w:rPr>
              <w:t>免收</w:t>
            </w:r>
          </w:p>
          <w:p w14:paraId="07994C55">
            <w:pPr>
              <w:keepNext w:val="0"/>
              <w:keepLines w:val="0"/>
              <w:suppressLineNumbers w:val="0"/>
              <w:spacing w:before="0" w:beforeAutospacing="0" w:after="0" w:afterAutospacing="0" w:line="360" w:lineRule="auto"/>
              <w:ind w:left="0" w:right="0"/>
              <w:rPr>
                <w:rFonts w:hint="default" w:ascii="宋体" w:hAnsi="宋体" w:eastAsia="宋体"/>
                <w:bCs/>
                <w:color w:val="auto"/>
                <w:kern w:val="0"/>
                <w:sz w:val="24"/>
                <w:szCs w:val="28"/>
                <w:highlight w:val="none"/>
              </w:rPr>
            </w:pPr>
            <w:r>
              <w:rPr>
                <w:rFonts w:hint="default" w:ascii="宋体" w:hAnsi="宋体" w:eastAsia="宋体"/>
                <w:bCs/>
                <w:color w:val="auto"/>
                <w:kern w:val="0"/>
                <w:sz w:val="24"/>
                <w:szCs w:val="28"/>
                <w:highlight w:val="none"/>
              </w:rPr>
              <w:t>□</w:t>
            </w:r>
            <w:r>
              <w:rPr>
                <w:rFonts w:hint="eastAsia" w:ascii="宋体" w:hAnsi="宋体" w:eastAsia="宋体"/>
                <w:bCs/>
                <w:color w:val="auto"/>
                <w:kern w:val="0"/>
                <w:sz w:val="24"/>
                <w:szCs w:val="28"/>
                <w:highlight w:val="none"/>
              </w:rPr>
              <w:t>合同价的</w:t>
            </w:r>
            <w:r>
              <w:rPr>
                <w:rFonts w:hint="default" w:ascii="宋体" w:hAnsi="宋体" w:eastAsia="宋体"/>
                <w:bCs/>
                <w:color w:val="auto"/>
                <w:kern w:val="0"/>
                <w:sz w:val="24"/>
                <w:szCs w:val="28"/>
                <w:highlight w:val="none"/>
                <w:u w:val="single"/>
              </w:rPr>
              <w:t xml:space="preserve">  </w:t>
            </w:r>
            <w:r>
              <w:rPr>
                <w:rFonts w:hint="eastAsia" w:ascii="宋体" w:hAnsi="宋体" w:eastAsia="宋体"/>
                <w:bCs/>
                <w:color w:val="auto"/>
                <w:kern w:val="0"/>
                <w:sz w:val="24"/>
                <w:szCs w:val="28"/>
                <w:highlight w:val="none"/>
                <w:u w:val="single"/>
                <w:lang w:val="en-US" w:eastAsia="zh-CN"/>
              </w:rPr>
              <w:t>/</w:t>
            </w:r>
            <w:r>
              <w:rPr>
                <w:rFonts w:hint="default" w:ascii="宋体" w:hAnsi="宋体" w:eastAsia="宋体"/>
                <w:bCs/>
                <w:color w:val="auto"/>
                <w:kern w:val="0"/>
                <w:sz w:val="24"/>
                <w:szCs w:val="28"/>
                <w:highlight w:val="none"/>
                <w:u w:val="single"/>
              </w:rPr>
              <w:t xml:space="preserve"> </w:t>
            </w:r>
            <w:r>
              <w:rPr>
                <w:rFonts w:hint="default" w:ascii="宋体" w:hAnsi="宋体" w:eastAsia="宋体"/>
                <w:bCs/>
                <w:color w:val="auto"/>
                <w:kern w:val="0"/>
                <w:sz w:val="24"/>
                <w:szCs w:val="28"/>
                <w:highlight w:val="none"/>
              </w:rPr>
              <w:t>%</w:t>
            </w:r>
          </w:p>
          <w:p w14:paraId="6792B0F7">
            <w:pPr>
              <w:keepNext w:val="0"/>
              <w:keepLines w:val="0"/>
              <w:suppressLineNumbers w:val="0"/>
              <w:spacing w:before="0" w:beforeAutospacing="0" w:after="0" w:afterAutospacing="0" w:line="360" w:lineRule="auto"/>
              <w:ind w:left="0" w:right="0"/>
              <w:rPr>
                <w:rFonts w:hint="default" w:ascii="宋体" w:hAnsi="宋体" w:eastAsia="宋体"/>
                <w:bCs/>
                <w:color w:val="auto"/>
                <w:kern w:val="0"/>
                <w:sz w:val="24"/>
                <w:szCs w:val="28"/>
                <w:highlight w:val="none"/>
              </w:rPr>
            </w:pPr>
            <w:r>
              <w:rPr>
                <w:rFonts w:hint="default" w:ascii="宋体" w:hAnsi="宋体" w:eastAsia="宋体"/>
                <w:bCs/>
                <w:color w:val="auto"/>
                <w:kern w:val="0"/>
                <w:sz w:val="24"/>
                <w:szCs w:val="28"/>
                <w:highlight w:val="none"/>
              </w:rPr>
              <w:t>□</w:t>
            </w:r>
            <w:r>
              <w:rPr>
                <w:rFonts w:hint="eastAsia" w:ascii="宋体" w:hAnsi="宋体" w:eastAsia="宋体"/>
                <w:bCs/>
                <w:color w:val="auto"/>
                <w:kern w:val="0"/>
                <w:sz w:val="24"/>
                <w:szCs w:val="28"/>
                <w:highlight w:val="none"/>
              </w:rPr>
              <w:t>定额收取：人民币</w:t>
            </w:r>
            <w:r>
              <w:rPr>
                <w:rFonts w:hint="eastAsia" w:ascii="宋体" w:hAnsi="宋体" w:eastAsia="宋体"/>
                <w:bCs/>
                <w:color w:val="auto"/>
                <w:kern w:val="0"/>
                <w:sz w:val="24"/>
                <w:szCs w:val="28"/>
                <w:highlight w:val="none"/>
                <w:u w:val="single"/>
              </w:rPr>
              <w:t xml:space="preserve">   /     </w:t>
            </w:r>
            <w:r>
              <w:rPr>
                <w:rFonts w:hint="eastAsia" w:ascii="宋体" w:hAnsi="宋体" w:eastAsia="宋体"/>
                <w:bCs/>
                <w:color w:val="auto"/>
                <w:kern w:val="0"/>
                <w:sz w:val="24"/>
                <w:szCs w:val="28"/>
                <w:highlight w:val="none"/>
              </w:rPr>
              <w:t>元</w:t>
            </w:r>
          </w:p>
          <w:p w14:paraId="6E2E2F7F">
            <w:pPr>
              <w:keepNext w:val="0"/>
              <w:keepLines w:val="0"/>
              <w:suppressLineNumbers w:val="0"/>
              <w:spacing w:before="0" w:beforeAutospacing="0" w:after="0" w:afterAutospacing="0" w:line="360" w:lineRule="auto"/>
              <w:ind w:left="0" w:right="0"/>
              <w:rPr>
                <w:rFonts w:hint="default"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t>（2）支付方式：</w:t>
            </w:r>
          </w:p>
          <w:p w14:paraId="3FB765DB">
            <w:pPr>
              <w:keepNext w:val="0"/>
              <w:keepLines w:val="0"/>
              <w:suppressLineNumbers w:val="0"/>
              <w:spacing w:before="0" w:beforeAutospacing="0" w:after="0" w:afterAutospacing="0" w:line="360" w:lineRule="auto"/>
              <w:ind w:left="0" w:right="0"/>
              <w:rPr>
                <w:rFonts w:hint="default"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sym w:font="Wingdings" w:char="00A8"/>
            </w:r>
            <w:r>
              <w:rPr>
                <w:rFonts w:hint="default" w:ascii="宋体" w:hAnsi="宋体" w:eastAsia="宋体"/>
                <w:bCs/>
                <w:color w:val="auto"/>
                <w:kern w:val="0"/>
                <w:sz w:val="24"/>
                <w:szCs w:val="28"/>
                <w:highlight w:val="none"/>
              </w:rPr>
              <w:t>转账/电汇</w:t>
            </w:r>
            <w:r>
              <w:rPr>
                <w:rFonts w:hint="eastAsia" w:ascii="宋体" w:hAnsi="宋体" w:eastAsia="宋体"/>
                <w:bCs/>
                <w:color w:val="auto"/>
                <w:kern w:val="0"/>
                <w:sz w:val="24"/>
                <w:szCs w:val="28"/>
                <w:highlight w:val="none"/>
              </w:rPr>
              <w:t xml:space="preserve"> </w:t>
            </w:r>
            <w:r>
              <w:rPr>
                <w:rFonts w:hint="eastAsia" w:ascii="宋体" w:hAnsi="宋体" w:eastAsia="宋体"/>
                <w:bCs/>
                <w:color w:val="auto"/>
                <w:kern w:val="0"/>
                <w:sz w:val="24"/>
                <w:szCs w:val="28"/>
                <w:highlight w:val="none"/>
              </w:rPr>
              <w:sym w:font="Wingdings" w:char="00A8"/>
            </w:r>
            <w:r>
              <w:rPr>
                <w:rFonts w:hint="default" w:ascii="宋体" w:hAnsi="宋体" w:eastAsia="宋体"/>
                <w:bCs/>
                <w:color w:val="auto"/>
                <w:kern w:val="0"/>
                <w:sz w:val="24"/>
                <w:szCs w:val="28"/>
                <w:highlight w:val="none"/>
              </w:rPr>
              <w:t xml:space="preserve">支票 </w:t>
            </w:r>
            <w:r>
              <w:rPr>
                <w:rFonts w:hint="eastAsia" w:ascii="宋体" w:hAnsi="宋体" w:eastAsia="宋体"/>
                <w:bCs/>
                <w:color w:val="auto"/>
                <w:kern w:val="0"/>
                <w:sz w:val="24"/>
                <w:szCs w:val="28"/>
                <w:highlight w:val="none"/>
              </w:rPr>
              <w:sym w:font="Wingdings" w:char="00A8"/>
            </w:r>
            <w:r>
              <w:rPr>
                <w:rFonts w:hint="default" w:ascii="宋体" w:hAnsi="宋体" w:eastAsia="宋体"/>
                <w:bCs/>
                <w:color w:val="auto"/>
                <w:kern w:val="0"/>
                <w:sz w:val="24"/>
                <w:szCs w:val="28"/>
                <w:highlight w:val="none"/>
              </w:rPr>
              <w:t>汇票</w:t>
            </w:r>
            <w:r>
              <w:rPr>
                <w:rFonts w:hint="eastAsia" w:ascii="宋体" w:hAnsi="宋体" w:eastAsia="宋体"/>
                <w:bCs/>
                <w:color w:val="auto"/>
                <w:kern w:val="0"/>
                <w:sz w:val="24"/>
                <w:szCs w:val="28"/>
                <w:highlight w:val="none"/>
              </w:rPr>
              <w:t xml:space="preserve"> </w:t>
            </w:r>
            <w:r>
              <w:rPr>
                <w:rFonts w:hint="eastAsia" w:ascii="宋体" w:hAnsi="宋体" w:eastAsia="宋体"/>
                <w:bCs/>
                <w:color w:val="auto"/>
                <w:kern w:val="0"/>
                <w:sz w:val="24"/>
                <w:szCs w:val="28"/>
                <w:highlight w:val="none"/>
              </w:rPr>
              <w:sym w:font="Wingdings" w:char="00A8"/>
            </w:r>
            <w:r>
              <w:rPr>
                <w:rFonts w:hint="eastAsia" w:ascii="宋体" w:hAnsi="宋体" w:eastAsia="宋体"/>
                <w:bCs/>
                <w:color w:val="auto"/>
                <w:kern w:val="0"/>
                <w:sz w:val="24"/>
                <w:szCs w:val="28"/>
                <w:highlight w:val="none"/>
              </w:rPr>
              <w:t xml:space="preserve">本票 </w:t>
            </w:r>
            <w:r>
              <w:rPr>
                <w:rFonts w:hint="eastAsia" w:ascii="宋体" w:hAnsi="宋体" w:eastAsia="宋体"/>
                <w:bCs/>
                <w:color w:val="auto"/>
                <w:kern w:val="0"/>
                <w:sz w:val="24"/>
                <w:szCs w:val="28"/>
                <w:highlight w:val="none"/>
              </w:rPr>
              <w:sym w:font="Wingdings" w:char="00A8"/>
            </w:r>
            <w:r>
              <w:rPr>
                <w:rFonts w:hint="default" w:ascii="宋体" w:hAnsi="宋体" w:eastAsia="宋体"/>
                <w:bCs/>
                <w:color w:val="auto"/>
                <w:kern w:val="0"/>
                <w:sz w:val="24"/>
                <w:szCs w:val="28"/>
                <w:highlight w:val="none"/>
              </w:rPr>
              <w:t>保</w:t>
            </w:r>
            <w:r>
              <w:rPr>
                <w:rFonts w:hint="eastAsia" w:ascii="宋体" w:hAnsi="宋体" w:eastAsia="宋体"/>
                <w:bCs/>
                <w:color w:val="auto"/>
                <w:kern w:val="0"/>
                <w:sz w:val="24"/>
                <w:szCs w:val="28"/>
                <w:highlight w:val="none"/>
              </w:rPr>
              <w:t xml:space="preserve">险 </w:t>
            </w:r>
            <w:r>
              <w:rPr>
                <w:rFonts w:hint="eastAsia" w:ascii="宋体" w:hAnsi="宋体" w:eastAsia="宋体"/>
                <w:bCs/>
                <w:color w:val="auto"/>
                <w:kern w:val="0"/>
                <w:sz w:val="24"/>
                <w:szCs w:val="28"/>
                <w:highlight w:val="none"/>
              </w:rPr>
              <w:sym w:font="Wingdings" w:char="00A8"/>
            </w:r>
            <w:r>
              <w:rPr>
                <w:rFonts w:hint="eastAsia" w:ascii="宋体" w:hAnsi="宋体" w:eastAsia="宋体"/>
                <w:bCs/>
                <w:color w:val="auto"/>
                <w:kern w:val="0"/>
                <w:sz w:val="24"/>
                <w:szCs w:val="28"/>
                <w:highlight w:val="none"/>
              </w:rPr>
              <w:t>保</w:t>
            </w:r>
            <w:r>
              <w:rPr>
                <w:rFonts w:hint="default" w:ascii="宋体" w:hAnsi="宋体" w:eastAsia="宋体"/>
                <w:bCs/>
                <w:color w:val="auto"/>
                <w:kern w:val="0"/>
                <w:sz w:val="24"/>
                <w:szCs w:val="28"/>
                <w:highlight w:val="none"/>
              </w:rPr>
              <w:t>函</w:t>
            </w:r>
          </w:p>
          <w:p w14:paraId="3F06520A">
            <w:pPr>
              <w:keepNext w:val="0"/>
              <w:keepLines w:val="0"/>
              <w:numPr>
                <w:ilvl w:val="0"/>
                <w:numId w:val="0"/>
              </w:numPr>
              <w:suppressLineNumbers w:val="0"/>
              <w:spacing w:before="0" w:beforeAutospacing="0" w:after="0" w:afterAutospacing="0" w:line="360" w:lineRule="auto"/>
              <w:ind w:left="0" w:right="0"/>
              <w:rPr>
                <w:rFonts w:hint="eastAsia"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lang w:eastAsia="zh-CN"/>
              </w:rPr>
              <w:t>（</w:t>
            </w:r>
            <w:r>
              <w:rPr>
                <w:rFonts w:hint="eastAsia" w:ascii="宋体" w:hAnsi="宋体" w:eastAsia="宋体"/>
                <w:bCs/>
                <w:color w:val="auto"/>
                <w:kern w:val="0"/>
                <w:sz w:val="24"/>
                <w:szCs w:val="28"/>
                <w:highlight w:val="none"/>
                <w:lang w:val="en-US" w:eastAsia="zh-CN"/>
              </w:rPr>
              <w:t>3</w:t>
            </w:r>
            <w:r>
              <w:rPr>
                <w:rFonts w:hint="eastAsia" w:ascii="宋体" w:hAnsi="宋体" w:eastAsia="宋体"/>
                <w:bCs/>
                <w:color w:val="auto"/>
                <w:kern w:val="0"/>
                <w:sz w:val="24"/>
                <w:szCs w:val="28"/>
                <w:highlight w:val="none"/>
                <w:lang w:eastAsia="zh-CN"/>
              </w:rPr>
              <w:t>）</w:t>
            </w:r>
            <w:r>
              <w:rPr>
                <w:rFonts w:hint="eastAsia" w:ascii="宋体" w:hAnsi="宋体" w:eastAsia="宋体"/>
                <w:bCs/>
                <w:color w:val="auto"/>
                <w:kern w:val="0"/>
                <w:sz w:val="24"/>
                <w:szCs w:val="28"/>
                <w:highlight w:val="none"/>
              </w:rPr>
              <w:t>收取单位：</w:t>
            </w:r>
            <w:r>
              <w:rPr>
                <w:rFonts w:hint="eastAsia" w:ascii="宋体" w:hAnsi="宋体" w:eastAsia="宋体"/>
                <w:bCs/>
                <w:color w:val="auto"/>
                <w:kern w:val="0"/>
                <w:sz w:val="24"/>
                <w:szCs w:val="28"/>
                <w:highlight w:val="none"/>
                <w:u w:val="single"/>
              </w:rPr>
              <w:t xml:space="preserve">   /          </w:t>
            </w:r>
            <w:r>
              <w:rPr>
                <w:rFonts w:hint="eastAsia" w:ascii="宋体" w:hAnsi="宋体" w:eastAsia="宋体"/>
                <w:bCs/>
                <w:color w:val="auto"/>
                <w:kern w:val="0"/>
                <w:sz w:val="24"/>
                <w:szCs w:val="28"/>
                <w:highlight w:val="none"/>
              </w:rPr>
              <w:t xml:space="preserve">              </w:t>
            </w:r>
          </w:p>
          <w:p w14:paraId="279074D0">
            <w:pPr>
              <w:keepNext w:val="0"/>
              <w:keepLines w:val="0"/>
              <w:suppressLineNumbers w:val="0"/>
              <w:spacing w:before="0" w:beforeAutospacing="0" w:after="0" w:afterAutospacing="0" w:line="360" w:lineRule="auto"/>
              <w:ind w:left="0" w:right="0"/>
              <w:rPr>
                <w:rFonts w:hint="eastAsia"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lang w:val="en-US" w:eastAsia="zh-CN"/>
              </w:rPr>
              <w:t>（4）收取账号：</w:t>
            </w:r>
            <w:r>
              <w:rPr>
                <w:rFonts w:hint="eastAsia" w:ascii="宋体" w:hAnsi="宋体" w:eastAsia="宋体"/>
                <w:bCs/>
                <w:color w:val="auto"/>
                <w:kern w:val="0"/>
                <w:sz w:val="24"/>
                <w:szCs w:val="28"/>
                <w:highlight w:val="none"/>
                <w:u w:val="single"/>
              </w:rPr>
              <w:t xml:space="preserve">   /          </w:t>
            </w:r>
          </w:p>
          <w:p w14:paraId="2358E1DF">
            <w:pPr>
              <w:keepNext w:val="0"/>
              <w:keepLines w:val="0"/>
              <w:suppressLineNumbers w:val="0"/>
              <w:spacing w:before="0" w:beforeAutospacing="0" w:after="0" w:afterAutospacing="0" w:line="360" w:lineRule="auto"/>
              <w:ind w:left="0" w:right="0"/>
              <w:rPr>
                <w:rFonts w:hint="default" w:ascii="宋体" w:hAnsi="宋体" w:eastAsia="宋体"/>
                <w:color w:val="auto"/>
                <w:sz w:val="24"/>
                <w:szCs w:val="20"/>
                <w:highlight w:val="none"/>
              </w:rPr>
            </w:pPr>
            <w:r>
              <w:rPr>
                <w:rFonts w:hint="eastAsia" w:ascii="宋体" w:hAnsi="宋体" w:eastAsia="宋体"/>
                <w:bCs/>
                <w:color w:val="auto"/>
                <w:kern w:val="0"/>
                <w:sz w:val="24"/>
                <w:szCs w:val="28"/>
                <w:highlight w:val="none"/>
              </w:rPr>
              <w:t>（</w:t>
            </w:r>
            <w:r>
              <w:rPr>
                <w:rFonts w:hint="eastAsia" w:ascii="宋体" w:hAnsi="宋体" w:eastAsia="宋体"/>
                <w:bCs/>
                <w:color w:val="auto"/>
                <w:kern w:val="0"/>
                <w:sz w:val="24"/>
                <w:szCs w:val="28"/>
                <w:highlight w:val="none"/>
                <w:lang w:val="en-US" w:eastAsia="zh-CN"/>
              </w:rPr>
              <w:t>5</w:t>
            </w:r>
            <w:r>
              <w:rPr>
                <w:rFonts w:hint="eastAsia" w:ascii="宋体" w:hAnsi="宋体" w:eastAsia="宋体"/>
                <w:bCs/>
                <w:color w:val="auto"/>
                <w:kern w:val="0"/>
                <w:sz w:val="24"/>
                <w:szCs w:val="28"/>
                <w:highlight w:val="none"/>
              </w:rPr>
              <w:t>）</w:t>
            </w:r>
            <w:r>
              <w:rPr>
                <w:rFonts w:hint="eastAsia" w:ascii="宋体" w:hAnsi="宋体" w:eastAsia="宋体"/>
                <w:color w:val="auto"/>
                <w:sz w:val="24"/>
                <w:szCs w:val="20"/>
                <w:highlight w:val="none"/>
              </w:rPr>
              <w:t>退还时间：</w:t>
            </w:r>
            <w:r>
              <w:rPr>
                <w:rFonts w:hint="eastAsia" w:ascii="宋体" w:hAnsi="宋体" w:eastAsia="宋体"/>
                <w:bCs/>
                <w:color w:val="auto"/>
                <w:kern w:val="0"/>
                <w:sz w:val="24"/>
                <w:szCs w:val="28"/>
                <w:highlight w:val="none"/>
                <w:u w:val="single"/>
              </w:rPr>
              <w:t xml:space="preserve">   /          </w:t>
            </w:r>
          </w:p>
          <w:p w14:paraId="39489CCC">
            <w:pPr>
              <w:keepNext w:val="0"/>
              <w:keepLines w:val="0"/>
              <w:suppressLineNumbers w:val="0"/>
              <w:spacing w:before="0" w:beforeAutospacing="0" w:after="0" w:afterAutospacing="0" w:line="360" w:lineRule="auto"/>
              <w:ind w:left="0" w:right="0"/>
              <w:rPr>
                <w:rFonts w:hint="default"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注意事项：</w:t>
            </w:r>
          </w:p>
          <w:p w14:paraId="3A94F600">
            <w:pPr>
              <w:keepNext w:val="0"/>
              <w:keepLines w:val="0"/>
              <w:suppressLineNumbers w:val="0"/>
              <w:spacing w:before="0" w:beforeAutospacing="0" w:after="0" w:afterAutospacing="0" w:line="360" w:lineRule="auto"/>
              <w:ind w:left="0" w:right="0"/>
              <w:rPr>
                <w:rFonts w:hint="default"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（1）以上各类机构出具的以担保函、保证保险承担责任的方式均须满足无条件见索即付条件。</w:t>
            </w:r>
          </w:p>
          <w:p w14:paraId="3B3FFAD3">
            <w:pPr>
              <w:keepNext w:val="0"/>
              <w:keepLines w:val="0"/>
              <w:suppressLineNumbers w:val="0"/>
              <w:spacing w:before="0" w:beforeAutospacing="0" w:after="0" w:afterAutospacing="0" w:line="360" w:lineRule="auto"/>
              <w:ind w:left="0" w:right="0"/>
              <w:rPr>
                <w:rFonts w:hint="default"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（2）以担保函、保证保险形式缴纳履约保证金的，受益人和收取单位须为采购人。</w:t>
            </w:r>
          </w:p>
        </w:tc>
      </w:tr>
      <w:tr w14:paraId="36168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jc w:val="center"/>
        </w:trPr>
        <w:tc>
          <w:tcPr>
            <w:tcW w:w="581" w:type="pct"/>
            <w:vAlign w:val="center"/>
          </w:tcPr>
          <w:p w14:paraId="029BFF0E">
            <w:pPr>
              <w:pStyle w:val="42"/>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lang w:val="en-US" w:eastAsia="zh-CN"/>
              </w:rPr>
              <w:t>27</w:t>
            </w:r>
            <w:r>
              <w:rPr>
                <w:rFonts w:hint="default" w:ascii="宋体" w:hAnsi="宋体" w:eastAsia="宋体"/>
                <w:bCs/>
                <w:color w:val="auto"/>
                <w:kern w:val="2"/>
                <w:highlight w:val="none"/>
              </w:rPr>
              <w:t>.1</w:t>
            </w:r>
          </w:p>
        </w:tc>
        <w:tc>
          <w:tcPr>
            <w:tcW w:w="1174" w:type="pct"/>
            <w:vAlign w:val="center"/>
          </w:tcPr>
          <w:p w14:paraId="4F1E9353">
            <w:pPr>
              <w:pStyle w:val="41"/>
              <w:keepNext w:val="0"/>
              <w:keepLines w:val="0"/>
              <w:widowControl w:val="0"/>
              <w:suppressLineNumbers w:val="0"/>
              <w:spacing w:before="0" w:beforeAutospacing="0" w:after="0" w:afterAutospacing="0" w:line="360" w:lineRule="auto"/>
              <w:ind w:left="0" w:right="0"/>
              <w:jc w:val="both"/>
              <w:rPr>
                <w:rFonts w:hint="eastAsia" w:ascii="宋体" w:hAnsi="宋体" w:eastAsia="宋体"/>
                <w:b w:val="0"/>
                <w:color w:val="auto"/>
                <w:sz w:val="24"/>
                <w:highlight w:val="none"/>
              </w:rPr>
            </w:pPr>
            <w:r>
              <w:rPr>
                <w:rFonts w:hint="eastAsia" w:ascii="宋体" w:hAnsi="宋体" w:eastAsia="宋体"/>
                <w:b w:val="0"/>
                <w:color w:val="auto"/>
                <w:sz w:val="24"/>
                <w:highlight w:val="none"/>
                <w:lang w:val="en-US" w:eastAsia="zh-CN"/>
              </w:rPr>
              <w:t>签订合同和合同公告时间</w:t>
            </w:r>
          </w:p>
        </w:tc>
        <w:tc>
          <w:tcPr>
            <w:tcW w:w="3244" w:type="pct"/>
          </w:tcPr>
          <w:p w14:paraId="577CAB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宋体" w:hAnsi="宋体" w:eastAsia="宋体" w:cs="宋体"/>
                <w:color w:val="auto"/>
                <w:sz w:val="24"/>
                <w:szCs w:val="24"/>
                <w:highlight w:val="none"/>
              </w:rPr>
            </w:pPr>
            <w:r>
              <w:rPr>
                <w:rFonts w:hint="default" w:ascii="宋体" w:hAnsi="宋体" w:eastAsia="宋体" w:cs="宋体"/>
                <w:color w:val="auto"/>
                <w:sz w:val="24"/>
                <w:szCs w:val="24"/>
                <w:highlight w:val="none"/>
              </w:rPr>
              <w:t>（1）采购人与中标人应当自发出中标通知书之日起7个工作日内签订合同，采购合同签订之日起2个工作日内完成政府采购合同公开。</w:t>
            </w:r>
          </w:p>
          <w:p w14:paraId="32A468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宋体" w:hAnsi="宋体" w:eastAsia="宋体"/>
                <w:b/>
                <w:bCs/>
                <w:color w:val="auto"/>
                <w:kern w:val="0"/>
                <w:sz w:val="24"/>
                <w:szCs w:val="24"/>
                <w:highlight w:val="none"/>
                <w:lang w:val="en-US"/>
              </w:rPr>
            </w:pPr>
            <w:r>
              <w:rPr>
                <w:rFonts w:hint="default" w:ascii="宋体" w:hAnsi="宋体" w:eastAsia="宋体" w:cs="宋体"/>
                <w:color w:val="auto"/>
                <w:sz w:val="24"/>
                <w:szCs w:val="24"/>
                <w:highlight w:val="none"/>
              </w:rPr>
              <w:t>（2）采购人与中标人不得擅自变更合同，依照政府采购法确需变更政府采购合同内容的，采购人应当自合同变更之日起2个工作日内在安徽省政府采购网</w:t>
            </w:r>
            <w:r>
              <w:rPr>
                <w:rFonts w:hint="eastAsia" w:ascii="宋体" w:hAnsi="宋体" w:eastAsia="宋体" w:cs="宋体"/>
                <w:color w:val="auto"/>
                <w:sz w:val="24"/>
                <w:szCs w:val="24"/>
                <w:highlight w:val="none"/>
                <w:lang w:val="en-US" w:eastAsia="zh-CN"/>
              </w:rPr>
              <w:t>和滁州市公共资源交易中心网</w:t>
            </w:r>
            <w:r>
              <w:rPr>
                <w:rFonts w:hint="default" w:ascii="宋体" w:hAnsi="宋体" w:eastAsia="宋体" w:cs="宋体"/>
                <w:color w:val="auto"/>
                <w:sz w:val="24"/>
                <w:szCs w:val="24"/>
                <w:highlight w:val="none"/>
              </w:rPr>
              <w:t>发布政府采购合同变更公告，但涉及国家秘密、商业秘密的信息和其他依法不得公开的信息除外。</w:t>
            </w:r>
          </w:p>
        </w:tc>
      </w:tr>
      <w:tr w14:paraId="4B864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442300BC">
            <w:pPr>
              <w:pStyle w:val="42"/>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lang w:val="en-US" w:eastAsia="zh-CN"/>
              </w:rPr>
              <w:t>28</w:t>
            </w:r>
            <w:r>
              <w:rPr>
                <w:rFonts w:hint="default" w:ascii="宋体" w:hAnsi="宋体" w:eastAsia="宋体"/>
                <w:bCs/>
                <w:color w:val="auto"/>
                <w:kern w:val="2"/>
                <w:highlight w:val="none"/>
              </w:rPr>
              <w:t>.1</w:t>
            </w:r>
          </w:p>
        </w:tc>
        <w:tc>
          <w:tcPr>
            <w:tcW w:w="1174" w:type="pct"/>
            <w:vAlign w:val="center"/>
          </w:tcPr>
          <w:p w14:paraId="53272C84">
            <w:pPr>
              <w:pStyle w:val="41"/>
              <w:keepNext w:val="0"/>
              <w:keepLines w:val="0"/>
              <w:widowControl w:val="0"/>
              <w:suppressLineNumbers w:val="0"/>
              <w:spacing w:before="0" w:beforeAutospacing="0" w:after="0" w:afterAutospacing="0" w:line="360" w:lineRule="auto"/>
              <w:ind w:left="0" w:right="0"/>
              <w:jc w:val="both"/>
              <w:rPr>
                <w:rFonts w:hint="eastAsia" w:ascii="宋体" w:hAnsi="宋体" w:eastAsia="宋体"/>
                <w:b w:val="0"/>
                <w:color w:val="auto"/>
                <w:sz w:val="24"/>
                <w:highlight w:val="none"/>
                <w:lang w:eastAsia="zh-CN"/>
              </w:rPr>
            </w:pPr>
            <w:r>
              <w:rPr>
                <w:rFonts w:hint="eastAsia" w:ascii="宋体" w:hAnsi="宋体" w:eastAsia="宋体"/>
                <w:b w:val="0"/>
                <w:color w:val="auto"/>
                <w:sz w:val="24"/>
                <w:highlight w:val="none"/>
                <w:lang w:val="en-US" w:eastAsia="zh-CN"/>
              </w:rPr>
              <w:t>代理费用</w:t>
            </w:r>
          </w:p>
        </w:tc>
        <w:tc>
          <w:tcPr>
            <w:tcW w:w="3244" w:type="pct"/>
            <w:vAlign w:val="center"/>
          </w:tcPr>
          <w:p w14:paraId="4257478D">
            <w:pPr>
              <w:keepNext w:val="0"/>
              <w:keepLines w:val="0"/>
              <w:pageBreakBefore w:val="0"/>
              <w:widowControl w:val="0"/>
              <w:suppressLineNumbers w:val="0"/>
              <w:kinsoku/>
              <w:wordWrap/>
              <w:overflowPunct/>
              <w:topLinePunct w:val="0"/>
              <w:autoSpaceDE/>
              <w:autoSpaceDN/>
              <w:bidi w:val="0"/>
              <w:adjustRightInd/>
              <w:snapToGrid/>
              <w:spacing w:before="39" w:beforeAutospacing="0" w:after="0" w:afterAutospacing="0" w:line="360" w:lineRule="auto"/>
              <w:ind w:left="0" w:right="0"/>
              <w:textAlignment w:val="auto"/>
              <w:rPr>
                <w:rFonts w:hint="default" w:ascii="宋体" w:hAnsi="宋体" w:eastAsia="宋体" w:cs="宋体"/>
                <w:color w:val="auto"/>
                <w:sz w:val="24"/>
                <w:szCs w:val="24"/>
                <w:highlight w:val="none"/>
              </w:rPr>
            </w:pPr>
            <w:r>
              <w:rPr>
                <w:rFonts w:hint="eastAsia" w:ascii="宋体" w:hAnsi="宋体" w:eastAsia="宋体"/>
                <w:bCs/>
                <w:color w:val="auto"/>
                <w:kern w:val="0"/>
                <w:sz w:val="24"/>
                <w:szCs w:val="28"/>
                <w:highlight w:val="none"/>
                <w:lang w:eastAsia="zh-CN"/>
              </w:rPr>
              <w:t>（</w:t>
            </w:r>
            <w:r>
              <w:rPr>
                <w:rFonts w:hint="eastAsia" w:ascii="宋体" w:hAnsi="宋体" w:eastAsia="宋体"/>
                <w:bCs/>
                <w:color w:val="auto"/>
                <w:kern w:val="0"/>
                <w:sz w:val="24"/>
                <w:szCs w:val="28"/>
                <w:highlight w:val="none"/>
                <w:lang w:val="en-US" w:eastAsia="zh-CN"/>
              </w:rPr>
              <w:t>1</w:t>
            </w:r>
            <w:r>
              <w:rPr>
                <w:rFonts w:hint="eastAsia" w:ascii="宋体" w:hAnsi="宋体" w:eastAsia="宋体"/>
                <w:bCs/>
                <w:color w:val="auto"/>
                <w:kern w:val="0"/>
                <w:sz w:val="24"/>
                <w:szCs w:val="28"/>
                <w:highlight w:val="none"/>
                <w:lang w:eastAsia="zh-CN"/>
              </w:rPr>
              <w:t>）</w:t>
            </w:r>
            <w:r>
              <w:rPr>
                <w:rFonts w:hint="default" w:ascii="宋体" w:hAnsi="宋体" w:eastAsia="宋体"/>
                <w:bCs/>
                <w:color w:val="auto"/>
                <w:kern w:val="0"/>
                <w:sz w:val="24"/>
                <w:szCs w:val="28"/>
                <w:highlight w:val="none"/>
              </w:rPr>
              <w:t>收费对象</w:t>
            </w:r>
            <w:r>
              <w:rPr>
                <w:rFonts w:hint="default" w:ascii="宋体" w:hAnsi="宋体" w:eastAsia="宋体" w:cs="宋体"/>
                <w:color w:val="auto"/>
                <w:spacing w:val="-12"/>
                <w:sz w:val="24"/>
                <w:szCs w:val="24"/>
                <w:highlight w:val="none"/>
              </w:rPr>
              <w:t>：</w:t>
            </w:r>
            <w:r>
              <w:rPr>
                <w:rFonts w:hint="eastAsia" w:ascii="宋体" w:hAnsi="宋体" w:eastAsia="宋体"/>
                <w:bCs/>
                <w:color w:val="auto"/>
                <w:kern w:val="0"/>
                <w:sz w:val="24"/>
                <w:szCs w:val="28"/>
                <w:highlight w:val="none"/>
              </w:rPr>
              <w:sym w:font="Wingdings" w:char="00A8"/>
            </w:r>
            <w:r>
              <w:rPr>
                <w:rFonts w:hint="default" w:ascii="宋体" w:hAnsi="宋体" w:eastAsia="宋体" w:cs="宋体"/>
                <w:color w:val="auto"/>
                <w:spacing w:val="14"/>
                <w:sz w:val="24"/>
                <w:szCs w:val="24"/>
                <w:highlight w:val="none"/>
              </w:rPr>
              <w:t>采购人</w:t>
            </w:r>
            <w:r>
              <w:rPr>
                <w:rFonts w:hint="eastAsia" w:ascii="宋体" w:hAnsi="宋体" w:eastAsia="宋体" w:cs="宋体"/>
                <w:color w:val="auto"/>
                <w:spacing w:val="14"/>
                <w:sz w:val="24"/>
                <w:szCs w:val="24"/>
                <w:highlight w:val="none"/>
                <w:lang w:val="en-US" w:eastAsia="zh-CN"/>
              </w:rPr>
              <w:t xml:space="preserve">   </w:t>
            </w:r>
            <w:r>
              <w:rPr>
                <w:rFonts w:hint="eastAsia" w:ascii="宋体" w:hAnsi="宋体" w:eastAsia="宋体"/>
                <w:bCs/>
                <w:color w:val="auto"/>
                <w:kern w:val="0"/>
                <w:sz w:val="24"/>
                <w:szCs w:val="28"/>
                <w:highlight w:val="none"/>
              </w:rPr>
              <w:sym w:font="Wingdings" w:char="00FE"/>
            </w:r>
            <w:r>
              <w:rPr>
                <w:rFonts w:hint="default" w:ascii="宋体" w:hAnsi="宋体" w:eastAsia="宋体" w:cs="宋体"/>
                <w:color w:val="auto"/>
                <w:spacing w:val="14"/>
                <w:sz w:val="24"/>
                <w:szCs w:val="24"/>
                <w:highlight w:val="none"/>
              </w:rPr>
              <w:t>中标人</w:t>
            </w:r>
          </w:p>
          <w:p w14:paraId="5AC5F899">
            <w:pPr>
              <w:keepNext w:val="0"/>
              <w:keepLines w:val="0"/>
              <w:pageBreakBefore w:val="0"/>
              <w:widowControl w:val="0"/>
              <w:suppressLineNumbers w:val="0"/>
              <w:kinsoku/>
              <w:wordWrap/>
              <w:overflowPunct/>
              <w:topLinePunct w:val="0"/>
              <w:autoSpaceDE/>
              <w:autoSpaceDN/>
              <w:bidi w:val="0"/>
              <w:adjustRightInd/>
              <w:snapToGrid/>
              <w:spacing w:before="24" w:beforeAutospacing="0" w:after="0" w:afterAutospacing="0" w:line="360" w:lineRule="auto"/>
              <w:ind w:left="0" w:right="0"/>
              <w:textAlignment w:val="auto"/>
              <w:rPr>
                <w:rFonts w:hint="eastAsia"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t>（2）</w:t>
            </w:r>
            <w:r>
              <w:rPr>
                <w:rFonts w:hint="default" w:ascii="宋体" w:hAnsi="宋体" w:eastAsia="宋体"/>
                <w:bCs/>
                <w:color w:val="auto"/>
                <w:kern w:val="0"/>
                <w:sz w:val="24"/>
                <w:szCs w:val="28"/>
                <w:highlight w:val="none"/>
              </w:rPr>
              <w:t>收取方式</w:t>
            </w:r>
            <w:r>
              <w:rPr>
                <w:rFonts w:hint="default"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color="auto"/>
              </w:rPr>
              <w:t>中标单位在获取中标通知书时一次性支付给代理机构。</w:t>
            </w:r>
          </w:p>
          <w:p w14:paraId="69A1DCF8">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宋体" w:hAnsi="宋体" w:eastAsia="宋体"/>
                <w:b w:val="0"/>
                <w:color w:val="auto"/>
                <w:sz w:val="24"/>
                <w:highlight w:val="none"/>
              </w:rPr>
            </w:pPr>
            <w:r>
              <w:rPr>
                <w:rFonts w:hint="eastAsia" w:ascii="宋体" w:hAnsi="宋体" w:eastAsia="宋体"/>
                <w:b w:val="0"/>
                <w:bCs w:val="0"/>
                <w:color w:val="auto"/>
                <w:kern w:val="0"/>
                <w:sz w:val="24"/>
                <w:szCs w:val="28"/>
                <w:highlight w:val="none"/>
              </w:rPr>
              <w:t>（3）</w:t>
            </w:r>
            <w:r>
              <w:rPr>
                <w:rFonts w:hint="default" w:ascii="宋体" w:hAnsi="宋体" w:eastAsia="宋体" w:cs="@仿宋_GB2312"/>
                <w:b w:val="0"/>
                <w:bCs/>
                <w:color w:val="auto"/>
                <w:kern w:val="0"/>
                <w:sz w:val="24"/>
                <w:szCs w:val="28"/>
                <w:highlight w:val="none"/>
                <w:lang w:val="en-US" w:eastAsia="zh-CN" w:bidi="ar-SA"/>
              </w:rPr>
              <w:t>收费标准：</w:t>
            </w:r>
            <w:r>
              <w:rPr>
                <w:rFonts w:hint="eastAsia" w:ascii="宋体" w:hAnsi="宋体" w:eastAsia="宋体" w:cs="宋体"/>
                <w:b w:val="0"/>
                <w:bCs w:val="0"/>
                <w:color w:val="auto"/>
                <w:kern w:val="2"/>
                <w:sz w:val="24"/>
                <w:szCs w:val="24"/>
                <w:highlight w:val="none"/>
                <w:u w:val="single" w:color="auto"/>
                <w:lang w:val="en-US" w:eastAsia="zh-CN" w:bidi="ar-SA"/>
              </w:rPr>
              <w:t>3000元，参考《滁州市公共资源交易代理机构及从业人员管理办法》(滁公管〔2025〕1 号)以及《关于进一步明确代理费计取标准的通知》（滁公管综〔2023〕19号）文件，以最高限价（控制价）计算。</w:t>
            </w:r>
          </w:p>
        </w:tc>
      </w:tr>
      <w:tr w14:paraId="4CC86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4901CD72">
            <w:pPr>
              <w:pStyle w:val="42"/>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eastAsia" w:ascii="宋体" w:hAnsi="宋体" w:eastAsia="宋体"/>
                <w:bCs/>
                <w:color w:val="auto"/>
                <w:kern w:val="2"/>
                <w:highlight w:val="none"/>
                <w:lang w:eastAsia="zh-CN"/>
              </w:rPr>
            </w:pPr>
            <w:r>
              <w:rPr>
                <w:rFonts w:hint="eastAsia" w:ascii="宋体" w:hAnsi="宋体" w:eastAsia="宋体"/>
                <w:bCs/>
                <w:color w:val="auto"/>
                <w:kern w:val="2"/>
                <w:highlight w:val="none"/>
              </w:rPr>
              <w:t>3</w:t>
            </w:r>
            <w:r>
              <w:rPr>
                <w:rFonts w:hint="eastAsia" w:ascii="宋体" w:hAnsi="宋体" w:eastAsia="宋体"/>
                <w:bCs/>
                <w:color w:val="auto"/>
                <w:kern w:val="2"/>
                <w:highlight w:val="none"/>
                <w:lang w:val="en-US" w:eastAsia="zh-CN"/>
              </w:rPr>
              <w:t>1</w:t>
            </w:r>
            <w:r>
              <w:rPr>
                <w:rFonts w:hint="default" w:ascii="宋体" w:hAnsi="宋体" w:eastAsia="宋体"/>
                <w:bCs/>
                <w:color w:val="auto"/>
                <w:kern w:val="2"/>
                <w:highlight w:val="none"/>
              </w:rPr>
              <w:t>.</w:t>
            </w:r>
            <w:r>
              <w:rPr>
                <w:rFonts w:hint="eastAsia" w:ascii="宋体" w:hAnsi="宋体" w:eastAsia="宋体"/>
                <w:bCs/>
                <w:color w:val="auto"/>
                <w:kern w:val="2"/>
                <w:highlight w:val="none"/>
                <w:lang w:val="en-US" w:eastAsia="zh-CN"/>
              </w:rPr>
              <w:t>3</w:t>
            </w:r>
          </w:p>
        </w:tc>
        <w:tc>
          <w:tcPr>
            <w:tcW w:w="1174" w:type="pct"/>
            <w:vAlign w:val="center"/>
          </w:tcPr>
          <w:p w14:paraId="3FBAB4E5">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质疑函递交方式、接收部门、联系电话和通讯地址</w:t>
            </w:r>
          </w:p>
        </w:tc>
        <w:tc>
          <w:tcPr>
            <w:tcW w:w="3244" w:type="pct"/>
            <w:vAlign w:val="center"/>
          </w:tcPr>
          <w:p w14:paraId="28811BF3">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递交方式：</w:t>
            </w:r>
            <w:r>
              <w:rPr>
                <w:rFonts w:hint="eastAsia" w:ascii="宋体" w:hAnsi="宋体" w:eastAsia="宋体"/>
                <w:bCs/>
                <w:color w:val="auto"/>
                <w:kern w:val="0"/>
                <w:sz w:val="24"/>
                <w:szCs w:val="28"/>
                <w:highlight w:val="none"/>
                <w:u w:val="single"/>
              </w:rPr>
              <w:t xml:space="preserve"> 如投标人对招标文件有质疑，可以依据中华人民共和国财政部令第94号《政府采购质疑和投诉办法》规定，以书面形式向采购人、采购代理机构提出质疑，也可以在滁州市公共资源交易中心网电子交易系统中进行质疑，具体操作步骤和程序请参见服务指南&gt;交易须知&gt;在线异议、质疑和投诉操作手册；</w:t>
            </w:r>
          </w:p>
          <w:p w14:paraId="75B1710E">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bCs w:val="0"/>
                <w:color w:val="auto"/>
                <w:sz w:val="24"/>
                <w:szCs w:val="18"/>
                <w:highlight w:val="none"/>
              </w:rPr>
            </w:pPr>
            <w:r>
              <w:rPr>
                <w:rFonts w:hint="eastAsia" w:ascii="宋体" w:hAnsi="宋体" w:eastAsia="宋体"/>
                <w:b w:val="0"/>
                <w:color w:val="auto"/>
                <w:sz w:val="24"/>
                <w:highlight w:val="none"/>
              </w:rPr>
              <w:t>接收部门：</w:t>
            </w:r>
            <w:r>
              <w:rPr>
                <w:rFonts w:hint="eastAsia" w:ascii="宋体" w:hAnsi="宋体" w:eastAsia="宋体"/>
                <w:bCs/>
                <w:color w:val="auto"/>
                <w:kern w:val="0"/>
                <w:sz w:val="24"/>
                <w:szCs w:val="28"/>
                <w:highlight w:val="none"/>
                <w:u w:val="single"/>
              </w:rPr>
              <w:t>滁州市市政设施管理中心、滁州市城投工程咨询管理有限公司；</w:t>
            </w:r>
          </w:p>
          <w:p w14:paraId="5FE6291D">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bCs w:val="0"/>
                <w:color w:val="auto"/>
                <w:sz w:val="24"/>
                <w:szCs w:val="18"/>
                <w:highlight w:val="none"/>
              </w:rPr>
            </w:pPr>
            <w:r>
              <w:rPr>
                <w:rFonts w:hint="default" w:ascii="宋体" w:hAnsi="宋体" w:eastAsia="宋体"/>
                <w:b w:val="0"/>
                <w:color w:val="auto"/>
                <w:sz w:val="24"/>
                <w:highlight w:val="none"/>
              </w:rPr>
              <w:t>联系电话：</w:t>
            </w:r>
            <w:r>
              <w:rPr>
                <w:rFonts w:hint="eastAsia" w:ascii="宋体" w:hAnsi="宋体" w:eastAsia="宋体"/>
                <w:bCs/>
                <w:color w:val="auto"/>
                <w:kern w:val="0"/>
                <w:sz w:val="24"/>
                <w:szCs w:val="28"/>
                <w:highlight w:val="none"/>
                <w:u w:val="single"/>
                <w:lang w:val="en-US" w:eastAsia="zh-CN"/>
              </w:rPr>
              <w:t>18855021449</w:t>
            </w:r>
            <w:r>
              <w:rPr>
                <w:rFonts w:hint="eastAsia" w:ascii="宋体" w:hAnsi="宋体" w:eastAsia="宋体"/>
                <w:bCs/>
                <w:color w:val="auto"/>
                <w:kern w:val="0"/>
                <w:sz w:val="24"/>
                <w:szCs w:val="28"/>
                <w:highlight w:val="none"/>
                <w:u w:val="single"/>
              </w:rPr>
              <w:t>、0550-3519517；</w:t>
            </w:r>
          </w:p>
          <w:p w14:paraId="6E1D9F6C">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通讯地址：</w:t>
            </w:r>
            <w:r>
              <w:rPr>
                <w:rFonts w:hint="eastAsia" w:ascii="宋体" w:hAnsi="宋体" w:eastAsia="宋体"/>
                <w:bCs/>
                <w:color w:val="auto"/>
                <w:kern w:val="0"/>
                <w:sz w:val="24"/>
                <w:szCs w:val="28"/>
                <w:highlight w:val="none"/>
                <w:u w:val="single"/>
              </w:rPr>
              <w:t>滁州市琅琊西路建设大厦七楼、滁州市龙蟠大道109号房产商务大厦6楼605室。</w:t>
            </w:r>
          </w:p>
        </w:tc>
      </w:tr>
      <w:tr w14:paraId="0F1B1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1" w:type="pct"/>
            <w:vAlign w:val="center"/>
          </w:tcPr>
          <w:p w14:paraId="044B5E96">
            <w:pPr>
              <w:pStyle w:val="42"/>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lang w:val="en-US" w:eastAsia="zh-CN"/>
              </w:rPr>
            </w:pPr>
            <w:r>
              <w:rPr>
                <w:rFonts w:hint="eastAsia" w:ascii="宋体" w:hAnsi="宋体" w:eastAsia="宋体"/>
                <w:bCs/>
                <w:color w:val="auto"/>
                <w:kern w:val="2"/>
                <w:highlight w:val="none"/>
                <w:lang w:val="en-US" w:eastAsia="zh-CN"/>
              </w:rPr>
              <w:t>32</w:t>
            </w:r>
          </w:p>
        </w:tc>
        <w:tc>
          <w:tcPr>
            <w:tcW w:w="1174" w:type="pct"/>
            <w:vAlign w:val="center"/>
          </w:tcPr>
          <w:p w14:paraId="2BE40F88">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lang w:val="en-US" w:eastAsia="zh-CN"/>
              </w:rPr>
            </w:pPr>
            <w:r>
              <w:rPr>
                <w:rFonts w:hint="eastAsia" w:ascii="宋体" w:hAnsi="宋体" w:eastAsia="宋体"/>
                <w:b w:val="0"/>
                <w:color w:val="auto"/>
                <w:sz w:val="24"/>
                <w:highlight w:val="none"/>
                <w:lang w:val="en-US" w:eastAsia="zh-CN"/>
              </w:rPr>
              <w:t>其他内容</w:t>
            </w:r>
          </w:p>
        </w:tc>
        <w:tc>
          <w:tcPr>
            <w:tcW w:w="3244" w:type="pct"/>
            <w:vAlign w:val="center"/>
          </w:tcPr>
          <w:p w14:paraId="1E6701CF">
            <w:pPr>
              <w:pStyle w:val="41"/>
              <w:keepNext w:val="0"/>
              <w:keepLines w:val="0"/>
              <w:widowControl w:val="0"/>
              <w:numPr>
                <w:ilvl w:val="0"/>
                <w:numId w:val="0"/>
              </w:numPr>
              <w:suppressLineNumbers w:val="0"/>
              <w:spacing w:before="0" w:beforeAutospacing="0" w:after="0" w:afterAutospacing="0" w:line="360" w:lineRule="auto"/>
              <w:ind w:left="0" w:right="0"/>
              <w:jc w:val="both"/>
              <w:rPr>
                <w:rFonts w:hint="eastAsia" w:ascii="宋体" w:hAnsi="宋体" w:eastAsia="宋体"/>
                <w:b w:val="0"/>
                <w:color w:val="auto"/>
                <w:sz w:val="24"/>
                <w:highlight w:val="none"/>
                <w:lang w:val="en-US" w:eastAsia="zh-CN"/>
              </w:rPr>
            </w:pPr>
            <w:r>
              <w:rPr>
                <w:rFonts w:hint="eastAsia" w:ascii="宋体" w:hAnsi="宋体" w:eastAsia="宋体"/>
                <w:b w:val="0"/>
                <w:color w:val="auto"/>
                <w:sz w:val="24"/>
                <w:highlight w:val="none"/>
                <w:lang w:val="en-US" w:eastAsia="zh-CN"/>
              </w:rPr>
              <w:t>1.解释权：</w:t>
            </w:r>
          </w:p>
          <w:p w14:paraId="5951D707">
            <w:pPr>
              <w:keepNext w:val="0"/>
              <w:keepLines w:val="0"/>
              <w:suppressLineNumbers w:val="0"/>
              <w:spacing w:before="0" w:beforeAutospacing="0" w:after="0" w:afterAutospacing="0" w:line="360" w:lineRule="auto"/>
              <w:ind w:left="0" w:right="0"/>
              <w:rPr>
                <w:rFonts w:hint="default"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（1）</w:t>
            </w:r>
            <w:r>
              <w:rPr>
                <w:rFonts w:hint="default" w:asciiTheme="minorEastAsia" w:hAnsiTheme="minorEastAsia" w:eastAsiaTheme="minorEastAsia"/>
                <w:bCs/>
                <w:color w:val="auto"/>
                <w:sz w:val="24"/>
                <w:szCs w:val="24"/>
                <w:highlight w:val="none"/>
              </w:rPr>
              <w:t>构成本招标文件的各个组成文件应互为解释，互为说明；</w:t>
            </w:r>
          </w:p>
          <w:p w14:paraId="29C334B7">
            <w:pPr>
              <w:keepNext w:val="0"/>
              <w:keepLines w:val="0"/>
              <w:suppressLineNumbers w:val="0"/>
              <w:spacing w:before="0" w:beforeAutospacing="0" w:after="0" w:afterAutospacing="0" w:line="360" w:lineRule="auto"/>
              <w:ind w:left="0" w:right="0"/>
              <w:rPr>
                <w:rFonts w:hint="default"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（2）</w:t>
            </w:r>
            <w:r>
              <w:rPr>
                <w:rFonts w:hint="default" w:asciiTheme="minorEastAsia" w:hAnsiTheme="minorEastAsia" w:eastAsiaTheme="minorEastAsia"/>
                <w:bCs/>
                <w:color w:val="auto"/>
                <w:sz w:val="24"/>
                <w:szCs w:val="24"/>
                <w:highlight w:val="none"/>
              </w:rPr>
              <w:t>同一组成文件中就同一事项的规定或约定不一致的，以编排顺序在后者为准；</w:t>
            </w:r>
          </w:p>
          <w:p w14:paraId="04EDA002">
            <w:pPr>
              <w:keepNext w:val="0"/>
              <w:keepLines w:val="0"/>
              <w:suppressLineNumbers w:val="0"/>
              <w:spacing w:before="0" w:beforeAutospacing="0" w:after="0" w:afterAutospacing="0" w:line="360" w:lineRule="auto"/>
              <w:ind w:left="0" w:right="0"/>
              <w:rPr>
                <w:rFonts w:hint="default"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（3）</w:t>
            </w:r>
            <w:r>
              <w:rPr>
                <w:rFonts w:hint="default" w:asciiTheme="minorEastAsia" w:hAnsiTheme="minorEastAsia" w:eastAsiaTheme="minorEastAsia"/>
                <w:bCs/>
                <w:color w:val="auto"/>
                <w:sz w:val="24"/>
                <w:szCs w:val="24"/>
                <w:highlight w:val="none"/>
              </w:rPr>
              <w:t>如有不明确或不一致，构成合同文件组成内容的，以合同文件约定内容为准，且以专用合同条款约定的合同文件优先顺序解释；</w:t>
            </w:r>
          </w:p>
          <w:p w14:paraId="58F7D32D">
            <w:pPr>
              <w:keepNext w:val="0"/>
              <w:keepLines w:val="0"/>
              <w:suppressLineNumbers w:val="0"/>
              <w:spacing w:before="0" w:beforeAutospacing="0" w:after="0" w:afterAutospacing="0" w:line="360" w:lineRule="auto"/>
              <w:ind w:left="0" w:right="0"/>
              <w:rPr>
                <w:rFonts w:hint="default"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（4）</w:t>
            </w:r>
            <w:r>
              <w:rPr>
                <w:rFonts w:hint="default" w:asciiTheme="minorEastAsia" w:hAnsiTheme="minorEastAsia" w:eastAsiaTheme="minorEastAsia"/>
                <w:bCs/>
                <w:color w:val="auto"/>
                <w:sz w:val="24"/>
                <w:szCs w:val="24"/>
                <w:highlight w:val="none"/>
              </w:rPr>
              <w:t>除招标文件中有特别规定外，仅适用于招标投标阶段的规定，按招标公告、</w:t>
            </w:r>
            <w:r>
              <w:rPr>
                <w:rFonts w:hint="eastAsia" w:asciiTheme="minorEastAsia" w:hAnsiTheme="minorEastAsia" w:eastAsiaTheme="minorEastAsia"/>
                <w:bCs/>
                <w:color w:val="auto"/>
                <w:sz w:val="24"/>
                <w:szCs w:val="24"/>
                <w:highlight w:val="none"/>
              </w:rPr>
              <w:t>投标邀请、</w:t>
            </w:r>
            <w:r>
              <w:rPr>
                <w:rFonts w:hint="default" w:asciiTheme="minorEastAsia" w:hAnsiTheme="minorEastAsia" w:eastAsiaTheme="minorEastAsia"/>
                <w:bCs/>
                <w:color w:val="auto"/>
                <w:sz w:val="24"/>
                <w:szCs w:val="24"/>
                <w:highlight w:val="none"/>
              </w:rPr>
              <w:t>投标人须知、评标</w:t>
            </w:r>
            <w:r>
              <w:rPr>
                <w:rFonts w:hint="eastAsia" w:asciiTheme="minorEastAsia" w:hAnsiTheme="minorEastAsia" w:eastAsiaTheme="minorEastAsia"/>
                <w:bCs/>
                <w:color w:val="auto"/>
                <w:sz w:val="24"/>
                <w:szCs w:val="24"/>
                <w:highlight w:val="none"/>
              </w:rPr>
              <w:t>方</w:t>
            </w:r>
            <w:r>
              <w:rPr>
                <w:rFonts w:hint="default" w:asciiTheme="minorEastAsia" w:hAnsiTheme="minorEastAsia" w:eastAsiaTheme="minorEastAsia"/>
                <w:bCs/>
                <w:color w:val="auto"/>
                <w:sz w:val="24"/>
                <w:szCs w:val="24"/>
                <w:highlight w:val="none"/>
              </w:rPr>
              <w:t>法</w:t>
            </w:r>
            <w:r>
              <w:rPr>
                <w:rFonts w:hint="eastAsia" w:asciiTheme="minorEastAsia" w:hAnsiTheme="minorEastAsia" w:eastAsiaTheme="minorEastAsia"/>
                <w:bCs/>
                <w:color w:val="auto"/>
                <w:sz w:val="24"/>
                <w:szCs w:val="24"/>
                <w:highlight w:val="none"/>
              </w:rPr>
              <w:t>和标准</w:t>
            </w:r>
            <w:r>
              <w:rPr>
                <w:rFonts w:hint="default" w:asciiTheme="minorEastAsia" w:hAnsiTheme="minorEastAsia" w:eastAsiaTheme="minorEastAsia"/>
                <w:bCs/>
                <w:color w:val="auto"/>
                <w:sz w:val="24"/>
                <w:szCs w:val="24"/>
                <w:highlight w:val="none"/>
              </w:rPr>
              <w:t>、投标文件格式的先后顺序解释；</w:t>
            </w:r>
          </w:p>
          <w:p w14:paraId="0E4E42E3">
            <w:pPr>
              <w:pStyle w:val="41"/>
              <w:keepNext w:val="0"/>
              <w:keepLines w:val="0"/>
              <w:widowControl w:val="0"/>
              <w:numPr>
                <w:ilvl w:val="0"/>
                <w:numId w:val="0"/>
              </w:numPr>
              <w:suppressLineNumbers w:val="0"/>
              <w:spacing w:before="0" w:beforeAutospacing="0" w:after="0" w:afterAutospacing="0" w:line="360" w:lineRule="auto"/>
              <w:ind w:left="0" w:right="0"/>
              <w:jc w:val="both"/>
              <w:rPr>
                <w:rFonts w:hint="default"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（5）</w:t>
            </w:r>
            <w:r>
              <w:rPr>
                <w:rFonts w:hint="default" w:cs="@仿宋_GB2312" w:asciiTheme="minorEastAsia" w:hAnsiTheme="minorEastAsia" w:eastAsiaTheme="minorEastAsia"/>
                <w:b w:val="0"/>
                <w:bCs/>
                <w:color w:val="auto"/>
                <w:kern w:val="2"/>
                <w:sz w:val="24"/>
                <w:szCs w:val="24"/>
                <w:highlight w:val="none"/>
                <w:lang w:val="en-US" w:eastAsia="zh-CN" w:bidi="ar-SA"/>
              </w:rPr>
              <w:t>按本款前述规定仍不能形成结论的，由</w:t>
            </w:r>
            <w:r>
              <w:rPr>
                <w:rFonts w:hint="eastAsia" w:cs="@仿宋_GB2312" w:asciiTheme="minorEastAsia" w:hAnsiTheme="minorEastAsia" w:eastAsiaTheme="minorEastAsia"/>
                <w:b w:val="0"/>
                <w:bCs/>
                <w:color w:val="auto"/>
                <w:kern w:val="2"/>
                <w:sz w:val="24"/>
                <w:szCs w:val="24"/>
                <w:highlight w:val="none"/>
                <w:lang w:val="en-US" w:eastAsia="zh-CN" w:bidi="ar-SA"/>
              </w:rPr>
              <w:t>采购</w:t>
            </w:r>
            <w:r>
              <w:rPr>
                <w:rFonts w:hint="default" w:cs="@仿宋_GB2312" w:asciiTheme="minorEastAsia" w:hAnsiTheme="minorEastAsia" w:eastAsiaTheme="minorEastAsia"/>
                <w:b w:val="0"/>
                <w:bCs/>
                <w:color w:val="auto"/>
                <w:kern w:val="2"/>
                <w:sz w:val="24"/>
                <w:szCs w:val="24"/>
                <w:highlight w:val="none"/>
                <w:lang w:val="en-US" w:eastAsia="zh-CN" w:bidi="ar-SA"/>
              </w:rPr>
              <w:t>人负责解释。</w:t>
            </w:r>
          </w:p>
          <w:p w14:paraId="313811B0">
            <w:pPr>
              <w:keepNext w:val="0"/>
              <w:keepLines w:val="0"/>
              <w:suppressLineNumbers w:val="0"/>
              <w:spacing w:before="0" w:beforeAutospacing="0" w:after="0" w:afterAutospacing="0" w:line="360" w:lineRule="auto"/>
              <w:ind w:left="0" w:right="0"/>
              <w:rPr>
                <w:rFonts w:hint="default"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lang w:val="en-US" w:eastAsia="zh-CN"/>
              </w:rPr>
              <w:t>2.</w:t>
            </w:r>
            <w:r>
              <w:rPr>
                <w:rFonts w:hint="eastAsia" w:asciiTheme="minorEastAsia" w:hAnsiTheme="minorEastAsia" w:eastAsiaTheme="minorEastAsia"/>
                <w:bCs/>
                <w:color w:val="auto"/>
                <w:sz w:val="24"/>
                <w:szCs w:val="24"/>
                <w:highlight w:val="none"/>
              </w:rPr>
              <w:t>“政采贷”融资指引：有融资需求的</w:t>
            </w:r>
            <w:r>
              <w:rPr>
                <w:rFonts w:hint="eastAsia" w:ascii="宋体" w:hAnsi="宋体" w:eastAsia="宋体" w:cs="宋体"/>
                <w:color w:val="auto"/>
                <w:sz w:val="24"/>
                <w:szCs w:val="24"/>
                <w:highlight w:val="none"/>
              </w:rPr>
              <w:t>中</w:t>
            </w:r>
            <w:r>
              <w:rPr>
                <w:rFonts w:hint="default" w:ascii="宋体" w:hAnsi="宋体" w:eastAsia="宋体" w:cs="宋体"/>
                <w:color w:val="auto"/>
                <w:sz w:val="24"/>
                <w:szCs w:val="24"/>
                <w:highlight w:val="none"/>
              </w:rPr>
              <w:t>标人</w:t>
            </w:r>
            <w:r>
              <w:rPr>
                <w:rFonts w:hint="eastAsia" w:asciiTheme="minorEastAsia" w:hAnsiTheme="minorEastAsia" w:eastAsiaTheme="minorEastAsia"/>
                <w:bCs/>
                <w:color w:val="auto"/>
                <w:sz w:val="24"/>
                <w:szCs w:val="24"/>
                <w:highlight w:val="none"/>
              </w:rPr>
              <w:t>在取得政府采购中标或成交通知书后，可访问安徽省政府采购网“政采贷”栏目，查看和联系第三方平台或者金融机构，商洽融资事项，确定融资意向。</w:t>
            </w:r>
            <w:r>
              <w:rPr>
                <w:rFonts w:hint="eastAsia" w:ascii="宋体" w:hAnsi="宋体" w:eastAsia="宋体" w:cs="宋体"/>
                <w:color w:val="auto"/>
                <w:sz w:val="24"/>
                <w:szCs w:val="24"/>
                <w:highlight w:val="none"/>
              </w:rPr>
              <w:t>中</w:t>
            </w:r>
            <w:r>
              <w:rPr>
                <w:rFonts w:hint="default" w:ascii="宋体" w:hAnsi="宋体" w:eastAsia="宋体" w:cs="宋体"/>
                <w:color w:val="auto"/>
                <w:sz w:val="24"/>
                <w:szCs w:val="24"/>
                <w:highlight w:val="none"/>
              </w:rPr>
              <w:t>标人</w:t>
            </w:r>
            <w:r>
              <w:rPr>
                <w:rFonts w:hint="eastAsia" w:asciiTheme="minorEastAsia" w:hAnsiTheme="minorEastAsia" w:eastAsiaTheme="minorEastAsia"/>
                <w:bCs/>
                <w:color w:val="auto"/>
                <w:sz w:val="24"/>
                <w:szCs w:val="24"/>
                <w:highlight w:val="none"/>
              </w:rPr>
              <w:t>签署政府采购中标（成交）合同后，登录“徽采云”金融服务模块，选择意向产品进行申请，并填写相关信息，“徽采云”金融服务模块将</w:t>
            </w:r>
            <w:r>
              <w:rPr>
                <w:rFonts w:hint="eastAsia" w:ascii="宋体" w:hAnsi="宋体" w:eastAsia="宋体" w:cs="宋体"/>
                <w:color w:val="auto"/>
                <w:sz w:val="24"/>
                <w:szCs w:val="24"/>
                <w:highlight w:val="none"/>
              </w:rPr>
              <w:t>中</w:t>
            </w:r>
            <w:r>
              <w:rPr>
                <w:rFonts w:hint="default" w:ascii="宋体" w:hAnsi="宋体" w:eastAsia="宋体" w:cs="宋体"/>
                <w:color w:val="auto"/>
                <w:sz w:val="24"/>
                <w:szCs w:val="24"/>
                <w:highlight w:val="none"/>
              </w:rPr>
              <w:t>标人</w:t>
            </w:r>
            <w:r>
              <w:rPr>
                <w:rFonts w:hint="eastAsia" w:asciiTheme="minorEastAsia" w:hAnsiTheme="minorEastAsia" w:eastAsiaTheme="minorEastAsia"/>
                <w:bCs/>
                <w:color w:val="auto"/>
                <w:sz w:val="24"/>
                <w:szCs w:val="24"/>
                <w:highlight w:val="none"/>
              </w:rPr>
              <w:t>融资申请信息推送第三方平台、意向金融机构。</w:t>
            </w:r>
          </w:p>
          <w:p w14:paraId="3D197CC6">
            <w:pPr>
              <w:pStyle w:val="41"/>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3.电子保函指引：中标人可访问安徽省政府采购网“融资/保函”栏目，申请办理电子保函（包括：履约保函、预付款保函）。</w:t>
            </w:r>
          </w:p>
          <w:p w14:paraId="61F1B926">
            <w:pPr>
              <w:pStyle w:val="41"/>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4.部分可提供线下政采贷的金融机构：</w:t>
            </w:r>
          </w:p>
          <w:p w14:paraId="70E59364">
            <w:pPr>
              <w:pStyle w:val="41"/>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市本级</w:t>
            </w:r>
          </w:p>
          <w:p w14:paraId="0D83FF6E">
            <w:pPr>
              <w:pStyle w:val="41"/>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金融机构名称：兴业银行滁州分行</w:t>
            </w:r>
          </w:p>
          <w:p w14:paraId="3DE8E868">
            <w:pPr>
              <w:pStyle w:val="41"/>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安徽省滁州市琅琊区丰乐大道1090号</w:t>
            </w:r>
          </w:p>
          <w:p w14:paraId="06769B63">
            <w:pPr>
              <w:pStyle w:val="41"/>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伏庚：17755080811。</w:t>
            </w:r>
          </w:p>
          <w:p w14:paraId="56C3FD13">
            <w:pPr>
              <w:pStyle w:val="41"/>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5.特别提示：</w:t>
            </w:r>
          </w:p>
          <w:p w14:paraId="52229909">
            <w:pPr>
              <w:pStyle w:val="41"/>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（1）投标人应填写投标信息并下载招标文件，否则无法上传投标文件。</w:t>
            </w:r>
          </w:p>
          <w:p w14:paraId="009BF6E4">
            <w:pPr>
              <w:pStyle w:val="41"/>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注：投标人如为联合体的，牵头人必须完善投标人信息，并在上传投标文件环节添加联合体投标信息。</w:t>
            </w:r>
          </w:p>
          <w:p w14:paraId="6F9EB828">
            <w:pPr>
              <w:pStyle w:val="41"/>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2）本项目采用电子招标投标，请投标人在滁州市公共资源交易中心网&gt;服务指南&gt;软件下载栏目点击下载投标文件制作工具。投标人需采用最新版投标文件制作工具。软件运行需在国际互联网络通畅状态，投标人需注意更新，以免造成投标文件制作错误，如因此导致评标委员会否决其投标，责任自负。如有技术问题请联系0550-3801701，4009980000。</w:t>
            </w:r>
          </w:p>
          <w:p w14:paraId="4619A40D">
            <w:pPr>
              <w:pStyle w:val="41"/>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（3）如果过程中出现招标文件更改，应以最后发布的招标答疑澄清文件中的模板制作本项目最新投标文件。</w:t>
            </w:r>
          </w:p>
          <w:p w14:paraId="6560C455">
            <w:pPr>
              <w:pStyle w:val="41"/>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 xml:space="preserve">（4）投标人应当用本单位CA数字证书制作投标文件，制作成功后进行投标文件上传。 </w:t>
            </w:r>
          </w:p>
          <w:p w14:paraId="42E90583">
            <w:pPr>
              <w:pStyle w:val="41"/>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5）投标人须用CA数字证书盖章和加密投标文件，建议使用主锁。（如未办理CA数字证书请及时办理，网上办理和窗口办理均可。查看办理所需资料请登录滁州市公共资源交易中心网&gt;服务指南&gt;办事指南&gt;CA数字证书和电子签章。因未及时办理CA数字证书手续导致无法投标的，责任自负。</w:t>
            </w:r>
          </w:p>
          <w:p w14:paraId="798CE0F0">
            <w:pPr>
              <w:pStyle w:val="41"/>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（6）请投标人注意加密投标文件CA数字证书的有效期，不在有效期的CA数字证书无法解密投标文件。</w:t>
            </w:r>
          </w:p>
          <w:p w14:paraId="1AC11244">
            <w:pPr>
              <w:pStyle w:val="41"/>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（7）投标人投标MAC地址或投标人联系人或联系电话相同的，由评标委员会否决其投标，并报告监管部门作不良行为处理和进一步调查。</w:t>
            </w:r>
          </w:p>
          <w:p w14:paraId="2D19F630">
            <w:pPr>
              <w:pStyle w:val="41"/>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（8）投标人单方面出现其他投标人材料的，由评标委员会否决其投标。</w:t>
            </w:r>
          </w:p>
          <w:p w14:paraId="07050A14">
            <w:pPr>
              <w:pStyle w:val="41"/>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9）评标时查询投标文件制作机器码、文件创建标识码及造价软件加密锁号。若存在投标文件制作机器码或创建标识码或造价软件加密锁号信息与其他投标人雷同的，由评标委员会否决其投标，依法依规予以处理。</w:t>
            </w:r>
          </w:p>
          <w:p w14:paraId="754FD679">
            <w:pPr>
              <w:pStyle w:val="41"/>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10）电子加密投标文件上传到系统后，需要投标企业和招标代理公司到开标截止时间后共同解锁，不存在商务报价等投标信息通过系统泄密的风险；投标截止时间前，已上传的投标文件也可以撤回修改。集中到开标截止时间前上传电子加密投标文件，可能出现由于投标企业制作电子投标文件不熟练、网络拥堵等不可预知的情况而且无法及时解决，丧失投标机会，请各投标企业提前制作、上传电子加密投标文件，否则由于无法及时上传电子加密投标文件而废标或无效投标的情况，责任自负！</w:t>
            </w:r>
          </w:p>
          <w:p w14:paraId="3CDFA794">
            <w:pPr>
              <w:pStyle w:val="41"/>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6.评标过程中的澄清、说明或补正：</w:t>
            </w:r>
          </w:p>
          <w:p w14:paraId="6326C267">
            <w:pPr>
              <w:pStyle w:val="41"/>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（1）评标委员会通过网上招投标系统将需要澄清、说明或补正的内容以询标函的形式发送给投标人，投标人应安排专人登录网上招投标系统并保持在线状态，以便及时接收评标委员会可能发出的询标函。</w:t>
            </w:r>
          </w:p>
          <w:p w14:paraId="68FA317C">
            <w:pPr>
              <w:pStyle w:val="41"/>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2）因投标人未登录网上招投标系统导致无法及时接收询标函（远程网上询标）或未在规定时间内按评标委员会要求进行澄清、说明或补正内容的视同投标人放弃澄清、说明或补正内容的权利，评标委员会可按对投标人不利的解释进行判定。</w:t>
            </w:r>
          </w:p>
          <w:p w14:paraId="426560B4">
            <w:pPr>
              <w:pStyle w:val="41"/>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7.同义词语：</w:t>
            </w:r>
          </w:p>
          <w:p w14:paraId="36598F1F">
            <w:pPr>
              <w:pStyle w:val="41"/>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招标文件第六章  投标文件格式、附件1“关于联合惩戒失信行为 加强信用查询管理的通知”等章节中 “招标人”、“供应商”，等同于“采购人”、“投标人”。</w:t>
            </w:r>
          </w:p>
          <w:p w14:paraId="24FC84B8">
            <w:pPr>
              <w:pStyle w:val="41"/>
              <w:keepNext w:val="0"/>
              <w:keepLines w:val="0"/>
              <w:widowControl w:val="0"/>
              <w:numPr>
                <w:ilvl w:val="0"/>
                <w:numId w:val="0"/>
              </w:numPr>
              <w:suppressLineNumbers w:val="0"/>
              <w:spacing w:before="0" w:beforeAutospacing="0" w:after="0" w:afterAutospacing="0" w:line="360" w:lineRule="auto"/>
              <w:ind w:left="0" w:right="0"/>
              <w:jc w:val="both"/>
              <w:rPr>
                <w:rFonts w:hint="eastAsia"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8.落实政府采购支持节能产品、环境标志产品政策。</w:t>
            </w:r>
          </w:p>
          <w:p w14:paraId="3ACA5384">
            <w:pPr>
              <w:pStyle w:val="41"/>
              <w:keepNext w:val="0"/>
              <w:keepLines w:val="0"/>
              <w:widowControl w:val="0"/>
              <w:numPr>
                <w:ilvl w:val="0"/>
                <w:numId w:val="0"/>
              </w:numPr>
              <w:suppressLineNumbers w:val="0"/>
              <w:spacing w:before="0" w:beforeAutospacing="0" w:after="0" w:afterAutospacing="0" w:line="360" w:lineRule="auto"/>
              <w:ind w:left="0" w:right="0"/>
              <w:jc w:val="both"/>
              <w:rPr>
                <w:rFonts w:hint="default"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9.系统中提供的表格与采购文件中不一致时，以采购文件中提供的表格格式为准。</w:t>
            </w:r>
          </w:p>
        </w:tc>
      </w:tr>
    </w:tbl>
    <w:p w14:paraId="65B407B1">
      <w:pPr>
        <w:spacing w:line="360" w:lineRule="auto"/>
        <w:jc w:val="center"/>
        <w:outlineLvl w:val="1"/>
        <w:rPr>
          <w:rFonts w:asciiTheme="minorEastAsia" w:hAnsiTheme="minorEastAsia" w:eastAsiaTheme="minorEastAsia"/>
          <w:b/>
          <w:color w:val="auto"/>
          <w:sz w:val="24"/>
          <w:highlight w:val="none"/>
        </w:rPr>
      </w:pPr>
      <w:r>
        <w:rPr>
          <w:rFonts w:asciiTheme="minorEastAsia" w:hAnsiTheme="minorEastAsia" w:eastAsiaTheme="minorEastAsia"/>
          <w:b/>
          <w:color w:val="auto"/>
          <w:sz w:val="28"/>
          <w:highlight w:val="none"/>
        </w:rPr>
        <w:br w:type="page"/>
      </w:r>
      <w:bookmarkStart w:id="13" w:name="_Toc9427"/>
      <w:bookmarkStart w:id="14" w:name="_Toc24882"/>
      <w:r>
        <w:rPr>
          <w:rFonts w:hint="eastAsia" w:asciiTheme="minorEastAsia" w:hAnsiTheme="minorEastAsia" w:eastAsiaTheme="minorEastAsia"/>
          <w:b/>
          <w:color w:val="auto"/>
          <w:sz w:val="24"/>
          <w:highlight w:val="none"/>
        </w:rPr>
        <w:t>二、</w:t>
      </w:r>
      <w:r>
        <w:rPr>
          <w:rFonts w:asciiTheme="minorEastAsia" w:hAnsiTheme="minorEastAsia" w:eastAsiaTheme="minorEastAsia"/>
          <w:b/>
          <w:color w:val="auto"/>
          <w:sz w:val="24"/>
          <w:highlight w:val="none"/>
        </w:rPr>
        <w:t>投标人须知</w:t>
      </w:r>
      <w:r>
        <w:rPr>
          <w:rFonts w:hint="eastAsia" w:asciiTheme="minorEastAsia" w:hAnsiTheme="minorEastAsia" w:eastAsiaTheme="minorEastAsia"/>
          <w:b/>
          <w:color w:val="auto"/>
          <w:sz w:val="24"/>
          <w:highlight w:val="none"/>
        </w:rPr>
        <w:t>正文</w:t>
      </w:r>
      <w:bookmarkEnd w:id="13"/>
      <w:bookmarkEnd w:id="14"/>
    </w:p>
    <w:p w14:paraId="76C9D7D9">
      <w:pPr>
        <w:spacing w:line="360" w:lineRule="auto"/>
        <w:ind w:firstLine="437"/>
        <w:outlineLvl w:val="2"/>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1.采购人、采购代理机构及投标人</w:t>
      </w:r>
    </w:p>
    <w:p w14:paraId="7EACF151">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w:t>
      </w:r>
      <w:r>
        <w:rPr>
          <w:rFonts w:ascii="宋体" w:hAnsi="宋体" w:eastAsia="宋体"/>
          <w:color w:val="auto"/>
          <w:sz w:val="24"/>
          <w:highlight w:val="none"/>
        </w:rPr>
        <w:t>.1采购人：是指依法开展政府采购活动的国家机关、事业单位、团体组织。</w:t>
      </w:r>
    </w:p>
    <w:p w14:paraId="448EDABB">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w:t>
      </w:r>
      <w:r>
        <w:rPr>
          <w:rFonts w:ascii="宋体" w:hAnsi="宋体" w:eastAsia="宋体"/>
          <w:color w:val="auto"/>
          <w:sz w:val="24"/>
          <w:highlight w:val="none"/>
        </w:rPr>
        <w:t>.2采购代理机构：是指集中采购机构或从事采购代理业务的社会中介机构。</w:t>
      </w:r>
    </w:p>
    <w:p w14:paraId="6865FA08">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w:t>
      </w:r>
      <w:r>
        <w:rPr>
          <w:rFonts w:ascii="宋体" w:hAnsi="宋体" w:eastAsia="宋体"/>
          <w:color w:val="auto"/>
          <w:sz w:val="24"/>
          <w:highlight w:val="none"/>
        </w:rPr>
        <w:t>.3政府采购监督管理部门：</w:t>
      </w:r>
      <w:r>
        <w:rPr>
          <w:rFonts w:hint="eastAsia" w:ascii="宋体" w:hAnsi="宋体" w:eastAsia="宋体"/>
          <w:color w:val="auto"/>
          <w:sz w:val="24"/>
          <w:highlight w:val="none"/>
        </w:rPr>
        <w:t>各级人民政府指定的有关部门依法履行与政府采购活动有关的监督管理职责。</w:t>
      </w:r>
    </w:p>
    <w:p w14:paraId="27779E50">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w:t>
      </w:r>
      <w:r>
        <w:rPr>
          <w:rFonts w:ascii="宋体" w:hAnsi="宋体" w:eastAsia="宋体"/>
          <w:color w:val="auto"/>
          <w:sz w:val="24"/>
          <w:highlight w:val="none"/>
        </w:rPr>
        <w:t>.4投标人：是指向采购人提供货物、工程或者服务的法人、</w:t>
      </w:r>
      <w:r>
        <w:rPr>
          <w:rFonts w:hint="eastAsia" w:ascii="宋体" w:hAnsi="宋体" w:eastAsia="宋体"/>
          <w:color w:val="auto"/>
          <w:sz w:val="24"/>
          <w:highlight w:val="none"/>
          <w:lang w:val="en-US" w:eastAsia="zh-CN"/>
        </w:rPr>
        <w:t>其他</w:t>
      </w:r>
      <w:r>
        <w:rPr>
          <w:rFonts w:ascii="宋体" w:hAnsi="宋体" w:eastAsia="宋体"/>
          <w:color w:val="auto"/>
          <w:sz w:val="24"/>
          <w:highlight w:val="none"/>
        </w:rPr>
        <w:t>组织或者自然人。</w:t>
      </w:r>
      <w:r>
        <w:rPr>
          <w:rFonts w:hint="eastAsia" w:ascii="宋体" w:hAnsi="宋体" w:eastAsia="宋体"/>
          <w:color w:val="auto"/>
          <w:sz w:val="24"/>
          <w:highlight w:val="none"/>
        </w:rPr>
        <w:t>分支机构不得参加政府采购活动，但银行、保险、石油石化、电力、电信等特殊行业除外。</w:t>
      </w:r>
      <w:r>
        <w:rPr>
          <w:rFonts w:ascii="宋体" w:hAnsi="宋体" w:eastAsia="宋体"/>
          <w:color w:val="auto"/>
          <w:sz w:val="24"/>
          <w:highlight w:val="none"/>
        </w:rPr>
        <w:t>本项目的投标人须满足以下条件：</w:t>
      </w:r>
    </w:p>
    <w:p w14:paraId="3D229A35">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4.</w:t>
      </w:r>
      <w:r>
        <w:rPr>
          <w:rFonts w:hint="eastAsia" w:ascii="宋体" w:hAnsi="宋体" w:eastAsia="宋体"/>
          <w:color w:val="auto"/>
          <w:sz w:val="24"/>
          <w:highlight w:val="none"/>
          <w:lang w:val="en-US" w:eastAsia="zh-CN"/>
        </w:rPr>
        <w:t>1</w:t>
      </w:r>
      <w:r>
        <w:rPr>
          <w:rFonts w:ascii="宋体" w:hAnsi="宋体" w:eastAsia="宋体"/>
          <w:color w:val="auto"/>
          <w:sz w:val="24"/>
          <w:highlight w:val="none"/>
        </w:rPr>
        <w:t>具备《中华人民共和国政府采购法》第二十二条关于供应商条件的规定，遵守本项目采购人本级和上级财政部门政府采购的有关规定。</w:t>
      </w:r>
    </w:p>
    <w:p w14:paraId="04EAFB53">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4.</w:t>
      </w:r>
      <w:r>
        <w:rPr>
          <w:rFonts w:hint="eastAsia" w:ascii="宋体" w:hAnsi="宋体" w:eastAsia="宋体"/>
          <w:color w:val="auto"/>
          <w:sz w:val="24"/>
          <w:highlight w:val="none"/>
          <w:lang w:val="en-US" w:eastAsia="zh-CN"/>
        </w:rPr>
        <w:t>2</w:t>
      </w:r>
      <w:r>
        <w:rPr>
          <w:rFonts w:ascii="宋体" w:hAnsi="宋体" w:eastAsia="宋体"/>
          <w:color w:val="auto"/>
          <w:sz w:val="24"/>
          <w:highlight w:val="none"/>
        </w:rPr>
        <w:t>以采购代理机构认可的方式获得了本项目的招标文件。</w:t>
      </w:r>
    </w:p>
    <w:p w14:paraId="689E7AD2">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4.</w:t>
      </w:r>
      <w:r>
        <w:rPr>
          <w:rFonts w:hint="eastAsia" w:ascii="宋体" w:hAnsi="宋体" w:eastAsia="宋体"/>
          <w:color w:val="auto"/>
          <w:sz w:val="24"/>
          <w:highlight w:val="none"/>
          <w:lang w:val="en-US" w:eastAsia="zh-CN"/>
        </w:rPr>
        <w:t>3</w:t>
      </w:r>
      <w:r>
        <w:rPr>
          <w:rFonts w:ascii="宋体" w:hAnsi="宋体" w:eastAsia="宋体"/>
          <w:color w:val="auto"/>
          <w:sz w:val="24"/>
          <w:highlight w:val="none"/>
        </w:rPr>
        <w:t>若</w:t>
      </w:r>
      <w:r>
        <w:rPr>
          <w:rFonts w:hint="eastAsia" w:ascii="宋体" w:hAnsi="宋体" w:eastAsia="宋体"/>
          <w:color w:val="auto"/>
          <w:sz w:val="24"/>
          <w:highlight w:val="none"/>
          <w:lang w:eastAsia="zh-CN"/>
        </w:rPr>
        <w:t>采购需求</w:t>
      </w:r>
      <w:r>
        <w:rPr>
          <w:rFonts w:ascii="宋体" w:hAnsi="宋体" w:eastAsia="宋体"/>
          <w:color w:val="auto"/>
          <w:sz w:val="24"/>
          <w:highlight w:val="none"/>
        </w:rPr>
        <w:t>中写明允许采购进口产品，投标人应保证所投产品可履行合法报通关手续进入中国关境内。</w:t>
      </w:r>
    </w:p>
    <w:p w14:paraId="37EDD7CC">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若</w:t>
      </w:r>
      <w:r>
        <w:rPr>
          <w:rFonts w:hint="eastAsia" w:ascii="宋体" w:hAnsi="宋体" w:eastAsia="宋体"/>
          <w:color w:val="auto"/>
          <w:sz w:val="24"/>
          <w:highlight w:val="none"/>
          <w:lang w:eastAsia="zh-CN"/>
        </w:rPr>
        <w:t>采购需求</w:t>
      </w:r>
      <w:r>
        <w:rPr>
          <w:rFonts w:hint="eastAsia" w:ascii="宋体" w:hAnsi="宋体" w:eastAsia="宋体"/>
          <w:color w:val="auto"/>
          <w:sz w:val="24"/>
          <w:highlight w:val="none"/>
        </w:rPr>
        <w:t>中未写明允许采购进口产品，如投标人所投产品为进口产品，其投标将被认定为</w:t>
      </w:r>
      <w:r>
        <w:rPr>
          <w:rFonts w:hint="eastAsia" w:ascii="宋体" w:hAnsi="宋体" w:eastAsia="宋体"/>
          <w:b/>
          <w:color w:val="auto"/>
          <w:sz w:val="24"/>
          <w:highlight w:val="none"/>
        </w:rPr>
        <w:t>投标无效</w:t>
      </w:r>
      <w:r>
        <w:rPr>
          <w:rFonts w:hint="eastAsia" w:ascii="宋体" w:hAnsi="宋体" w:eastAsia="宋体"/>
          <w:color w:val="auto"/>
          <w:sz w:val="24"/>
          <w:highlight w:val="none"/>
        </w:rPr>
        <w:t>。</w:t>
      </w:r>
    </w:p>
    <w:p w14:paraId="2A50D75A">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w:t>
      </w:r>
      <w:r>
        <w:rPr>
          <w:rFonts w:hint="eastAsia" w:ascii="宋体" w:hAnsi="宋体" w:eastAsia="宋体"/>
          <w:color w:val="auto"/>
          <w:sz w:val="24"/>
          <w:highlight w:val="none"/>
        </w:rPr>
        <w:t>若招标公告</w:t>
      </w:r>
      <w:r>
        <w:rPr>
          <w:rFonts w:ascii="宋体" w:hAnsi="宋体" w:eastAsia="宋体"/>
          <w:color w:val="auto"/>
          <w:sz w:val="24"/>
          <w:highlight w:val="none"/>
        </w:rPr>
        <w:t>中允许联合体投标，对联合体规定如下：</w:t>
      </w:r>
    </w:p>
    <w:p w14:paraId="6D9EDDBA">
      <w:pPr>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5.1两个以上供应商可以组成一个投标联合体，以一个投标人的身份投标。</w:t>
      </w:r>
      <w:r>
        <w:rPr>
          <w:rFonts w:ascii="宋体" w:hAnsi="宋体" w:eastAsia="宋体"/>
          <w:b w:val="0"/>
          <w:color w:val="auto"/>
          <w:sz w:val="24"/>
          <w:highlight w:val="none"/>
        </w:rPr>
        <w:t>联合体投标的，</w:t>
      </w:r>
      <w:r>
        <w:rPr>
          <w:rFonts w:hint="eastAsia" w:ascii="宋体" w:hAnsi="宋体" w:eastAsia="宋体"/>
          <w:b w:val="0"/>
          <w:color w:val="auto"/>
          <w:sz w:val="24"/>
          <w:highlight w:val="none"/>
        </w:rPr>
        <w:t>招标文件获取</w:t>
      </w:r>
      <w:r>
        <w:rPr>
          <w:rFonts w:ascii="宋体" w:hAnsi="宋体" w:eastAsia="宋体"/>
          <w:b w:val="0"/>
          <w:color w:val="auto"/>
          <w:sz w:val="24"/>
          <w:highlight w:val="none"/>
        </w:rPr>
        <w:t>手续由联合体</w:t>
      </w:r>
      <w:r>
        <w:rPr>
          <w:rFonts w:hint="eastAsia" w:ascii="宋体" w:hAnsi="宋体" w:eastAsia="宋体"/>
          <w:b w:val="0"/>
          <w:color w:val="auto"/>
          <w:sz w:val="24"/>
          <w:highlight w:val="none"/>
        </w:rPr>
        <w:t>中</w:t>
      </w:r>
      <w:r>
        <w:rPr>
          <w:rFonts w:ascii="宋体" w:hAnsi="宋体" w:eastAsia="宋体"/>
          <w:b w:val="0"/>
          <w:color w:val="auto"/>
          <w:sz w:val="24"/>
          <w:highlight w:val="none"/>
        </w:rPr>
        <w:t>任</w:t>
      </w:r>
      <w:r>
        <w:rPr>
          <w:rFonts w:hint="eastAsia" w:ascii="宋体" w:hAnsi="宋体" w:eastAsia="宋体"/>
          <w:b w:val="0"/>
          <w:color w:val="auto"/>
          <w:sz w:val="24"/>
          <w:highlight w:val="none"/>
        </w:rPr>
        <w:t>一成员单位</w:t>
      </w:r>
      <w:r>
        <w:rPr>
          <w:rFonts w:ascii="宋体" w:hAnsi="宋体" w:eastAsia="宋体"/>
          <w:b w:val="0"/>
          <w:color w:val="auto"/>
          <w:sz w:val="24"/>
          <w:highlight w:val="none"/>
        </w:rPr>
        <w:t>办理均可。</w:t>
      </w:r>
    </w:p>
    <w:p w14:paraId="7AE58C1D">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5.2联合体各方均应符合《中华人民共和国政府采购法》第二十二条规定的条件。</w:t>
      </w:r>
    </w:p>
    <w:p w14:paraId="7B8DDC7E">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5.3采购人根据采购项目对投标人的特殊要求，联合体中至少应当有一方符合相关规定。</w:t>
      </w:r>
    </w:p>
    <w:p w14:paraId="6EA1E004">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5.4联合体各方应签订</w:t>
      </w:r>
      <w:r>
        <w:rPr>
          <w:rFonts w:hint="eastAsia" w:ascii="宋体" w:hAnsi="宋体" w:eastAsia="宋体"/>
          <w:color w:val="auto"/>
          <w:sz w:val="24"/>
          <w:highlight w:val="none"/>
        </w:rPr>
        <w:t>联合协议</w:t>
      </w:r>
      <w:r>
        <w:rPr>
          <w:rFonts w:ascii="宋体" w:hAnsi="宋体" w:eastAsia="宋体"/>
          <w:color w:val="auto"/>
          <w:sz w:val="24"/>
          <w:highlight w:val="none"/>
        </w:rPr>
        <w:t>，明确约定联合体各方承担的工作和相应的责任，并将</w:t>
      </w:r>
      <w:r>
        <w:rPr>
          <w:rFonts w:hint="eastAsia" w:ascii="宋体" w:hAnsi="宋体" w:eastAsia="宋体"/>
          <w:color w:val="auto"/>
          <w:sz w:val="24"/>
          <w:highlight w:val="none"/>
        </w:rPr>
        <w:t>联合协议</w:t>
      </w:r>
      <w:r>
        <w:rPr>
          <w:rFonts w:ascii="宋体" w:hAnsi="宋体" w:eastAsia="宋体"/>
          <w:color w:val="auto"/>
          <w:sz w:val="24"/>
          <w:highlight w:val="none"/>
        </w:rPr>
        <w:t>作为投标文件</w:t>
      </w:r>
      <w:r>
        <w:rPr>
          <w:rFonts w:hint="eastAsia" w:ascii="宋体" w:hAnsi="宋体" w:eastAsia="宋体"/>
          <w:color w:val="auto"/>
          <w:sz w:val="24"/>
          <w:highlight w:val="none"/>
        </w:rPr>
        <w:t>的</w:t>
      </w:r>
      <w:r>
        <w:rPr>
          <w:rFonts w:ascii="宋体" w:hAnsi="宋体" w:eastAsia="宋体"/>
          <w:color w:val="auto"/>
          <w:sz w:val="24"/>
          <w:highlight w:val="none"/>
        </w:rPr>
        <w:t>一部分提交。</w:t>
      </w:r>
    </w:p>
    <w:p w14:paraId="43AC10E4">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5.5大中型企业、其他自然人、法人或者非法人组织与小型、微型企业组成联合体共同参加投标，</w:t>
      </w:r>
      <w:r>
        <w:rPr>
          <w:rFonts w:hint="eastAsia" w:ascii="宋体" w:hAnsi="宋体" w:eastAsia="宋体"/>
          <w:color w:val="auto"/>
          <w:sz w:val="24"/>
          <w:highlight w:val="none"/>
        </w:rPr>
        <w:t>联合协议中</w:t>
      </w:r>
      <w:r>
        <w:rPr>
          <w:rFonts w:ascii="宋体" w:hAnsi="宋体" w:eastAsia="宋体"/>
          <w:color w:val="auto"/>
          <w:sz w:val="24"/>
          <w:highlight w:val="none"/>
        </w:rPr>
        <w:t>应写明小型、微型企业的协议合同金额占到</w:t>
      </w:r>
      <w:r>
        <w:rPr>
          <w:rFonts w:hint="eastAsia" w:ascii="宋体" w:hAnsi="宋体" w:eastAsia="宋体"/>
          <w:color w:val="auto"/>
          <w:sz w:val="24"/>
          <w:highlight w:val="none"/>
        </w:rPr>
        <w:t>联合协议</w:t>
      </w:r>
      <w:r>
        <w:rPr>
          <w:rFonts w:ascii="宋体" w:hAnsi="宋体" w:eastAsia="宋体"/>
          <w:color w:val="auto"/>
          <w:sz w:val="24"/>
          <w:highlight w:val="none"/>
        </w:rPr>
        <w:t>投标总金额的比例。</w:t>
      </w:r>
    </w:p>
    <w:p w14:paraId="542EA3DA">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5.6</w:t>
      </w:r>
      <w:r>
        <w:rPr>
          <w:rFonts w:hint="eastAsia" w:ascii="宋体" w:hAnsi="宋体" w:eastAsia="宋体"/>
          <w:color w:val="auto"/>
          <w:sz w:val="24"/>
          <w:highlight w:val="none"/>
        </w:rPr>
        <w:t>联合体中有同类资质的供应商按照联合体分工承担相同工作的，</w:t>
      </w:r>
      <w:r>
        <w:rPr>
          <w:rFonts w:ascii="宋体" w:hAnsi="宋体" w:eastAsia="宋体"/>
          <w:color w:val="auto"/>
          <w:sz w:val="24"/>
          <w:highlight w:val="none"/>
        </w:rPr>
        <w:t>应当按照</w:t>
      </w:r>
      <w:r>
        <w:rPr>
          <w:rFonts w:hint="eastAsia" w:ascii="宋体" w:hAnsi="宋体" w:eastAsia="宋体"/>
          <w:color w:val="auto"/>
          <w:sz w:val="24"/>
          <w:highlight w:val="none"/>
        </w:rPr>
        <w:t>资质等级较低的供应商确定资质等级。</w:t>
      </w:r>
    </w:p>
    <w:p w14:paraId="1A15B482">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5.7以联合体形式参加政府采购活动的，联合体各方不得再单独参加或者与其他供应商另外组成联合体参加本项目投标，否则相关投标将被认定为</w:t>
      </w:r>
      <w:r>
        <w:rPr>
          <w:rFonts w:ascii="宋体" w:hAnsi="宋体" w:eastAsia="宋体"/>
          <w:b/>
          <w:color w:val="auto"/>
          <w:sz w:val="24"/>
          <w:highlight w:val="none"/>
        </w:rPr>
        <w:t>投标无效</w:t>
      </w:r>
      <w:r>
        <w:rPr>
          <w:rFonts w:ascii="宋体" w:hAnsi="宋体" w:eastAsia="宋体"/>
          <w:color w:val="auto"/>
          <w:sz w:val="24"/>
          <w:highlight w:val="none"/>
        </w:rPr>
        <w:t>。</w:t>
      </w:r>
    </w:p>
    <w:p w14:paraId="60F09E76">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5.8对联合体投标的其他资格要求见</w:t>
      </w:r>
      <w:r>
        <w:rPr>
          <w:rFonts w:hint="eastAsia" w:ascii="宋体" w:hAnsi="宋体" w:eastAsia="宋体"/>
          <w:color w:val="auto"/>
          <w:sz w:val="24"/>
          <w:highlight w:val="none"/>
          <w:lang w:val="en-US" w:eastAsia="zh-CN"/>
        </w:rPr>
        <w:t>申请人的</w:t>
      </w:r>
      <w:r>
        <w:rPr>
          <w:rFonts w:hint="eastAsia" w:ascii="宋体" w:hAnsi="宋体" w:eastAsia="宋体"/>
          <w:color w:val="auto"/>
          <w:sz w:val="24"/>
          <w:highlight w:val="none"/>
        </w:rPr>
        <w:t>资格</w:t>
      </w:r>
      <w:r>
        <w:rPr>
          <w:rFonts w:hint="eastAsia" w:ascii="宋体" w:hAnsi="宋体" w:eastAsia="宋体"/>
          <w:color w:val="auto"/>
          <w:sz w:val="24"/>
          <w:highlight w:val="none"/>
          <w:lang w:val="en-US" w:eastAsia="zh-CN"/>
        </w:rPr>
        <w:t>要求</w:t>
      </w:r>
      <w:r>
        <w:rPr>
          <w:rFonts w:ascii="宋体" w:hAnsi="宋体" w:eastAsia="宋体"/>
          <w:color w:val="auto"/>
          <w:sz w:val="24"/>
          <w:highlight w:val="none"/>
        </w:rPr>
        <w:t>。</w:t>
      </w:r>
    </w:p>
    <w:p w14:paraId="3191EAF5">
      <w:pPr>
        <w:spacing w:line="360" w:lineRule="auto"/>
        <w:ind w:firstLine="437"/>
        <w:outlineLvl w:val="2"/>
        <w:rPr>
          <w:rFonts w:hint="default"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2.资金落实情况</w:t>
      </w:r>
    </w:p>
    <w:p w14:paraId="266010C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本</w:t>
      </w:r>
      <w:r>
        <w:rPr>
          <w:rFonts w:hint="eastAsia" w:ascii="宋体" w:hAnsi="宋体" w:eastAsia="宋体"/>
          <w:color w:val="auto"/>
          <w:sz w:val="24"/>
          <w:highlight w:val="none"/>
        </w:rPr>
        <w:t>项目</w:t>
      </w:r>
      <w:r>
        <w:rPr>
          <w:rFonts w:hint="eastAsia" w:asciiTheme="minorEastAsia" w:hAnsiTheme="minorEastAsia" w:eastAsiaTheme="minorEastAsia"/>
          <w:color w:val="auto"/>
          <w:sz w:val="24"/>
          <w:highlight w:val="none"/>
        </w:rPr>
        <w:t>的采购人已获得足以支付本次招标后所签订的合同项下的资金。</w:t>
      </w:r>
    </w:p>
    <w:p w14:paraId="39D993F9">
      <w:pPr>
        <w:spacing w:line="360" w:lineRule="auto"/>
        <w:ind w:firstLine="437"/>
        <w:outlineLvl w:val="2"/>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3.投标费用</w:t>
      </w:r>
    </w:p>
    <w:p w14:paraId="38D9FD6D">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不论投标的结果如何，投标人应承担所有与准备和参加投标有关的费用。</w:t>
      </w:r>
    </w:p>
    <w:p w14:paraId="1198CFFB">
      <w:pPr>
        <w:spacing w:line="360" w:lineRule="auto"/>
        <w:ind w:firstLine="437"/>
        <w:outlineLvl w:val="2"/>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4.适用法律</w:t>
      </w:r>
    </w:p>
    <w:p w14:paraId="20443BFE">
      <w:pPr>
        <w:spacing w:line="360" w:lineRule="auto"/>
        <w:ind w:firstLine="435"/>
        <w:rPr>
          <w:rFonts w:asciiTheme="minorEastAsia" w:hAnsiTheme="minorEastAsia" w:eastAsiaTheme="minorEastAsia"/>
          <w:color w:val="auto"/>
          <w:sz w:val="24"/>
          <w:highlight w:val="none"/>
        </w:rPr>
      </w:pPr>
      <w:r>
        <w:rPr>
          <w:rFonts w:hint="eastAsia" w:ascii="宋体" w:hAnsi="宋体" w:eastAsia="宋体"/>
          <w:color w:val="auto"/>
          <w:sz w:val="24"/>
          <w:highlight w:val="none"/>
        </w:rPr>
        <w:t>本项目采购人、采购代理机构、投标人、评标委员会的相关行为均受《中华人民共和国政府采购法》、《中</w:t>
      </w:r>
      <w:r>
        <w:rPr>
          <w:rFonts w:hint="eastAsia" w:ascii="宋体" w:hAnsi="宋体" w:eastAsia="宋体"/>
          <w:color w:val="auto"/>
          <w:sz w:val="24"/>
          <w:szCs w:val="22"/>
          <w:highlight w:val="none"/>
        </w:rPr>
        <w:t>华人民共和国政府采购法实施条例》</w:t>
      </w:r>
      <w:r>
        <w:rPr>
          <w:rFonts w:hint="eastAsia" w:ascii="宋体" w:hAnsi="宋体" w:eastAsia="宋体"/>
          <w:color w:val="auto"/>
          <w:sz w:val="24"/>
          <w:szCs w:val="22"/>
          <w:highlight w:val="none"/>
          <w:lang w:val="en-US" w:eastAsia="zh-CN"/>
        </w:rPr>
        <w:t>及</w:t>
      </w:r>
      <w:r>
        <w:rPr>
          <w:rFonts w:hint="eastAsia" w:ascii="宋体" w:hAnsi="宋体" w:eastAsia="宋体"/>
          <w:color w:val="auto"/>
          <w:sz w:val="24"/>
          <w:szCs w:val="22"/>
          <w:highlight w:val="none"/>
        </w:rPr>
        <w:t>本项目本级和上级财政部门、政府采购监督管理部门的政府采购有关规定的约束，其权利受到上述法律法规的保护。</w:t>
      </w:r>
    </w:p>
    <w:p w14:paraId="1EB14291">
      <w:pPr>
        <w:spacing w:line="360" w:lineRule="auto"/>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5</w:t>
      </w:r>
      <w:r>
        <w:rPr>
          <w:rFonts w:hint="eastAsia" w:asciiTheme="minorEastAsia" w:hAnsiTheme="minorEastAsia" w:eastAsiaTheme="minorEastAsia"/>
          <w:b/>
          <w:color w:val="auto"/>
          <w:sz w:val="24"/>
          <w:highlight w:val="none"/>
        </w:rPr>
        <w:t>.招标文件构成</w:t>
      </w:r>
    </w:p>
    <w:p w14:paraId="2AEE3117">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5</w:t>
      </w:r>
      <w:r>
        <w:rPr>
          <w:rFonts w:hint="eastAsia" w:ascii="宋体" w:hAnsi="宋体" w:eastAsia="宋体"/>
          <w:color w:val="auto"/>
          <w:sz w:val="24"/>
          <w:highlight w:val="none"/>
        </w:rPr>
        <w:t>.1招标文件包括下列内容：</w:t>
      </w:r>
    </w:p>
    <w:p w14:paraId="24C6C6D1">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第一章</w:t>
      </w:r>
      <w:r>
        <w:rPr>
          <w:rFonts w:asciiTheme="minorEastAsia" w:hAnsiTheme="minorEastAsia" w:eastAsiaTheme="minorEastAsia"/>
          <w:color w:val="auto"/>
          <w:sz w:val="24"/>
          <w:highlight w:val="none"/>
        </w:rPr>
        <w:t xml:space="preserve">  投标邀请</w:t>
      </w:r>
    </w:p>
    <w:p w14:paraId="1749B8F4">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第二章</w:t>
      </w:r>
      <w:r>
        <w:rPr>
          <w:rFonts w:asciiTheme="minorEastAsia" w:hAnsiTheme="minorEastAsia" w:eastAsiaTheme="minorEastAsia"/>
          <w:color w:val="auto"/>
          <w:sz w:val="24"/>
          <w:highlight w:val="none"/>
        </w:rPr>
        <w:t xml:space="preserve">  投标人须知</w:t>
      </w:r>
    </w:p>
    <w:p w14:paraId="1C622C9F">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第三章</w:t>
      </w:r>
      <w:r>
        <w:rPr>
          <w:rFonts w:asciiTheme="minorEastAsia" w:hAnsiTheme="minorEastAsia" w:eastAsiaTheme="minorEastAsia"/>
          <w:color w:val="auto"/>
          <w:sz w:val="24"/>
          <w:highlight w:val="none"/>
        </w:rPr>
        <w:t xml:space="preserve">  采购需求</w:t>
      </w:r>
    </w:p>
    <w:p w14:paraId="231D62A5">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第四章</w:t>
      </w:r>
      <w:r>
        <w:rPr>
          <w:rFonts w:asciiTheme="minorEastAsia" w:hAnsiTheme="minorEastAsia" w:eastAsiaTheme="minorEastAsia"/>
          <w:color w:val="auto"/>
          <w:sz w:val="24"/>
          <w:highlight w:val="none"/>
        </w:rPr>
        <w:t xml:space="preserve">  评标</w:t>
      </w:r>
      <w:r>
        <w:rPr>
          <w:rFonts w:hint="eastAsia" w:asciiTheme="minorEastAsia" w:hAnsiTheme="minorEastAsia" w:eastAsiaTheme="minorEastAsia"/>
          <w:color w:val="auto"/>
          <w:sz w:val="24"/>
          <w:highlight w:val="none"/>
        </w:rPr>
        <w:t>方法</w:t>
      </w:r>
      <w:r>
        <w:rPr>
          <w:rFonts w:asciiTheme="minorEastAsia" w:hAnsiTheme="minorEastAsia" w:eastAsiaTheme="minorEastAsia"/>
          <w:color w:val="auto"/>
          <w:sz w:val="24"/>
          <w:highlight w:val="none"/>
        </w:rPr>
        <w:t>和标准</w:t>
      </w:r>
    </w:p>
    <w:p w14:paraId="340EE4D0">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第五章</w:t>
      </w:r>
      <w:r>
        <w:rPr>
          <w:rFonts w:asciiTheme="minorEastAsia" w:hAnsiTheme="minorEastAsia" w:eastAsiaTheme="minorEastAsia"/>
          <w:color w:val="auto"/>
          <w:sz w:val="24"/>
          <w:highlight w:val="none"/>
        </w:rPr>
        <w:t xml:space="preserve">  政府采购合同</w:t>
      </w:r>
    </w:p>
    <w:p w14:paraId="57F5A0B9">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第六章</w:t>
      </w:r>
      <w:r>
        <w:rPr>
          <w:rFonts w:asciiTheme="minorEastAsia" w:hAnsiTheme="minorEastAsia" w:eastAsiaTheme="minorEastAsia"/>
          <w:color w:val="auto"/>
          <w:sz w:val="24"/>
          <w:highlight w:val="none"/>
        </w:rPr>
        <w:t xml:space="preserve">  投标文件格式</w:t>
      </w:r>
    </w:p>
    <w:p w14:paraId="3257DEFC">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w:t>
      </w:r>
      <w:r>
        <w:rPr>
          <w:rFonts w:hint="eastAsia" w:asciiTheme="minorEastAsia" w:hAnsiTheme="minorEastAsia" w:eastAsiaTheme="minorEastAsia"/>
          <w:color w:val="auto"/>
          <w:sz w:val="24"/>
          <w:highlight w:val="none"/>
          <w:lang w:val="en-US" w:eastAsia="zh-CN"/>
        </w:rPr>
        <w:t>七</w:t>
      </w:r>
      <w:r>
        <w:rPr>
          <w:rFonts w:hint="eastAsia" w:asciiTheme="minorEastAsia" w:hAnsiTheme="minorEastAsia" w:eastAsiaTheme="minorEastAsia"/>
          <w:color w:val="auto"/>
          <w:sz w:val="24"/>
          <w:highlight w:val="none"/>
        </w:rPr>
        <w:t>章</w:t>
      </w:r>
      <w:r>
        <w:rPr>
          <w:rFonts w:asciiTheme="minorEastAsia" w:hAnsiTheme="minorEastAsia" w:eastAsiaTheme="minorEastAsia"/>
          <w:color w:val="auto"/>
          <w:sz w:val="24"/>
          <w:highlight w:val="none"/>
        </w:rPr>
        <w:t xml:space="preserve">  政府采购</w:t>
      </w:r>
      <w:r>
        <w:rPr>
          <w:rFonts w:hint="eastAsia" w:asciiTheme="minorEastAsia" w:hAnsiTheme="minorEastAsia" w:eastAsiaTheme="minorEastAsia"/>
          <w:color w:val="auto"/>
          <w:sz w:val="24"/>
          <w:highlight w:val="none"/>
        </w:rPr>
        <w:t>询问函和</w:t>
      </w:r>
      <w:r>
        <w:rPr>
          <w:rFonts w:asciiTheme="minorEastAsia" w:hAnsiTheme="minorEastAsia" w:eastAsiaTheme="minorEastAsia"/>
          <w:color w:val="auto"/>
          <w:sz w:val="24"/>
          <w:highlight w:val="none"/>
        </w:rPr>
        <w:t>质疑函范本</w:t>
      </w:r>
    </w:p>
    <w:p w14:paraId="5A82D76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5</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现场</w:t>
      </w:r>
      <w:r>
        <w:rPr>
          <w:rFonts w:hint="eastAsia" w:asciiTheme="minorEastAsia" w:hAnsiTheme="minorEastAsia" w:eastAsiaTheme="minorEastAsia"/>
          <w:color w:val="auto"/>
          <w:sz w:val="24"/>
          <w:highlight w:val="none"/>
        </w:rPr>
        <w:t>考察</w:t>
      </w:r>
      <w:r>
        <w:rPr>
          <w:rFonts w:hint="eastAsia" w:asciiTheme="minorEastAsia" w:hAnsiTheme="minorEastAsia" w:eastAsiaTheme="minorEastAsia"/>
          <w:color w:val="auto"/>
          <w:sz w:val="24"/>
          <w:highlight w:val="none"/>
          <w:lang w:eastAsia="zh-CN"/>
        </w:rPr>
        <w:t>（</w:t>
      </w:r>
      <w:r>
        <w:rPr>
          <w:rFonts w:hint="eastAsia" w:ascii="宋体" w:hAnsi="宋体" w:eastAsia="宋体" w:cs="@仿宋_GB2312"/>
          <w:b w:val="0"/>
          <w:bCs/>
          <w:color w:val="auto"/>
          <w:kern w:val="2"/>
          <w:sz w:val="24"/>
          <w:szCs w:val="22"/>
          <w:highlight w:val="none"/>
          <w:lang w:val="en-US" w:eastAsia="zh-CN" w:bidi="ar-SA"/>
        </w:rPr>
        <w:t>标前答疑会</w:t>
      </w:r>
      <w:r>
        <w:rPr>
          <w:rFonts w:hint="eastAsia" w:asciiTheme="minorEastAsia" w:hAnsiTheme="minorEastAsia" w:eastAsiaTheme="minorEastAsia"/>
          <w:color w:val="auto"/>
          <w:sz w:val="24"/>
          <w:highlight w:val="none"/>
          <w:lang w:eastAsia="zh-CN"/>
        </w:rPr>
        <w:t>）</w:t>
      </w:r>
      <w:r>
        <w:rPr>
          <w:rFonts w:asciiTheme="minorEastAsia" w:hAnsiTheme="minorEastAsia" w:eastAsiaTheme="minorEastAsia"/>
          <w:color w:val="auto"/>
          <w:sz w:val="24"/>
          <w:highlight w:val="none"/>
        </w:rPr>
        <w:t>及相关事项见</w:t>
      </w:r>
      <w:r>
        <w:rPr>
          <w:rFonts w:asciiTheme="minorEastAsia" w:hAnsiTheme="minorEastAsia" w:eastAsiaTheme="minorEastAsia"/>
          <w:color w:val="auto"/>
          <w:sz w:val="24"/>
          <w:highlight w:val="none"/>
          <w:u w:val="single"/>
        </w:rPr>
        <w:t>投标</w:t>
      </w:r>
      <w:r>
        <w:rPr>
          <w:rFonts w:hint="eastAsia" w:asciiTheme="minorEastAsia" w:hAnsiTheme="minorEastAsia" w:eastAsiaTheme="minorEastAsia"/>
          <w:color w:val="auto"/>
          <w:sz w:val="24"/>
          <w:highlight w:val="none"/>
          <w:u w:val="single"/>
        </w:rPr>
        <w:t>人</w:t>
      </w:r>
      <w:r>
        <w:rPr>
          <w:rFonts w:asciiTheme="minorEastAsia" w:hAnsiTheme="minorEastAsia" w:eastAsiaTheme="minorEastAsia"/>
          <w:color w:val="auto"/>
          <w:sz w:val="24"/>
          <w:highlight w:val="none"/>
          <w:u w:val="single"/>
        </w:rPr>
        <w:t>须知前附表</w:t>
      </w:r>
      <w:r>
        <w:rPr>
          <w:rFonts w:asciiTheme="minorEastAsia" w:hAnsiTheme="minorEastAsia" w:eastAsiaTheme="minorEastAsia"/>
          <w:color w:val="auto"/>
          <w:sz w:val="24"/>
          <w:highlight w:val="none"/>
        </w:rPr>
        <w:t>。</w:t>
      </w:r>
    </w:p>
    <w:p w14:paraId="145EF60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5</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投标人应认真阅读招标文件所有的事项、格式、条款和技术规范等。</w:t>
      </w:r>
    </w:p>
    <w:p w14:paraId="5A7F080F">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6</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招标文件的澄清与修改</w:t>
      </w:r>
    </w:p>
    <w:p w14:paraId="098FD1B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投标人如对招标文件内容有疑问，</w:t>
      </w:r>
      <w:r>
        <w:rPr>
          <w:rFonts w:hint="eastAsia" w:asciiTheme="minorEastAsia" w:hAnsiTheme="minorEastAsia" w:eastAsiaTheme="minorEastAsia"/>
          <w:color w:val="auto"/>
          <w:sz w:val="24"/>
          <w:highlight w:val="none"/>
          <w:lang w:val="en-US" w:eastAsia="zh-CN"/>
        </w:rPr>
        <w:t>可</w:t>
      </w:r>
      <w:r>
        <w:rPr>
          <w:rFonts w:asciiTheme="minorEastAsia" w:hAnsiTheme="minorEastAsia" w:eastAsiaTheme="minorEastAsia"/>
          <w:color w:val="auto"/>
          <w:sz w:val="24"/>
          <w:highlight w:val="none"/>
        </w:rPr>
        <w:t>在</w:t>
      </w:r>
      <w:r>
        <w:rPr>
          <w:rFonts w:ascii="宋体" w:hAnsi="宋体" w:eastAsia="宋体"/>
          <w:color w:val="auto"/>
          <w:sz w:val="24"/>
          <w:highlight w:val="none"/>
          <w:u w:val="single"/>
        </w:rPr>
        <w:t>投标人须知前附表</w:t>
      </w:r>
      <w:r>
        <w:rPr>
          <w:rFonts w:asciiTheme="minorEastAsia" w:hAnsiTheme="minorEastAsia" w:eastAsiaTheme="minorEastAsia"/>
          <w:color w:val="auto"/>
          <w:sz w:val="24"/>
          <w:highlight w:val="none"/>
        </w:rPr>
        <w:t>规定的</w:t>
      </w:r>
      <w:r>
        <w:rPr>
          <w:rFonts w:hint="eastAsia" w:asciiTheme="minorEastAsia" w:hAnsiTheme="minorEastAsia" w:eastAsiaTheme="minorEastAsia"/>
          <w:color w:val="auto"/>
          <w:sz w:val="24"/>
          <w:highlight w:val="none"/>
        </w:rPr>
        <w:t>网上询问</w:t>
      </w:r>
      <w:r>
        <w:rPr>
          <w:rFonts w:asciiTheme="minorEastAsia" w:hAnsiTheme="minorEastAsia" w:eastAsiaTheme="minorEastAsia"/>
          <w:color w:val="auto"/>
          <w:sz w:val="24"/>
          <w:highlight w:val="none"/>
        </w:rPr>
        <w:t>截止时间前提交给采购代理机构。</w:t>
      </w:r>
    </w:p>
    <w:p w14:paraId="49A2A9A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2采购人可主动地或在</w:t>
      </w:r>
      <w:r>
        <w:rPr>
          <w:rFonts w:hint="eastAsia" w:asciiTheme="minorEastAsia" w:hAnsiTheme="minorEastAsia" w:eastAsiaTheme="minorEastAsia"/>
          <w:color w:val="auto"/>
          <w:sz w:val="24"/>
          <w:highlight w:val="none"/>
          <w:lang w:val="en-US" w:eastAsia="zh-CN"/>
        </w:rPr>
        <w:t>答复</w:t>
      </w:r>
      <w:r>
        <w:rPr>
          <w:rFonts w:hint="eastAsia" w:asciiTheme="minorEastAsia" w:hAnsiTheme="minorEastAsia" w:eastAsiaTheme="minorEastAsia"/>
          <w:color w:val="auto"/>
          <w:sz w:val="24"/>
          <w:highlight w:val="none"/>
        </w:rPr>
        <w:t>投标人提出的</w:t>
      </w:r>
      <w:r>
        <w:rPr>
          <w:rFonts w:hint="eastAsia" w:asciiTheme="minorEastAsia" w:hAnsiTheme="minorEastAsia" w:eastAsiaTheme="minorEastAsia"/>
          <w:color w:val="auto"/>
          <w:sz w:val="24"/>
          <w:highlight w:val="none"/>
          <w:lang w:val="en-US" w:eastAsia="zh-CN"/>
        </w:rPr>
        <w:t>询问</w:t>
      </w:r>
      <w:r>
        <w:rPr>
          <w:rFonts w:hint="eastAsia" w:asciiTheme="minorEastAsia" w:hAnsiTheme="minorEastAsia" w:eastAsiaTheme="minorEastAsia"/>
          <w:color w:val="auto"/>
          <w:sz w:val="24"/>
          <w:highlight w:val="none"/>
        </w:rPr>
        <w:t>时对招标文件进行澄清与修改。</w:t>
      </w:r>
      <w:r>
        <w:rPr>
          <w:rFonts w:asciiTheme="minorEastAsia" w:hAnsiTheme="minorEastAsia" w:eastAsiaTheme="minorEastAsia"/>
          <w:color w:val="auto"/>
          <w:sz w:val="24"/>
          <w:highlight w:val="none"/>
        </w:rPr>
        <w:t>采购代理机构将</w:t>
      </w:r>
      <w:r>
        <w:rPr>
          <w:rFonts w:hint="eastAsia" w:asciiTheme="minorEastAsia" w:hAnsiTheme="minorEastAsia" w:eastAsiaTheme="minorEastAsia"/>
          <w:color w:val="auto"/>
          <w:sz w:val="24"/>
          <w:highlight w:val="none"/>
        </w:rPr>
        <w:t>在安徽省政府采购网和滁州市公共资源交易中心网以发布更正公告的方式</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澄清或修改招标文件，更正公告的</w:t>
      </w:r>
      <w:r>
        <w:rPr>
          <w:rFonts w:asciiTheme="minorEastAsia" w:hAnsiTheme="minorEastAsia" w:eastAsiaTheme="minorEastAsia"/>
          <w:color w:val="auto"/>
          <w:sz w:val="24"/>
          <w:highlight w:val="none"/>
        </w:rPr>
        <w:t>内容</w:t>
      </w:r>
      <w:r>
        <w:rPr>
          <w:rFonts w:hint="eastAsia" w:asciiTheme="minorEastAsia" w:hAnsiTheme="minorEastAsia" w:eastAsiaTheme="minorEastAsia"/>
          <w:color w:val="auto"/>
          <w:sz w:val="24"/>
          <w:highlight w:val="none"/>
        </w:rPr>
        <w:t>作</w:t>
      </w:r>
      <w:r>
        <w:rPr>
          <w:rFonts w:asciiTheme="minorEastAsia" w:hAnsiTheme="minorEastAsia" w:eastAsiaTheme="minorEastAsia"/>
          <w:color w:val="auto"/>
          <w:sz w:val="24"/>
          <w:highlight w:val="none"/>
        </w:rPr>
        <w:t>为招标文件</w:t>
      </w:r>
      <w:r>
        <w:rPr>
          <w:rFonts w:hint="eastAsia" w:asciiTheme="minorEastAsia" w:hAnsiTheme="minorEastAsia" w:eastAsiaTheme="minorEastAsia"/>
          <w:color w:val="auto"/>
          <w:sz w:val="24"/>
          <w:highlight w:val="none"/>
        </w:rPr>
        <w:t>的</w:t>
      </w:r>
      <w:r>
        <w:rPr>
          <w:rFonts w:asciiTheme="minorEastAsia" w:hAnsiTheme="minorEastAsia" w:eastAsiaTheme="minorEastAsia"/>
          <w:color w:val="auto"/>
          <w:sz w:val="24"/>
          <w:highlight w:val="none"/>
        </w:rPr>
        <w:t>组成部分，对投标人起约束作用</w:t>
      </w:r>
      <w:r>
        <w:rPr>
          <w:rFonts w:hint="eastAsia" w:asciiTheme="minorEastAsia" w:hAnsiTheme="minorEastAsia" w:eastAsiaTheme="minorEastAsia"/>
          <w:color w:val="auto"/>
          <w:sz w:val="24"/>
          <w:highlight w:val="none"/>
        </w:rPr>
        <w:t>。投标人应主动上网查询。采购代理机构不承担投标人未及时关注相关信息引发的相关责任。</w:t>
      </w:r>
    </w:p>
    <w:p w14:paraId="2ED6EB79">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3任何人或任何组织向投标人提供的任何书面或口头资料，未经采购代理机构在网上发布或书面通知，均作无效处理，不得作为招标文件的组成部分。采购代理机构对投标人由此而做出的推论、理解和结论概不负责。</w:t>
      </w:r>
    </w:p>
    <w:p w14:paraId="2706C9A7">
      <w:pPr>
        <w:spacing w:line="360" w:lineRule="auto"/>
        <w:ind w:firstLine="435"/>
        <w:rPr>
          <w:rFonts w:asciiTheme="minorEastAsia" w:hAnsiTheme="minorEastAsia" w:eastAsiaTheme="minorEastAsia"/>
          <w:i/>
          <w:iCs/>
          <w:color w:val="auto"/>
          <w:sz w:val="24"/>
          <w:highlight w:val="none"/>
        </w:rPr>
      </w:pPr>
      <w:r>
        <w:rPr>
          <w:rFonts w:hint="eastAsia" w:asciiTheme="minorEastAsia" w:hAnsiTheme="minorEastAsia" w:eastAsiaTheme="minorEastAsia"/>
          <w:color w:val="auto"/>
          <w:sz w:val="24"/>
          <w:highlight w:val="none"/>
          <w:lang w:val="en-US" w:eastAsia="zh-CN"/>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对于</w:t>
      </w:r>
      <w:r>
        <w:rPr>
          <w:rFonts w:ascii="宋体" w:hAnsi="宋体" w:eastAsia="宋体"/>
          <w:color w:val="auto"/>
          <w:sz w:val="24"/>
          <w:highlight w:val="none"/>
        </w:rPr>
        <w:t>没有</w:t>
      </w:r>
      <w:r>
        <w:rPr>
          <w:rFonts w:asciiTheme="minorEastAsia" w:hAnsiTheme="minorEastAsia" w:eastAsiaTheme="minorEastAsia"/>
          <w:color w:val="auto"/>
          <w:sz w:val="24"/>
          <w:highlight w:val="none"/>
        </w:rPr>
        <w:t>提出</w:t>
      </w:r>
      <w:r>
        <w:rPr>
          <w:rFonts w:hint="eastAsia" w:asciiTheme="minorEastAsia" w:hAnsiTheme="minorEastAsia" w:eastAsiaTheme="minorEastAsia"/>
          <w:color w:val="auto"/>
          <w:sz w:val="24"/>
          <w:highlight w:val="none"/>
        </w:rPr>
        <w:t>疑问</w:t>
      </w:r>
      <w:r>
        <w:rPr>
          <w:rFonts w:asciiTheme="minorEastAsia" w:hAnsiTheme="minorEastAsia" w:eastAsiaTheme="minorEastAsia"/>
          <w:color w:val="auto"/>
          <w:sz w:val="24"/>
          <w:highlight w:val="none"/>
        </w:rPr>
        <w:t>又参与了</w:t>
      </w:r>
      <w:r>
        <w:rPr>
          <w:rFonts w:hint="eastAsia" w:asciiTheme="minorEastAsia" w:hAnsiTheme="minorEastAsia" w:eastAsiaTheme="minorEastAsia"/>
          <w:color w:val="auto"/>
          <w:sz w:val="24"/>
          <w:highlight w:val="none"/>
        </w:rPr>
        <w:t>本</w:t>
      </w:r>
      <w:r>
        <w:rPr>
          <w:rFonts w:asciiTheme="minorEastAsia" w:hAnsiTheme="minorEastAsia" w:eastAsiaTheme="minorEastAsia"/>
          <w:color w:val="auto"/>
          <w:sz w:val="24"/>
          <w:highlight w:val="none"/>
        </w:rPr>
        <w:t>项目投标的</w:t>
      </w:r>
      <w:r>
        <w:rPr>
          <w:rFonts w:hint="eastAsia" w:asciiTheme="minorEastAsia" w:hAnsiTheme="minorEastAsia" w:eastAsiaTheme="minorEastAsia"/>
          <w:color w:val="auto"/>
          <w:sz w:val="24"/>
          <w:highlight w:val="none"/>
        </w:rPr>
        <w:t>投标人</w:t>
      </w:r>
      <w:r>
        <w:rPr>
          <w:rFonts w:asciiTheme="minorEastAsia" w:hAnsiTheme="minorEastAsia" w:eastAsiaTheme="minorEastAsia"/>
          <w:color w:val="auto"/>
          <w:sz w:val="24"/>
          <w:highlight w:val="none"/>
        </w:rPr>
        <w:t>将被视为完全认同</w:t>
      </w:r>
      <w:r>
        <w:rPr>
          <w:rFonts w:hint="eastAsia" w:asciiTheme="minorEastAsia" w:hAnsiTheme="minorEastAsia" w:eastAsiaTheme="minorEastAsia"/>
          <w:color w:val="auto"/>
          <w:sz w:val="24"/>
          <w:highlight w:val="none"/>
        </w:rPr>
        <w:t>本</w:t>
      </w:r>
      <w:r>
        <w:rPr>
          <w:rFonts w:asciiTheme="minorEastAsia" w:hAnsiTheme="minorEastAsia" w:eastAsiaTheme="minorEastAsia"/>
          <w:color w:val="auto"/>
          <w:sz w:val="24"/>
          <w:highlight w:val="none"/>
        </w:rPr>
        <w:t>招标文件（含</w:t>
      </w:r>
      <w:r>
        <w:rPr>
          <w:rFonts w:hint="eastAsia" w:asciiTheme="minorEastAsia" w:hAnsiTheme="minorEastAsia" w:eastAsiaTheme="minorEastAsia"/>
          <w:color w:val="auto"/>
          <w:sz w:val="24"/>
          <w:highlight w:val="none"/>
        </w:rPr>
        <w:t>更正公告的</w:t>
      </w:r>
      <w:r>
        <w:rPr>
          <w:rFonts w:asciiTheme="minorEastAsia" w:hAnsiTheme="minorEastAsia" w:eastAsiaTheme="minorEastAsia"/>
          <w:color w:val="auto"/>
          <w:sz w:val="24"/>
          <w:highlight w:val="none"/>
        </w:rPr>
        <w:t>内容）</w:t>
      </w:r>
      <w:r>
        <w:rPr>
          <w:rFonts w:hint="eastAsia" w:asciiTheme="minorEastAsia" w:hAnsiTheme="minorEastAsia" w:eastAsiaTheme="minorEastAsia"/>
          <w:i/>
          <w:color w:val="auto"/>
          <w:sz w:val="24"/>
          <w:highlight w:val="none"/>
        </w:rPr>
        <w:t>。</w:t>
      </w:r>
    </w:p>
    <w:p w14:paraId="347795F7">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7</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投标范围及投标文件中标准和计量单位的使用</w:t>
      </w:r>
    </w:p>
    <w:p w14:paraId="5DDD8D6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.1</w:t>
      </w:r>
      <w:r>
        <w:rPr>
          <w:rFonts w:ascii="宋体" w:hAnsi="宋体" w:eastAsia="宋体"/>
          <w:color w:val="auto"/>
          <w:sz w:val="24"/>
          <w:highlight w:val="none"/>
        </w:rPr>
        <w:t>项目</w:t>
      </w:r>
      <w:r>
        <w:rPr>
          <w:rFonts w:asciiTheme="minorEastAsia" w:hAnsiTheme="minorEastAsia" w:eastAsiaTheme="minorEastAsia"/>
          <w:color w:val="auto"/>
          <w:sz w:val="24"/>
          <w:highlight w:val="none"/>
        </w:rPr>
        <w:t>有分包的，投标人可对招标文件其中某一个或几个分包进行投标，除非在</w:t>
      </w:r>
      <w:r>
        <w:rPr>
          <w:rFonts w:asciiTheme="minorEastAsia" w:hAnsiTheme="minorEastAsia" w:eastAsiaTheme="minorEastAsia"/>
          <w:color w:val="auto"/>
          <w:sz w:val="24"/>
          <w:highlight w:val="none"/>
          <w:u w:val="single"/>
        </w:rPr>
        <w:t>投标人须知前附表</w:t>
      </w:r>
      <w:r>
        <w:rPr>
          <w:rFonts w:asciiTheme="minorEastAsia" w:hAnsiTheme="minorEastAsia" w:eastAsiaTheme="minorEastAsia"/>
          <w:color w:val="auto"/>
          <w:sz w:val="24"/>
          <w:highlight w:val="none"/>
        </w:rPr>
        <w:t>中另有规定。</w:t>
      </w:r>
    </w:p>
    <w:p w14:paraId="40F07A7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.2投标人应当对所投分包招标文件中“</w:t>
      </w:r>
      <w:r>
        <w:rPr>
          <w:rFonts w:hint="eastAsia" w:asciiTheme="minorEastAsia" w:hAnsiTheme="minorEastAsia" w:eastAsiaTheme="minorEastAsia"/>
          <w:color w:val="auto"/>
          <w:sz w:val="24"/>
          <w:highlight w:val="none"/>
        </w:rPr>
        <w:t>采购</w:t>
      </w:r>
      <w:r>
        <w:rPr>
          <w:rFonts w:asciiTheme="minorEastAsia" w:hAnsiTheme="minorEastAsia" w:eastAsiaTheme="minorEastAsia"/>
          <w:color w:val="auto"/>
          <w:sz w:val="24"/>
          <w:highlight w:val="none"/>
        </w:rPr>
        <w:t>需求”所列的所有内容进行投标，如仅响应</w:t>
      </w:r>
      <w:r>
        <w:rPr>
          <w:rFonts w:hint="eastAsia" w:asciiTheme="minorEastAsia" w:hAnsiTheme="minorEastAsia" w:eastAsiaTheme="minorEastAsia"/>
          <w:color w:val="auto"/>
          <w:sz w:val="24"/>
          <w:highlight w:val="none"/>
        </w:rPr>
        <w:t>所投包别</w:t>
      </w:r>
      <w:r>
        <w:rPr>
          <w:rFonts w:asciiTheme="minorEastAsia" w:hAnsiTheme="minorEastAsia" w:eastAsiaTheme="minorEastAsia"/>
          <w:color w:val="auto"/>
          <w:sz w:val="24"/>
          <w:highlight w:val="none"/>
        </w:rPr>
        <w:t>中的部分内容，其</w:t>
      </w:r>
      <w:r>
        <w:rPr>
          <w:rFonts w:hint="eastAsia" w:asciiTheme="minorEastAsia" w:hAnsiTheme="minorEastAsia" w:eastAsiaTheme="minorEastAsia"/>
          <w:color w:val="auto"/>
          <w:sz w:val="24"/>
          <w:highlight w:val="none"/>
        </w:rPr>
        <w:t>所投包别的</w:t>
      </w:r>
      <w:r>
        <w:rPr>
          <w:rFonts w:asciiTheme="minorEastAsia" w:hAnsiTheme="minorEastAsia" w:eastAsiaTheme="minorEastAsia"/>
          <w:color w:val="auto"/>
          <w:sz w:val="24"/>
          <w:highlight w:val="none"/>
        </w:rPr>
        <w:t>投标将被认定为</w:t>
      </w:r>
      <w:r>
        <w:rPr>
          <w:rFonts w:asciiTheme="minorEastAsia" w:hAnsiTheme="minorEastAsia" w:eastAsiaTheme="minorEastAsia"/>
          <w:b/>
          <w:color w:val="auto"/>
          <w:sz w:val="24"/>
          <w:highlight w:val="none"/>
        </w:rPr>
        <w:t>投标无效</w:t>
      </w:r>
      <w:r>
        <w:rPr>
          <w:rFonts w:asciiTheme="minorEastAsia" w:hAnsiTheme="minorEastAsia" w:eastAsiaTheme="minorEastAsia"/>
          <w:color w:val="auto"/>
          <w:sz w:val="24"/>
          <w:highlight w:val="none"/>
        </w:rPr>
        <w:t>。</w:t>
      </w:r>
    </w:p>
    <w:p w14:paraId="7CA8DF61">
      <w:pPr>
        <w:spacing w:line="360" w:lineRule="auto"/>
        <w:ind w:firstLine="435"/>
        <w:rPr>
          <w:rFonts w:asciiTheme="minorEastAsia" w:hAnsiTheme="minorEastAsia" w:eastAsiaTheme="minorEastAsia"/>
          <w:color w:val="auto"/>
          <w:sz w:val="24"/>
          <w:highlight w:val="none"/>
        </w:rPr>
      </w:pPr>
      <w:bookmarkStart w:id="15" w:name="_Hlk16458980"/>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.3无论招标文件中是否要求，</w:t>
      </w:r>
      <w:r>
        <w:rPr>
          <w:rFonts w:hint="eastAsia" w:asciiTheme="minorEastAsia" w:hAnsiTheme="minorEastAsia" w:eastAsiaTheme="minorEastAsia"/>
          <w:color w:val="auto"/>
          <w:sz w:val="24"/>
          <w:highlight w:val="none"/>
        </w:rPr>
        <w:t>投标人所投货物</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rPr>
        <w:t>服务</w:t>
      </w:r>
      <w:r>
        <w:rPr>
          <w:rFonts w:hint="eastAsia" w:asciiTheme="minorEastAsia" w:hAnsiTheme="minorEastAsia" w:eastAsiaTheme="minorEastAsia"/>
          <w:color w:val="auto"/>
          <w:sz w:val="24"/>
          <w:highlight w:val="none"/>
          <w:lang w:val="en-US" w:eastAsia="zh-CN"/>
        </w:rPr>
        <w:t>及</w:t>
      </w:r>
      <w:r>
        <w:rPr>
          <w:rFonts w:hint="eastAsia" w:asciiTheme="minorEastAsia" w:hAnsiTheme="minorEastAsia" w:eastAsiaTheme="minorEastAsia"/>
          <w:color w:val="auto"/>
          <w:sz w:val="24"/>
          <w:highlight w:val="none"/>
        </w:rPr>
        <w:t>工程</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i w:val="0"/>
          <w:iCs w:val="0"/>
          <w:color w:val="auto"/>
          <w:sz w:val="24"/>
          <w:highlight w:val="none"/>
          <w:u w:val="none"/>
          <w:lang w:val="en-US" w:eastAsia="zh-CN"/>
        </w:rPr>
        <w:t>如有</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rPr>
        <w:t>均应符合国家强制性标准。</w:t>
      </w:r>
    </w:p>
    <w:bookmarkEnd w:id="15"/>
    <w:p w14:paraId="68EAB1C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投标人与采购</w:t>
      </w:r>
      <w:r>
        <w:rPr>
          <w:rFonts w:hint="eastAsia" w:asciiTheme="minorEastAsia" w:hAnsiTheme="minorEastAsia" w:eastAsiaTheme="minorEastAsia"/>
          <w:color w:val="auto"/>
          <w:sz w:val="24"/>
          <w:highlight w:val="none"/>
        </w:rPr>
        <w:t>代理</w:t>
      </w:r>
      <w:r>
        <w:rPr>
          <w:rFonts w:asciiTheme="minorEastAsia" w:hAnsiTheme="minorEastAsia" w:eastAsiaTheme="minorEastAsia"/>
          <w:color w:val="auto"/>
          <w:sz w:val="24"/>
          <w:highlight w:val="none"/>
        </w:rPr>
        <w:t>机构之间与投标有关的所有往来通知、函件和投标文件均用中文表述。投标人随投标文件提供的证明文件和资料可以为其它语言，但必须附中文译文。翻译的中文资料与外文资料出现差异时，以中文为准。</w:t>
      </w:r>
    </w:p>
    <w:p w14:paraId="0E9514B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除</w:t>
      </w:r>
      <w:r>
        <w:rPr>
          <w:rFonts w:ascii="宋体" w:hAnsi="宋体" w:eastAsia="宋体"/>
          <w:color w:val="auto"/>
          <w:sz w:val="24"/>
          <w:highlight w:val="none"/>
        </w:rPr>
        <w:t>招标文件</w:t>
      </w:r>
      <w:r>
        <w:rPr>
          <w:rFonts w:asciiTheme="minorEastAsia" w:hAnsiTheme="minorEastAsia" w:eastAsiaTheme="minorEastAsia"/>
          <w:color w:val="auto"/>
          <w:sz w:val="24"/>
          <w:highlight w:val="none"/>
        </w:rPr>
        <w:t>中有特殊要求外，投标文件中所使用的计量单位，应采用中华人民共和国法定计量单位。</w:t>
      </w:r>
    </w:p>
    <w:p w14:paraId="79386F8A">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8</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投标文件构成</w:t>
      </w:r>
    </w:p>
    <w:p w14:paraId="68FF7DF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8</w:t>
      </w:r>
      <w:r>
        <w:rPr>
          <w:rFonts w:asciiTheme="minorEastAsia" w:hAnsiTheme="minorEastAsia" w:eastAsiaTheme="minorEastAsia"/>
          <w:color w:val="auto"/>
          <w:sz w:val="24"/>
          <w:highlight w:val="none"/>
        </w:rPr>
        <w:t>.1</w:t>
      </w:r>
      <w:r>
        <w:rPr>
          <w:rFonts w:ascii="宋体" w:hAnsi="宋体" w:eastAsia="宋体"/>
          <w:color w:val="auto"/>
          <w:sz w:val="24"/>
          <w:highlight w:val="none"/>
        </w:rPr>
        <w:t>投标人</w:t>
      </w:r>
      <w:r>
        <w:rPr>
          <w:rFonts w:asciiTheme="minorEastAsia" w:hAnsiTheme="minorEastAsia" w:eastAsiaTheme="minorEastAsia"/>
          <w:color w:val="auto"/>
          <w:sz w:val="24"/>
          <w:highlight w:val="none"/>
        </w:rPr>
        <w:t>应完整地按招标文件提供的投标文件格式及要求</w:t>
      </w:r>
      <w:r>
        <w:rPr>
          <w:rFonts w:hint="eastAsia" w:asciiTheme="minorEastAsia" w:hAnsiTheme="minorEastAsia" w:eastAsiaTheme="minorEastAsia"/>
          <w:color w:val="auto"/>
          <w:sz w:val="24"/>
          <w:highlight w:val="none"/>
        </w:rPr>
        <w:t>编</w:t>
      </w:r>
      <w:r>
        <w:rPr>
          <w:rFonts w:asciiTheme="minorEastAsia" w:hAnsiTheme="minorEastAsia" w:eastAsiaTheme="minorEastAsia"/>
          <w:color w:val="auto"/>
          <w:sz w:val="24"/>
          <w:highlight w:val="none"/>
        </w:rPr>
        <w:t>写投标文件，</w:t>
      </w:r>
      <w:r>
        <w:rPr>
          <w:rFonts w:hint="eastAsia" w:asciiTheme="minorEastAsia" w:hAnsiTheme="minorEastAsia" w:eastAsiaTheme="minorEastAsia"/>
          <w:color w:val="auto"/>
          <w:sz w:val="24"/>
          <w:highlight w:val="none"/>
        </w:rPr>
        <w:t>具体内容详见本项目投标文件格式的相关内容。</w:t>
      </w:r>
    </w:p>
    <w:p w14:paraId="730F36C1">
      <w:pPr>
        <w:spacing w:line="360" w:lineRule="auto"/>
        <w:ind w:firstLine="435"/>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8.2</w:t>
      </w:r>
      <w:r>
        <w:rPr>
          <w:rFonts w:ascii="宋体" w:hAnsi="宋体" w:eastAsia="宋体"/>
          <w:color w:val="auto"/>
          <w:sz w:val="24"/>
          <w:highlight w:val="none"/>
        </w:rPr>
        <w:t>投标人</w:t>
      </w:r>
      <w:r>
        <w:rPr>
          <w:rFonts w:asciiTheme="minorEastAsia" w:hAnsiTheme="minorEastAsia" w:eastAsiaTheme="minorEastAsia"/>
          <w:color w:val="auto"/>
          <w:sz w:val="24"/>
          <w:highlight w:val="none"/>
        </w:rPr>
        <w:t>应提交</w:t>
      </w:r>
      <w:r>
        <w:rPr>
          <w:rFonts w:hint="eastAsia" w:asciiTheme="minorEastAsia" w:hAnsiTheme="minorEastAsia" w:eastAsiaTheme="minorEastAsia"/>
          <w:color w:val="auto"/>
          <w:sz w:val="24"/>
          <w:highlight w:val="none"/>
        </w:rPr>
        <w:t>招标文件要求的</w:t>
      </w:r>
      <w:r>
        <w:rPr>
          <w:rFonts w:asciiTheme="minorEastAsia" w:hAnsiTheme="minorEastAsia" w:eastAsiaTheme="minorEastAsia"/>
          <w:color w:val="auto"/>
          <w:sz w:val="24"/>
          <w:highlight w:val="none"/>
        </w:rPr>
        <w:t>证明文件，证明其投标内容符合招标文件规定</w:t>
      </w:r>
      <w:r>
        <w:rPr>
          <w:rFonts w:hint="eastAsia" w:asciiTheme="minorEastAsia" w:hAnsiTheme="minorEastAsia" w:eastAsiaTheme="minorEastAsia"/>
          <w:color w:val="auto"/>
          <w:sz w:val="24"/>
          <w:highlight w:val="none"/>
          <w:lang w:eastAsia="zh-CN"/>
        </w:rPr>
        <w:t>，</w:t>
      </w:r>
      <w:r>
        <w:rPr>
          <w:rFonts w:asciiTheme="minorEastAsia" w:hAnsiTheme="minorEastAsia" w:eastAsiaTheme="minorEastAsia"/>
          <w:color w:val="auto"/>
          <w:sz w:val="24"/>
          <w:highlight w:val="none"/>
        </w:rPr>
        <w:t>该证明文件是投标文件的一部分</w:t>
      </w:r>
      <w:r>
        <w:rPr>
          <w:rFonts w:hint="eastAsia" w:asciiTheme="minorEastAsia" w:hAnsiTheme="minorEastAsia" w:eastAsiaTheme="minorEastAsia"/>
          <w:color w:val="auto"/>
          <w:sz w:val="24"/>
          <w:highlight w:val="none"/>
          <w:lang w:eastAsia="zh-CN"/>
        </w:rPr>
        <w:t>。</w:t>
      </w:r>
      <w:r>
        <w:rPr>
          <w:rFonts w:asciiTheme="minorEastAsia" w:hAnsiTheme="minorEastAsia" w:eastAsiaTheme="minorEastAsia"/>
          <w:color w:val="auto"/>
          <w:sz w:val="24"/>
          <w:highlight w:val="none"/>
        </w:rPr>
        <w:t>证明文件</w:t>
      </w:r>
      <w:r>
        <w:rPr>
          <w:rFonts w:hint="eastAsia" w:asciiTheme="minorEastAsia" w:hAnsiTheme="minorEastAsia" w:eastAsiaTheme="minorEastAsia"/>
          <w:color w:val="auto"/>
          <w:sz w:val="24"/>
          <w:highlight w:val="none"/>
          <w:lang w:val="en-US" w:eastAsia="zh-CN"/>
        </w:rPr>
        <w:t>形式</w:t>
      </w:r>
      <w:r>
        <w:rPr>
          <w:rFonts w:asciiTheme="minorEastAsia" w:hAnsiTheme="minorEastAsia" w:eastAsiaTheme="minorEastAsia"/>
          <w:color w:val="auto"/>
          <w:sz w:val="24"/>
          <w:highlight w:val="none"/>
        </w:rPr>
        <w:t>可以是文字资料、图纸和数据</w:t>
      </w:r>
      <w:bookmarkStart w:id="16" w:name="_Hlk11703583"/>
      <w:r>
        <w:rPr>
          <w:rFonts w:hint="eastAsia" w:asciiTheme="minorEastAsia" w:hAnsiTheme="minorEastAsia" w:eastAsiaTheme="minorEastAsia"/>
          <w:color w:val="auto"/>
          <w:sz w:val="24"/>
          <w:highlight w:val="none"/>
          <w:lang w:val="en-US" w:eastAsia="zh-CN"/>
        </w:rPr>
        <w:t>等。</w:t>
      </w:r>
    </w:p>
    <w:bookmarkEnd w:id="16"/>
    <w:p w14:paraId="7988E5E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8.3</w:t>
      </w:r>
      <w:r>
        <w:rPr>
          <w:rFonts w:asciiTheme="minorEastAsia" w:hAnsiTheme="minorEastAsia" w:eastAsiaTheme="minorEastAsia"/>
          <w:color w:val="auto"/>
          <w:sz w:val="24"/>
          <w:highlight w:val="none"/>
        </w:rPr>
        <w:t>为保证</w:t>
      </w:r>
      <w:r>
        <w:rPr>
          <w:rFonts w:ascii="宋体" w:hAnsi="宋体" w:eastAsia="宋体"/>
          <w:color w:val="auto"/>
          <w:sz w:val="24"/>
          <w:highlight w:val="none"/>
        </w:rPr>
        <w:t>公平</w:t>
      </w:r>
      <w:r>
        <w:rPr>
          <w:rFonts w:asciiTheme="minorEastAsia" w:hAnsiTheme="minorEastAsia" w:eastAsiaTheme="minorEastAsia"/>
          <w:color w:val="auto"/>
          <w:sz w:val="24"/>
          <w:highlight w:val="none"/>
        </w:rPr>
        <w:t>公正，除非另有规定或说明，投标人对同一项目投标时，不得同时提供</w:t>
      </w:r>
      <w:r>
        <w:rPr>
          <w:rFonts w:hint="eastAsia" w:asciiTheme="minorEastAsia" w:hAnsiTheme="minorEastAsia" w:eastAsiaTheme="minorEastAsia"/>
          <w:color w:val="auto"/>
          <w:sz w:val="24"/>
          <w:highlight w:val="none"/>
        </w:rPr>
        <w:t>备选</w:t>
      </w:r>
      <w:r>
        <w:rPr>
          <w:rFonts w:asciiTheme="minorEastAsia" w:hAnsiTheme="minorEastAsia" w:eastAsiaTheme="minorEastAsia"/>
          <w:color w:val="auto"/>
          <w:sz w:val="24"/>
          <w:highlight w:val="none"/>
        </w:rPr>
        <w:t>投标方案。</w:t>
      </w:r>
    </w:p>
    <w:p w14:paraId="796E457B">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9</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投标报价</w:t>
      </w:r>
    </w:p>
    <w:p w14:paraId="2B2E280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2.1投标人的报价应当包括满足本次招标全部采购需求</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除招标文件另有规定外，</w:t>
      </w:r>
      <w:r>
        <w:rPr>
          <w:rFonts w:hint="eastAsia" w:asciiTheme="minorEastAsia" w:hAnsiTheme="minorEastAsia" w:eastAsiaTheme="minorEastAsia"/>
          <w:color w:val="auto"/>
          <w:sz w:val="24"/>
          <w:highlight w:val="none"/>
        </w:rPr>
        <w:t>所有投标均应以人民币报价。投标人的投标报价应遵守《中华人民共和国价格法》。</w:t>
      </w:r>
    </w:p>
    <w:p w14:paraId="1EA7768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.2投标人报价超过招标文件规定的预算金额或者分项、分包最高限价，其投标将被认定为</w:t>
      </w:r>
      <w:r>
        <w:rPr>
          <w:rFonts w:asciiTheme="minorEastAsia" w:hAnsiTheme="minorEastAsia" w:eastAsiaTheme="minorEastAsia"/>
          <w:b/>
          <w:bCs/>
          <w:color w:val="auto"/>
          <w:sz w:val="24"/>
          <w:highlight w:val="none"/>
        </w:rPr>
        <w:t>投标无效</w:t>
      </w:r>
      <w:r>
        <w:rPr>
          <w:rFonts w:asciiTheme="minorEastAsia" w:hAnsiTheme="minorEastAsia" w:eastAsiaTheme="minorEastAsia"/>
          <w:color w:val="auto"/>
          <w:sz w:val="24"/>
          <w:highlight w:val="none"/>
        </w:rPr>
        <w:t>。</w:t>
      </w:r>
    </w:p>
    <w:p w14:paraId="3FDEBF7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投标报价</w:t>
      </w:r>
      <w:r>
        <w:rPr>
          <w:rFonts w:asciiTheme="minorEastAsia" w:hAnsiTheme="minorEastAsia" w:eastAsiaTheme="minorEastAsia"/>
          <w:color w:val="auto"/>
          <w:sz w:val="24"/>
          <w:highlight w:val="none"/>
        </w:rPr>
        <w:t>在合同履行过程中是固定不变的，不得以任何理由予以变更。任何包含价格调整要求的投标，其投标将被认定为</w:t>
      </w:r>
      <w:r>
        <w:rPr>
          <w:rFonts w:asciiTheme="minorEastAsia" w:hAnsiTheme="minorEastAsia" w:eastAsiaTheme="minorEastAsia"/>
          <w:b/>
          <w:color w:val="auto"/>
          <w:sz w:val="24"/>
          <w:highlight w:val="none"/>
        </w:rPr>
        <w:t>投标无效</w:t>
      </w:r>
      <w:r>
        <w:rPr>
          <w:rFonts w:asciiTheme="minorEastAsia" w:hAnsiTheme="minorEastAsia" w:eastAsiaTheme="minorEastAsia"/>
          <w:color w:val="auto"/>
          <w:sz w:val="24"/>
          <w:highlight w:val="none"/>
        </w:rPr>
        <w:t>。</w:t>
      </w:r>
    </w:p>
    <w:p w14:paraId="59D62FD6">
      <w:pPr>
        <w:spacing w:line="360" w:lineRule="auto"/>
        <w:ind w:firstLine="435"/>
        <w:rPr>
          <w:rFonts w:ascii="宋体" w:hAnsi="宋体" w:eastAsia="宋体"/>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评标委员会认为投标人的报价明显低于其他通过符合性审查投标人的报价，有可能影响产品质量或者不能诚信履约的，应当要求其在合理的时间内提供书面说明，</w:t>
      </w:r>
      <w:r>
        <w:rPr>
          <w:rFonts w:asciiTheme="minorEastAsia" w:hAnsiTheme="minorEastAsia" w:eastAsiaTheme="minorEastAsia"/>
          <w:color w:val="auto"/>
          <w:sz w:val="24"/>
          <w:highlight w:val="none"/>
        </w:rPr>
        <w:t>必要时提交相关证明材料；投标人不能证明其报价合理性的，其投标将被认定为</w:t>
      </w:r>
      <w:r>
        <w:rPr>
          <w:rFonts w:asciiTheme="minorEastAsia" w:hAnsiTheme="minorEastAsia" w:eastAsiaTheme="minorEastAsia"/>
          <w:b/>
          <w:color w:val="auto"/>
          <w:sz w:val="24"/>
          <w:highlight w:val="none"/>
        </w:rPr>
        <w:t>投标无效</w:t>
      </w:r>
      <w:r>
        <w:rPr>
          <w:rFonts w:hint="eastAsia" w:asciiTheme="minorEastAsia" w:hAnsiTheme="minorEastAsia" w:eastAsiaTheme="minorEastAsia"/>
          <w:color w:val="auto"/>
          <w:sz w:val="24"/>
          <w:highlight w:val="none"/>
        </w:rPr>
        <w:t>。</w:t>
      </w:r>
    </w:p>
    <w:p w14:paraId="268609D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5</w:t>
      </w:r>
      <w:r>
        <w:rPr>
          <w:rFonts w:asciiTheme="minorEastAsia" w:hAnsiTheme="minorEastAsia" w:eastAsiaTheme="minorEastAsia"/>
          <w:color w:val="auto"/>
          <w:sz w:val="24"/>
          <w:highlight w:val="none"/>
        </w:rPr>
        <w:t>采购人不接受具有附加条件的报价。</w:t>
      </w:r>
    </w:p>
    <w:p w14:paraId="02AC3818">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0</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投标保证金</w:t>
      </w:r>
    </w:p>
    <w:p w14:paraId="54485CF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0</w:t>
      </w:r>
      <w:r>
        <w:rPr>
          <w:rFonts w:hint="eastAsia" w:asciiTheme="minorEastAsia" w:hAnsiTheme="minorEastAsia" w:eastAsiaTheme="minorEastAsia"/>
          <w:color w:val="auto"/>
          <w:sz w:val="24"/>
          <w:highlight w:val="none"/>
        </w:rPr>
        <w:t>.1本项目不收取投标保证金。</w:t>
      </w:r>
    </w:p>
    <w:p w14:paraId="31FDE7E6">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投标有效期</w:t>
      </w:r>
    </w:p>
    <w:p w14:paraId="7A18EB7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rPr>
        <w:t>.1投标有效期为从投标截止之日算起的日历天数，投标有效期详见</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w:t>
      </w:r>
    </w:p>
    <w:p w14:paraId="218B3E7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rPr>
        <w:t>.2在投标有效期内，投标人的投标保持有效，投标人不得要求撤销或修改其投标文件。投标有效期不满足要求的投标，其投标将被认定为</w:t>
      </w:r>
      <w:r>
        <w:rPr>
          <w:rFonts w:hint="eastAsia" w:asciiTheme="minorEastAsia" w:hAnsiTheme="minorEastAsia" w:eastAsiaTheme="minorEastAsia"/>
          <w:b/>
          <w:color w:val="auto"/>
          <w:sz w:val="24"/>
          <w:highlight w:val="none"/>
        </w:rPr>
        <w:t>投标无效</w:t>
      </w:r>
      <w:r>
        <w:rPr>
          <w:rFonts w:hint="eastAsia" w:asciiTheme="minorEastAsia" w:hAnsiTheme="minorEastAsia" w:eastAsiaTheme="minorEastAsia"/>
          <w:color w:val="auto"/>
          <w:sz w:val="24"/>
          <w:highlight w:val="none"/>
        </w:rPr>
        <w:t>。</w:t>
      </w:r>
    </w:p>
    <w:p w14:paraId="7B064BAE">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因特殊原因，采购人或采购代理机构可在原投标有效期截止之前，要求投标人延长投标文件的有效期。接受该要求的投标人将不会被要求和允许修正其投标。投标人也可以拒绝延长投标有效期的要求，且不承担任何责任。上述要求和答复都应以书面形式提交。</w:t>
      </w:r>
    </w:p>
    <w:p w14:paraId="796BCDEA">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2</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投标文件的递交、修改与撤回</w:t>
      </w:r>
    </w:p>
    <w:p w14:paraId="0CE7ABCC">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.1投标人应当在</w:t>
      </w:r>
      <w:r>
        <w:rPr>
          <w:rFonts w:hint="eastAsia" w:asciiTheme="minorEastAsia" w:hAnsiTheme="minorEastAsia" w:eastAsiaTheme="minorEastAsia"/>
          <w:color w:val="auto"/>
          <w:sz w:val="24"/>
          <w:highlight w:val="none"/>
          <w:lang w:val="en-US" w:eastAsia="zh-CN"/>
        </w:rPr>
        <w:t>招标公告</w:t>
      </w:r>
      <w:r>
        <w:rPr>
          <w:rFonts w:hint="eastAsia" w:asciiTheme="minorEastAsia" w:hAnsiTheme="minorEastAsia" w:eastAsiaTheme="minorEastAsia"/>
          <w:color w:val="auto"/>
          <w:sz w:val="24"/>
          <w:highlight w:val="none"/>
        </w:rPr>
        <w:t>规定的投标截止时间前</w:t>
      </w:r>
      <w:r>
        <w:rPr>
          <w:rFonts w:asciiTheme="minorEastAsia" w:hAnsiTheme="minorEastAsia" w:eastAsiaTheme="minorEastAsia"/>
          <w:color w:val="auto"/>
          <w:sz w:val="24"/>
          <w:highlight w:val="none"/>
        </w:rPr>
        <w:t>，将加密的投标文件</w:t>
      </w:r>
      <w:r>
        <w:rPr>
          <w:rFonts w:hint="eastAsia" w:asciiTheme="minorEastAsia" w:hAnsiTheme="minorEastAsia" w:eastAsiaTheme="minorEastAsia"/>
          <w:color w:val="auto"/>
          <w:sz w:val="24"/>
          <w:highlight w:val="none"/>
        </w:rPr>
        <w:t>在电子交易系统</w:t>
      </w:r>
      <w:r>
        <w:rPr>
          <w:rFonts w:asciiTheme="minorEastAsia" w:hAnsiTheme="minorEastAsia" w:eastAsiaTheme="minorEastAsia"/>
          <w:color w:val="auto"/>
          <w:sz w:val="24"/>
          <w:highlight w:val="none"/>
        </w:rPr>
        <w:t>上传。</w:t>
      </w:r>
    </w:p>
    <w:p w14:paraId="015228C7">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2投标人应当在投标截止时间前完成投标文件的传输递交（以接收到电子签收凭证为准），并可以补充、修改或者撤回投标文件。投标截止时间前未完成投标文件传输的，视为撤回投标文件。未按规定加密或投标截止时间后送达的投标文件，电子交易系统应当拒收。</w:t>
      </w:r>
    </w:p>
    <w:p w14:paraId="3DA85449">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3</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开标</w:t>
      </w:r>
    </w:p>
    <w:p w14:paraId="4137EE0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开标时，</w:t>
      </w:r>
      <w:r>
        <w:rPr>
          <w:rFonts w:ascii="宋体" w:hAnsi="宋体" w:eastAsia="宋体" w:cs="宋体"/>
          <w:color w:val="auto"/>
          <w:sz w:val="24"/>
          <w:szCs w:val="24"/>
          <w:highlight w:val="none"/>
        </w:rPr>
        <w:t>各投标人应在</w:t>
      </w:r>
      <w:r>
        <w:rPr>
          <w:rFonts w:ascii="宋体" w:hAnsi="宋体" w:eastAsia="宋体" w:cs="宋体"/>
          <w:color w:val="auto"/>
          <w:sz w:val="24"/>
          <w:szCs w:val="24"/>
          <w:highlight w:val="none"/>
          <w:u w:val="single"/>
        </w:rPr>
        <w:t>投标人须知前附表</w:t>
      </w:r>
      <w:r>
        <w:rPr>
          <w:rFonts w:ascii="宋体" w:hAnsi="宋体" w:eastAsia="宋体" w:cs="宋体"/>
          <w:color w:val="auto"/>
          <w:sz w:val="24"/>
          <w:szCs w:val="24"/>
          <w:highlight w:val="none"/>
        </w:rPr>
        <w:t>规定的解密时间前</w:t>
      </w:r>
      <w:r>
        <w:rPr>
          <w:rFonts w:asciiTheme="minorEastAsia" w:hAnsiTheme="minorEastAsia" w:eastAsiaTheme="minorEastAsia"/>
          <w:color w:val="auto"/>
          <w:sz w:val="24"/>
          <w:highlight w:val="none"/>
        </w:rPr>
        <w:t>对</w:t>
      </w:r>
      <w:r>
        <w:rPr>
          <w:rFonts w:hint="eastAsia" w:ascii="宋体" w:hAnsi="宋体" w:eastAsia="宋体" w:cs="宋体"/>
          <w:color w:val="auto"/>
          <w:sz w:val="24"/>
          <w:szCs w:val="24"/>
          <w:highlight w:val="none"/>
          <w:lang w:val="en-US" w:eastAsia="zh-CN"/>
        </w:rPr>
        <w:t>其</w:t>
      </w:r>
      <w:r>
        <w:rPr>
          <w:rFonts w:asciiTheme="minorEastAsia" w:hAnsiTheme="minorEastAsia" w:eastAsiaTheme="minorEastAsia"/>
          <w:color w:val="auto"/>
          <w:sz w:val="24"/>
          <w:highlight w:val="none"/>
        </w:rPr>
        <w:t>投标文件</w:t>
      </w:r>
      <w:r>
        <w:rPr>
          <w:rFonts w:hint="eastAsia" w:asciiTheme="minorEastAsia" w:hAnsiTheme="minorEastAsia" w:eastAsiaTheme="minorEastAsia"/>
          <w:color w:val="auto"/>
          <w:sz w:val="24"/>
          <w:highlight w:val="none"/>
        </w:rPr>
        <w:t>进行</w:t>
      </w:r>
      <w:r>
        <w:rPr>
          <w:rFonts w:asciiTheme="minorEastAsia" w:hAnsiTheme="minorEastAsia" w:eastAsiaTheme="minorEastAsia"/>
          <w:color w:val="auto"/>
          <w:sz w:val="24"/>
          <w:highlight w:val="none"/>
        </w:rPr>
        <w:t>解密。</w:t>
      </w:r>
    </w:p>
    <w:p w14:paraId="52F3844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开标时，采购代理机构将通过网上开标系统公布</w:t>
      </w:r>
      <w:r>
        <w:rPr>
          <w:rFonts w:hint="eastAsia" w:asciiTheme="minorEastAsia" w:hAnsiTheme="minorEastAsia" w:eastAsiaTheme="minorEastAsia"/>
          <w:color w:val="auto"/>
          <w:sz w:val="24"/>
          <w:highlight w:val="none"/>
        </w:rPr>
        <w:t>开标结果，公布内容包括投标人名称、投标价格及招标文件规定的内容。</w:t>
      </w:r>
    </w:p>
    <w:p w14:paraId="64E6201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采购人或采购代理机构将对开标过程进行记录，并存档备查。</w:t>
      </w:r>
    </w:p>
    <w:p w14:paraId="74AEE9D0">
      <w:pPr>
        <w:spacing w:line="360" w:lineRule="auto"/>
        <w:ind w:firstLine="435"/>
        <w:rPr>
          <w:rFonts w:asciiTheme="minorEastAsia" w:hAnsiTheme="minorEastAsia" w:eastAsiaTheme="minorEastAsia"/>
          <w:color w:val="auto"/>
          <w:sz w:val="28"/>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投标人代表对开标过程和开标记录有疑义，以及认为采购人、采购代理机构相关工作人员有需要回避的情形的，应当场提出询问或者回避申请。</w:t>
      </w:r>
    </w:p>
    <w:p w14:paraId="3F52D069">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4</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资格审查及组建评标委员会</w:t>
      </w:r>
    </w:p>
    <w:p w14:paraId="06AFD44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.1采购人或采购代理机构依据法律法规和招标文件中规定的内</w:t>
      </w:r>
      <w:r>
        <w:rPr>
          <w:rFonts w:asciiTheme="minorEastAsia" w:hAnsiTheme="minorEastAsia" w:eastAsiaTheme="minorEastAsia"/>
          <w:color w:val="auto"/>
          <w:sz w:val="24"/>
          <w:highlight w:val="none"/>
        </w:rPr>
        <w:t>容</w:t>
      </w:r>
      <w:r>
        <w:rPr>
          <w:rFonts w:hint="eastAsia" w:asciiTheme="minorEastAsia" w:hAnsiTheme="minorEastAsia" w:eastAsiaTheme="minorEastAsia"/>
          <w:color w:val="auto"/>
          <w:sz w:val="24"/>
          <w:highlight w:val="none"/>
        </w:rPr>
        <w:t>，对投标人资格进行审查，未</w:t>
      </w:r>
      <w:r>
        <w:rPr>
          <w:rFonts w:asciiTheme="minorEastAsia" w:hAnsiTheme="minorEastAsia" w:eastAsiaTheme="minorEastAsia"/>
          <w:color w:val="auto"/>
          <w:sz w:val="24"/>
          <w:highlight w:val="none"/>
        </w:rPr>
        <w:t>通过资格审查的投标人</w:t>
      </w:r>
      <w:r>
        <w:rPr>
          <w:rFonts w:hint="eastAsia" w:asciiTheme="minorEastAsia" w:hAnsiTheme="minorEastAsia" w:eastAsiaTheme="minorEastAsia"/>
          <w:color w:val="auto"/>
          <w:sz w:val="24"/>
          <w:highlight w:val="none"/>
        </w:rPr>
        <w:t>不</w:t>
      </w:r>
      <w:r>
        <w:rPr>
          <w:rFonts w:asciiTheme="minorEastAsia" w:hAnsiTheme="minorEastAsia" w:eastAsiaTheme="minorEastAsia"/>
          <w:color w:val="auto"/>
          <w:sz w:val="24"/>
          <w:highlight w:val="none"/>
        </w:rPr>
        <w:t>进入评标</w:t>
      </w:r>
      <w:r>
        <w:rPr>
          <w:rFonts w:hint="eastAsia" w:asciiTheme="minorEastAsia" w:hAnsiTheme="minorEastAsia" w:eastAsiaTheme="minorEastAsia"/>
          <w:color w:val="auto"/>
          <w:sz w:val="24"/>
          <w:highlight w:val="none"/>
        </w:rPr>
        <w:t>。</w:t>
      </w:r>
    </w:p>
    <w:p w14:paraId="55DBEDD2">
      <w:pPr>
        <w:spacing w:line="360" w:lineRule="auto"/>
        <w:ind w:firstLine="435"/>
        <w:rPr>
          <w:rFonts w:hint="eastAsia" w:ascii="宋体" w:hAnsi="宋体" w:eastAsia="宋体" w:cs="宋体"/>
          <w:color w:val="auto"/>
          <w:sz w:val="24"/>
          <w:szCs w:val="24"/>
          <w:highlight w:val="none"/>
        </w:rPr>
      </w:pPr>
      <w:bookmarkStart w:id="17" w:name="_Hlk2466324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.2采购人或采购代理机构将在投标截止时间后至评审结束前通过“信用中国”网站(www.creditchina.gov.cn)、中国政府采购网(www.ccgp.gov.cn)查询相关投标人信用记录，并对</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信用记录进行甄别，对列入“信用中国”网站(www.creditchina.gov.cn)失信被执行人名单、重大税收违法案件当事人名单、中国政府采购网(www.ccgp.gov.cn)政府采购严重违法失信行为记录名单及其他不符合《中华人民共和国政府采购法》第二十二条规定条件的供应商，其投标将被认定为</w:t>
      </w:r>
      <w:r>
        <w:rPr>
          <w:rFonts w:hint="eastAsia" w:ascii="宋体" w:hAnsi="宋体" w:eastAsia="宋体" w:cs="宋体"/>
          <w:b/>
          <w:color w:val="auto"/>
          <w:sz w:val="24"/>
          <w:szCs w:val="24"/>
          <w:highlight w:val="none"/>
        </w:rPr>
        <w:t>投标无效</w:t>
      </w:r>
      <w:r>
        <w:rPr>
          <w:rFonts w:hint="eastAsia" w:ascii="宋体" w:hAnsi="宋体" w:eastAsia="宋体" w:cs="宋体"/>
          <w:color w:val="auto"/>
          <w:sz w:val="24"/>
          <w:szCs w:val="24"/>
          <w:highlight w:val="none"/>
        </w:rPr>
        <w:t>。</w:t>
      </w:r>
    </w:p>
    <w:p w14:paraId="623FA4C1">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以联合体形式参加投标的，联合体成员存在以上不良信用记录的，联合体投标将被认定为</w:t>
      </w:r>
      <w:r>
        <w:rPr>
          <w:rFonts w:hint="eastAsia" w:ascii="宋体" w:hAnsi="宋体" w:eastAsia="宋体" w:cs="宋体"/>
          <w:b/>
          <w:color w:val="auto"/>
          <w:sz w:val="24"/>
          <w:szCs w:val="24"/>
          <w:highlight w:val="none"/>
        </w:rPr>
        <w:t>投标无效</w:t>
      </w:r>
      <w:r>
        <w:rPr>
          <w:rFonts w:hint="eastAsia" w:ascii="宋体" w:hAnsi="宋体" w:eastAsia="宋体" w:cs="宋体"/>
          <w:color w:val="auto"/>
          <w:sz w:val="24"/>
          <w:szCs w:val="24"/>
          <w:highlight w:val="none"/>
        </w:rPr>
        <w:t>。</w:t>
      </w:r>
    </w:p>
    <w:p w14:paraId="3EE47AEF">
      <w:pPr>
        <w:spacing w:line="360" w:lineRule="auto"/>
        <w:ind w:firstLine="435"/>
        <w:rPr>
          <w:rFonts w:asciiTheme="minorEastAsia" w:hAnsiTheme="minorEastAsia" w:eastAsiaTheme="minorEastAsia"/>
          <w:color w:val="auto"/>
          <w:sz w:val="24"/>
          <w:highlight w:val="none"/>
        </w:rPr>
      </w:pPr>
      <w:r>
        <w:rPr>
          <w:rFonts w:hint="eastAsia" w:ascii="宋体" w:hAnsi="宋体" w:eastAsia="宋体" w:cs="宋体"/>
          <w:color w:val="auto"/>
          <w:sz w:val="24"/>
          <w:szCs w:val="24"/>
          <w:highlight w:val="none"/>
        </w:rPr>
        <w:t>以上信用查询记录，采购人或采购代理机构将下载查询结果页面后与其他采购文件一并保存。投标人不良信用记录以采购人或采购代理机构查询结果为准。在本招标文件规定的查询时间之外，网站信息发生的任何变更均不作为资格审查依据。投标人自行提供的与网站信息不一致的其他证明材料亦不作为资格审查依据。</w:t>
      </w:r>
    </w:p>
    <w:bookmarkEnd w:id="17"/>
    <w:p w14:paraId="19F4D745">
      <w:pPr>
        <w:spacing w:line="360" w:lineRule="auto"/>
        <w:ind w:firstLine="435"/>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.3按照</w:t>
      </w:r>
      <w:r>
        <w:rPr>
          <w:rFonts w:hint="eastAsia" w:ascii="宋体" w:hAnsi="宋体" w:eastAsia="宋体"/>
          <w:color w:val="auto"/>
          <w:sz w:val="24"/>
          <w:highlight w:val="none"/>
        </w:rPr>
        <w:t>《</w:t>
      </w:r>
      <w:r>
        <w:rPr>
          <w:rFonts w:ascii="宋体" w:hAnsi="宋体" w:eastAsia="宋体"/>
          <w:color w:val="auto"/>
          <w:sz w:val="24"/>
          <w:highlight w:val="none"/>
        </w:rPr>
        <w:t>中华人民共和国政府采购法》</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《中华人民共和国政府采购</w:t>
      </w:r>
      <w:r>
        <w:rPr>
          <w:rFonts w:hint="eastAsia" w:asciiTheme="minorEastAsia" w:hAnsiTheme="minorEastAsia" w:eastAsiaTheme="minorEastAsia"/>
          <w:color w:val="auto"/>
          <w:sz w:val="24"/>
          <w:highlight w:val="none"/>
        </w:rPr>
        <w:t>法</w:t>
      </w:r>
      <w:r>
        <w:rPr>
          <w:rFonts w:asciiTheme="minorEastAsia" w:hAnsiTheme="minorEastAsia" w:eastAsiaTheme="minorEastAsia"/>
          <w:color w:val="auto"/>
          <w:sz w:val="24"/>
          <w:highlight w:val="none"/>
        </w:rPr>
        <w:t>实施条例》</w:t>
      </w:r>
      <w:r>
        <w:rPr>
          <w:rFonts w:hint="eastAsia" w:asciiTheme="minorEastAsia" w:hAnsiTheme="minorEastAsia" w:eastAsiaTheme="minorEastAsia"/>
          <w:color w:val="auto"/>
          <w:sz w:val="24"/>
          <w:highlight w:val="none"/>
        </w:rPr>
        <w:t>及本项目本级</w:t>
      </w:r>
      <w:r>
        <w:rPr>
          <w:rFonts w:asciiTheme="minorEastAsia" w:hAnsiTheme="minorEastAsia" w:eastAsiaTheme="minorEastAsia"/>
          <w:color w:val="auto"/>
          <w:sz w:val="24"/>
          <w:highlight w:val="none"/>
        </w:rPr>
        <w:t>和上级财政部门</w:t>
      </w:r>
      <w:r>
        <w:rPr>
          <w:rFonts w:hint="eastAsia" w:asciiTheme="minorEastAsia" w:hAnsiTheme="minorEastAsia" w:eastAsiaTheme="minorEastAsia"/>
          <w:color w:val="auto"/>
          <w:sz w:val="24"/>
          <w:highlight w:val="none"/>
        </w:rPr>
        <w:t>、政府采购监督管理部门的有关规定依法组建的</w:t>
      </w:r>
      <w:r>
        <w:rPr>
          <w:rFonts w:asciiTheme="minorEastAsia" w:hAnsiTheme="minorEastAsia" w:eastAsiaTheme="minorEastAsia"/>
          <w:color w:val="auto"/>
          <w:sz w:val="24"/>
          <w:highlight w:val="none"/>
        </w:rPr>
        <w:t>评标委员会</w:t>
      </w:r>
      <w:r>
        <w:rPr>
          <w:rFonts w:hint="eastAsia" w:asciiTheme="minorEastAsia" w:hAnsiTheme="minorEastAsia" w:eastAsiaTheme="minorEastAsia"/>
          <w:color w:val="auto"/>
          <w:sz w:val="24"/>
          <w:highlight w:val="none"/>
        </w:rPr>
        <w:t>，负责本项目评标工作。</w:t>
      </w:r>
    </w:p>
    <w:p w14:paraId="09809106">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15</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投标文件符合性审查与澄清</w:t>
      </w:r>
    </w:p>
    <w:p w14:paraId="6416F48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15</w:t>
      </w:r>
      <w:r>
        <w:rPr>
          <w:rFonts w:asciiTheme="minorEastAsia" w:hAnsiTheme="minorEastAsia" w:eastAsiaTheme="minorEastAsia"/>
          <w:color w:val="auto"/>
          <w:sz w:val="24"/>
          <w:highlight w:val="none"/>
        </w:rPr>
        <w:t>.1符合性审查是指依据招标文件的规定，从投标文件的有效性和完整性对招标文件的响应程度</w:t>
      </w:r>
      <w:r>
        <w:rPr>
          <w:rFonts w:ascii="宋体" w:hAnsi="宋体" w:eastAsia="宋体"/>
          <w:color w:val="auto"/>
          <w:sz w:val="24"/>
          <w:highlight w:val="none"/>
        </w:rPr>
        <w:t>进行</w:t>
      </w:r>
      <w:r>
        <w:rPr>
          <w:rFonts w:asciiTheme="minorEastAsia" w:hAnsiTheme="minorEastAsia" w:eastAsiaTheme="minorEastAsia"/>
          <w:color w:val="auto"/>
          <w:sz w:val="24"/>
          <w:highlight w:val="none"/>
        </w:rPr>
        <w:t>审查，以确定是否对招标文件的实质性要求做出响应。</w:t>
      </w:r>
    </w:p>
    <w:p w14:paraId="12BF70F9">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15</w:t>
      </w:r>
      <w:r>
        <w:rPr>
          <w:rFonts w:ascii="宋体" w:hAnsi="宋体" w:eastAsia="宋体"/>
          <w:color w:val="auto"/>
          <w:sz w:val="24"/>
          <w:highlight w:val="none"/>
        </w:rPr>
        <w:t>.</w:t>
      </w:r>
      <w:r>
        <w:rPr>
          <w:rFonts w:hint="eastAsia" w:ascii="宋体" w:hAnsi="宋体" w:eastAsia="宋体"/>
          <w:color w:val="auto"/>
          <w:sz w:val="24"/>
          <w:highlight w:val="none"/>
          <w:lang w:val="en-US" w:eastAsia="zh-CN"/>
        </w:rPr>
        <w:t>2</w:t>
      </w:r>
      <w:r>
        <w:rPr>
          <w:rFonts w:hint="eastAsia" w:ascii="宋体" w:hAnsi="宋体" w:eastAsia="宋体"/>
          <w:color w:val="auto"/>
          <w:sz w:val="24"/>
          <w:highlight w:val="none"/>
        </w:rPr>
        <w:t>投标文件的澄清</w:t>
      </w:r>
    </w:p>
    <w:p w14:paraId="54F592B5">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15</w:t>
      </w:r>
      <w:r>
        <w:rPr>
          <w:rFonts w:ascii="宋体" w:hAnsi="宋体" w:eastAsia="宋体"/>
          <w:color w:val="auto"/>
          <w:sz w:val="24"/>
          <w:highlight w:val="none"/>
        </w:rPr>
        <w:t>.</w:t>
      </w:r>
      <w:r>
        <w:rPr>
          <w:rFonts w:hint="eastAsia" w:ascii="宋体" w:hAnsi="宋体" w:eastAsia="宋体"/>
          <w:color w:val="auto"/>
          <w:sz w:val="24"/>
          <w:highlight w:val="none"/>
          <w:lang w:val="en-US" w:eastAsia="zh-CN"/>
        </w:rPr>
        <w:t>2</w:t>
      </w:r>
      <w:r>
        <w:rPr>
          <w:rFonts w:ascii="宋体" w:hAnsi="宋体" w:eastAsia="宋体"/>
          <w:color w:val="auto"/>
          <w:sz w:val="24"/>
          <w:highlight w:val="none"/>
        </w:rPr>
        <w:t>.1为有助于投标</w:t>
      </w:r>
      <w:r>
        <w:rPr>
          <w:rFonts w:hint="eastAsia" w:ascii="宋体" w:hAnsi="宋体" w:eastAsia="宋体"/>
          <w:color w:val="auto"/>
          <w:sz w:val="24"/>
          <w:highlight w:val="none"/>
        </w:rPr>
        <w:t>文件</w:t>
      </w:r>
      <w:r>
        <w:rPr>
          <w:rFonts w:ascii="宋体" w:hAnsi="宋体" w:eastAsia="宋体"/>
          <w:color w:val="auto"/>
          <w:sz w:val="24"/>
          <w:highlight w:val="none"/>
        </w:rPr>
        <w:t>的审查、评价和比较，在评标期间，评标委员会将以书面</w:t>
      </w:r>
      <w:r>
        <w:rPr>
          <w:rFonts w:hint="eastAsia" w:ascii="宋体" w:hAnsi="宋体" w:eastAsia="宋体"/>
          <w:color w:val="auto"/>
          <w:sz w:val="24"/>
          <w:highlight w:val="none"/>
        </w:rPr>
        <w:t>方式（询标）</w:t>
      </w:r>
      <w:r>
        <w:rPr>
          <w:rFonts w:ascii="宋体" w:hAnsi="宋体" w:eastAsia="宋体"/>
          <w:color w:val="auto"/>
          <w:sz w:val="24"/>
          <w:highlight w:val="none"/>
        </w:rPr>
        <w:t>要求投标人对其投标文件中含义不明确、对同类问题表述不一致或者有明显文字和计算错误的内容，以及评标委员会认为投标人的报价明显低于其他通过符合性</w:t>
      </w:r>
      <w:r>
        <w:rPr>
          <w:rFonts w:hint="eastAsia" w:ascii="宋体" w:hAnsi="宋体" w:eastAsia="宋体"/>
          <w:color w:val="auto"/>
          <w:sz w:val="24"/>
          <w:highlight w:val="none"/>
        </w:rPr>
        <w:t>审</w:t>
      </w:r>
      <w:r>
        <w:rPr>
          <w:rFonts w:ascii="宋体" w:hAnsi="宋体" w:eastAsia="宋体"/>
          <w:color w:val="auto"/>
          <w:sz w:val="24"/>
          <w:highlight w:val="none"/>
        </w:rPr>
        <w:t>查投标人的报价，有可能影响履约的情况作必要的澄清、说明或补正。投标人的澄清、说明或补正应在评标委员会规定的时间内以书面</w:t>
      </w:r>
      <w:r>
        <w:rPr>
          <w:rFonts w:hint="eastAsia" w:ascii="宋体" w:hAnsi="宋体" w:eastAsia="宋体"/>
          <w:color w:val="auto"/>
          <w:sz w:val="24"/>
          <w:highlight w:val="none"/>
        </w:rPr>
        <w:t>方式</w:t>
      </w:r>
      <w:r>
        <w:rPr>
          <w:rFonts w:ascii="宋体" w:hAnsi="宋体" w:eastAsia="宋体"/>
          <w:color w:val="auto"/>
          <w:sz w:val="24"/>
          <w:highlight w:val="none"/>
        </w:rPr>
        <w:t>进行，并不得超出投标文件范围或者改变投标文件的实质性内容。</w:t>
      </w:r>
    </w:p>
    <w:p w14:paraId="00839749">
      <w:pPr>
        <w:spacing w:line="360" w:lineRule="auto"/>
        <w:ind w:firstLine="435"/>
        <w:rPr>
          <w:rFonts w:ascii="宋体" w:hAnsi="宋体" w:eastAsia="宋体"/>
          <w:b/>
          <w:bCs/>
          <w:color w:val="auto"/>
          <w:sz w:val="24"/>
          <w:highlight w:val="none"/>
        </w:rPr>
      </w:pPr>
      <w:r>
        <w:rPr>
          <w:rFonts w:hint="eastAsia" w:ascii="宋体" w:hAnsi="宋体" w:eastAsia="宋体"/>
          <w:color w:val="auto"/>
          <w:sz w:val="24"/>
          <w:highlight w:val="none"/>
        </w:rPr>
        <w:t>如有询标，投标人授权代表（或法定代表人）可通过远程登录的方式接受网上询标，也可凭本人有效身份证明参加询标。因投标人授权代表联系不上、没有及时登录系统等情形而无法接受评标委员会询标的，投标人自行承担相关风险。</w:t>
      </w:r>
      <w:r>
        <w:rPr>
          <w:rFonts w:hint="eastAsia" w:ascii="宋体" w:hAnsi="宋体" w:eastAsia="宋体"/>
          <w:b/>
          <w:bCs/>
          <w:color w:val="auto"/>
          <w:sz w:val="24"/>
          <w:highlight w:val="none"/>
        </w:rPr>
        <w:t>本项目采用远程开标，具体操作方法详见服务指南&gt;交易须知&gt;开标大厅远程解密、质疑(异议)及回复以及评标过程中询标流程操作手册。</w:t>
      </w:r>
    </w:p>
    <w:p w14:paraId="7981683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15.</w:t>
      </w: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投标人的澄清、说明或补正将作为投标文件的一部分。</w:t>
      </w:r>
    </w:p>
    <w:p w14:paraId="654D320F">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15.</w:t>
      </w:r>
      <w:r>
        <w:rPr>
          <w:rFonts w:hint="eastAsia" w:ascii="宋体" w:hAnsi="宋体" w:eastAsia="宋体"/>
          <w:color w:val="auto"/>
          <w:sz w:val="24"/>
          <w:highlight w:val="none"/>
          <w:lang w:val="en-US" w:eastAsia="zh-CN"/>
        </w:rPr>
        <w:t>2</w:t>
      </w:r>
      <w:r>
        <w:rPr>
          <w:rFonts w:ascii="宋体" w:hAnsi="宋体" w:eastAsia="宋体"/>
          <w:color w:val="auto"/>
          <w:sz w:val="24"/>
          <w:highlight w:val="none"/>
        </w:rPr>
        <w:t>.3评标委员会对投标人提交的澄清、说明或补正有疑问的，可以要求投标人进一步澄清、说明或补正，直至满足评标委员会的要求。</w:t>
      </w:r>
    </w:p>
    <w:p w14:paraId="1D87898A">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15.</w:t>
      </w:r>
      <w:r>
        <w:rPr>
          <w:rFonts w:hint="eastAsia" w:ascii="宋体" w:hAnsi="宋体" w:eastAsia="宋体"/>
          <w:color w:val="auto"/>
          <w:sz w:val="24"/>
          <w:highlight w:val="none"/>
          <w:lang w:val="en-US" w:eastAsia="zh-CN"/>
        </w:rPr>
        <w:t>3</w:t>
      </w:r>
      <w:r>
        <w:rPr>
          <w:rFonts w:ascii="宋体" w:hAnsi="宋体" w:eastAsia="宋体"/>
          <w:color w:val="auto"/>
          <w:sz w:val="24"/>
          <w:highlight w:val="none"/>
        </w:rPr>
        <w:t>投标文件报价出现前后不一致的，按照下列规定修正：</w:t>
      </w:r>
    </w:p>
    <w:p w14:paraId="2329C346">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w:t>
      </w:r>
      <w:r>
        <w:rPr>
          <w:rFonts w:hint="eastAsia" w:ascii="宋体" w:hAnsi="宋体" w:eastAsia="宋体"/>
          <w:color w:val="auto"/>
          <w:sz w:val="24"/>
          <w:highlight w:val="none"/>
        </w:rPr>
        <w:t>1</w:t>
      </w:r>
      <w:r>
        <w:rPr>
          <w:rFonts w:ascii="宋体" w:hAnsi="宋体" w:eastAsia="宋体"/>
          <w:color w:val="auto"/>
          <w:sz w:val="24"/>
          <w:highlight w:val="none"/>
        </w:rPr>
        <w:t>）投标文件中开标一览表内容与投标文件中相应内容不一致的，以开标一览表为准；</w:t>
      </w:r>
    </w:p>
    <w:p w14:paraId="4C449B87">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w:t>
      </w:r>
      <w:r>
        <w:rPr>
          <w:rFonts w:hint="eastAsia" w:ascii="宋体" w:hAnsi="宋体" w:eastAsia="宋体"/>
          <w:color w:val="auto"/>
          <w:sz w:val="24"/>
          <w:highlight w:val="none"/>
        </w:rPr>
        <w:t>2</w:t>
      </w:r>
      <w:r>
        <w:rPr>
          <w:rFonts w:ascii="宋体" w:hAnsi="宋体" w:eastAsia="宋体"/>
          <w:color w:val="auto"/>
          <w:sz w:val="24"/>
          <w:highlight w:val="none"/>
        </w:rPr>
        <w:t>）大写金额和小写金额不一致的，以大写金额为准；</w:t>
      </w:r>
    </w:p>
    <w:p w14:paraId="0FFE3133">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w:t>
      </w:r>
      <w:r>
        <w:rPr>
          <w:rFonts w:hint="eastAsia" w:ascii="宋体" w:hAnsi="宋体" w:eastAsia="宋体"/>
          <w:color w:val="auto"/>
          <w:sz w:val="24"/>
          <w:highlight w:val="none"/>
        </w:rPr>
        <w:t>3</w:t>
      </w:r>
      <w:r>
        <w:rPr>
          <w:rFonts w:ascii="宋体" w:hAnsi="宋体" w:eastAsia="宋体"/>
          <w:color w:val="auto"/>
          <w:sz w:val="24"/>
          <w:highlight w:val="none"/>
        </w:rPr>
        <w:t>）单价金额小数点或者百分比有明显错位的，以开标一览表的总价为准，并修改单价；</w:t>
      </w:r>
    </w:p>
    <w:p w14:paraId="33070819">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w:t>
      </w:r>
      <w:r>
        <w:rPr>
          <w:rFonts w:hint="eastAsia" w:ascii="宋体" w:hAnsi="宋体" w:eastAsia="宋体"/>
          <w:color w:val="auto"/>
          <w:sz w:val="24"/>
          <w:highlight w:val="none"/>
        </w:rPr>
        <w:t>4</w:t>
      </w:r>
      <w:r>
        <w:rPr>
          <w:rFonts w:ascii="宋体" w:hAnsi="宋体" w:eastAsia="宋体"/>
          <w:color w:val="auto"/>
          <w:sz w:val="24"/>
          <w:highlight w:val="none"/>
        </w:rPr>
        <w:t>）总价金额与按单价汇总金额不一致的，以单价金额计算结果为准。</w:t>
      </w:r>
    </w:p>
    <w:p w14:paraId="77EF8290">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同时出现两种以上不一致的，按照前款规定的顺序修正。修正后的报价按照第</w:t>
      </w:r>
      <w:r>
        <w:rPr>
          <w:rFonts w:hint="eastAsia" w:ascii="宋体" w:hAnsi="宋体" w:eastAsia="宋体"/>
          <w:color w:val="auto"/>
          <w:sz w:val="24"/>
          <w:highlight w:val="none"/>
          <w:lang w:eastAsia="zh-CN"/>
        </w:rPr>
        <w:t>15.</w:t>
      </w:r>
      <w:r>
        <w:rPr>
          <w:rFonts w:ascii="宋体" w:hAnsi="宋体" w:eastAsia="宋体"/>
          <w:color w:val="auto"/>
          <w:sz w:val="24"/>
          <w:highlight w:val="none"/>
        </w:rPr>
        <w:t>4条的规定经投标人确认后产生约束力，</w:t>
      </w:r>
      <w:r>
        <w:rPr>
          <w:rFonts w:hint="eastAsia" w:ascii="宋体" w:hAnsi="宋体" w:eastAsia="宋体"/>
          <w:color w:val="auto"/>
          <w:sz w:val="24"/>
          <w:highlight w:val="none"/>
        </w:rPr>
        <w:t>无论投标人是接受或是拒绝调整后的价格，都应当由投标人在系统中确认。投标人拒绝对投标文件出现的错漏按上述原则进行修正、澄清、说明</w:t>
      </w:r>
      <w:r>
        <w:rPr>
          <w:rFonts w:ascii="宋体" w:hAnsi="宋体" w:eastAsia="宋体"/>
          <w:color w:val="auto"/>
          <w:sz w:val="24"/>
          <w:highlight w:val="none"/>
        </w:rPr>
        <w:t>，其投标将被认定为</w:t>
      </w:r>
      <w:r>
        <w:rPr>
          <w:rFonts w:ascii="宋体" w:hAnsi="宋体" w:eastAsia="宋体"/>
          <w:b/>
          <w:color w:val="auto"/>
          <w:sz w:val="24"/>
          <w:highlight w:val="none"/>
        </w:rPr>
        <w:t>投标无效</w:t>
      </w:r>
      <w:r>
        <w:rPr>
          <w:rFonts w:ascii="宋体" w:hAnsi="宋体" w:eastAsia="宋体"/>
          <w:color w:val="auto"/>
          <w:sz w:val="24"/>
          <w:highlight w:val="none"/>
        </w:rPr>
        <w:t>。</w:t>
      </w:r>
    </w:p>
    <w:p w14:paraId="07F02448">
      <w:pPr>
        <w:spacing w:line="360" w:lineRule="auto"/>
        <w:ind w:firstLine="435"/>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对不同文字文本投标文件的解释发生异议的，以中文文本为准。</w:t>
      </w:r>
    </w:p>
    <w:p w14:paraId="71539174">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eastAsia="zh-CN"/>
        </w:rPr>
        <w:t>16.</w:t>
      </w:r>
      <w:r>
        <w:rPr>
          <w:rFonts w:hint="eastAsia" w:asciiTheme="minorEastAsia" w:hAnsiTheme="minorEastAsia" w:eastAsiaTheme="minorEastAsia"/>
          <w:b/>
          <w:color w:val="auto"/>
          <w:sz w:val="24"/>
          <w:highlight w:val="none"/>
        </w:rPr>
        <w:t>投标无效</w:t>
      </w:r>
    </w:p>
    <w:p w14:paraId="7875CCF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16.</w:t>
      </w:r>
      <w:r>
        <w:rPr>
          <w:rFonts w:asciiTheme="minorEastAsia" w:hAnsiTheme="minorEastAsia" w:eastAsiaTheme="minorEastAsia"/>
          <w:color w:val="auto"/>
          <w:sz w:val="24"/>
          <w:highlight w:val="none"/>
        </w:rPr>
        <w:t>1根据本</w:t>
      </w:r>
      <w:r>
        <w:rPr>
          <w:rFonts w:hint="eastAsia" w:asciiTheme="minorEastAsia" w:hAnsiTheme="minorEastAsia" w:eastAsiaTheme="minorEastAsia"/>
          <w:color w:val="auto"/>
          <w:sz w:val="24"/>
          <w:highlight w:val="none"/>
        </w:rPr>
        <w:t>招标文件</w:t>
      </w:r>
      <w:r>
        <w:rPr>
          <w:rFonts w:asciiTheme="minorEastAsia" w:hAnsiTheme="minorEastAsia" w:eastAsiaTheme="minorEastAsia"/>
          <w:color w:val="auto"/>
          <w:sz w:val="24"/>
          <w:highlight w:val="none"/>
        </w:rPr>
        <w:t>的规定，评标委员会要审查每份投标文件是否实质上响应了招标文件的要求。投标人不得通过修正或撤销不符合要求的偏离，从而使其投标成为实质上响应的投标。</w:t>
      </w:r>
    </w:p>
    <w:p w14:paraId="4AD70A8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评标委员会决定投标的响应性只根据招标文件要求和投标文件内容。</w:t>
      </w:r>
    </w:p>
    <w:p w14:paraId="2FF1D08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无论何种原因，即使投标人投标时携带了证书材料的原件，但投标文件中未提供与之内容完全一致的扫描件的，评标委员会视同其未提供。</w:t>
      </w:r>
    </w:p>
    <w:p w14:paraId="294EBED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16.</w:t>
      </w:r>
      <w:r>
        <w:rPr>
          <w:rFonts w:asciiTheme="minorEastAsia" w:hAnsiTheme="minorEastAsia" w:eastAsiaTheme="minorEastAsia"/>
          <w:color w:val="auto"/>
          <w:sz w:val="24"/>
          <w:highlight w:val="none"/>
        </w:rPr>
        <w:t>2如发现下列情况之一的，其投标将被认定为</w:t>
      </w:r>
      <w:r>
        <w:rPr>
          <w:rFonts w:asciiTheme="minorEastAsia" w:hAnsiTheme="minorEastAsia" w:eastAsiaTheme="minorEastAsia"/>
          <w:b/>
          <w:color w:val="auto"/>
          <w:sz w:val="24"/>
          <w:highlight w:val="none"/>
        </w:rPr>
        <w:t>投标无效</w:t>
      </w:r>
      <w:r>
        <w:rPr>
          <w:rFonts w:asciiTheme="minorEastAsia" w:hAnsiTheme="minorEastAsia" w:eastAsiaTheme="minorEastAsia"/>
          <w:color w:val="auto"/>
          <w:sz w:val="24"/>
          <w:highlight w:val="none"/>
        </w:rPr>
        <w:t>：</w:t>
      </w:r>
    </w:p>
    <w:p w14:paraId="0D68F08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1）投标文件未按照招标文件规定要求签署、盖章的；</w:t>
      </w:r>
    </w:p>
    <w:p w14:paraId="6E4C07F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2）不具备招标文件中规定的资格要求的；</w:t>
      </w:r>
    </w:p>
    <w:p w14:paraId="0A6E09A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3）报价超过招标文件中规定的预算金额或者最高限价的；</w:t>
      </w:r>
    </w:p>
    <w:p w14:paraId="7919362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4）投标文件含有采购人不能接受的附加条件的；</w:t>
      </w:r>
    </w:p>
    <w:p w14:paraId="6AF5BD3C">
      <w:pPr>
        <w:spacing w:line="360" w:lineRule="auto"/>
        <w:ind w:firstLine="435"/>
        <w:rPr>
          <w:rFonts w:ascii="宋体" w:hAnsi="宋体" w:eastAsia="宋体"/>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5）法律、法规和招标文件规定的其他无效情形。</w:t>
      </w:r>
    </w:p>
    <w:p w14:paraId="131A66B8">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eastAsia="zh-CN"/>
        </w:rPr>
        <w:t>17.</w:t>
      </w:r>
      <w:r>
        <w:rPr>
          <w:rFonts w:hint="eastAsia" w:asciiTheme="minorEastAsia" w:hAnsiTheme="minorEastAsia" w:eastAsiaTheme="minorEastAsia"/>
          <w:b/>
          <w:color w:val="auto"/>
          <w:sz w:val="24"/>
          <w:highlight w:val="none"/>
        </w:rPr>
        <w:t>比较与评价</w:t>
      </w:r>
    </w:p>
    <w:p w14:paraId="466CB61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17.</w:t>
      </w:r>
      <w:r>
        <w:rPr>
          <w:rFonts w:hint="eastAsia" w:asciiTheme="minorEastAsia" w:hAnsiTheme="minorEastAsia" w:eastAsiaTheme="minorEastAsia"/>
          <w:color w:val="auto"/>
          <w:sz w:val="24"/>
          <w:highlight w:val="none"/>
        </w:rPr>
        <w:t>1经符合性审查合格的投标文件，评标委员会将根据招标文件确定的评标方法和标准，对其投标文件作进一步的比较与评价。</w:t>
      </w:r>
    </w:p>
    <w:p w14:paraId="4EC1904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17.</w:t>
      </w:r>
      <w:r>
        <w:rPr>
          <w:rFonts w:hint="eastAsia" w:asciiTheme="minorEastAsia" w:hAnsiTheme="minorEastAsia" w:eastAsiaTheme="minorEastAsia"/>
          <w:color w:val="auto"/>
          <w:sz w:val="24"/>
          <w:highlight w:val="none"/>
        </w:rPr>
        <w:t>2评标严格按照</w:t>
      </w:r>
      <w:r>
        <w:rPr>
          <w:rFonts w:hint="eastAsia" w:ascii="宋体" w:hAnsi="宋体" w:eastAsia="宋体"/>
          <w:color w:val="auto"/>
          <w:sz w:val="24"/>
          <w:highlight w:val="none"/>
        </w:rPr>
        <w:t>招标文件</w:t>
      </w:r>
      <w:r>
        <w:rPr>
          <w:rFonts w:hint="eastAsia" w:asciiTheme="minorEastAsia" w:hAnsiTheme="minorEastAsia" w:eastAsiaTheme="minorEastAsia"/>
          <w:color w:val="auto"/>
          <w:sz w:val="24"/>
          <w:highlight w:val="none"/>
        </w:rPr>
        <w:t>的要求和条件进行。根据实际情况，在</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中规定采用下列一种评标方法，详细评标方法和标准见招标文件第四章：</w:t>
      </w:r>
    </w:p>
    <w:p w14:paraId="48721042">
      <w:pPr>
        <w:spacing w:line="360" w:lineRule="auto"/>
        <w:ind w:firstLine="435"/>
        <w:rPr>
          <w:rFonts w:ascii="宋体" w:hAnsi="宋体" w:eastAsia="宋体"/>
          <w:color w:val="auto"/>
          <w:sz w:val="24"/>
          <w:highlight w:val="none"/>
        </w:rPr>
      </w:pPr>
      <w:r>
        <w:rPr>
          <w:rFonts w:hint="eastAsia" w:asciiTheme="minorEastAsia" w:hAnsiTheme="minorEastAsia" w:eastAsiaTheme="minorEastAsia"/>
          <w:color w:val="auto"/>
          <w:sz w:val="24"/>
          <w:highlight w:val="none"/>
        </w:rPr>
        <w:t>（</w:t>
      </w:r>
      <w:r>
        <w:rPr>
          <w:rFonts w:hint="eastAsia" w:ascii="宋体" w:hAnsi="宋体" w:eastAsia="宋体"/>
          <w:color w:val="auto"/>
          <w:sz w:val="24"/>
          <w:highlight w:val="none"/>
        </w:rPr>
        <w:t>1）最低评标价法，是指</w:t>
      </w:r>
      <w:r>
        <w:rPr>
          <w:rFonts w:ascii="宋体" w:hAnsi="宋体" w:eastAsia="宋体"/>
          <w:color w:val="auto"/>
          <w:sz w:val="24"/>
          <w:highlight w:val="none"/>
        </w:rPr>
        <w:t>投标文件满足招标文件全部实质性要求</w:t>
      </w:r>
      <w:r>
        <w:rPr>
          <w:rFonts w:hint="eastAsia" w:ascii="宋体" w:hAnsi="宋体" w:eastAsia="宋体"/>
          <w:color w:val="auto"/>
          <w:sz w:val="24"/>
          <w:highlight w:val="none"/>
        </w:rPr>
        <w:t>，</w:t>
      </w:r>
      <w:r>
        <w:rPr>
          <w:rFonts w:ascii="宋体" w:hAnsi="宋体" w:eastAsia="宋体"/>
          <w:color w:val="auto"/>
          <w:sz w:val="24"/>
          <w:highlight w:val="none"/>
        </w:rPr>
        <w:t>且投标报价最低的</w:t>
      </w:r>
      <w:r>
        <w:rPr>
          <w:rFonts w:hint="eastAsia" w:ascii="宋体" w:hAnsi="宋体" w:eastAsia="宋体"/>
          <w:color w:val="auto"/>
          <w:sz w:val="24"/>
          <w:highlight w:val="none"/>
        </w:rPr>
        <w:t>投标人</w:t>
      </w:r>
      <w:r>
        <w:rPr>
          <w:rFonts w:ascii="宋体" w:hAnsi="宋体" w:eastAsia="宋体"/>
          <w:color w:val="auto"/>
          <w:sz w:val="24"/>
          <w:highlight w:val="none"/>
        </w:rPr>
        <w:t>为中标</w:t>
      </w:r>
      <w:r>
        <w:rPr>
          <w:rFonts w:hint="eastAsia" w:ascii="宋体" w:hAnsi="宋体" w:eastAsia="宋体"/>
          <w:color w:val="auto"/>
          <w:sz w:val="24"/>
          <w:highlight w:val="none"/>
        </w:rPr>
        <w:t>候选</w:t>
      </w:r>
      <w:r>
        <w:rPr>
          <w:rFonts w:ascii="宋体" w:hAnsi="宋体" w:eastAsia="宋体"/>
          <w:color w:val="auto"/>
          <w:sz w:val="24"/>
          <w:highlight w:val="none"/>
        </w:rPr>
        <w:t>人的评标方法</w:t>
      </w:r>
      <w:r>
        <w:rPr>
          <w:rFonts w:hint="eastAsia" w:ascii="宋体" w:hAnsi="宋体" w:eastAsia="宋体"/>
          <w:color w:val="auto"/>
          <w:sz w:val="24"/>
          <w:highlight w:val="none"/>
        </w:rPr>
        <w:t>。</w:t>
      </w:r>
    </w:p>
    <w:p w14:paraId="3AFBB4FD">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（2）综合评分法，是</w:t>
      </w:r>
      <w:r>
        <w:rPr>
          <w:rFonts w:ascii="宋体" w:hAnsi="宋体" w:eastAsia="宋体"/>
          <w:color w:val="auto"/>
          <w:sz w:val="24"/>
          <w:highlight w:val="none"/>
        </w:rPr>
        <w:t>指投标文件满足招标</w:t>
      </w:r>
      <w:r>
        <w:rPr>
          <w:rFonts w:hint="eastAsia" w:ascii="宋体" w:hAnsi="宋体" w:eastAsia="宋体"/>
          <w:color w:val="auto"/>
          <w:sz w:val="24"/>
          <w:highlight w:val="none"/>
        </w:rPr>
        <w:t>文件</w:t>
      </w:r>
      <w:r>
        <w:rPr>
          <w:rFonts w:ascii="宋体" w:hAnsi="宋体" w:eastAsia="宋体"/>
          <w:color w:val="auto"/>
          <w:sz w:val="24"/>
          <w:highlight w:val="none"/>
        </w:rPr>
        <w:t>全部实质性要求</w:t>
      </w:r>
      <w:r>
        <w:rPr>
          <w:rFonts w:hint="eastAsia" w:ascii="宋体" w:hAnsi="宋体" w:eastAsia="宋体"/>
          <w:color w:val="auto"/>
          <w:sz w:val="24"/>
          <w:highlight w:val="none"/>
        </w:rPr>
        <w:t>，</w:t>
      </w:r>
      <w:r>
        <w:rPr>
          <w:rFonts w:ascii="宋体" w:hAnsi="宋体" w:eastAsia="宋体"/>
          <w:color w:val="auto"/>
          <w:sz w:val="24"/>
          <w:highlight w:val="none"/>
        </w:rPr>
        <w:t>且按照评审因素的</w:t>
      </w:r>
      <w:r>
        <w:rPr>
          <w:rFonts w:hint="eastAsia" w:ascii="宋体" w:hAnsi="宋体" w:eastAsia="宋体"/>
          <w:color w:val="auto"/>
          <w:sz w:val="24"/>
          <w:highlight w:val="none"/>
        </w:rPr>
        <w:t>量化</w:t>
      </w:r>
      <w:r>
        <w:rPr>
          <w:rFonts w:ascii="宋体" w:hAnsi="宋体" w:eastAsia="宋体"/>
          <w:color w:val="auto"/>
          <w:sz w:val="24"/>
          <w:highlight w:val="none"/>
        </w:rPr>
        <w:t>指标评审得分最高的</w:t>
      </w:r>
      <w:r>
        <w:rPr>
          <w:rFonts w:hint="eastAsia" w:ascii="宋体" w:hAnsi="宋体" w:eastAsia="宋体"/>
          <w:color w:val="auto"/>
          <w:sz w:val="24"/>
          <w:highlight w:val="none"/>
        </w:rPr>
        <w:t>投标人</w:t>
      </w:r>
      <w:r>
        <w:rPr>
          <w:rFonts w:ascii="宋体" w:hAnsi="宋体" w:eastAsia="宋体"/>
          <w:color w:val="auto"/>
          <w:sz w:val="24"/>
          <w:highlight w:val="none"/>
        </w:rPr>
        <w:t>为中标候选人的评标方法。</w:t>
      </w:r>
    </w:p>
    <w:p w14:paraId="13DB57A6">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17.</w:t>
      </w:r>
      <w:r>
        <w:rPr>
          <w:rFonts w:ascii="宋体" w:hAnsi="宋体" w:eastAsia="宋体"/>
          <w:color w:val="auto"/>
          <w:sz w:val="24"/>
          <w:highlight w:val="none"/>
        </w:rPr>
        <w:t>3根据《政府采购促进中小企业发展管理办法》（财库〔2020〕46号）、《三部门联合发布关于促进残疾人就业政府采购政策的通知》（财库〔2017〕141号）</w:t>
      </w:r>
      <w:r>
        <w:rPr>
          <w:rFonts w:hint="eastAsia" w:ascii="宋体" w:hAnsi="宋体" w:eastAsia="宋体"/>
          <w:color w:val="auto"/>
          <w:sz w:val="24"/>
          <w:highlight w:val="none"/>
          <w:lang w:val="en-US" w:eastAsia="zh-CN"/>
        </w:rPr>
        <w:t>和</w:t>
      </w:r>
      <w:r>
        <w:rPr>
          <w:rFonts w:ascii="宋体" w:hAnsi="宋体" w:eastAsia="宋体"/>
          <w:color w:val="auto"/>
          <w:sz w:val="24"/>
          <w:highlight w:val="none"/>
        </w:rPr>
        <w:t>《财政部 司法部关于政府采购支持监狱企业发展有关问题的通知》（财库〔2014〕68号）的规定，对满足价格扣除条件且在投标文件中提交了《中小企业声明函》、《残疾人福利性单位声明函》或省级以上监狱管理局、戒毒管理局（含新疆生产建设兵团）出具的属于监狱企业的证明文件的投标人，其投标报价按照</w:t>
      </w:r>
      <w:r>
        <w:rPr>
          <w:rFonts w:ascii="宋体" w:hAnsi="宋体" w:eastAsia="宋体"/>
          <w:color w:val="auto"/>
          <w:sz w:val="24"/>
          <w:highlight w:val="none"/>
          <w:u w:val="single"/>
        </w:rPr>
        <w:t>投标人须知前附表</w:t>
      </w:r>
      <w:r>
        <w:rPr>
          <w:rFonts w:ascii="宋体" w:hAnsi="宋体" w:eastAsia="宋体"/>
          <w:color w:val="auto"/>
          <w:sz w:val="24"/>
          <w:highlight w:val="none"/>
        </w:rPr>
        <w:t>中规定的标准扣除后的价格参与评审。对于同时属于小微企</w:t>
      </w:r>
      <w:r>
        <w:rPr>
          <w:rFonts w:hint="eastAsia" w:ascii="宋体" w:hAnsi="宋体" w:eastAsia="宋体"/>
          <w:color w:val="auto"/>
          <w:sz w:val="24"/>
          <w:highlight w:val="none"/>
        </w:rPr>
        <w:t>业、监狱企业或残疾人福利性单位的，不重复进行投标报价扣除。</w:t>
      </w:r>
    </w:p>
    <w:p w14:paraId="409A4F38">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接受大中型企业与小微企业组成联合体或者允许大中型企业向一家或者多家小微企业分包的，对于联合协议或者分包意向协议约定小微企业的合同份额占到合同总金额</w:t>
      </w:r>
      <w:r>
        <w:rPr>
          <w:rFonts w:ascii="宋体" w:hAnsi="宋体" w:eastAsia="宋体"/>
          <w:color w:val="auto"/>
          <w:sz w:val="24"/>
          <w:highlight w:val="none"/>
        </w:rPr>
        <w:t>30%以上的，可给予联合体或者大中型企业的投标报价按照</w:t>
      </w:r>
      <w:r>
        <w:rPr>
          <w:rFonts w:ascii="宋体" w:hAnsi="宋体" w:eastAsia="宋体"/>
          <w:color w:val="auto"/>
          <w:sz w:val="24"/>
          <w:highlight w:val="none"/>
          <w:u w:val="single"/>
        </w:rPr>
        <w:t>投标人须知前附表</w:t>
      </w:r>
      <w:r>
        <w:rPr>
          <w:rFonts w:ascii="宋体" w:hAnsi="宋体" w:eastAsia="宋体"/>
          <w:color w:val="auto"/>
          <w:sz w:val="24"/>
          <w:highlight w:val="none"/>
        </w:rPr>
        <w:t>中规定的标准扣除后的价格参与评审。组成联合体或者接受分包的小微企业与联合体内其他企业、分包企业之间存在直接控股、管理关系的，不享受价格扣除优惠政策。</w:t>
      </w:r>
    </w:p>
    <w:p w14:paraId="43D2AA5E">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以联合体形式参加政府采购活动，联合体各方均为中小企业的，联合体视同中小企业。其中，联合体各方均为小微企业的，联合体视同小微企业。</w:t>
      </w:r>
    </w:p>
    <w:p w14:paraId="13F8DF0E">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18</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废标、重新招标与变更采购方式</w:t>
      </w:r>
    </w:p>
    <w:p w14:paraId="5563E37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18</w:t>
      </w:r>
      <w:r>
        <w:rPr>
          <w:rFonts w:hint="eastAsia" w:asciiTheme="minorEastAsia" w:hAnsiTheme="minorEastAsia" w:eastAsiaTheme="minorEastAsia"/>
          <w:color w:val="auto"/>
          <w:sz w:val="24"/>
          <w:highlight w:val="none"/>
        </w:rPr>
        <w:t>.1出现下列情形之一，将导致项目废标：</w:t>
      </w:r>
    </w:p>
    <w:p w14:paraId="1DB07358">
      <w:pPr>
        <w:spacing w:line="360" w:lineRule="auto"/>
        <w:ind w:firstLine="435"/>
        <w:rPr>
          <w:rFonts w:ascii="宋体" w:hAnsi="宋体" w:eastAsia="宋体"/>
          <w:color w:val="auto"/>
          <w:sz w:val="24"/>
          <w:highlight w:val="none"/>
        </w:rPr>
      </w:pPr>
      <w:r>
        <w:rPr>
          <w:rFonts w:hint="eastAsia" w:asciiTheme="minorEastAsia" w:hAnsiTheme="minorEastAsia" w:eastAsiaTheme="minorEastAsia"/>
          <w:color w:val="auto"/>
          <w:sz w:val="24"/>
          <w:highlight w:val="none"/>
        </w:rPr>
        <w:t>（</w:t>
      </w:r>
      <w:r>
        <w:rPr>
          <w:rFonts w:hint="eastAsia" w:ascii="宋体" w:hAnsi="宋体" w:eastAsia="宋体"/>
          <w:color w:val="auto"/>
          <w:sz w:val="24"/>
          <w:highlight w:val="none"/>
        </w:rPr>
        <w:t>1）符合专业条件的供应商或者对招标文件做实质性响应的供应商不足规定数量的；</w:t>
      </w:r>
    </w:p>
    <w:p w14:paraId="6C71C0E4">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（2）出现影响采购公正的违法、违规行为的；</w:t>
      </w:r>
    </w:p>
    <w:p w14:paraId="255BC05C">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（3）投标人的报价均超过了采购预算，采购人不能支付的；</w:t>
      </w:r>
    </w:p>
    <w:p w14:paraId="1EB6940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（4）因重大变故，采购任务取消的。</w:t>
      </w:r>
    </w:p>
    <w:p w14:paraId="725FCA4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18</w:t>
      </w:r>
      <w:r>
        <w:rPr>
          <w:rFonts w:hint="eastAsia" w:asciiTheme="minorEastAsia" w:hAnsiTheme="minorEastAsia" w:eastAsiaTheme="minorEastAsia"/>
          <w:color w:val="auto"/>
          <w:sz w:val="24"/>
          <w:highlight w:val="none"/>
        </w:rPr>
        <w:t>.2公开招标数额标准以上的采购项目，投标截止后投标人不足</w:t>
      </w:r>
      <w:r>
        <w:rPr>
          <w:rFonts w:asciiTheme="minorEastAsia" w:hAnsiTheme="minorEastAsia" w:eastAsiaTheme="minorEastAsia"/>
          <w:color w:val="auto"/>
          <w:sz w:val="24"/>
          <w:highlight w:val="none"/>
        </w:rPr>
        <w:t>3家或者通过</w:t>
      </w:r>
      <w:r>
        <w:rPr>
          <w:rFonts w:hint="eastAsia" w:asciiTheme="minorEastAsia" w:hAnsiTheme="minorEastAsia" w:eastAsiaTheme="minorEastAsia"/>
          <w:color w:val="auto"/>
          <w:sz w:val="24"/>
          <w:highlight w:val="none"/>
        </w:rPr>
        <w:t>资格审查或符合性审查的投标人不足</w:t>
      </w:r>
      <w:r>
        <w:rPr>
          <w:rFonts w:asciiTheme="minorEastAsia" w:hAnsiTheme="minorEastAsia" w:eastAsiaTheme="minorEastAsia"/>
          <w:color w:val="auto"/>
          <w:sz w:val="24"/>
          <w:highlight w:val="none"/>
        </w:rPr>
        <w:t>3家的，除采购任务取消情形外，按照以下方式处理：</w:t>
      </w:r>
    </w:p>
    <w:p w14:paraId="16FDB39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（1）招标文件存在不合理条款或者招标程序不符合规定的，采购人、采购代理机构改正后依法重新招标；</w:t>
      </w:r>
    </w:p>
    <w:p w14:paraId="300A6B4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（2）招标文件没有不合理条款、招标程序符合规定，需要采用其他采购方式采购的，采购人应当依法报</w:t>
      </w:r>
      <w:r>
        <w:rPr>
          <w:rFonts w:hint="eastAsia" w:ascii="宋体" w:hAnsi="宋体" w:eastAsia="宋体" w:cs="宋体"/>
          <w:b w:val="0"/>
          <w:bCs w:val="0"/>
          <w:color w:val="auto"/>
          <w:kern w:val="2"/>
          <w:sz w:val="24"/>
          <w:szCs w:val="24"/>
          <w:highlight w:val="none"/>
          <w:u w:val="none"/>
          <w:lang w:val="en-US" w:eastAsia="zh-CN" w:bidi="ar-SA"/>
        </w:rPr>
        <w:t>政府采购监督管理部门</w:t>
      </w:r>
      <w:r>
        <w:rPr>
          <w:rFonts w:hint="eastAsia" w:asciiTheme="minorEastAsia" w:hAnsiTheme="minorEastAsia" w:eastAsiaTheme="minorEastAsia"/>
          <w:color w:val="auto"/>
          <w:sz w:val="24"/>
          <w:highlight w:val="none"/>
        </w:rPr>
        <w:t>批准。</w:t>
      </w:r>
    </w:p>
    <w:p w14:paraId="71F63099">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19</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保密要求</w:t>
      </w:r>
    </w:p>
    <w:p w14:paraId="74114E5B">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19</w:t>
      </w:r>
      <w:r>
        <w:rPr>
          <w:rFonts w:hint="eastAsia" w:ascii="宋体" w:hAnsi="宋体" w:eastAsia="宋体"/>
          <w:color w:val="auto"/>
          <w:sz w:val="24"/>
          <w:highlight w:val="none"/>
        </w:rPr>
        <w:t>.1评标将在严格保密的情况下进行。</w:t>
      </w:r>
    </w:p>
    <w:p w14:paraId="34DBA3F0">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19</w:t>
      </w:r>
      <w:r>
        <w:rPr>
          <w:rFonts w:hint="eastAsia" w:ascii="宋体" w:hAnsi="宋体" w:eastAsia="宋体"/>
          <w:color w:val="auto"/>
          <w:sz w:val="24"/>
          <w:highlight w:val="none"/>
        </w:rPr>
        <w:t>.2有关人员</w:t>
      </w:r>
      <w:r>
        <w:rPr>
          <w:rFonts w:ascii="宋体" w:hAnsi="宋体" w:eastAsia="宋体"/>
          <w:color w:val="auto"/>
          <w:sz w:val="24"/>
          <w:highlight w:val="none"/>
        </w:rPr>
        <w:t>应当</w:t>
      </w:r>
      <w:r>
        <w:rPr>
          <w:rFonts w:hint="eastAsia" w:ascii="宋体" w:hAnsi="宋体" w:eastAsia="宋体"/>
          <w:color w:val="auto"/>
          <w:sz w:val="24"/>
          <w:highlight w:val="none"/>
        </w:rPr>
        <w:t>遵</w:t>
      </w:r>
      <w:r>
        <w:rPr>
          <w:rFonts w:ascii="宋体" w:hAnsi="宋体" w:eastAsia="宋体"/>
          <w:color w:val="auto"/>
          <w:sz w:val="24"/>
          <w:highlight w:val="none"/>
        </w:rPr>
        <w:t>守评</w:t>
      </w:r>
      <w:r>
        <w:rPr>
          <w:rFonts w:hint="eastAsia" w:ascii="宋体" w:hAnsi="宋体" w:eastAsia="宋体"/>
          <w:color w:val="auto"/>
          <w:sz w:val="24"/>
          <w:highlight w:val="none"/>
        </w:rPr>
        <w:t>标</w:t>
      </w:r>
      <w:r>
        <w:rPr>
          <w:rFonts w:ascii="宋体" w:hAnsi="宋体" w:eastAsia="宋体"/>
          <w:color w:val="auto"/>
          <w:sz w:val="24"/>
          <w:highlight w:val="none"/>
        </w:rPr>
        <w:t>工作纪律，不得</w:t>
      </w:r>
      <w:r>
        <w:rPr>
          <w:rFonts w:hint="eastAsia" w:ascii="宋体" w:hAnsi="宋体" w:eastAsia="宋体"/>
          <w:color w:val="auto"/>
          <w:sz w:val="24"/>
          <w:highlight w:val="none"/>
        </w:rPr>
        <w:t>泄露</w:t>
      </w:r>
      <w:r>
        <w:rPr>
          <w:rFonts w:ascii="宋体" w:hAnsi="宋体" w:eastAsia="宋体"/>
          <w:color w:val="auto"/>
          <w:sz w:val="24"/>
          <w:highlight w:val="none"/>
        </w:rPr>
        <w:t>评</w:t>
      </w:r>
      <w:r>
        <w:rPr>
          <w:rFonts w:hint="eastAsia" w:ascii="宋体" w:hAnsi="宋体" w:eastAsia="宋体"/>
          <w:color w:val="auto"/>
          <w:sz w:val="24"/>
          <w:highlight w:val="none"/>
        </w:rPr>
        <w:t>标文件</w:t>
      </w:r>
      <w:r>
        <w:rPr>
          <w:rFonts w:ascii="宋体" w:hAnsi="宋体" w:eastAsia="宋体"/>
          <w:color w:val="auto"/>
          <w:sz w:val="24"/>
          <w:highlight w:val="none"/>
        </w:rPr>
        <w:t>、评</w:t>
      </w:r>
      <w:r>
        <w:rPr>
          <w:rFonts w:hint="eastAsia" w:ascii="宋体" w:hAnsi="宋体" w:eastAsia="宋体"/>
          <w:color w:val="auto"/>
          <w:sz w:val="24"/>
          <w:highlight w:val="none"/>
        </w:rPr>
        <w:t>标</w:t>
      </w:r>
      <w:r>
        <w:rPr>
          <w:rFonts w:ascii="宋体" w:hAnsi="宋体" w:eastAsia="宋体"/>
          <w:color w:val="auto"/>
          <w:sz w:val="24"/>
          <w:highlight w:val="none"/>
        </w:rPr>
        <w:t>情况和评</w:t>
      </w:r>
      <w:r>
        <w:rPr>
          <w:rFonts w:hint="eastAsia" w:ascii="宋体" w:hAnsi="宋体" w:eastAsia="宋体"/>
          <w:color w:val="auto"/>
          <w:sz w:val="24"/>
          <w:highlight w:val="none"/>
        </w:rPr>
        <w:t>标</w:t>
      </w:r>
      <w:r>
        <w:rPr>
          <w:rFonts w:ascii="宋体" w:hAnsi="宋体" w:eastAsia="宋体"/>
          <w:color w:val="auto"/>
          <w:sz w:val="24"/>
          <w:highlight w:val="none"/>
        </w:rPr>
        <w:t>中获悉的</w:t>
      </w:r>
      <w:r>
        <w:rPr>
          <w:rFonts w:hint="eastAsia" w:ascii="宋体" w:hAnsi="宋体" w:eastAsia="宋体"/>
          <w:color w:val="auto"/>
          <w:sz w:val="24"/>
          <w:highlight w:val="none"/>
        </w:rPr>
        <w:t>国家秘密、</w:t>
      </w:r>
      <w:r>
        <w:rPr>
          <w:rFonts w:ascii="宋体" w:hAnsi="宋体" w:eastAsia="宋体"/>
          <w:color w:val="auto"/>
          <w:sz w:val="24"/>
          <w:highlight w:val="none"/>
        </w:rPr>
        <w:t>商业秘密。</w:t>
      </w:r>
    </w:p>
    <w:p w14:paraId="4C493B01">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0</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中标候选人的确定原则及标准</w:t>
      </w:r>
    </w:p>
    <w:p w14:paraId="0C5D62B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20.1</w:t>
      </w:r>
      <w:r>
        <w:rPr>
          <w:rFonts w:asciiTheme="minorEastAsia" w:hAnsiTheme="minorEastAsia" w:eastAsiaTheme="minorEastAsia"/>
          <w:color w:val="auto"/>
          <w:sz w:val="24"/>
          <w:highlight w:val="none"/>
        </w:rPr>
        <w:t>评</w:t>
      </w:r>
      <w:r>
        <w:rPr>
          <w:rFonts w:hint="eastAsia" w:asciiTheme="minorEastAsia" w:hAnsiTheme="minorEastAsia" w:eastAsiaTheme="minorEastAsia"/>
          <w:color w:val="auto"/>
          <w:sz w:val="24"/>
          <w:highlight w:val="none"/>
        </w:rPr>
        <w:t>标</w:t>
      </w:r>
      <w:r>
        <w:rPr>
          <w:rFonts w:asciiTheme="minorEastAsia" w:hAnsiTheme="minorEastAsia" w:eastAsiaTheme="minorEastAsia"/>
          <w:color w:val="auto"/>
          <w:sz w:val="24"/>
          <w:highlight w:val="none"/>
        </w:rPr>
        <w:t>委员会依据本项目招标文件所约定的评标方法，对实质上响应招标文件的投标人按下列方法进行排序</w:t>
      </w:r>
      <w:r>
        <w:rPr>
          <w:rFonts w:hint="eastAsia" w:asciiTheme="minorEastAsia" w:hAnsiTheme="minorEastAsia" w:eastAsiaTheme="minorEastAsia"/>
          <w:color w:val="auto"/>
          <w:sz w:val="24"/>
          <w:highlight w:val="none"/>
        </w:rPr>
        <w:t>，确定中标候选人</w:t>
      </w:r>
      <w:r>
        <w:rPr>
          <w:rFonts w:asciiTheme="minorEastAsia" w:hAnsiTheme="minorEastAsia" w:eastAsiaTheme="minorEastAsia"/>
          <w:color w:val="auto"/>
          <w:sz w:val="24"/>
          <w:highlight w:val="none"/>
        </w:rPr>
        <w:t>：</w:t>
      </w:r>
    </w:p>
    <w:p w14:paraId="334DAA3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1）采用最低评标价法的，除了算术修正和落实政府采购政策需进行的价格扣除外，不对投标人的投标价格进行任何调整。评标结果按修正和扣除后的投标报价由低到高顺序排列。修正和扣除后的投标报价</w:t>
      </w:r>
      <w:r>
        <w:rPr>
          <w:rFonts w:hint="eastAsia" w:asciiTheme="minorEastAsia" w:hAnsiTheme="minorEastAsia" w:eastAsiaTheme="minorEastAsia"/>
          <w:color w:val="auto"/>
          <w:sz w:val="24"/>
          <w:highlight w:val="none"/>
        </w:rPr>
        <w:t>出现两家或两家以上相同者，采取评标委员会随机抽取的方式确定中标候选顺序。</w:t>
      </w:r>
    </w:p>
    <w:p w14:paraId="77439A45">
      <w:pPr>
        <w:spacing w:line="360" w:lineRule="auto"/>
        <w:ind w:firstLine="435"/>
        <w:rPr>
          <w:rFonts w:hint="default" w:eastAsiaTheme="minorEastAsia"/>
          <w:color w:val="auto"/>
          <w:highlight w:val="none"/>
          <w:lang w:val="en-US" w:eastAsia="zh-CN"/>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2）采用综合评分法的，评标结果按评审后得分由高到低顺序排列。得分相同的，</w:t>
      </w:r>
      <w:r>
        <w:rPr>
          <w:rFonts w:hint="eastAsia" w:asciiTheme="minorEastAsia" w:hAnsiTheme="minorEastAsia" w:eastAsiaTheme="minorEastAsia"/>
          <w:color w:val="auto"/>
          <w:sz w:val="24"/>
          <w:highlight w:val="none"/>
        </w:rPr>
        <w:t>按投标报价由低到高顺序排列。</w:t>
      </w:r>
      <w:r>
        <w:rPr>
          <w:rFonts w:asciiTheme="minorEastAsia" w:hAnsiTheme="minorEastAsia" w:eastAsiaTheme="minorEastAsia"/>
          <w:color w:val="auto"/>
          <w:sz w:val="24"/>
          <w:highlight w:val="none"/>
        </w:rPr>
        <w:t>得分与投标报价均相同的</w:t>
      </w:r>
      <w:r>
        <w:rPr>
          <w:rFonts w:hint="eastAsia" w:asciiTheme="minorEastAsia" w:hAnsiTheme="minorEastAsia" w:eastAsiaTheme="minorEastAsia"/>
          <w:color w:val="auto"/>
          <w:sz w:val="24"/>
          <w:highlight w:val="none"/>
        </w:rPr>
        <w:t>，则采取评标委员会随机抽取的方式确定中标候选顺序。</w:t>
      </w:r>
    </w:p>
    <w:p w14:paraId="219800AF">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确定中标候选人和中标人</w:t>
      </w:r>
    </w:p>
    <w:p w14:paraId="76EC9AEC">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.1评标委员会将根据评标标准，按</w:t>
      </w:r>
      <w:r>
        <w:rPr>
          <w:rFonts w:asciiTheme="minorEastAsia" w:hAnsiTheme="minorEastAsia" w:eastAsiaTheme="minorEastAsia"/>
          <w:color w:val="auto"/>
          <w:sz w:val="24"/>
          <w:highlight w:val="none"/>
          <w:u w:val="single"/>
        </w:rPr>
        <w:t>投标</w:t>
      </w:r>
      <w:r>
        <w:rPr>
          <w:rFonts w:hint="eastAsia" w:asciiTheme="minorEastAsia" w:hAnsiTheme="minorEastAsia" w:eastAsiaTheme="minorEastAsia"/>
          <w:color w:val="auto"/>
          <w:sz w:val="24"/>
          <w:highlight w:val="none"/>
          <w:u w:val="single"/>
        </w:rPr>
        <w:t>人</w:t>
      </w:r>
      <w:r>
        <w:rPr>
          <w:rFonts w:asciiTheme="minorEastAsia" w:hAnsiTheme="minorEastAsia" w:eastAsiaTheme="minorEastAsia"/>
          <w:color w:val="auto"/>
          <w:sz w:val="24"/>
          <w:highlight w:val="none"/>
          <w:u w:val="single"/>
        </w:rPr>
        <w:t>须知前附表</w:t>
      </w:r>
      <w:r>
        <w:rPr>
          <w:rFonts w:asciiTheme="minorEastAsia" w:hAnsiTheme="minorEastAsia" w:eastAsiaTheme="minorEastAsia"/>
          <w:color w:val="auto"/>
          <w:sz w:val="24"/>
          <w:highlight w:val="none"/>
        </w:rPr>
        <w:t>中规定数量推荐中标候选人。</w:t>
      </w:r>
    </w:p>
    <w:p w14:paraId="7C9568D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rPr>
        <w:t>.2按</w:t>
      </w:r>
      <w:r>
        <w:rPr>
          <w:rFonts w:asciiTheme="minorEastAsia" w:hAnsiTheme="minorEastAsia" w:eastAsiaTheme="minorEastAsia"/>
          <w:color w:val="auto"/>
          <w:sz w:val="24"/>
          <w:highlight w:val="none"/>
          <w:u w:val="single"/>
        </w:rPr>
        <w:t>投标</w:t>
      </w:r>
      <w:r>
        <w:rPr>
          <w:rFonts w:hint="eastAsia" w:asciiTheme="minorEastAsia" w:hAnsiTheme="minorEastAsia" w:eastAsiaTheme="minorEastAsia"/>
          <w:color w:val="auto"/>
          <w:sz w:val="24"/>
          <w:highlight w:val="none"/>
          <w:u w:val="single"/>
        </w:rPr>
        <w:t>人</w:t>
      </w:r>
      <w:r>
        <w:rPr>
          <w:rFonts w:asciiTheme="minorEastAsia" w:hAnsiTheme="minorEastAsia" w:eastAsiaTheme="minorEastAsia"/>
          <w:color w:val="auto"/>
          <w:sz w:val="24"/>
          <w:highlight w:val="none"/>
          <w:u w:val="single"/>
        </w:rPr>
        <w:t>须知前附表</w:t>
      </w:r>
      <w:r>
        <w:rPr>
          <w:rFonts w:hint="eastAsia" w:asciiTheme="minorEastAsia" w:hAnsiTheme="minorEastAsia" w:eastAsiaTheme="minorEastAsia"/>
          <w:color w:val="auto"/>
          <w:sz w:val="24"/>
          <w:highlight w:val="none"/>
        </w:rPr>
        <w:t>中规定，</w:t>
      </w:r>
      <w:r>
        <w:rPr>
          <w:rFonts w:asciiTheme="minorEastAsia" w:hAnsiTheme="minorEastAsia" w:eastAsiaTheme="minorEastAsia"/>
          <w:color w:val="auto"/>
          <w:sz w:val="24"/>
          <w:highlight w:val="none"/>
        </w:rPr>
        <w:t>由评标委员会或采购人确定中标人。</w:t>
      </w:r>
    </w:p>
    <w:p w14:paraId="13A3A0C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因重大变故采购任务取消时，采购人有权拒绝任何投标人中标，且对受影响的投标人不承担任何责任。</w:t>
      </w:r>
    </w:p>
    <w:p w14:paraId="62CAC25A">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2</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编写评标报告</w:t>
      </w:r>
    </w:p>
    <w:p w14:paraId="73DE2C9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评标报告是根据全体评标委员会成员签字的原始评标记录和评标结果编写的报告，评标报告由评标委员会全体成员签字。对评标结论持有异议的评标委员会成员可以书面方式阐述其不同意见和理由。评标委员会成员拒绝在评标报告上签字且不陈述其不同意见和理由的，视为同意评标结论。</w:t>
      </w:r>
    </w:p>
    <w:p w14:paraId="6D2B4186">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3</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中标结果公告</w:t>
      </w:r>
    </w:p>
    <w:p w14:paraId="0E0B69C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除</w:t>
      </w:r>
      <w:r>
        <w:rPr>
          <w:rFonts w:asciiTheme="minorEastAsia" w:hAnsiTheme="minorEastAsia" w:eastAsiaTheme="minorEastAsia"/>
          <w:color w:val="auto"/>
          <w:sz w:val="24"/>
          <w:highlight w:val="none"/>
          <w:u w:val="single"/>
        </w:rPr>
        <w:t>投标</w:t>
      </w:r>
      <w:r>
        <w:rPr>
          <w:rFonts w:hint="eastAsia" w:asciiTheme="minorEastAsia" w:hAnsiTheme="minorEastAsia" w:eastAsiaTheme="minorEastAsia"/>
          <w:color w:val="auto"/>
          <w:sz w:val="24"/>
          <w:highlight w:val="none"/>
          <w:u w:val="single"/>
        </w:rPr>
        <w:t>人</w:t>
      </w:r>
      <w:r>
        <w:rPr>
          <w:rFonts w:asciiTheme="minorEastAsia" w:hAnsiTheme="minorEastAsia" w:eastAsiaTheme="minorEastAsia"/>
          <w:color w:val="auto"/>
          <w:sz w:val="24"/>
          <w:highlight w:val="none"/>
          <w:u w:val="single"/>
        </w:rPr>
        <w:t>须知前附表</w:t>
      </w:r>
      <w:r>
        <w:rPr>
          <w:rFonts w:asciiTheme="minorEastAsia" w:hAnsiTheme="minorEastAsia" w:eastAsiaTheme="minorEastAsia"/>
          <w:color w:val="auto"/>
          <w:sz w:val="24"/>
          <w:highlight w:val="none"/>
        </w:rPr>
        <w:t>规定由评标委员会直接确定中标</w:t>
      </w:r>
      <w:r>
        <w:rPr>
          <w:rFonts w:hint="eastAsia" w:asciiTheme="minorEastAsia" w:hAnsiTheme="minorEastAsia" w:eastAsiaTheme="minorEastAsia"/>
          <w:color w:val="auto"/>
          <w:sz w:val="24"/>
          <w:highlight w:val="none"/>
        </w:rPr>
        <w:t>人外，</w:t>
      </w:r>
      <w:r>
        <w:rPr>
          <w:rFonts w:asciiTheme="minorEastAsia" w:hAnsiTheme="minorEastAsia" w:eastAsiaTheme="minorEastAsia"/>
          <w:color w:val="auto"/>
          <w:sz w:val="24"/>
          <w:highlight w:val="none"/>
        </w:rPr>
        <w:t>在评标结束后2个工作日内</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采购代理机构将评标报告送采购人。采购人应当自收到评标报告之日起</w:t>
      </w: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696EBA0D">
      <w:pPr>
        <w:spacing w:line="360" w:lineRule="auto"/>
        <w:ind w:firstLine="435"/>
        <w:rPr>
          <w:rFonts w:ascii="宋体" w:hAnsi="宋体" w:eastAsia="宋体"/>
          <w:color w:val="auto"/>
          <w:sz w:val="24"/>
          <w:szCs w:val="18"/>
          <w:highlight w:val="none"/>
        </w:rPr>
      </w:pPr>
      <w:r>
        <w:rPr>
          <w:rFonts w:hint="eastAsia"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.2</w:t>
      </w:r>
      <w:r>
        <w:rPr>
          <w:rFonts w:hint="eastAsia" w:ascii="宋体" w:hAnsi="宋体" w:eastAsia="宋体"/>
          <w:color w:val="auto"/>
          <w:sz w:val="24"/>
          <w:szCs w:val="18"/>
          <w:highlight w:val="none"/>
        </w:rPr>
        <w:t>自中标人确定之日起2个工作日内，采购代理机构将在安徽省政府采购网（www.ccgp-anhui.gov.cn）和滁州市公共资源交易中心网上发布中标结果公告。</w:t>
      </w:r>
    </w:p>
    <w:p w14:paraId="229F2A0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中标结果公告内容应当包括采购人及其委托的采购代理机构的名称、地址、联系方式，项目名称和项目编号，中标人名称、地址和中标金额，主要中标标的的名称、</w:t>
      </w:r>
      <w:r>
        <w:rPr>
          <w:rFonts w:hint="eastAsia" w:asciiTheme="minorEastAsia" w:hAnsiTheme="minorEastAsia" w:eastAsiaTheme="minorEastAsia"/>
          <w:color w:val="auto"/>
          <w:sz w:val="24"/>
          <w:highlight w:val="none"/>
          <w:lang w:val="en-US" w:eastAsia="zh-CN"/>
        </w:rPr>
        <w:t>服务范围</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服务要求</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服务时间</w:t>
      </w:r>
      <w:r>
        <w:rPr>
          <w:rFonts w:asciiTheme="minorEastAsia" w:hAnsiTheme="minorEastAsia" w:eastAsiaTheme="minorEastAsia"/>
          <w:color w:val="auto"/>
          <w:sz w:val="24"/>
          <w:highlight w:val="none"/>
        </w:rPr>
        <w:t>、服务</w:t>
      </w:r>
      <w:r>
        <w:rPr>
          <w:rFonts w:hint="eastAsia" w:asciiTheme="minorEastAsia" w:hAnsiTheme="minorEastAsia" w:eastAsiaTheme="minorEastAsia"/>
          <w:color w:val="auto"/>
          <w:sz w:val="24"/>
          <w:highlight w:val="none"/>
          <w:lang w:val="en-US" w:eastAsia="zh-CN"/>
        </w:rPr>
        <w:t>标准</w:t>
      </w:r>
      <w:r>
        <w:rPr>
          <w:rFonts w:asciiTheme="minorEastAsia" w:hAnsiTheme="minorEastAsia" w:eastAsiaTheme="minorEastAsia"/>
          <w:color w:val="auto"/>
          <w:sz w:val="24"/>
          <w:highlight w:val="none"/>
        </w:rPr>
        <w:t>，中标公告期限、评审专家名单以及</w:t>
      </w:r>
      <w:r>
        <w:rPr>
          <w:rFonts w:hint="eastAsia" w:asciiTheme="minorEastAsia" w:hAnsiTheme="minorEastAsia" w:eastAsiaTheme="minorEastAsia"/>
          <w:color w:val="auto"/>
          <w:sz w:val="24"/>
          <w:highlight w:val="none"/>
          <w:u w:val="single"/>
        </w:rPr>
        <w:t>投标人须知前附表</w:t>
      </w:r>
      <w:r>
        <w:rPr>
          <w:rFonts w:asciiTheme="minorEastAsia" w:hAnsiTheme="minorEastAsia" w:eastAsiaTheme="minorEastAsia"/>
          <w:color w:val="auto"/>
          <w:sz w:val="24"/>
          <w:highlight w:val="none"/>
        </w:rPr>
        <w:t>中约定进行公告的内容。中标公告期限为1个工作日。</w:t>
      </w:r>
    </w:p>
    <w:p w14:paraId="7BD47B49">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4</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中标通知书</w:t>
      </w:r>
    </w:p>
    <w:p w14:paraId="770A7298">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.1采购代理机构</w:t>
      </w:r>
      <w:r>
        <w:rPr>
          <w:rFonts w:ascii="宋体" w:hAnsi="宋体" w:eastAsia="宋体"/>
          <w:color w:val="auto"/>
          <w:sz w:val="24"/>
          <w:highlight w:val="none"/>
        </w:rPr>
        <w:t>发布</w:t>
      </w:r>
      <w:r>
        <w:rPr>
          <w:rFonts w:asciiTheme="minorEastAsia" w:hAnsiTheme="minorEastAsia" w:eastAsiaTheme="minorEastAsia"/>
          <w:color w:val="auto"/>
          <w:sz w:val="24"/>
          <w:highlight w:val="none"/>
        </w:rPr>
        <w:t>中标结果公告</w:t>
      </w:r>
      <w:r>
        <w:rPr>
          <w:rFonts w:hint="eastAsia" w:asciiTheme="minorEastAsia" w:hAnsiTheme="minorEastAsia" w:eastAsiaTheme="minorEastAsia"/>
          <w:iCs/>
          <w:color w:val="auto"/>
          <w:sz w:val="24"/>
          <w:highlight w:val="none"/>
        </w:rPr>
        <w:t>的</w:t>
      </w:r>
      <w:r>
        <w:rPr>
          <w:rFonts w:asciiTheme="minorEastAsia" w:hAnsiTheme="minorEastAsia" w:eastAsiaTheme="minorEastAsia"/>
          <w:color w:val="auto"/>
          <w:sz w:val="24"/>
          <w:highlight w:val="none"/>
        </w:rPr>
        <w:t>同时以</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规定的</w:t>
      </w:r>
      <w:r>
        <w:rPr>
          <w:rFonts w:asciiTheme="minorEastAsia" w:hAnsiTheme="minorEastAsia" w:eastAsiaTheme="minorEastAsia"/>
          <w:color w:val="auto"/>
          <w:sz w:val="24"/>
          <w:highlight w:val="none"/>
        </w:rPr>
        <w:t>形式向中标人发出中标通知书。</w:t>
      </w:r>
    </w:p>
    <w:p w14:paraId="09E3276E">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.2中标通知书对采购人和中标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具有同等法律效力。中标通知书发出以后，采购人改变中标结果或者中标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放弃中标，应当承担相应的法律责任。</w:t>
      </w:r>
    </w:p>
    <w:p w14:paraId="0602BA11">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.3中标通知书是</w:t>
      </w:r>
      <w:r>
        <w:rPr>
          <w:rFonts w:ascii="宋体" w:hAnsi="宋体" w:eastAsia="宋体"/>
          <w:color w:val="auto"/>
          <w:sz w:val="24"/>
          <w:highlight w:val="none"/>
        </w:rPr>
        <w:t>合同</w:t>
      </w:r>
      <w:r>
        <w:rPr>
          <w:rFonts w:asciiTheme="minorEastAsia" w:hAnsiTheme="minorEastAsia" w:eastAsiaTheme="minorEastAsia"/>
          <w:color w:val="auto"/>
          <w:sz w:val="24"/>
          <w:highlight w:val="none"/>
        </w:rPr>
        <w:t>的组成部分。</w:t>
      </w:r>
    </w:p>
    <w:p w14:paraId="548122CB">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25</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告知招标结果</w:t>
      </w:r>
    </w:p>
    <w:p w14:paraId="3340ADD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在公告</w:t>
      </w:r>
      <w:r>
        <w:rPr>
          <w:rFonts w:asciiTheme="minorEastAsia" w:hAnsiTheme="minorEastAsia" w:eastAsiaTheme="minorEastAsia"/>
          <w:color w:val="auto"/>
          <w:sz w:val="24"/>
          <w:highlight w:val="none"/>
        </w:rPr>
        <w:t>中标结果的同时，采购代理机构同时以</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规定的</w:t>
      </w:r>
      <w:r>
        <w:rPr>
          <w:rFonts w:asciiTheme="minorEastAsia" w:hAnsiTheme="minorEastAsia" w:eastAsiaTheme="minorEastAsia"/>
          <w:color w:val="auto"/>
          <w:sz w:val="24"/>
          <w:highlight w:val="none"/>
        </w:rPr>
        <w:t>形式</w:t>
      </w:r>
      <w:r>
        <w:rPr>
          <w:rFonts w:hint="eastAsia" w:asciiTheme="minorEastAsia" w:hAnsiTheme="minorEastAsia" w:eastAsiaTheme="minorEastAsia"/>
          <w:color w:val="auto"/>
          <w:sz w:val="24"/>
          <w:highlight w:val="none"/>
        </w:rPr>
        <w:t>告知未通过资格审查的投标人未通过的原因；采用综合评分法评审的，还将告知未中标人本人的评审得分和排序。</w:t>
      </w:r>
    </w:p>
    <w:p w14:paraId="2F8971ED">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26</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履约保证金</w:t>
      </w:r>
    </w:p>
    <w:p w14:paraId="5C7712D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26</w:t>
      </w:r>
      <w:r>
        <w:rPr>
          <w:rFonts w:hint="eastAsia" w:asciiTheme="minorEastAsia" w:hAnsiTheme="minorEastAsia" w:eastAsiaTheme="minorEastAsia"/>
          <w:color w:val="auto"/>
          <w:sz w:val="24"/>
          <w:highlight w:val="none"/>
        </w:rPr>
        <w:t>.1中标人应按照</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规定缴纳履约保证金。</w:t>
      </w:r>
    </w:p>
    <w:p w14:paraId="33F49CB3">
      <w:pPr>
        <w:spacing w:line="360" w:lineRule="auto"/>
        <w:ind w:firstLine="435"/>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lang w:val="en-US" w:eastAsia="zh-CN"/>
        </w:rPr>
        <w:t>26</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2</w:t>
      </w:r>
      <w:r>
        <w:rPr>
          <w:rFonts w:hint="eastAsia" w:ascii="宋体" w:hAnsi="宋体" w:eastAsia="宋体"/>
          <w:color w:val="auto"/>
          <w:sz w:val="24"/>
          <w:highlight w:val="none"/>
        </w:rPr>
        <w:t>如果</w:t>
      </w:r>
      <w:r>
        <w:rPr>
          <w:rFonts w:hint="eastAsia" w:asciiTheme="minorEastAsia" w:hAnsiTheme="minorEastAsia" w:eastAsiaTheme="minorEastAsia"/>
          <w:color w:val="auto"/>
          <w:sz w:val="24"/>
          <w:highlight w:val="none"/>
        </w:rPr>
        <w:t>中标人没有按照上述履约保证金的规定执行，将视为放弃中标资格。在此情况下，采购人可</w:t>
      </w:r>
      <w:r>
        <w:rPr>
          <w:rFonts w:asciiTheme="minorEastAsia" w:hAnsiTheme="minorEastAsia" w:eastAsiaTheme="minorEastAsia"/>
          <w:color w:val="auto"/>
          <w:sz w:val="24"/>
          <w:highlight w:val="none"/>
        </w:rPr>
        <w:t>确定下一</w:t>
      </w:r>
      <w:r>
        <w:rPr>
          <w:rFonts w:hint="eastAsia" w:ascii="宋体" w:hAnsi="宋体" w:eastAsia="宋体"/>
          <w:color w:val="auto"/>
          <w:sz w:val="24"/>
          <w:highlight w:val="none"/>
        </w:rPr>
        <w:t>中标</w:t>
      </w:r>
      <w:r>
        <w:rPr>
          <w:rFonts w:hint="eastAsia" w:asciiTheme="minorEastAsia" w:hAnsiTheme="minorEastAsia" w:eastAsiaTheme="minorEastAsia"/>
          <w:color w:val="auto"/>
          <w:sz w:val="24"/>
          <w:highlight w:val="none"/>
        </w:rPr>
        <w:t>候选</w:t>
      </w:r>
      <w:r>
        <w:rPr>
          <w:rFonts w:asciiTheme="minorEastAsia" w:hAnsiTheme="minorEastAsia" w:eastAsiaTheme="minorEastAsia"/>
          <w:color w:val="auto"/>
          <w:sz w:val="24"/>
          <w:highlight w:val="none"/>
        </w:rPr>
        <w:t>人为中标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，也可以重新开展采购活动。</w:t>
      </w:r>
    </w:p>
    <w:p w14:paraId="1DBC4DC0">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27</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签订合同</w:t>
      </w:r>
    </w:p>
    <w:p w14:paraId="5CF0CA7F">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27</w:t>
      </w:r>
      <w:r>
        <w:rPr>
          <w:rFonts w:hint="eastAsia" w:ascii="宋体" w:hAnsi="宋体" w:eastAsia="宋体"/>
          <w:color w:val="auto"/>
          <w:sz w:val="24"/>
          <w:highlight w:val="none"/>
        </w:rPr>
        <w:t>.1</w:t>
      </w:r>
      <w:r>
        <w:rPr>
          <w:rFonts w:hint="eastAsia" w:ascii="宋体" w:hAnsi="宋体" w:eastAsia="宋体" w:cs="宋体"/>
          <w:color w:val="auto"/>
          <w:sz w:val="24"/>
          <w:szCs w:val="24"/>
          <w:highlight w:val="none"/>
          <w:u w:val="none"/>
          <w:lang w:val="en-US" w:eastAsia="zh-CN"/>
        </w:rPr>
        <w:t>采购人与中标人应当按照</w:t>
      </w:r>
      <w:r>
        <w:rPr>
          <w:rFonts w:hint="eastAsia" w:ascii="宋体" w:hAnsi="宋体" w:eastAsia="宋体" w:cs="宋体"/>
          <w:color w:val="auto"/>
          <w:sz w:val="24"/>
          <w:szCs w:val="24"/>
          <w:highlight w:val="none"/>
          <w:u w:val="single"/>
        </w:rPr>
        <w:t>投标人须知前附表</w:t>
      </w:r>
      <w:r>
        <w:rPr>
          <w:rFonts w:hint="eastAsia" w:ascii="宋体" w:hAnsi="宋体" w:eastAsia="宋体" w:cs="宋体"/>
          <w:color w:val="auto"/>
          <w:sz w:val="24"/>
          <w:szCs w:val="24"/>
          <w:highlight w:val="none"/>
          <w:u w:val="none"/>
        </w:rPr>
        <w:t>规定</w:t>
      </w:r>
      <w:r>
        <w:rPr>
          <w:rFonts w:hint="eastAsia" w:ascii="宋体" w:hAnsi="宋体" w:eastAsia="宋体" w:cs="宋体"/>
          <w:color w:val="auto"/>
          <w:sz w:val="24"/>
          <w:szCs w:val="24"/>
          <w:highlight w:val="none"/>
          <w:lang w:val="en-US" w:eastAsia="zh-CN"/>
        </w:rPr>
        <w:t>的时间内完成政府采购合同签订及合同公告。</w:t>
      </w:r>
    </w:p>
    <w:p w14:paraId="6FF5532F">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27</w:t>
      </w:r>
      <w:r>
        <w:rPr>
          <w:rFonts w:hint="eastAsia" w:ascii="宋体" w:hAnsi="宋体" w:eastAsia="宋体"/>
          <w:color w:val="auto"/>
          <w:sz w:val="24"/>
          <w:highlight w:val="none"/>
        </w:rPr>
        <w:t>.2招标文件、中标人的投标文件及其澄清文件等，均为签订合同的依据。</w:t>
      </w:r>
    </w:p>
    <w:p w14:paraId="3984EAA2">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2</w:t>
      </w:r>
      <w:r>
        <w:rPr>
          <w:rFonts w:hint="eastAsia" w:ascii="宋体" w:hAnsi="宋体" w:eastAsia="宋体"/>
          <w:color w:val="auto"/>
          <w:sz w:val="24"/>
          <w:highlight w:val="none"/>
          <w:lang w:val="en-US" w:eastAsia="zh-CN"/>
        </w:rPr>
        <w:t>7</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3中</w:t>
      </w:r>
      <w:r>
        <w:rPr>
          <w:rFonts w:ascii="宋体" w:hAnsi="宋体" w:eastAsia="宋体"/>
          <w:color w:val="auto"/>
          <w:sz w:val="24"/>
          <w:highlight w:val="none"/>
        </w:rPr>
        <w:t>标</w:t>
      </w:r>
      <w:r>
        <w:rPr>
          <w:rFonts w:hint="eastAsia" w:ascii="宋体" w:hAnsi="宋体" w:eastAsia="宋体"/>
          <w:color w:val="auto"/>
          <w:sz w:val="24"/>
          <w:highlight w:val="none"/>
        </w:rPr>
        <w:t>人</w:t>
      </w:r>
      <w:r>
        <w:rPr>
          <w:rFonts w:ascii="宋体" w:hAnsi="宋体" w:eastAsia="宋体"/>
          <w:color w:val="auto"/>
          <w:sz w:val="24"/>
          <w:highlight w:val="none"/>
        </w:rPr>
        <w:t>拒绝与采购人签订合同的，采购人可以按照评审报告推荐的中标候选人</w:t>
      </w:r>
      <w:r>
        <w:rPr>
          <w:rFonts w:hint="eastAsia" w:ascii="宋体" w:hAnsi="宋体" w:eastAsia="宋体"/>
          <w:color w:val="auto"/>
          <w:sz w:val="24"/>
          <w:highlight w:val="none"/>
        </w:rPr>
        <w:t>名单</w:t>
      </w:r>
      <w:r>
        <w:rPr>
          <w:rFonts w:ascii="宋体" w:hAnsi="宋体" w:eastAsia="宋体"/>
          <w:color w:val="auto"/>
          <w:sz w:val="24"/>
          <w:highlight w:val="none"/>
        </w:rPr>
        <w:t>排序</w:t>
      </w:r>
      <w:r>
        <w:rPr>
          <w:rFonts w:hint="eastAsia" w:ascii="宋体" w:hAnsi="宋体" w:eastAsia="宋体"/>
          <w:color w:val="auto"/>
          <w:sz w:val="24"/>
          <w:highlight w:val="none"/>
        </w:rPr>
        <w:t>，</w:t>
      </w:r>
      <w:r>
        <w:rPr>
          <w:rFonts w:ascii="宋体" w:hAnsi="宋体" w:eastAsia="宋体"/>
          <w:color w:val="auto"/>
          <w:sz w:val="24"/>
          <w:highlight w:val="none"/>
        </w:rPr>
        <w:t>确定下一</w:t>
      </w:r>
      <w:r>
        <w:rPr>
          <w:rFonts w:hint="eastAsia" w:ascii="宋体" w:hAnsi="宋体" w:eastAsia="宋体"/>
          <w:color w:val="auto"/>
          <w:sz w:val="24"/>
          <w:highlight w:val="none"/>
        </w:rPr>
        <w:t>中标候选</w:t>
      </w:r>
      <w:r>
        <w:rPr>
          <w:rFonts w:ascii="宋体" w:hAnsi="宋体" w:eastAsia="宋体"/>
          <w:color w:val="auto"/>
          <w:sz w:val="24"/>
          <w:highlight w:val="none"/>
        </w:rPr>
        <w:t>人为中标</w:t>
      </w:r>
      <w:r>
        <w:rPr>
          <w:rFonts w:hint="eastAsia" w:ascii="宋体" w:hAnsi="宋体" w:eastAsia="宋体"/>
          <w:color w:val="auto"/>
          <w:sz w:val="24"/>
          <w:highlight w:val="none"/>
        </w:rPr>
        <w:t>人</w:t>
      </w:r>
      <w:r>
        <w:rPr>
          <w:rFonts w:ascii="宋体" w:hAnsi="宋体" w:eastAsia="宋体"/>
          <w:color w:val="auto"/>
          <w:sz w:val="24"/>
          <w:highlight w:val="none"/>
        </w:rPr>
        <w:t>，也可以重新开展政府采购活动。</w:t>
      </w:r>
    </w:p>
    <w:p w14:paraId="676302D4">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2</w:t>
      </w:r>
      <w:r>
        <w:rPr>
          <w:rFonts w:hint="eastAsia" w:ascii="宋体" w:hAnsi="宋体" w:eastAsia="宋体"/>
          <w:color w:val="auto"/>
          <w:sz w:val="24"/>
          <w:highlight w:val="none"/>
          <w:lang w:val="en-US" w:eastAsia="zh-CN"/>
        </w:rPr>
        <w:t>7</w:t>
      </w: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依据《政府采购促进中小企业发展管理办法》（财库〔</w:t>
      </w:r>
      <w:r>
        <w:rPr>
          <w:rFonts w:ascii="宋体" w:hAnsi="宋体" w:eastAsia="宋体"/>
          <w:color w:val="auto"/>
          <w:sz w:val="24"/>
          <w:highlight w:val="none"/>
        </w:rPr>
        <w:t>2020〕46号</w:t>
      </w:r>
      <w:r>
        <w:rPr>
          <w:rFonts w:hint="eastAsia" w:ascii="宋体" w:hAnsi="宋体" w:eastAsia="宋体"/>
          <w:color w:val="auto"/>
          <w:sz w:val="24"/>
          <w:highlight w:val="none"/>
        </w:rPr>
        <w:t>）规定享受扶持政策获得政府采购合同的，小微企业不得将合同分包给大中型企业，中型企业不得将合同分包给大型企业。</w:t>
      </w:r>
    </w:p>
    <w:p w14:paraId="42BB445F">
      <w:pPr>
        <w:spacing w:line="360" w:lineRule="auto"/>
        <w:ind w:firstLine="437"/>
        <w:outlineLvl w:val="2"/>
        <w:rPr>
          <w:rFonts w:hint="default"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28</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lang w:val="en-US" w:eastAsia="zh-CN"/>
        </w:rPr>
        <w:t>代理费用</w:t>
      </w:r>
    </w:p>
    <w:p w14:paraId="4C2BC31B">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28</w:t>
      </w:r>
      <w:r>
        <w:rPr>
          <w:rFonts w:ascii="宋体" w:hAnsi="宋体" w:eastAsia="宋体"/>
          <w:color w:val="auto"/>
          <w:sz w:val="24"/>
          <w:highlight w:val="none"/>
        </w:rPr>
        <w:t>.1</w:t>
      </w:r>
      <w:r>
        <w:rPr>
          <w:rFonts w:hint="eastAsia" w:ascii="宋体" w:hAnsi="宋体" w:eastAsia="宋体"/>
          <w:color w:val="auto"/>
          <w:sz w:val="24"/>
          <w:highlight w:val="none"/>
        </w:rPr>
        <w:t>本项目</w:t>
      </w:r>
      <w:r>
        <w:rPr>
          <w:rFonts w:hint="eastAsia" w:ascii="宋体" w:hAnsi="宋体" w:eastAsia="宋体"/>
          <w:color w:val="auto"/>
          <w:sz w:val="24"/>
          <w:highlight w:val="none"/>
          <w:lang w:val="en-US" w:eastAsia="zh-CN"/>
        </w:rPr>
        <w:t>代理费用</w:t>
      </w:r>
      <w:r>
        <w:rPr>
          <w:rFonts w:hint="eastAsia" w:ascii="宋体" w:hAnsi="宋体" w:eastAsia="宋体"/>
          <w:color w:val="auto"/>
          <w:sz w:val="24"/>
          <w:highlight w:val="none"/>
        </w:rPr>
        <w:t>的收取按</w:t>
      </w:r>
      <w:r>
        <w:rPr>
          <w:rFonts w:hint="eastAsia" w:asciiTheme="minorEastAsia" w:hAnsiTheme="minorEastAsia" w:eastAsiaTheme="minorEastAsia"/>
          <w:color w:val="auto"/>
          <w:sz w:val="24"/>
          <w:highlight w:val="none"/>
          <w:u w:val="single"/>
        </w:rPr>
        <w:t>投标人须知前附表的</w:t>
      </w:r>
      <w:r>
        <w:rPr>
          <w:rFonts w:hint="eastAsia" w:ascii="宋体" w:hAnsi="宋体" w:eastAsia="宋体"/>
          <w:color w:val="auto"/>
          <w:sz w:val="24"/>
          <w:highlight w:val="none"/>
        </w:rPr>
        <w:t>规定执行</w:t>
      </w:r>
      <w:r>
        <w:rPr>
          <w:rFonts w:hint="eastAsia" w:asciiTheme="minorEastAsia" w:hAnsiTheme="minorEastAsia" w:eastAsiaTheme="minorEastAsia"/>
          <w:color w:val="auto"/>
          <w:sz w:val="24"/>
          <w:highlight w:val="none"/>
        </w:rPr>
        <w:t>。</w:t>
      </w:r>
    </w:p>
    <w:p w14:paraId="06714D80">
      <w:pPr>
        <w:spacing w:line="360" w:lineRule="auto"/>
        <w:ind w:firstLine="437"/>
        <w:outlineLvl w:val="2"/>
        <w:rPr>
          <w:rFonts w:asciiTheme="minorEastAsia" w:hAnsiTheme="minorEastAsia" w:eastAsiaTheme="minorEastAsia"/>
          <w:b/>
          <w:color w:val="auto"/>
          <w:sz w:val="24"/>
          <w:highlight w:val="none"/>
        </w:rPr>
      </w:pPr>
      <w:bookmarkStart w:id="18" w:name="_Toc2583661"/>
      <w:bookmarkStart w:id="19" w:name="_Toc518923100"/>
      <w:r>
        <w:rPr>
          <w:rFonts w:hint="eastAsia" w:asciiTheme="minorEastAsia" w:hAnsiTheme="minorEastAsia" w:eastAsiaTheme="minorEastAsia"/>
          <w:b/>
          <w:color w:val="auto"/>
          <w:sz w:val="24"/>
          <w:highlight w:val="none"/>
          <w:lang w:eastAsia="zh-CN"/>
        </w:rPr>
        <w:t>29.</w:t>
      </w:r>
      <w:r>
        <w:rPr>
          <w:rFonts w:hint="eastAsia" w:asciiTheme="minorEastAsia" w:hAnsiTheme="minorEastAsia" w:eastAsiaTheme="minorEastAsia"/>
          <w:b/>
          <w:color w:val="auto"/>
          <w:sz w:val="24"/>
          <w:highlight w:val="none"/>
        </w:rPr>
        <w:t>廉洁自律</w:t>
      </w:r>
      <w:r>
        <w:rPr>
          <w:rFonts w:asciiTheme="minorEastAsia" w:hAnsiTheme="minorEastAsia" w:eastAsiaTheme="minorEastAsia"/>
          <w:b/>
          <w:color w:val="auto"/>
          <w:sz w:val="24"/>
          <w:highlight w:val="none"/>
        </w:rPr>
        <w:t>规定</w:t>
      </w:r>
      <w:bookmarkEnd w:id="18"/>
      <w:bookmarkEnd w:id="19"/>
    </w:p>
    <w:p w14:paraId="3679DF5D">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29.</w:t>
      </w:r>
      <w:r>
        <w:rPr>
          <w:rFonts w:hint="eastAsia" w:ascii="宋体" w:hAnsi="宋体" w:eastAsia="宋体"/>
          <w:color w:val="auto"/>
          <w:sz w:val="24"/>
          <w:highlight w:val="none"/>
        </w:rPr>
        <w:t>1采购代理机构</w:t>
      </w:r>
      <w:r>
        <w:rPr>
          <w:rFonts w:ascii="宋体" w:hAnsi="宋体" w:eastAsia="宋体"/>
          <w:color w:val="auto"/>
          <w:sz w:val="24"/>
          <w:highlight w:val="none"/>
        </w:rPr>
        <w:t>工作人员</w:t>
      </w:r>
      <w:r>
        <w:rPr>
          <w:rFonts w:hint="eastAsia" w:ascii="宋体" w:hAnsi="宋体" w:eastAsia="宋体"/>
          <w:color w:val="auto"/>
          <w:sz w:val="24"/>
          <w:highlight w:val="none"/>
        </w:rPr>
        <w:t>不得以不正当手段获取政府采购代理业务，不得与采购人、供应商恶意串通。</w:t>
      </w:r>
    </w:p>
    <w:p w14:paraId="092F0A65">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29.</w:t>
      </w:r>
      <w:r>
        <w:rPr>
          <w:rFonts w:ascii="宋体" w:hAnsi="宋体" w:eastAsia="宋体"/>
          <w:color w:val="auto"/>
          <w:sz w:val="24"/>
          <w:highlight w:val="none"/>
        </w:rPr>
        <w:t>2</w:t>
      </w:r>
      <w:r>
        <w:rPr>
          <w:rFonts w:hint="eastAsia" w:ascii="宋体" w:hAnsi="宋体" w:eastAsia="宋体"/>
          <w:color w:val="auto"/>
          <w:sz w:val="24"/>
          <w:highlight w:val="none"/>
        </w:rPr>
        <w:t>采购代理机构工作人员不得接受采购人或者供应商组织的宴请、旅游、娱乐，不得收受礼品、现金、有价证券等，不得向采购人或者供应商报销应当由个人承担的费用。</w:t>
      </w:r>
    </w:p>
    <w:p w14:paraId="53975517">
      <w:pPr>
        <w:spacing w:line="360" w:lineRule="auto"/>
        <w:ind w:firstLine="437"/>
        <w:outlineLvl w:val="2"/>
        <w:rPr>
          <w:rFonts w:asciiTheme="minorEastAsia" w:hAnsiTheme="minorEastAsia" w:eastAsiaTheme="minorEastAsia"/>
          <w:b/>
          <w:color w:val="auto"/>
          <w:sz w:val="24"/>
          <w:highlight w:val="none"/>
        </w:rPr>
      </w:pPr>
      <w:bookmarkStart w:id="20" w:name="_Toc2583662"/>
      <w:bookmarkStart w:id="21" w:name="_Toc518923101"/>
      <w:r>
        <w:rPr>
          <w:rFonts w:hint="eastAsia" w:asciiTheme="minorEastAsia" w:hAnsiTheme="minorEastAsia" w:eastAsiaTheme="minorEastAsia"/>
          <w:b/>
          <w:color w:val="auto"/>
          <w:sz w:val="24"/>
          <w:highlight w:val="none"/>
        </w:rPr>
        <w:t>3</w:t>
      </w:r>
      <w:r>
        <w:rPr>
          <w:rFonts w:hint="eastAsia" w:asciiTheme="minorEastAsia" w:hAnsiTheme="minorEastAsia" w:eastAsiaTheme="minorEastAsia"/>
          <w:b/>
          <w:color w:val="auto"/>
          <w:sz w:val="24"/>
          <w:highlight w:val="none"/>
          <w:lang w:val="en-US" w:eastAsia="zh-CN"/>
        </w:rPr>
        <w:t>0</w:t>
      </w:r>
      <w:r>
        <w:rPr>
          <w:rFonts w:hint="eastAsia" w:asciiTheme="minorEastAsia" w:hAnsiTheme="minorEastAsia" w:eastAsiaTheme="minorEastAsia"/>
          <w:b/>
          <w:color w:val="auto"/>
          <w:sz w:val="24"/>
          <w:highlight w:val="none"/>
        </w:rPr>
        <w:t>.人员回避</w:t>
      </w:r>
      <w:bookmarkEnd w:id="20"/>
      <w:bookmarkEnd w:id="21"/>
    </w:p>
    <w:p w14:paraId="7A733857">
      <w:pPr>
        <w:spacing w:line="360" w:lineRule="auto"/>
        <w:ind w:firstLine="435"/>
        <w:rPr>
          <w:rFonts w:ascii="仿宋_GB2312" w:hAnsi="宋体" w:eastAsia="仿宋_GB2312"/>
          <w:color w:val="auto"/>
          <w:sz w:val="24"/>
          <w:highlight w:val="none"/>
        </w:rPr>
      </w:pPr>
      <w:r>
        <w:rPr>
          <w:rFonts w:hint="eastAsia" w:ascii="宋体" w:hAnsi="宋体" w:eastAsia="宋体"/>
          <w:color w:val="auto"/>
          <w:sz w:val="24"/>
          <w:highlight w:val="none"/>
        </w:rPr>
        <w:t>投标人</w:t>
      </w:r>
      <w:r>
        <w:rPr>
          <w:rFonts w:ascii="宋体" w:hAnsi="宋体" w:eastAsia="宋体"/>
          <w:color w:val="auto"/>
          <w:sz w:val="24"/>
          <w:highlight w:val="none"/>
        </w:rPr>
        <w:t>认为采购人员</w:t>
      </w:r>
      <w:r>
        <w:rPr>
          <w:rFonts w:hint="eastAsia" w:ascii="宋体" w:hAnsi="宋体" w:eastAsia="宋体"/>
          <w:color w:val="auto"/>
          <w:sz w:val="24"/>
          <w:highlight w:val="none"/>
        </w:rPr>
        <w:t>及其</w:t>
      </w:r>
      <w:r>
        <w:rPr>
          <w:rFonts w:ascii="宋体" w:hAnsi="宋体" w:eastAsia="宋体"/>
          <w:color w:val="auto"/>
          <w:sz w:val="24"/>
          <w:highlight w:val="none"/>
        </w:rPr>
        <w:t>相关人员有</w:t>
      </w:r>
      <w:r>
        <w:rPr>
          <w:rFonts w:hint="eastAsia" w:ascii="宋体" w:hAnsi="宋体" w:eastAsia="宋体"/>
          <w:color w:val="auto"/>
          <w:sz w:val="24"/>
          <w:highlight w:val="none"/>
        </w:rPr>
        <w:t>法律</w:t>
      </w:r>
      <w:r>
        <w:rPr>
          <w:rFonts w:ascii="宋体" w:hAnsi="宋体" w:eastAsia="宋体"/>
          <w:color w:val="auto"/>
          <w:sz w:val="24"/>
          <w:highlight w:val="none"/>
        </w:rPr>
        <w:t>法规所列与其他供应商</w:t>
      </w:r>
      <w:r>
        <w:rPr>
          <w:rFonts w:hint="eastAsia" w:ascii="宋体" w:hAnsi="宋体" w:eastAsia="宋体"/>
          <w:color w:val="auto"/>
          <w:sz w:val="24"/>
          <w:highlight w:val="none"/>
        </w:rPr>
        <w:t>有</w:t>
      </w:r>
      <w:r>
        <w:rPr>
          <w:rFonts w:ascii="宋体" w:hAnsi="宋体" w:eastAsia="宋体"/>
          <w:color w:val="auto"/>
          <w:sz w:val="24"/>
          <w:highlight w:val="none"/>
        </w:rPr>
        <w:t>利害关系的，可以向</w:t>
      </w:r>
      <w:r>
        <w:rPr>
          <w:rFonts w:hint="eastAsia" w:ascii="宋体" w:hAnsi="宋体" w:eastAsia="宋体"/>
          <w:color w:val="auto"/>
          <w:sz w:val="24"/>
          <w:highlight w:val="none"/>
        </w:rPr>
        <w:t>采购人或</w:t>
      </w:r>
      <w:r>
        <w:rPr>
          <w:rFonts w:ascii="宋体" w:hAnsi="宋体" w:eastAsia="宋体"/>
          <w:color w:val="auto"/>
          <w:sz w:val="24"/>
          <w:highlight w:val="none"/>
        </w:rPr>
        <w:t>采购代理机构书面提出回避申请，并说明理由。</w:t>
      </w:r>
    </w:p>
    <w:p w14:paraId="7F9AAE83">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3</w:t>
      </w:r>
      <w:r>
        <w:rPr>
          <w:rFonts w:hint="eastAsia" w:asciiTheme="minorEastAsia" w:hAnsiTheme="minorEastAsia" w:eastAsiaTheme="minorEastAsia"/>
          <w:b/>
          <w:color w:val="auto"/>
          <w:sz w:val="24"/>
          <w:highlight w:val="none"/>
          <w:lang w:val="en-US" w:eastAsia="zh-CN"/>
        </w:rPr>
        <w:t>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质疑的提出与接收</w:t>
      </w:r>
    </w:p>
    <w:p w14:paraId="2850DB1D">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3</w:t>
      </w:r>
      <w:r>
        <w:rPr>
          <w:rFonts w:hint="eastAsia" w:ascii="宋体" w:hAnsi="宋体" w:eastAsia="宋体"/>
          <w:color w:val="auto"/>
          <w:sz w:val="24"/>
          <w:highlight w:val="none"/>
          <w:lang w:val="en-US" w:eastAsia="zh-CN"/>
        </w:rPr>
        <w:t>1</w:t>
      </w:r>
      <w:r>
        <w:rPr>
          <w:rFonts w:hint="eastAsia" w:ascii="宋体" w:hAnsi="宋体" w:eastAsia="宋体"/>
          <w:color w:val="auto"/>
          <w:sz w:val="24"/>
          <w:highlight w:val="none"/>
        </w:rPr>
        <w:t>.1投标人认为招标文件、招标过程和中标结果使自己的权益受到损害的，可以在知道或者应知其权益受到损害之日起七个工作日内，以书面形式向采购人或其委托的采购代理机构提出质疑。</w:t>
      </w:r>
    </w:p>
    <w:p w14:paraId="0B79967E">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3</w:t>
      </w:r>
      <w:r>
        <w:rPr>
          <w:rFonts w:hint="eastAsia" w:ascii="宋体" w:hAnsi="宋体" w:eastAsia="宋体"/>
          <w:color w:val="auto"/>
          <w:sz w:val="24"/>
          <w:highlight w:val="none"/>
          <w:lang w:val="en-US" w:eastAsia="zh-CN"/>
        </w:rPr>
        <w:t>1</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2</w:t>
      </w:r>
      <w:r>
        <w:rPr>
          <w:rFonts w:hint="eastAsia" w:ascii="宋体" w:hAnsi="宋体" w:eastAsia="宋体"/>
          <w:color w:val="auto"/>
          <w:sz w:val="24"/>
          <w:highlight w:val="none"/>
        </w:rPr>
        <w:t>质疑供应商应按照财政部制定的《政府采购供应商质疑函范本》格式（详见招标文件）和《政府采购质疑和投诉办法》的要求，在法定质疑期内以书面形式提出质疑，超出法定质疑期提交的质疑将被拒绝。针对同一采购程序环节的质疑应一次性提出。</w:t>
      </w:r>
    </w:p>
    <w:p w14:paraId="08F78943">
      <w:pPr>
        <w:spacing w:line="360" w:lineRule="auto"/>
        <w:ind w:firstLine="435"/>
        <w:rPr>
          <w:rFonts w:hint="eastAsia" w:ascii="宋体" w:hAnsi="宋体" w:eastAsia="宋体"/>
          <w:color w:val="auto"/>
          <w:sz w:val="24"/>
          <w:highlight w:val="none"/>
        </w:rPr>
      </w:pPr>
      <w:r>
        <w:rPr>
          <w:rFonts w:hint="eastAsia" w:ascii="宋体" w:hAnsi="宋体" w:eastAsia="宋体"/>
          <w:color w:val="auto"/>
          <w:sz w:val="24"/>
          <w:highlight w:val="none"/>
        </w:rPr>
        <w:t>3</w:t>
      </w:r>
      <w:r>
        <w:rPr>
          <w:rFonts w:hint="eastAsia" w:ascii="宋体" w:hAnsi="宋体" w:eastAsia="宋体"/>
          <w:color w:val="auto"/>
          <w:sz w:val="24"/>
          <w:highlight w:val="none"/>
          <w:lang w:val="en-US" w:eastAsia="zh-CN"/>
        </w:rPr>
        <w:t>1</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采购代理机构质疑函接收部门、联系电话和通讯地址，见</w:t>
      </w:r>
      <w:r>
        <w:rPr>
          <w:rFonts w:hint="eastAsia" w:ascii="宋体" w:hAnsi="宋体" w:eastAsia="宋体"/>
          <w:color w:val="auto"/>
          <w:sz w:val="24"/>
          <w:highlight w:val="none"/>
          <w:u w:val="single"/>
        </w:rPr>
        <w:t>投标人须知前附表</w:t>
      </w:r>
      <w:r>
        <w:rPr>
          <w:rFonts w:hint="eastAsia" w:ascii="宋体" w:hAnsi="宋体" w:eastAsia="宋体"/>
          <w:color w:val="auto"/>
          <w:sz w:val="24"/>
          <w:highlight w:val="none"/>
        </w:rPr>
        <w:t>。</w:t>
      </w:r>
    </w:p>
    <w:p w14:paraId="04632E3B">
      <w:pPr>
        <w:spacing w:line="360" w:lineRule="auto"/>
        <w:ind w:firstLine="435"/>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注：上述条款中所要求的书面形式包含通过电子交易系统递交方式。</w:t>
      </w:r>
    </w:p>
    <w:p w14:paraId="7A9BDB5E">
      <w:pPr>
        <w:spacing w:line="360" w:lineRule="auto"/>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3</w:t>
      </w:r>
      <w:r>
        <w:rPr>
          <w:rFonts w:hint="eastAsia" w:asciiTheme="minorEastAsia" w:hAnsiTheme="minorEastAsia" w:eastAsiaTheme="minorEastAsia"/>
          <w:b/>
          <w:color w:val="auto"/>
          <w:sz w:val="24"/>
          <w:highlight w:val="none"/>
          <w:lang w:val="en-US" w:eastAsia="zh-CN"/>
        </w:rPr>
        <w:t>2</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投诉</w:t>
      </w:r>
    </w:p>
    <w:p w14:paraId="42844D91">
      <w:pPr>
        <w:keepNext w:val="0"/>
        <w:keepLines w:val="0"/>
        <w:pageBreakBefore w:val="0"/>
        <w:widowControl w:val="0"/>
        <w:kinsoku/>
        <w:wordWrap w:val="0"/>
        <w:overflowPunct/>
        <w:topLinePunct w:val="0"/>
        <w:autoSpaceDE/>
        <w:autoSpaceDN/>
        <w:bidi w:val="0"/>
        <w:adjustRightInd/>
        <w:snapToGrid/>
        <w:spacing w:line="360" w:lineRule="auto"/>
        <w:ind w:firstLine="437"/>
        <w:textAlignment w:val="auto"/>
        <w:rPr>
          <w:rFonts w:hint="eastAsia" w:ascii="宋体" w:hAnsi="宋体" w:eastAsia="宋体"/>
          <w:color w:val="auto"/>
          <w:sz w:val="24"/>
          <w:highlight w:val="none"/>
        </w:rPr>
      </w:pPr>
      <w:r>
        <w:rPr>
          <w:rFonts w:hint="eastAsia" w:ascii="宋体" w:hAnsi="宋体" w:eastAsia="宋体"/>
          <w:color w:val="auto"/>
          <w:sz w:val="24"/>
          <w:highlight w:val="none"/>
        </w:rPr>
        <w:t>32.1质疑投标人对采购人、采购代理机构的答复不满意，或者采购人、采购代理机构未在规定的时间内答复的，可以在答复期满后十五个工作日内按有关规定，以书面形式（http://ggzy.chuzhou.gov.cn/fwzn/011001/011001001/011001001003/20200727/7fb88e17-63dd-4f17-b17c-290526c6eda8.html）向同级政府采购监督管理部门提出投诉或者线上提交投诉材料（http://ggzy.chuzhou.gov.cn/fwzn/011001/011001001/011001001003/20200221/b079d9ca-90f2-4cce-aa7c-94a444e7ac91.html）。</w:t>
      </w:r>
    </w:p>
    <w:p w14:paraId="7242238D">
      <w:pPr>
        <w:keepNext w:val="0"/>
        <w:keepLines w:val="0"/>
        <w:pageBreakBefore w:val="0"/>
        <w:widowControl w:val="0"/>
        <w:kinsoku/>
        <w:wordWrap w:val="0"/>
        <w:overflowPunct/>
        <w:topLinePunct w:val="0"/>
        <w:autoSpaceDE/>
        <w:autoSpaceDN/>
        <w:bidi w:val="0"/>
        <w:adjustRightInd/>
        <w:snapToGrid/>
        <w:spacing w:line="360" w:lineRule="auto"/>
        <w:ind w:firstLine="437"/>
        <w:textAlignment w:val="auto"/>
        <w:rPr>
          <w:rFonts w:hint="eastAsia" w:ascii="宋体" w:hAnsi="宋体" w:eastAsia="宋体"/>
          <w:color w:val="auto"/>
          <w:sz w:val="24"/>
          <w:highlight w:val="none"/>
        </w:rPr>
      </w:pPr>
      <w:r>
        <w:rPr>
          <w:rFonts w:hint="eastAsia" w:ascii="宋体" w:hAnsi="宋体" w:eastAsia="宋体"/>
          <w:color w:val="auto"/>
          <w:sz w:val="24"/>
          <w:highlight w:val="none"/>
        </w:rPr>
        <w:t>32.2政府采购监督管理部门应当在收到投诉后30个工作日内，对投诉事项作出处理决定，并以书面形式通知投诉人和与投诉事项有关的当事人，并在安徽省政府采购网公告。政府采购监督管理部门处理投诉事项，需要检验、检测、鉴定、专家评审以及需要投诉人补正材料的，所需时间不计算在投诉处理期限内。</w:t>
      </w:r>
    </w:p>
    <w:p w14:paraId="403D72BC">
      <w:pPr>
        <w:keepNext w:val="0"/>
        <w:keepLines w:val="0"/>
        <w:pageBreakBefore w:val="0"/>
        <w:widowControl w:val="0"/>
        <w:kinsoku/>
        <w:wordWrap w:val="0"/>
        <w:overflowPunct/>
        <w:topLinePunct w:val="0"/>
        <w:autoSpaceDE/>
        <w:autoSpaceDN/>
        <w:bidi w:val="0"/>
        <w:adjustRightInd/>
        <w:snapToGrid/>
        <w:spacing w:line="360" w:lineRule="auto"/>
        <w:ind w:firstLine="437"/>
        <w:textAlignment w:val="auto"/>
        <w:rPr>
          <w:rFonts w:hint="eastAsia" w:ascii="宋体" w:hAnsi="宋体" w:eastAsia="宋体"/>
          <w:color w:val="auto"/>
          <w:sz w:val="24"/>
          <w:highlight w:val="none"/>
        </w:rPr>
      </w:pPr>
      <w:r>
        <w:rPr>
          <w:rFonts w:hint="eastAsia" w:ascii="宋体" w:hAnsi="宋体" w:eastAsia="宋体"/>
          <w:color w:val="auto"/>
          <w:sz w:val="24"/>
          <w:highlight w:val="none"/>
        </w:rPr>
        <w:t>32.3政府采购监督管理部门在处理投诉事项期间，可以视具体情况书面通知采购人暂停采购活动，但暂停时间最长不得超过30日。</w:t>
      </w:r>
    </w:p>
    <w:p w14:paraId="00C0ECEA">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33.需要补充的其他内容</w:t>
      </w:r>
    </w:p>
    <w:p w14:paraId="1F8999D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需要补充的其他内容，见</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w:t>
      </w:r>
    </w:p>
    <w:p w14:paraId="5F082914">
      <w:pPr>
        <w:widowControl/>
        <w:jc w:val="left"/>
        <w:rPr>
          <w:rFonts w:asciiTheme="minorEastAsia" w:hAnsiTheme="minorEastAsia" w:eastAsiaTheme="minorEastAsia"/>
          <w:b/>
          <w:color w:val="auto"/>
          <w:sz w:val="28"/>
          <w:highlight w:val="none"/>
        </w:rPr>
      </w:pPr>
      <w:r>
        <w:rPr>
          <w:rFonts w:asciiTheme="minorEastAsia" w:hAnsiTheme="minorEastAsia" w:eastAsiaTheme="minorEastAsia"/>
          <w:color w:val="auto"/>
          <w:sz w:val="24"/>
          <w:highlight w:val="none"/>
        </w:rPr>
        <w:br w:type="page"/>
      </w:r>
    </w:p>
    <w:p w14:paraId="01F8D54E">
      <w:pPr>
        <w:numPr>
          <w:ilvl w:val="0"/>
          <w:numId w:val="0"/>
        </w:numPr>
        <w:spacing w:line="360" w:lineRule="auto"/>
        <w:jc w:val="center"/>
        <w:outlineLvl w:val="0"/>
        <w:rPr>
          <w:rFonts w:hint="eastAsia" w:cs="@仿宋_GB2312" w:asciiTheme="minorEastAsia" w:hAnsiTheme="minorEastAsia" w:eastAsiaTheme="minorEastAsia"/>
          <w:b/>
          <w:color w:val="auto"/>
          <w:kern w:val="2"/>
          <w:sz w:val="28"/>
          <w:highlight w:val="none"/>
          <w:lang w:val="en-US" w:eastAsia="zh-CN" w:bidi="ar-SA"/>
        </w:rPr>
        <w:sectPr>
          <w:headerReference r:id="rId5" w:type="default"/>
          <w:footerReference r:id="rId6" w:type="default"/>
          <w:pgSz w:w="11906" w:h="16838"/>
          <w:pgMar w:top="1440" w:right="1800" w:bottom="1440" w:left="1800" w:header="851" w:footer="992" w:gutter="0"/>
          <w:pgNumType w:fmt="decimal"/>
          <w:cols w:space="425" w:num="1"/>
          <w:docGrid w:type="lines" w:linePitch="312" w:charSpace="0"/>
        </w:sectPr>
      </w:pPr>
    </w:p>
    <w:p w14:paraId="730623C4">
      <w:pPr>
        <w:numPr>
          <w:ilvl w:val="0"/>
          <w:numId w:val="0"/>
        </w:numPr>
        <w:spacing w:line="360" w:lineRule="auto"/>
        <w:jc w:val="center"/>
        <w:outlineLvl w:val="0"/>
        <w:rPr>
          <w:rFonts w:hint="eastAsia" w:asciiTheme="minorEastAsia" w:hAnsiTheme="minorEastAsia" w:eastAsiaTheme="minorEastAsia"/>
          <w:b/>
          <w:color w:val="auto"/>
          <w:sz w:val="28"/>
          <w:highlight w:val="none"/>
          <w:lang w:eastAsia="zh-CN"/>
        </w:rPr>
      </w:pPr>
      <w:r>
        <w:rPr>
          <w:rFonts w:hint="eastAsia" w:cs="@仿宋_GB2312" w:asciiTheme="minorEastAsia" w:hAnsiTheme="minorEastAsia" w:eastAsiaTheme="minorEastAsia"/>
          <w:b/>
          <w:color w:val="auto"/>
          <w:kern w:val="2"/>
          <w:sz w:val="28"/>
          <w:highlight w:val="none"/>
          <w:lang w:val="en-US" w:eastAsia="zh-CN" w:bidi="ar-SA"/>
        </w:rPr>
        <w:t>第三章</w:t>
      </w:r>
      <w:r>
        <w:rPr>
          <w:rFonts w:hint="eastAsia" w:asciiTheme="minorEastAsia" w:hAnsiTheme="minorEastAsia" w:eastAsiaTheme="minorEastAsia"/>
          <w:b/>
          <w:color w:val="auto"/>
          <w:sz w:val="28"/>
          <w:highlight w:val="none"/>
        </w:rPr>
        <w:t xml:space="preserve"> </w:t>
      </w:r>
      <w:bookmarkStart w:id="22" w:name="_Toc22605"/>
      <w:r>
        <w:rPr>
          <w:rFonts w:hint="eastAsia" w:asciiTheme="minorEastAsia" w:hAnsiTheme="minorEastAsia" w:eastAsiaTheme="minorEastAsia"/>
          <w:b/>
          <w:color w:val="auto"/>
          <w:sz w:val="28"/>
          <w:highlight w:val="none"/>
          <w:lang w:val="en-US" w:eastAsia="zh-CN"/>
        </w:rPr>
        <w:t xml:space="preserve"> </w:t>
      </w:r>
      <w:r>
        <w:rPr>
          <w:rFonts w:hint="eastAsia" w:asciiTheme="minorEastAsia" w:hAnsiTheme="minorEastAsia" w:eastAsiaTheme="minorEastAsia"/>
          <w:b/>
          <w:color w:val="auto"/>
          <w:sz w:val="28"/>
          <w:highlight w:val="none"/>
        </w:rPr>
        <w:t>采购需求</w:t>
      </w:r>
      <w:bookmarkEnd w:id="22"/>
    </w:p>
    <w:p w14:paraId="3EB6C34C">
      <w:pPr>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前注：</w:t>
      </w:r>
    </w:p>
    <w:p w14:paraId="19EAAAE1">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本采购需求中提出的服务方案仅为参考，如无明确限制，投标人可以进行优化，提供满足采购人实际需要的更优（或者性能实质上不低于的）服务方案，且此方案须经评标委员会评审认可。</w:t>
      </w:r>
    </w:p>
    <w:p w14:paraId="1CAB74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ascii="宋体" w:hAnsi="宋体" w:eastAsia="宋体" w:cs="宋体"/>
          <w:color w:val="auto"/>
          <w:sz w:val="24"/>
          <w:szCs w:val="24"/>
          <w:highlight w:val="none"/>
        </w:rPr>
        <w:t>政府采购政策（包括但不限于下列具体政策要求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72BBAD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如属于《节能产品政府采购品目清单》中政府强制采购的节能产品，则投标人在投标文件中提供所投产品须具有市场监管总局公布的《参与实施政府采购节能产品认证机构目录》中的认证机构出具的、处于有效期内的节能产品认证证书。</w:t>
      </w:r>
    </w:p>
    <w:p w14:paraId="2421D3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涉及商品包装和快递包装，投标人应当执行《关于印发〈商品包装政府采购需求标准（试行）〉、〈快递包装政府采购需求标准（试行）〉的通知》（财办库〔2020〕123号）、《安徽省财政厅关于贯彻落实政府绿色采购有关政策的通知》（皖财购〔2023〕853号）的要求，提供符合需求标准的绿色包装、绿色运输，同时，采购人将对包装材料和运输环节作为履约验收条款进行验收。</w:t>
      </w:r>
    </w:p>
    <w:p w14:paraId="206E0371">
      <w:pPr>
        <w:spacing w:line="360" w:lineRule="auto"/>
        <w:ind w:firstLine="435"/>
        <w:rPr>
          <w:rFonts w:hint="eastAsia"/>
          <w:color w:val="auto"/>
          <w:highlight w:val="none"/>
          <w:u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none"/>
          <w:lang w:val="en-US" w:eastAsia="zh-CN"/>
        </w:rPr>
        <w:t>企业划型标准按照《关于印发中小企业划型标准规定的通知》（工信部联企业〔2011〕300号）规定执行。中标候选人享受政策性优惠的，在发布中标结果通知书时将在相关媒体予以公开、公示。</w:t>
      </w:r>
    </w:p>
    <w:p w14:paraId="1A10C4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Cs/>
          <w:color w:val="auto"/>
          <w:sz w:val="24"/>
          <w:szCs w:val="18"/>
          <w:highlight w:val="none"/>
          <w:lang w:eastAsia="zh-CN"/>
        </w:rPr>
      </w:pPr>
      <w:r>
        <w:rPr>
          <w:rFonts w:hint="eastAsia" w:ascii="宋体" w:hAnsi="宋体" w:eastAsia="宋体" w:cs="宋体"/>
          <w:color w:val="auto"/>
          <w:sz w:val="24"/>
          <w:szCs w:val="24"/>
          <w:highlight w:val="none"/>
        </w:rPr>
        <w:t>3.如采购人允许采用分包方式履行合同的，应当明确可以分包履行的相关内容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本项目不允许分包</w:t>
      </w:r>
      <w:r>
        <w:rPr>
          <w:rFonts w:hint="eastAsia" w:ascii="宋体" w:hAnsi="宋体" w:eastAsia="宋体" w:cs="宋体"/>
          <w:color w:val="auto"/>
          <w:sz w:val="24"/>
          <w:szCs w:val="24"/>
          <w:highlight w:val="none"/>
        </w:rPr>
        <w:t>。</w:t>
      </w:r>
    </w:p>
    <w:p w14:paraId="2B7C6092">
      <w:pPr>
        <w:spacing w:line="360" w:lineRule="auto"/>
        <w:ind w:firstLine="437"/>
        <w:outlineLvl w:val="1"/>
        <w:rPr>
          <w:rFonts w:ascii="宋体" w:hAnsi="宋体" w:eastAsia="宋体"/>
          <w:b/>
          <w:color w:val="auto"/>
          <w:sz w:val="24"/>
          <w:szCs w:val="18"/>
          <w:highlight w:val="none"/>
        </w:rPr>
      </w:pPr>
      <w:bookmarkStart w:id="23" w:name="_Toc4148"/>
      <w:bookmarkStart w:id="24" w:name="_Toc21798"/>
      <w:bookmarkStart w:id="25" w:name="_Hlk23621890"/>
      <w:r>
        <w:rPr>
          <w:rFonts w:hint="eastAsia" w:ascii="宋体" w:hAnsi="宋体" w:eastAsia="宋体"/>
          <w:b/>
          <w:color w:val="auto"/>
          <w:sz w:val="24"/>
          <w:szCs w:val="18"/>
          <w:highlight w:val="none"/>
        </w:rPr>
        <w:t>一、采购需求前附表</w:t>
      </w:r>
      <w:bookmarkEnd w:id="23"/>
      <w:bookmarkEnd w:id="24"/>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9"/>
        <w:gridCol w:w="3737"/>
        <w:gridCol w:w="9178"/>
      </w:tblGrid>
      <w:tr w14:paraId="22910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44" w:type="pct"/>
            <w:vAlign w:val="center"/>
          </w:tcPr>
          <w:p w14:paraId="778CF8AC">
            <w:pPr>
              <w:pStyle w:val="42"/>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
                <w:color w:val="auto"/>
                <w:kern w:val="2"/>
                <w:highlight w:val="none"/>
              </w:rPr>
            </w:pPr>
            <w:r>
              <w:rPr>
                <w:rFonts w:hint="eastAsia" w:ascii="宋体" w:hAnsi="宋体" w:eastAsia="宋体"/>
                <w:b/>
                <w:color w:val="auto"/>
                <w:kern w:val="2"/>
                <w:highlight w:val="none"/>
              </w:rPr>
              <w:t>序号</w:t>
            </w:r>
          </w:p>
        </w:tc>
        <w:tc>
          <w:tcPr>
            <w:tcW w:w="1318" w:type="pct"/>
            <w:vAlign w:val="center"/>
          </w:tcPr>
          <w:p w14:paraId="283DFF20">
            <w:pPr>
              <w:pStyle w:val="41"/>
              <w:keepNext w:val="0"/>
              <w:keepLines w:val="0"/>
              <w:widowControl w:val="0"/>
              <w:suppressLineNumbers w:val="0"/>
              <w:spacing w:before="0" w:beforeAutospacing="0" w:after="0" w:afterAutospacing="0" w:line="360" w:lineRule="auto"/>
              <w:ind w:left="0" w:right="0"/>
              <w:rPr>
                <w:rFonts w:hint="default" w:ascii="宋体" w:hAnsi="宋体" w:eastAsia="宋体"/>
                <w:bCs w:val="0"/>
                <w:color w:val="auto"/>
                <w:sz w:val="24"/>
                <w:highlight w:val="none"/>
              </w:rPr>
            </w:pPr>
            <w:r>
              <w:rPr>
                <w:rFonts w:hint="eastAsia" w:ascii="宋体" w:hAnsi="宋体" w:eastAsia="宋体"/>
                <w:bCs w:val="0"/>
                <w:color w:val="auto"/>
                <w:sz w:val="24"/>
                <w:highlight w:val="none"/>
              </w:rPr>
              <w:t>条款名称</w:t>
            </w:r>
          </w:p>
        </w:tc>
        <w:tc>
          <w:tcPr>
            <w:tcW w:w="3237" w:type="pct"/>
            <w:vAlign w:val="center"/>
          </w:tcPr>
          <w:p w14:paraId="30180D78">
            <w:pPr>
              <w:pStyle w:val="41"/>
              <w:keepNext w:val="0"/>
              <w:keepLines w:val="0"/>
              <w:widowControl w:val="0"/>
              <w:suppressLineNumbers w:val="0"/>
              <w:spacing w:before="0" w:beforeAutospacing="0" w:after="0" w:afterAutospacing="0" w:line="360" w:lineRule="auto"/>
              <w:ind w:left="0" w:right="0"/>
              <w:rPr>
                <w:rFonts w:hint="default" w:ascii="宋体" w:hAnsi="宋体" w:eastAsia="宋体"/>
                <w:bCs w:val="0"/>
                <w:color w:val="auto"/>
                <w:sz w:val="24"/>
                <w:highlight w:val="none"/>
              </w:rPr>
            </w:pPr>
            <w:r>
              <w:rPr>
                <w:rFonts w:hint="eastAsia" w:ascii="宋体" w:hAnsi="宋体" w:eastAsia="宋体"/>
                <w:bCs w:val="0"/>
                <w:color w:val="auto"/>
                <w:sz w:val="24"/>
                <w:highlight w:val="none"/>
              </w:rPr>
              <w:t>内容、说明与要求</w:t>
            </w:r>
          </w:p>
        </w:tc>
      </w:tr>
      <w:tr w14:paraId="229CA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44" w:type="pct"/>
            <w:vAlign w:val="center"/>
          </w:tcPr>
          <w:p w14:paraId="78A837C1">
            <w:pPr>
              <w:pStyle w:val="42"/>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rPr>
              <w:t>1</w:t>
            </w:r>
          </w:p>
        </w:tc>
        <w:tc>
          <w:tcPr>
            <w:tcW w:w="1318" w:type="pct"/>
            <w:vAlign w:val="center"/>
          </w:tcPr>
          <w:p w14:paraId="21F5EC78">
            <w:pPr>
              <w:pStyle w:val="41"/>
              <w:keepNext w:val="0"/>
              <w:keepLines w:val="0"/>
              <w:widowControl w:val="0"/>
              <w:suppressLineNumbers w:val="0"/>
              <w:spacing w:before="0" w:beforeAutospacing="0" w:after="0" w:afterAutospacing="0" w:line="360" w:lineRule="auto"/>
              <w:ind w:left="0" w:right="0"/>
              <w:rPr>
                <w:rFonts w:hint="default" w:ascii="宋体" w:hAnsi="宋体" w:eastAsia="宋体"/>
                <w:b w:val="0"/>
                <w:color w:val="auto"/>
                <w:sz w:val="24"/>
                <w:highlight w:val="none"/>
              </w:rPr>
            </w:pPr>
            <w:r>
              <w:rPr>
                <w:rFonts w:hint="eastAsia" w:ascii="宋体" w:hAnsi="宋体" w:eastAsia="宋体"/>
                <w:b w:val="0"/>
                <w:color w:val="auto"/>
                <w:sz w:val="24"/>
                <w:highlight w:val="none"/>
              </w:rPr>
              <w:t>付款方式</w:t>
            </w:r>
          </w:p>
        </w:tc>
        <w:tc>
          <w:tcPr>
            <w:tcW w:w="3237" w:type="pct"/>
            <w:vAlign w:val="center"/>
          </w:tcPr>
          <w:p w14:paraId="27269F69">
            <w:pPr>
              <w:pStyle w:val="41"/>
              <w:keepNext w:val="0"/>
              <w:keepLines w:val="0"/>
              <w:widowControl w:val="0"/>
              <w:suppressLineNumbers w:val="0"/>
              <w:spacing w:before="0" w:beforeAutospacing="0" w:after="0" w:afterAutospacing="0" w:line="360" w:lineRule="auto"/>
              <w:ind w:left="0" w:right="0"/>
              <w:jc w:val="both"/>
              <w:rPr>
                <w:rFonts w:hint="eastAsia" w:ascii="宋体" w:hAnsi="宋体" w:eastAsia="宋体"/>
                <w:b w:val="0"/>
                <w:color w:val="auto"/>
                <w:sz w:val="24"/>
                <w:highlight w:val="none"/>
                <w:u w:val="single"/>
                <w:lang w:eastAsia="zh-CN"/>
              </w:rPr>
            </w:pPr>
            <w:r>
              <w:rPr>
                <w:rFonts w:hint="eastAsia" w:ascii="宋体" w:hAnsi="宋体" w:eastAsia="宋体"/>
                <w:b w:val="0"/>
                <w:color w:val="auto"/>
                <w:sz w:val="24"/>
                <w:highlight w:val="none"/>
                <w:u w:val="single"/>
                <w:lang w:val="en-US" w:eastAsia="zh-CN"/>
              </w:rPr>
              <w:t>合同签订且具备实施条件后，支付合同价的40%预付款（预付款支付前，中标人须提供同等金额的见索即付保函），中标人在现场检测完成，提供本项目最终技术服务成果书面检测报告，并且所提供的检测报告经专家评审通过后支付至合同价的80%，服务期满后一次性付清余款</w:t>
            </w:r>
            <w:r>
              <w:rPr>
                <w:rFonts w:hint="eastAsia" w:ascii="宋体" w:hAnsi="宋体" w:eastAsia="宋体"/>
                <w:b w:val="0"/>
                <w:color w:val="auto"/>
                <w:sz w:val="24"/>
                <w:highlight w:val="none"/>
                <w:u w:val="single"/>
              </w:rPr>
              <w:t>。（注：发包人在政府资金调度会批准且发票送达</w:t>
            </w:r>
            <w:r>
              <w:rPr>
                <w:rFonts w:hint="eastAsia" w:ascii="宋体" w:hAnsi="宋体" w:eastAsia="宋体"/>
                <w:b w:val="0"/>
                <w:color w:val="auto"/>
                <w:sz w:val="24"/>
                <w:highlight w:val="none"/>
                <w:u w:val="single"/>
                <w:lang w:eastAsia="zh-CN"/>
              </w:rPr>
              <w:t>后</w:t>
            </w:r>
            <w:r>
              <w:rPr>
                <w:rFonts w:hint="eastAsia" w:ascii="宋体" w:hAnsi="宋体" w:eastAsia="宋体"/>
                <w:b w:val="0"/>
                <w:color w:val="auto"/>
                <w:sz w:val="24"/>
                <w:highlight w:val="none"/>
                <w:u w:val="single"/>
              </w:rPr>
              <w:t>完成支付）</w:t>
            </w:r>
          </w:p>
        </w:tc>
      </w:tr>
      <w:tr w14:paraId="109A0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44" w:type="pct"/>
            <w:vAlign w:val="center"/>
          </w:tcPr>
          <w:p w14:paraId="79F7C363">
            <w:pPr>
              <w:pStyle w:val="42"/>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rPr>
              <w:t>2</w:t>
            </w:r>
          </w:p>
        </w:tc>
        <w:tc>
          <w:tcPr>
            <w:tcW w:w="1318" w:type="pct"/>
            <w:vAlign w:val="center"/>
          </w:tcPr>
          <w:p w14:paraId="353B0383">
            <w:pPr>
              <w:pStyle w:val="41"/>
              <w:keepNext w:val="0"/>
              <w:keepLines w:val="0"/>
              <w:widowControl w:val="0"/>
              <w:suppressLineNumbers w:val="0"/>
              <w:spacing w:before="0" w:beforeAutospacing="0" w:after="0" w:afterAutospacing="0" w:line="360" w:lineRule="auto"/>
              <w:ind w:left="0" w:right="0"/>
              <w:rPr>
                <w:rFonts w:hint="default" w:ascii="宋体" w:hAnsi="宋体" w:eastAsia="宋体"/>
                <w:b w:val="0"/>
                <w:color w:val="auto"/>
                <w:sz w:val="24"/>
                <w:highlight w:val="none"/>
              </w:rPr>
            </w:pPr>
            <w:r>
              <w:rPr>
                <w:rFonts w:hint="eastAsia" w:ascii="宋体" w:hAnsi="宋体" w:eastAsia="宋体"/>
                <w:b w:val="0"/>
                <w:color w:val="auto"/>
                <w:sz w:val="24"/>
                <w:highlight w:val="none"/>
              </w:rPr>
              <w:t>服务地点</w:t>
            </w:r>
          </w:p>
        </w:tc>
        <w:tc>
          <w:tcPr>
            <w:tcW w:w="3237" w:type="pct"/>
            <w:vAlign w:val="center"/>
          </w:tcPr>
          <w:p w14:paraId="50AA8ECF">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lang w:val="en-US" w:eastAsia="zh-CN"/>
              </w:rPr>
            </w:pPr>
            <w:r>
              <w:rPr>
                <w:rFonts w:hint="eastAsia" w:ascii="宋体" w:hAnsi="宋体" w:eastAsia="宋体"/>
                <w:b w:val="0"/>
                <w:color w:val="auto"/>
                <w:sz w:val="24"/>
                <w:highlight w:val="none"/>
                <w:u w:val="single"/>
                <w:lang w:val="en-US" w:eastAsia="zh-CN"/>
              </w:rPr>
              <w:t>滁州市内</w:t>
            </w:r>
          </w:p>
        </w:tc>
      </w:tr>
      <w:tr w14:paraId="14A0C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44" w:type="pct"/>
            <w:vAlign w:val="center"/>
          </w:tcPr>
          <w:p w14:paraId="044CFE32">
            <w:pPr>
              <w:pStyle w:val="42"/>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bCs/>
                <w:color w:val="auto"/>
                <w:kern w:val="2"/>
                <w:highlight w:val="none"/>
              </w:rPr>
            </w:pPr>
            <w:r>
              <w:rPr>
                <w:rFonts w:hint="eastAsia" w:ascii="宋体" w:hAnsi="宋体" w:eastAsia="宋体"/>
                <w:bCs/>
                <w:color w:val="auto"/>
                <w:kern w:val="2"/>
                <w:highlight w:val="none"/>
              </w:rPr>
              <w:t>3</w:t>
            </w:r>
          </w:p>
        </w:tc>
        <w:tc>
          <w:tcPr>
            <w:tcW w:w="1318" w:type="pct"/>
            <w:vAlign w:val="center"/>
          </w:tcPr>
          <w:p w14:paraId="590D0399">
            <w:pPr>
              <w:pStyle w:val="41"/>
              <w:keepNext w:val="0"/>
              <w:keepLines w:val="0"/>
              <w:widowControl w:val="0"/>
              <w:suppressLineNumbers w:val="0"/>
              <w:spacing w:before="0" w:beforeAutospacing="0" w:after="0" w:afterAutospacing="0" w:line="360" w:lineRule="auto"/>
              <w:ind w:left="0" w:right="0"/>
              <w:rPr>
                <w:rFonts w:hint="default" w:ascii="宋体" w:hAnsi="宋体" w:eastAsia="宋体"/>
                <w:b w:val="0"/>
                <w:color w:val="auto"/>
                <w:sz w:val="24"/>
                <w:highlight w:val="none"/>
              </w:rPr>
            </w:pPr>
            <w:r>
              <w:rPr>
                <w:rFonts w:hint="eastAsia" w:ascii="宋体" w:hAnsi="宋体" w:eastAsia="宋体"/>
                <w:b w:val="0"/>
                <w:color w:val="auto"/>
                <w:sz w:val="24"/>
                <w:highlight w:val="none"/>
              </w:rPr>
              <w:t>服务期限</w:t>
            </w:r>
          </w:p>
        </w:tc>
        <w:tc>
          <w:tcPr>
            <w:tcW w:w="3237" w:type="pct"/>
            <w:vAlign w:val="center"/>
          </w:tcPr>
          <w:p w14:paraId="03D91E7F">
            <w:pPr>
              <w:pStyle w:val="41"/>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u w:val="single"/>
              </w:rPr>
              <w:t>一年（包含检测报告完成并通过专家评审），具体以合同签订日期为准。</w:t>
            </w:r>
          </w:p>
        </w:tc>
      </w:tr>
      <w:tr w14:paraId="3C345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44" w:type="pct"/>
            <w:vAlign w:val="center"/>
          </w:tcPr>
          <w:p w14:paraId="0BE0EF15">
            <w:pPr>
              <w:pStyle w:val="42"/>
              <w:keepNext w:val="0"/>
              <w:keepLines w:val="0"/>
              <w:suppressLineNumbers w:val="0"/>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eastAsia" w:ascii="宋体" w:hAnsi="宋体" w:eastAsia="宋体"/>
                <w:bCs/>
                <w:color w:val="auto"/>
                <w:kern w:val="2"/>
                <w:highlight w:val="none"/>
                <w:lang w:val="en-US" w:eastAsia="zh-CN"/>
              </w:rPr>
            </w:pPr>
            <w:r>
              <w:rPr>
                <w:rFonts w:hint="eastAsia" w:ascii="宋体" w:hAnsi="宋体" w:eastAsia="宋体"/>
                <w:bCs/>
                <w:color w:val="auto"/>
                <w:kern w:val="2"/>
                <w:highlight w:val="none"/>
                <w:lang w:val="en-US" w:eastAsia="zh-CN"/>
              </w:rPr>
              <w:t>4</w:t>
            </w:r>
          </w:p>
        </w:tc>
        <w:tc>
          <w:tcPr>
            <w:tcW w:w="1318" w:type="pct"/>
            <w:vAlign w:val="center"/>
          </w:tcPr>
          <w:p w14:paraId="03F7A899">
            <w:pPr>
              <w:pStyle w:val="41"/>
              <w:keepNext w:val="0"/>
              <w:keepLines w:val="0"/>
              <w:widowControl w:val="0"/>
              <w:suppressLineNumbers w:val="0"/>
              <w:spacing w:before="0" w:beforeAutospacing="0" w:after="0" w:afterAutospacing="0" w:line="360" w:lineRule="auto"/>
              <w:ind w:left="0" w:right="0"/>
              <w:rPr>
                <w:rFonts w:hint="default" w:ascii="宋体" w:hAnsi="宋体" w:eastAsia="宋体"/>
                <w:b w:val="0"/>
                <w:color w:val="auto"/>
                <w:sz w:val="24"/>
                <w:highlight w:val="none"/>
              </w:rPr>
            </w:pPr>
            <w:r>
              <w:rPr>
                <w:rFonts w:hint="eastAsia" w:ascii="宋体" w:hAnsi="宋体" w:eastAsia="宋体"/>
                <w:b w:val="0"/>
                <w:color w:val="auto"/>
                <w:sz w:val="24"/>
                <w:highlight w:val="none"/>
              </w:rPr>
              <w:t>本项目采购标的名称及所属行业</w:t>
            </w:r>
          </w:p>
        </w:tc>
        <w:tc>
          <w:tcPr>
            <w:tcW w:w="3237" w:type="pct"/>
            <w:vAlign w:val="center"/>
          </w:tcPr>
          <w:p w14:paraId="434813E6">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olor w:val="auto"/>
                <w:sz w:val="24"/>
                <w:szCs w:val="20"/>
                <w:highlight w:val="none"/>
                <w:lang w:eastAsia="zh-CN"/>
              </w:rPr>
            </w:pPr>
            <w:r>
              <w:rPr>
                <w:rFonts w:hint="eastAsia" w:asciiTheme="minorEastAsia" w:hAnsiTheme="minorEastAsia" w:eastAsiaTheme="minorEastAsia"/>
                <w:color w:val="auto"/>
                <w:sz w:val="24"/>
                <w:szCs w:val="20"/>
                <w:highlight w:val="none"/>
              </w:rPr>
              <w:t>标的名称：</w:t>
            </w:r>
            <w:r>
              <w:rPr>
                <w:rFonts w:hint="eastAsia" w:asciiTheme="minorEastAsia" w:hAnsiTheme="minorEastAsia" w:eastAsiaTheme="minorEastAsia"/>
                <w:color w:val="auto"/>
                <w:sz w:val="24"/>
                <w:szCs w:val="20"/>
                <w:highlight w:val="none"/>
                <w:lang w:eastAsia="zh-CN"/>
              </w:rPr>
              <w:t>2025年市政基础设施中修、安保和养护工程桥梁检测项目</w:t>
            </w:r>
          </w:p>
          <w:p w14:paraId="23AFD371">
            <w:pPr>
              <w:keepNext w:val="0"/>
              <w:keepLines w:val="0"/>
              <w:suppressLineNumbers w:val="0"/>
              <w:spacing w:before="0" w:beforeAutospacing="0" w:after="0" w:afterAutospacing="0" w:line="360" w:lineRule="auto"/>
              <w:ind w:left="0" w:right="0"/>
              <w:jc w:val="left"/>
              <w:rPr>
                <w:rFonts w:hint="default" w:asciiTheme="minorEastAsia" w:hAnsiTheme="minorEastAsia" w:eastAsiaTheme="minorEastAsia"/>
                <w:color w:val="auto"/>
                <w:sz w:val="24"/>
                <w:szCs w:val="20"/>
                <w:highlight w:val="none"/>
                <w:lang w:val="en-US" w:eastAsia="zh-CN"/>
              </w:rPr>
            </w:pPr>
            <w:r>
              <w:rPr>
                <w:rFonts w:hint="eastAsia" w:asciiTheme="minorEastAsia" w:hAnsiTheme="minorEastAsia" w:eastAsiaTheme="minorEastAsia"/>
                <w:color w:val="auto"/>
                <w:sz w:val="24"/>
                <w:szCs w:val="20"/>
                <w:highlight w:val="none"/>
              </w:rPr>
              <w:t>所属行业：</w:t>
            </w:r>
            <w:r>
              <w:rPr>
                <w:rFonts w:hint="eastAsia" w:asciiTheme="minorEastAsia" w:hAnsiTheme="minorEastAsia" w:eastAsiaTheme="minorEastAsia"/>
                <w:color w:val="auto"/>
                <w:sz w:val="24"/>
                <w:szCs w:val="20"/>
                <w:highlight w:val="none"/>
                <w:lang w:val="en-US" w:eastAsia="zh-CN"/>
              </w:rPr>
              <w:t>其他未列明行业</w:t>
            </w:r>
          </w:p>
        </w:tc>
      </w:tr>
    </w:tbl>
    <w:p w14:paraId="2BCBF95B">
      <w:pPr>
        <w:numPr>
          <w:ilvl w:val="0"/>
          <w:numId w:val="0"/>
        </w:numPr>
        <w:spacing w:line="360" w:lineRule="auto"/>
        <w:outlineLvl w:val="9"/>
        <w:rPr>
          <w:rFonts w:hint="eastAsia" w:ascii="宋体" w:hAnsi="宋体" w:eastAsia="宋体"/>
          <w:b/>
          <w:color w:val="auto"/>
          <w:sz w:val="24"/>
          <w:szCs w:val="18"/>
          <w:highlight w:val="none"/>
          <w:lang w:val="en-US" w:eastAsia="zh-CN"/>
        </w:rPr>
      </w:pPr>
      <w:bookmarkStart w:id="26" w:name="_Toc16543"/>
      <w:bookmarkStart w:id="27" w:name="_Hlk16461016"/>
    </w:p>
    <w:p w14:paraId="2DDF1AC7">
      <w:pPr>
        <w:spacing w:line="360" w:lineRule="auto"/>
        <w:ind w:firstLine="437"/>
        <w:outlineLvl w:val="1"/>
        <w:rPr>
          <w:rFonts w:hint="eastAsia" w:ascii="宋体" w:hAnsi="宋体" w:eastAsia="宋体"/>
          <w:b/>
          <w:color w:val="auto"/>
          <w:sz w:val="24"/>
          <w:szCs w:val="18"/>
          <w:highlight w:val="none"/>
          <w:lang w:eastAsia="zh-CN"/>
        </w:rPr>
      </w:pPr>
      <w:bookmarkStart w:id="28" w:name="_Toc8753"/>
      <w:r>
        <w:rPr>
          <w:rFonts w:hint="eastAsia" w:ascii="宋体" w:hAnsi="宋体" w:eastAsia="宋体"/>
          <w:b/>
          <w:color w:val="auto"/>
          <w:sz w:val="24"/>
          <w:szCs w:val="18"/>
          <w:highlight w:val="none"/>
          <w:lang w:val="en-US" w:eastAsia="zh-CN"/>
        </w:rPr>
        <w:t>二、</w:t>
      </w:r>
      <w:r>
        <w:rPr>
          <w:rFonts w:hint="eastAsia" w:ascii="宋体" w:hAnsi="宋体" w:eastAsia="宋体"/>
          <w:b/>
          <w:color w:val="auto"/>
          <w:sz w:val="24"/>
          <w:szCs w:val="18"/>
          <w:highlight w:val="none"/>
        </w:rPr>
        <w:t>项目</w:t>
      </w:r>
      <w:bookmarkEnd w:id="26"/>
      <w:bookmarkEnd w:id="28"/>
      <w:r>
        <w:rPr>
          <w:rFonts w:hint="eastAsia" w:ascii="宋体" w:hAnsi="宋体" w:eastAsia="宋体"/>
          <w:b/>
          <w:color w:val="auto"/>
          <w:sz w:val="24"/>
          <w:szCs w:val="18"/>
          <w:highlight w:val="none"/>
          <w:lang w:val="en-US" w:eastAsia="zh-CN"/>
        </w:rPr>
        <w:t>内容</w:t>
      </w:r>
    </w:p>
    <w:p w14:paraId="0E51C97E">
      <w:pPr>
        <w:spacing w:line="360" w:lineRule="auto"/>
        <w:ind w:firstLine="435"/>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本项目主要内容为滁州市市管桥梁的常规定期检测和结构定期检测。</w:t>
      </w:r>
    </w:p>
    <w:p w14:paraId="7734B58B">
      <w:pPr>
        <w:spacing w:line="360" w:lineRule="auto"/>
        <w:ind w:firstLine="437"/>
        <w:outlineLvl w:val="1"/>
        <w:rPr>
          <w:rFonts w:hint="eastAsia" w:ascii="宋体" w:hAnsi="宋体" w:eastAsia="宋体"/>
          <w:b/>
          <w:color w:val="auto"/>
          <w:sz w:val="24"/>
          <w:szCs w:val="18"/>
          <w:highlight w:val="none"/>
          <w:lang w:val="en-US" w:eastAsia="zh-CN"/>
        </w:rPr>
      </w:pPr>
      <w:bookmarkStart w:id="29" w:name="_Toc27920"/>
      <w:bookmarkStart w:id="30" w:name="_Toc13016"/>
      <w:r>
        <w:rPr>
          <w:rFonts w:hint="eastAsia" w:ascii="宋体" w:hAnsi="宋体" w:eastAsia="宋体"/>
          <w:b/>
          <w:color w:val="auto"/>
          <w:sz w:val="24"/>
          <w:szCs w:val="18"/>
          <w:highlight w:val="none"/>
          <w:lang w:val="en-US" w:eastAsia="zh-CN"/>
        </w:rPr>
        <w:t>三、服务需求</w:t>
      </w:r>
      <w:bookmarkEnd w:id="29"/>
      <w:bookmarkEnd w:id="30"/>
    </w:p>
    <w:p w14:paraId="0C676CCB">
      <w:pPr>
        <w:spacing w:line="360" w:lineRule="auto"/>
        <w:ind w:firstLine="435"/>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检测标准、质量保证及检测质量控制要求</w:t>
      </w:r>
    </w:p>
    <w:p w14:paraId="1EACFE85">
      <w:pPr>
        <w:spacing w:line="360" w:lineRule="auto"/>
        <w:ind w:firstLine="435"/>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滁州市市管桥梁的常规定期检测和结构定期检测，包括：（1）</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eastAsia="zh-CN"/>
        </w:rPr>
        <w:t>座桥梁的结构定期检测；（2）</w:t>
      </w:r>
      <w:r>
        <w:rPr>
          <w:rFonts w:hint="eastAsia" w:ascii="宋体" w:hAnsi="宋体" w:eastAsia="宋体" w:cs="宋体"/>
          <w:color w:val="auto"/>
          <w:sz w:val="24"/>
          <w:szCs w:val="24"/>
          <w:highlight w:val="none"/>
          <w:lang w:val="en-US" w:eastAsia="zh-CN"/>
        </w:rPr>
        <w:t>97</w:t>
      </w:r>
      <w:r>
        <w:rPr>
          <w:rFonts w:hint="eastAsia" w:ascii="宋体" w:hAnsi="宋体" w:eastAsia="宋体" w:cs="宋体"/>
          <w:color w:val="auto"/>
          <w:sz w:val="24"/>
          <w:szCs w:val="24"/>
          <w:highlight w:val="none"/>
          <w:lang w:eastAsia="zh-CN"/>
        </w:rPr>
        <w:t>座桥梁的常规定期检测。</w:t>
      </w:r>
    </w:p>
    <w:p w14:paraId="6D30D400">
      <w:pPr>
        <w:spacing w:line="360" w:lineRule="auto"/>
        <w:ind w:firstLine="435"/>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1.1 20</w:t>
      </w:r>
      <w:r>
        <w:rPr>
          <w:rFonts w:hint="eastAsia" w:ascii="宋体" w:hAnsi="宋体" w:eastAsia="宋体" w:cs="宋体"/>
          <w:color w:val="auto"/>
          <w:sz w:val="24"/>
          <w:szCs w:val="24"/>
          <w:highlight w:val="none"/>
          <w:lang w:eastAsia="zh-CN"/>
        </w:rPr>
        <w:t>座桥梁的结构定期检测</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桥梁名称及相关情况如下：</w:t>
      </w:r>
    </w:p>
    <w:tbl>
      <w:tblPr>
        <w:tblStyle w:val="23"/>
        <w:tblW w:w="149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5"/>
        <w:gridCol w:w="1301"/>
        <w:gridCol w:w="1500"/>
        <w:gridCol w:w="872"/>
        <w:gridCol w:w="870"/>
        <w:gridCol w:w="885"/>
        <w:gridCol w:w="975"/>
        <w:gridCol w:w="735"/>
        <w:gridCol w:w="1335"/>
        <w:gridCol w:w="810"/>
        <w:gridCol w:w="720"/>
        <w:gridCol w:w="1168"/>
        <w:gridCol w:w="902"/>
        <w:gridCol w:w="750"/>
        <w:gridCol w:w="760"/>
        <w:gridCol w:w="760"/>
      </w:tblGrid>
      <w:tr w14:paraId="158E7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FB8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序号</w:t>
            </w:r>
          </w:p>
        </w:tc>
        <w:tc>
          <w:tcPr>
            <w:tcW w:w="1301" w:type="dxa"/>
            <w:tcBorders>
              <w:top w:val="single" w:color="000000" w:sz="4" w:space="0"/>
              <w:left w:val="nil"/>
              <w:bottom w:val="single" w:color="000000" w:sz="4" w:space="0"/>
              <w:right w:val="single" w:color="000000" w:sz="4" w:space="0"/>
            </w:tcBorders>
            <w:shd w:val="clear" w:color="auto" w:fill="auto"/>
            <w:noWrap/>
            <w:vAlign w:val="center"/>
          </w:tcPr>
          <w:p w14:paraId="0E06A5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桥名</w:t>
            </w:r>
          </w:p>
        </w:tc>
        <w:tc>
          <w:tcPr>
            <w:tcW w:w="1500" w:type="dxa"/>
            <w:tcBorders>
              <w:top w:val="single" w:color="000000" w:sz="4" w:space="0"/>
              <w:left w:val="nil"/>
              <w:bottom w:val="single" w:color="000000" w:sz="4" w:space="0"/>
              <w:right w:val="single" w:color="000000" w:sz="4" w:space="0"/>
            </w:tcBorders>
            <w:shd w:val="clear" w:color="auto" w:fill="auto"/>
            <w:noWrap/>
            <w:vAlign w:val="center"/>
          </w:tcPr>
          <w:p w14:paraId="3E3A70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位置</w:t>
            </w:r>
          </w:p>
        </w:tc>
        <w:tc>
          <w:tcPr>
            <w:tcW w:w="872" w:type="dxa"/>
            <w:tcBorders>
              <w:top w:val="single" w:color="000000" w:sz="4" w:space="0"/>
              <w:left w:val="nil"/>
              <w:bottom w:val="single" w:color="000000" w:sz="4" w:space="0"/>
              <w:right w:val="single" w:color="000000" w:sz="4" w:space="0"/>
            </w:tcBorders>
            <w:shd w:val="clear" w:color="auto" w:fill="auto"/>
            <w:noWrap/>
            <w:vAlign w:val="center"/>
          </w:tcPr>
          <w:p w14:paraId="3734B4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结构</w:t>
            </w:r>
          </w:p>
          <w:p w14:paraId="375F22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2"/>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类型</w:t>
            </w:r>
          </w:p>
        </w:tc>
        <w:tc>
          <w:tcPr>
            <w:tcW w:w="870" w:type="dxa"/>
            <w:tcBorders>
              <w:top w:val="single" w:color="000000" w:sz="4" w:space="0"/>
              <w:left w:val="nil"/>
              <w:bottom w:val="single" w:color="000000" w:sz="4" w:space="0"/>
              <w:right w:val="single" w:color="000000" w:sz="4" w:space="0"/>
            </w:tcBorders>
            <w:shd w:val="clear" w:color="auto" w:fill="auto"/>
            <w:noWrap/>
            <w:vAlign w:val="center"/>
          </w:tcPr>
          <w:p w14:paraId="5DAA50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桥梁宽</w:t>
            </w:r>
          </w:p>
          <w:p w14:paraId="3CEF0E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2"/>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(m)</w:t>
            </w:r>
          </w:p>
        </w:tc>
        <w:tc>
          <w:tcPr>
            <w:tcW w:w="885" w:type="dxa"/>
            <w:tcBorders>
              <w:top w:val="single" w:color="000000" w:sz="4" w:space="0"/>
              <w:left w:val="nil"/>
              <w:bottom w:val="single" w:color="000000" w:sz="4" w:space="0"/>
              <w:right w:val="single" w:color="000000" w:sz="4" w:space="0"/>
            </w:tcBorders>
            <w:shd w:val="clear" w:color="auto" w:fill="auto"/>
            <w:noWrap/>
            <w:vAlign w:val="center"/>
          </w:tcPr>
          <w:p w14:paraId="7D092A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桥梁</w:t>
            </w:r>
          </w:p>
          <w:p w14:paraId="74BCB6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总长</w:t>
            </w:r>
          </w:p>
          <w:p w14:paraId="71F240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2"/>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(m)</w:t>
            </w:r>
          </w:p>
        </w:tc>
        <w:tc>
          <w:tcPr>
            <w:tcW w:w="975" w:type="dxa"/>
            <w:tcBorders>
              <w:top w:val="single" w:color="000000" w:sz="4" w:space="0"/>
              <w:left w:val="nil"/>
              <w:bottom w:val="single" w:color="000000" w:sz="4" w:space="0"/>
              <w:right w:val="single" w:color="000000" w:sz="4" w:space="0"/>
            </w:tcBorders>
            <w:shd w:val="clear" w:color="auto" w:fill="auto"/>
            <w:noWrap/>
            <w:vAlign w:val="center"/>
          </w:tcPr>
          <w:p w14:paraId="76C5CA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面积</w:t>
            </w:r>
          </w:p>
          <w:p w14:paraId="343AD3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2"/>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w:t>
            </w:r>
          </w:p>
        </w:tc>
        <w:tc>
          <w:tcPr>
            <w:tcW w:w="735" w:type="dxa"/>
            <w:tcBorders>
              <w:top w:val="single" w:color="000000" w:sz="4" w:space="0"/>
              <w:left w:val="nil"/>
              <w:bottom w:val="single" w:color="000000" w:sz="4" w:space="0"/>
              <w:right w:val="single" w:color="auto" w:sz="4" w:space="0"/>
            </w:tcBorders>
            <w:shd w:val="clear" w:color="auto" w:fill="auto"/>
            <w:noWrap/>
            <w:vAlign w:val="center"/>
          </w:tcPr>
          <w:p w14:paraId="1ED895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桥梁</w:t>
            </w:r>
          </w:p>
          <w:p w14:paraId="33D493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2"/>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跨数</w:t>
            </w:r>
          </w:p>
        </w:tc>
        <w:tc>
          <w:tcPr>
            <w:tcW w:w="1335" w:type="dxa"/>
            <w:tcBorders>
              <w:top w:val="single" w:color="000000" w:sz="4" w:space="0"/>
              <w:left w:val="single" w:color="auto" w:sz="4" w:space="0"/>
              <w:bottom w:val="single" w:color="000000" w:sz="4" w:space="0"/>
              <w:right w:val="single" w:color="auto" w:sz="4" w:space="0"/>
            </w:tcBorders>
            <w:shd w:val="clear" w:color="auto" w:fill="auto"/>
            <w:noWrap/>
            <w:vAlign w:val="center"/>
          </w:tcPr>
          <w:p w14:paraId="40E5EA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跨径</w:t>
            </w:r>
          </w:p>
          <w:p w14:paraId="751E99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组合</w:t>
            </w:r>
          </w:p>
        </w:tc>
        <w:tc>
          <w:tcPr>
            <w:tcW w:w="810" w:type="dxa"/>
            <w:tcBorders>
              <w:top w:val="single" w:color="000000" w:sz="4" w:space="0"/>
              <w:left w:val="single" w:color="auto" w:sz="4" w:space="0"/>
              <w:bottom w:val="single" w:color="000000" w:sz="4" w:space="0"/>
              <w:right w:val="single" w:color="auto" w:sz="4" w:space="0"/>
            </w:tcBorders>
            <w:shd w:val="clear" w:color="auto" w:fill="auto"/>
            <w:noWrap/>
            <w:vAlign w:val="center"/>
          </w:tcPr>
          <w:p w14:paraId="509EBD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伸缩缝形式</w:t>
            </w:r>
          </w:p>
        </w:tc>
        <w:tc>
          <w:tcPr>
            <w:tcW w:w="720" w:type="dxa"/>
            <w:tcBorders>
              <w:top w:val="single" w:color="000000" w:sz="4" w:space="0"/>
              <w:left w:val="single" w:color="auto" w:sz="4" w:space="0"/>
              <w:bottom w:val="single" w:color="000000" w:sz="4" w:space="0"/>
              <w:right w:val="single" w:color="auto" w:sz="4" w:space="0"/>
            </w:tcBorders>
            <w:shd w:val="clear" w:color="auto" w:fill="auto"/>
            <w:noWrap/>
            <w:vAlign w:val="center"/>
          </w:tcPr>
          <w:p w14:paraId="145168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伸缩缝数量</w:t>
            </w:r>
          </w:p>
        </w:tc>
        <w:tc>
          <w:tcPr>
            <w:tcW w:w="1168" w:type="dxa"/>
            <w:tcBorders>
              <w:top w:val="single" w:color="000000" w:sz="4" w:space="0"/>
              <w:left w:val="single" w:color="auto" w:sz="4" w:space="0"/>
              <w:bottom w:val="single" w:color="000000" w:sz="4" w:space="0"/>
              <w:right w:val="single" w:color="auto" w:sz="4" w:space="0"/>
            </w:tcBorders>
            <w:shd w:val="clear" w:color="auto" w:fill="auto"/>
            <w:noWrap/>
            <w:vAlign w:val="center"/>
          </w:tcPr>
          <w:p w14:paraId="79CE5D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护栏</w:t>
            </w:r>
          </w:p>
          <w:p w14:paraId="462A40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结构</w:t>
            </w:r>
          </w:p>
        </w:tc>
        <w:tc>
          <w:tcPr>
            <w:tcW w:w="90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C64F7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护栏</w:t>
            </w:r>
          </w:p>
          <w:p w14:paraId="1DE770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长度(m)</w:t>
            </w:r>
          </w:p>
        </w:tc>
        <w:tc>
          <w:tcPr>
            <w:tcW w:w="750" w:type="dxa"/>
            <w:tcBorders>
              <w:top w:val="single" w:color="000000" w:sz="4" w:space="0"/>
              <w:left w:val="nil"/>
              <w:bottom w:val="single" w:color="000000" w:sz="4" w:space="0"/>
              <w:right w:val="single" w:color="000000" w:sz="4" w:space="0"/>
            </w:tcBorders>
            <w:shd w:val="clear" w:color="auto" w:fill="auto"/>
            <w:noWrap/>
            <w:vAlign w:val="center"/>
          </w:tcPr>
          <w:p w14:paraId="5C047A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2"/>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养护等级</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14:paraId="23E851B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桥梁规模</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14:paraId="220928A7">
            <w:pPr>
              <w:keepNext w:val="0"/>
              <w:keepLines w:val="0"/>
              <w:widowControl/>
              <w:suppressLineNumbers w:val="0"/>
              <w:spacing w:before="0" w:beforeAutospacing="0" w:after="0" w:afterAutospacing="0"/>
              <w:ind w:left="0" w:right="0"/>
              <w:jc w:val="center"/>
              <w:textAlignment w:val="bottom"/>
              <w:rPr>
                <w:rFonts w:hint="default"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备注</w:t>
            </w:r>
          </w:p>
        </w:tc>
      </w:tr>
      <w:tr w14:paraId="2A345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E0D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51C587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清流路跨清流河桥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211591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清流路跨清流河</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7D4140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拱桥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034B90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46</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01B52A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210</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704951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9660</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1B4422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1335" w:type="dxa"/>
            <w:tcBorders>
              <w:top w:val="single" w:color="000000" w:sz="4" w:space="0"/>
              <w:left w:val="single" w:color="auto" w:sz="4" w:space="0"/>
              <w:bottom w:val="single" w:color="000000" w:sz="4" w:space="0"/>
              <w:right w:val="single" w:color="auto" w:sz="4" w:space="0"/>
            </w:tcBorders>
            <w:shd w:val="clear" w:color="auto" w:fill="auto"/>
            <w:vAlign w:val="center"/>
          </w:tcPr>
          <w:p w14:paraId="1ABCDA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30+120+30</w:t>
            </w:r>
          </w:p>
        </w:tc>
        <w:tc>
          <w:tcPr>
            <w:tcW w:w="810" w:type="dxa"/>
            <w:tcBorders>
              <w:top w:val="single" w:color="000000" w:sz="4" w:space="0"/>
              <w:left w:val="single" w:color="auto" w:sz="4" w:space="0"/>
              <w:bottom w:val="single" w:color="000000" w:sz="4" w:space="0"/>
              <w:right w:val="single" w:color="auto" w:sz="4" w:space="0"/>
            </w:tcBorders>
            <w:shd w:val="clear" w:color="auto" w:fill="auto"/>
            <w:vAlign w:val="center"/>
          </w:tcPr>
          <w:p w14:paraId="3F482D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型钢</w:t>
            </w:r>
          </w:p>
        </w:tc>
        <w:tc>
          <w:tcPr>
            <w:tcW w:w="720" w:type="dxa"/>
            <w:tcBorders>
              <w:top w:val="single" w:color="000000" w:sz="4" w:space="0"/>
              <w:left w:val="single" w:color="auto" w:sz="4" w:space="0"/>
              <w:bottom w:val="single" w:color="000000" w:sz="4" w:space="0"/>
              <w:right w:val="single" w:color="auto" w:sz="4" w:space="0"/>
            </w:tcBorders>
            <w:shd w:val="clear" w:color="auto" w:fill="auto"/>
            <w:vAlign w:val="center"/>
          </w:tcPr>
          <w:p w14:paraId="0733F6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w:t>
            </w:r>
          </w:p>
        </w:tc>
        <w:tc>
          <w:tcPr>
            <w:tcW w:w="1168" w:type="dxa"/>
            <w:tcBorders>
              <w:top w:val="single" w:color="000000" w:sz="4" w:space="0"/>
              <w:left w:val="single" w:color="auto" w:sz="4" w:space="0"/>
              <w:bottom w:val="single" w:color="000000" w:sz="4" w:space="0"/>
              <w:right w:val="single" w:color="auto" w:sz="4" w:space="0"/>
            </w:tcBorders>
            <w:shd w:val="clear" w:color="auto" w:fill="auto"/>
            <w:vAlign w:val="center"/>
          </w:tcPr>
          <w:p w14:paraId="17605A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不锈钢钢管栏杆</w:t>
            </w:r>
          </w:p>
        </w:tc>
        <w:tc>
          <w:tcPr>
            <w:tcW w:w="902" w:type="dxa"/>
            <w:tcBorders>
              <w:top w:val="single" w:color="000000" w:sz="4" w:space="0"/>
              <w:left w:val="single" w:color="auto" w:sz="4" w:space="0"/>
              <w:bottom w:val="single" w:color="000000" w:sz="4" w:space="0"/>
              <w:right w:val="single" w:color="000000" w:sz="4" w:space="0"/>
            </w:tcBorders>
            <w:shd w:val="clear" w:color="auto" w:fill="auto"/>
            <w:vAlign w:val="center"/>
          </w:tcPr>
          <w:p w14:paraId="555010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420</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7C5E15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6A5C44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大桥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623538A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2"/>
                <w:sz w:val="18"/>
                <w:szCs w:val="18"/>
                <w:highlight w:val="none"/>
                <w:u w:val="none"/>
                <w:lang w:val="en-US" w:eastAsia="zh-CN" w:bidi="ar-SA"/>
              </w:rPr>
              <w:t>进行动力特性及重要</w:t>
            </w:r>
          </w:p>
          <w:p w14:paraId="52E9D22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2"/>
                <w:sz w:val="18"/>
                <w:szCs w:val="18"/>
                <w:highlight w:val="none"/>
                <w:u w:val="none"/>
                <w:lang w:val="en-US" w:eastAsia="zh-CN" w:bidi="ar-SA"/>
              </w:rPr>
              <w:t>部位的内力静载实验</w:t>
            </w:r>
          </w:p>
        </w:tc>
      </w:tr>
      <w:tr w14:paraId="0DE6B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CA3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2</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29441F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世纪大道2号桥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7BEF16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世纪大道与拖秋岭路交口</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6EEC30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6DE655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50.60 </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689AB1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21.40 </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2A6262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1082.84 </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295332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1335" w:type="dxa"/>
            <w:tcBorders>
              <w:top w:val="single" w:color="000000" w:sz="4" w:space="0"/>
              <w:left w:val="single" w:color="auto" w:sz="4" w:space="0"/>
              <w:bottom w:val="single" w:color="000000" w:sz="4" w:space="0"/>
              <w:right w:val="single" w:color="auto" w:sz="4" w:space="0"/>
            </w:tcBorders>
            <w:shd w:val="clear" w:color="auto" w:fill="auto"/>
            <w:vAlign w:val="center"/>
          </w:tcPr>
          <w:p w14:paraId="3E6E62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1*16</w:t>
            </w:r>
          </w:p>
        </w:tc>
        <w:tc>
          <w:tcPr>
            <w:tcW w:w="810" w:type="dxa"/>
            <w:tcBorders>
              <w:top w:val="single" w:color="000000" w:sz="4" w:space="0"/>
              <w:left w:val="single" w:color="auto" w:sz="4" w:space="0"/>
              <w:bottom w:val="single" w:color="000000" w:sz="4" w:space="0"/>
              <w:right w:val="single" w:color="auto" w:sz="4" w:space="0"/>
            </w:tcBorders>
            <w:shd w:val="clear" w:color="auto" w:fill="auto"/>
            <w:vAlign w:val="center"/>
          </w:tcPr>
          <w:p w14:paraId="7FEF72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型钢</w:t>
            </w:r>
          </w:p>
        </w:tc>
        <w:tc>
          <w:tcPr>
            <w:tcW w:w="720" w:type="dxa"/>
            <w:tcBorders>
              <w:top w:val="single" w:color="000000" w:sz="4" w:space="0"/>
              <w:left w:val="single" w:color="auto" w:sz="4" w:space="0"/>
              <w:bottom w:val="single" w:color="000000" w:sz="4" w:space="0"/>
              <w:right w:val="single" w:color="auto" w:sz="4" w:space="0"/>
            </w:tcBorders>
            <w:shd w:val="clear" w:color="auto" w:fill="auto"/>
            <w:vAlign w:val="center"/>
          </w:tcPr>
          <w:p w14:paraId="72781F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w:t>
            </w:r>
          </w:p>
        </w:tc>
        <w:tc>
          <w:tcPr>
            <w:tcW w:w="1168" w:type="dxa"/>
            <w:tcBorders>
              <w:top w:val="single" w:color="000000" w:sz="4" w:space="0"/>
              <w:left w:val="single" w:color="auto" w:sz="4" w:space="0"/>
              <w:bottom w:val="single" w:color="000000" w:sz="4" w:space="0"/>
              <w:right w:val="single" w:color="auto" w:sz="4" w:space="0"/>
            </w:tcBorders>
            <w:shd w:val="clear" w:color="auto" w:fill="auto"/>
            <w:vAlign w:val="center"/>
          </w:tcPr>
          <w:p w14:paraId="322E3C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石材栏杆/防撞护栏</w:t>
            </w:r>
          </w:p>
        </w:tc>
        <w:tc>
          <w:tcPr>
            <w:tcW w:w="902" w:type="dxa"/>
            <w:tcBorders>
              <w:top w:val="single" w:color="000000" w:sz="4" w:space="0"/>
              <w:left w:val="single" w:color="auto" w:sz="4" w:space="0"/>
              <w:bottom w:val="single" w:color="000000" w:sz="4" w:space="0"/>
              <w:right w:val="single" w:color="000000" w:sz="4" w:space="0"/>
            </w:tcBorders>
            <w:shd w:val="clear" w:color="auto" w:fill="auto"/>
            <w:vAlign w:val="center"/>
          </w:tcPr>
          <w:p w14:paraId="514491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85.6</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0DF22B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720C27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3527047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u w:val="none"/>
                <w:lang w:val="en-US" w:eastAsia="zh-CN" w:bidi="ar-SA"/>
              </w:rPr>
            </w:pPr>
          </w:p>
        </w:tc>
      </w:tr>
      <w:tr w14:paraId="69FF6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347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lang w:val="en-US" w:eastAsia="zh-CN"/>
              </w:rPr>
            </w:pPr>
            <w:r>
              <w:rPr>
                <w:rFonts w:hint="eastAsia" w:ascii="宋体" w:hAnsi="宋体" w:eastAsia="宋体" w:cs="宋体"/>
                <w:i w:val="0"/>
                <w:iCs w:val="0"/>
                <w:color w:val="auto"/>
                <w:kern w:val="2"/>
                <w:sz w:val="21"/>
                <w:szCs w:val="21"/>
                <w:highlight w:val="none"/>
                <w:lang w:val="en-US" w:eastAsia="zh-CN"/>
              </w:rPr>
              <w:t>3</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4CC228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世纪大道3号桥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7B87B0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世纪大道与雷桥路交口西</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3FF617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1EB814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50.60 </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618837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21.40 </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347C29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1082.84 </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1B4B66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1335" w:type="dxa"/>
            <w:tcBorders>
              <w:top w:val="single" w:color="000000" w:sz="4" w:space="0"/>
              <w:left w:val="single" w:color="auto" w:sz="4" w:space="0"/>
              <w:bottom w:val="single" w:color="000000" w:sz="4" w:space="0"/>
              <w:right w:val="single" w:color="auto" w:sz="4" w:space="0"/>
            </w:tcBorders>
            <w:shd w:val="clear" w:color="auto" w:fill="auto"/>
            <w:vAlign w:val="center"/>
          </w:tcPr>
          <w:p w14:paraId="1FC476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1*16</w:t>
            </w:r>
          </w:p>
        </w:tc>
        <w:tc>
          <w:tcPr>
            <w:tcW w:w="810" w:type="dxa"/>
            <w:tcBorders>
              <w:top w:val="single" w:color="000000" w:sz="4" w:space="0"/>
              <w:left w:val="single" w:color="auto" w:sz="4" w:space="0"/>
              <w:bottom w:val="single" w:color="000000" w:sz="4" w:space="0"/>
              <w:right w:val="single" w:color="auto" w:sz="4" w:space="0"/>
            </w:tcBorders>
            <w:shd w:val="clear" w:color="auto" w:fill="auto"/>
            <w:vAlign w:val="center"/>
          </w:tcPr>
          <w:p w14:paraId="6D8AE6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型钢</w:t>
            </w:r>
          </w:p>
        </w:tc>
        <w:tc>
          <w:tcPr>
            <w:tcW w:w="720" w:type="dxa"/>
            <w:tcBorders>
              <w:top w:val="single" w:color="000000" w:sz="4" w:space="0"/>
              <w:left w:val="single" w:color="auto" w:sz="4" w:space="0"/>
              <w:bottom w:val="single" w:color="000000" w:sz="4" w:space="0"/>
              <w:right w:val="single" w:color="auto" w:sz="4" w:space="0"/>
            </w:tcBorders>
            <w:shd w:val="clear" w:color="auto" w:fill="auto"/>
            <w:vAlign w:val="center"/>
          </w:tcPr>
          <w:p w14:paraId="446348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w:t>
            </w:r>
          </w:p>
        </w:tc>
        <w:tc>
          <w:tcPr>
            <w:tcW w:w="1168" w:type="dxa"/>
            <w:tcBorders>
              <w:top w:val="single" w:color="000000" w:sz="4" w:space="0"/>
              <w:left w:val="single" w:color="auto" w:sz="4" w:space="0"/>
              <w:bottom w:val="single" w:color="000000" w:sz="4" w:space="0"/>
              <w:right w:val="single" w:color="auto" w:sz="4" w:space="0"/>
            </w:tcBorders>
            <w:shd w:val="clear" w:color="auto" w:fill="auto"/>
            <w:vAlign w:val="center"/>
          </w:tcPr>
          <w:p w14:paraId="4B3201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石材栏杆/防撞护栏</w:t>
            </w:r>
          </w:p>
        </w:tc>
        <w:tc>
          <w:tcPr>
            <w:tcW w:w="902" w:type="dxa"/>
            <w:tcBorders>
              <w:top w:val="single" w:color="000000" w:sz="4" w:space="0"/>
              <w:left w:val="single" w:color="auto" w:sz="4" w:space="0"/>
              <w:bottom w:val="single" w:color="000000" w:sz="4" w:space="0"/>
              <w:right w:val="single" w:color="000000" w:sz="4" w:space="0"/>
            </w:tcBorders>
            <w:shd w:val="clear" w:color="auto" w:fill="auto"/>
            <w:vAlign w:val="center"/>
          </w:tcPr>
          <w:p w14:paraId="17167B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85.6</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39D05E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6C808E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206EB38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u w:val="none"/>
                <w:lang w:val="en-US" w:eastAsia="zh-CN" w:bidi="ar-SA"/>
              </w:rPr>
            </w:pPr>
          </w:p>
        </w:tc>
      </w:tr>
      <w:tr w14:paraId="6A219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A74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lang w:val="en-US" w:eastAsia="zh-CN"/>
              </w:rPr>
            </w:pPr>
            <w:r>
              <w:rPr>
                <w:rFonts w:hint="eastAsia" w:ascii="宋体" w:hAnsi="宋体" w:eastAsia="宋体" w:cs="宋体"/>
                <w:i w:val="0"/>
                <w:iCs w:val="0"/>
                <w:color w:val="auto"/>
                <w:kern w:val="2"/>
                <w:sz w:val="21"/>
                <w:szCs w:val="21"/>
                <w:highlight w:val="none"/>
                <w:lang w:val="en-US" w:eastAsia="zh-CN"/>
              </w:rPr>
              <w:t>4</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24B61B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陈桥一村桥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450B5D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滁州学院内部路跨撇洪沟</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61AD1D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701842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20.60 </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44AA0E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30.20 </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1BCF6E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622.12 </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31BA65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1335" w:type="dxa"/>
            <w:tcBorders>
              <w:top w:val="single" w:color="000000" w:sz="4" w:space="0"/>
              <w:left w:val="single" w:color="auto" w:sz="4" w:space="0"/>
              <w:bottom w:val="single" w:color="000000" w:sz="4" w:space="0"/>
              <w:right w:val="single" w:color="auto" w:sz="4" w:space="0"/>
            </w:tcBorders>
            <w:shd w:val="clear" w:color="auto" w:fill="auto"/>
            <w:vAlign w:val="center"/>
          </w:tcPr>
          <w:p w14:paraId="685AA4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3*8</w:t>
            </w:r>
          </w:p>
        </w:tc>
        <w:tc>
          <w:tcPr>
            <w:tcW w:w="810" w:type="dxa"/>
            <w:tcBorders>
              <w:top w:val="single" w:color="000000" w:sz="4" w:space="0"/>
              <w:left w:val="single" w:color="auto" w:sz="4" w:space="0"/>
              <w:bottom w:val="single" w:color="000000" w:sz="4" w:space="0"/>
              <w:right w:val="single" w:color="auto" w:sz="4" w:space="0"/>
            </w:tcBorders>
            <w:shd w:val="clear" w:color="auto" w:fill="auto"/>
            <w:vAlign w:val="center"/>
          </w:tcPr>
          <w:p w14:paraId="174C80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型钢</w:t>
            </w:r>
          </w:p>
        </w:tc>
        <w:tc>
          <w:tcPr>
            <w:tcW w:w="720" w:type="dxa"/>
            <w:tcBorders>
              <w:top w:val="single" w:color="000000" w:sz="4" w:space="0"/>
              <w:left w:val="single" w:color="auto" w:sz="4" w:space="0"/>
              <w:bottom w:val="single" w:color="000000" w:sz="4" w:space="0"/>
              <w:right w:val="single" w:color="auto" w:sz="4" w:space="0"/>
            </w:tcBorders>
            <w:shd w:val="clear" w:color="auto" w:fill="auto"/>
            <w:vAlign w:val="center"/>
          </w:tcPr>
          <w:p w14:paraId="76ED27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1168" w:type="dxa"/>
            <w:tcBorders>
              <w:top w:val="single" w:color="000000" w:sz="4" w:space="0"/>
              <w:left w:val="single" w:color="auto" w:sz="4" w:space="0"/>
              <w:bottom w:val="single" w:color="000000" w:sz="4" w:space="0"/>
              <w:right w:val="single" w:color="auto" w:sz="4" w:space="0"/>
            </w:tcBorders>
            <w:shd w:val="clear" w:color="auto" w:fill="auto"/>
            <w:vAlign w:val="center"/>
          </w:tcPr>
          <w:p w14:paraId="0832DD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石材栏杆</w:t>
            </w:r>
          </w:p>
        </w:tc>
        <w:tc>
          <w:tcPr>
            <w:tcW w:w="902" w:type="dxa"/>
            <w:tcBorders>
              <w:top w:val="single" w:color="000000" w:sz="4" w:space="0"/>
              <w:left w:val="single" w:color="auto" w:sz="4" w:space="0"/>
              <w:bottom w:val="single" w:color="000000" w:sz="4" w:space="0"/>
              <w:right w:val="single" w:color="000000" w:sz="4" w:space="0"/>
            </w:tcBorders>
            <w:shd w:val="clear" w:color="auto" w:fill="auto"/>
            <w:vAlign w:val="center"/>
          </w:tcPr>
          <w:p w14:paraId="74CFBC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60.4</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618939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21565B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409AFDB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u w:val="none"/>
                <w:lang w:val="en-US" w:eastAsia="zh-CN" w:bidi="ar-SA"/>
              </w:rPr>
            </w:pPr>
          </w:p>
        </w:tc>
      </w:tr>
      <w:tr w14:paraId="5B6C4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B1D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lang w:val="en-US" w:eastAsia="zh-CN"/>
              </w:rPr>
            </w:pPr>
            <w:r>
              <w:rPr>
                <w:rFonts w:hint="eastAsia" w:ascii="宋体" w:hAnsi="宋体" w:eastAsia="宋体" w:cs="宋体"/>
                <w:i w:val="0"/>
                <w:iCs w:val="0"/>
                <w:color w:val="auto"/>
                <w:kern w:val="2"/>
                <w:sz w:val="21"/>
                <w:szCs w:val="21"/>
                <w:highlight w:val="none"/>
                <w:lang w:val="en-US" w:eastAsia="zh-CN"/>
              </w:rPr>
              <w:t>5</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3B5892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陈桥二村桥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0BD455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会峰路跨撇洪沟</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568F61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308A1E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50.00 </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1D9F15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23.00 </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2CE188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1150.00 </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631CEA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1335" w:type="dxa"/>
            <w:tcBorders>
              <w:top w:val="single" w:color="000000" w:sz="4" w:space="0"/>
              <w:left w:val="single" w:color="auto" w:sz="4" w:space="0"/>
              <w:bottom w:val="single" w:color="000000" w:sz="4" w:space="0"/>
              <w:right w:val="single" w:color="auto" w:sz="4" w:space="0"/>
            </w:tcBorders>
            <w:shd w:val="clear" w:color="auto" w:fill="auto"/>
            <w:vAlign w:val="center"/>
          </w:tcPr>
          <w:p w14:paraId="143F1C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2*8</w:t>
            </w:r>
          </w:p>
        </w:tc>
        <w:tc>
          <w:tcPr>
            <w:tcW w:w="810" w:type="dxa"/>
            <w:tcBorders>
              <w:top w:val="single" w:color="000000" w:sz="4" w:space="0"/>
              <w:left w:val="single" w:color="auto" w:sz="4" w:space="0"/>
              <w:bottom w:val="single" w:color="000000" w:sz="4" w:space="0"/>
              <w:right w:val="single" w:color="auto" w:sz="4" w:space="0"/>
            </w:tcBorders>
            <w:shd w:val="clear" w:color="auto" w:fill="auto"/>
            <w:vAlign w:val="center"/>
          </w:tcPr>
          <w:p w14:paraId="710B2F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型钢</w:t>
            </w:r>
          </w:p>
        </w:tc>
        <w:tc>
          <w:tcPr>
            <w:tcW w:w="720" w:type="dxa"/>
            <w:tcBorders>
              <w:top w:val="single" w:color="000000" w:sz="4" w:space="0"/>
              <w:left w:val="single" w:color="auto" w:sz="4" w:space="0"/>
              <w:bottom w:val="single" w:color="000000" w:sz="4" w:space="0"/>
              <w:right w:val="single" w:color="auto" w:sz="4" w:space="0"/>
            </w:tcBorders>
            <w:shd w:val="clear" w:color="auto" w:fill="auto"/>
            <w:vAlign w:val="center"/>
          </w:tcPr>
          <w:p w14:paraId="3B9C65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1168" w:type="dxa"/>
            <w:tcBorders>
              <w:top w:val="single" w:color="000000" w:sz="4" w:space="0"/>
              <w:left w:val="single" w:color="auto" w:sz="4" w:space="0"/>
              <w:bottom w:val="single" w:color="000000" w:sz="4" w:space="0"/>
              <w:right w:val="single" w:color="auto" w:sz="4" w:space="0"/>
            </w:tcBorders>
            <w:shd w:val="clear" w:color="auto" w:fill="auto"/>
            <w:vAlign w:val="center"/>
          </w:tcPr>
          <w:p w14:paraId="7AA067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石材栏杆</w:t>
            </w:r>
          </w:p>
        </w:tc>
        <w:tc>
          <w:tcPr>
            <w:tcW w:w="902" w:type="dxa"/>
            <w:tcBorders>
              <w:top w:val="single" w:color="000000" w:sz="4" w:space="0"/>
              <w:left w:val="single" w:color="auto" w:sz="4" w:space="0"/>
              <w:bottom w:val="single" w:color="000000" w:sz="4" w:space="0"/>
              <w:right w:val="single" w:color="000000" w:sz="4" w:space="0"/>
            </w:tcBorders>
            <w:shd w:val="clear" w:color="auto" w:fill="auto"/>
            <w:vAlign w:val="center"/>
          </w:tcPr>
          <w:p w14:paraId="017FAB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46</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4E389A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358B80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7839195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u w:val="none"/>
                <w:lang w:val="en-US" w:eastAsia="zh-CN" w:bidi="ar-SA"/>
              </w:rPr>
            </w:pPr>
          </w:p>
        </w:tc>
      </w:tr>
      <w:tr w14:paraId="39469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115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lang w:val="en-US" w:eastAsia="zh-CN"/>
              </w:rPr>
            </w:pPr>
            <w:r>
              <w:rPr>
                <w:rFonts w:hint="eastAsia" w:ascii="宋体" w:hAnsi="宋体" w:eastAsia="宋体" w:cs="宋体"/>
                <w:i w:val="0"/>
                <w:iCs w:val="0"/>
                <w:color w:val="auto"/>
                <w:kern w:val="2"/>
                <w:sz w:val="21"/>
                <w:szCs w:val="21"/>
                <w:highlight w:val="none"/>
                <w:lang w:val="en-US" w:eastAsia="zh-CN"/>
              </w:rPr>
              <w:t>6</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557661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陈桥四村桥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2204E0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长乐路与西涧路交口西南</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31CEDC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7CFA10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11.10 </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4FFE4F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31.00 </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5033E5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344.10 </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51FBF0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1335" w:type="dxa"/>
            <w:tcBorders>
              <w:top w:val="single" w:color="000000" w:sz="4" w:space="0"/>
              <w:left w:val="single" w:color="auto" w:sz="4" w:space="0"/>
              <w:bottom w:val="single" w:color="000000" w:sz="4" w:space="0"/>
              <w:right w:val="single" w:color="auto" w:sz="4" w:space="0"/>
            </w:tcBorders>
            <w:shd w:val="clear" w:color="auto" w:fill="auto"/>
            <w:vAlign w:val="center"/>
          </w:tcPr>
          <w:p w14:paraId="60A441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3×8</w:t>
            </w:r>
          </w:p>
        </w:tc>
        <w:tc>
          <w:tcPr>
            <w:tcW w:w="810" w:type="dxa"/>
            <w:tcBorders>
              <w:top w:val="single" w:color="000000" w:sz="4" w:space="0"/>
              <w:left w:val="single" w:color="auto" w:sz="4" w:space="0"/>
              <w:bottom w:val="single" w:color="000000" w:sz="4" w:space="0"/>
              <w:right w:val="single" w:color="auto" w:sz="4" w:space="0"/>
            </w:tcBorders>
            <w:shd w:val="clear" w:color="auto" w:fill="auto"/>
            <w:vAlign w:val="center"/>
          </w:tcPr>
          <w:p w14:paraId="3C6204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简易断缝  </w:t>
            </w:r>
          </w:p>
        </w:tc>
        <w:tc>
          <w:tcPr>
            <w:tcW w:w="720" w:type="dxa"/>
            <w:tcBorders>
              <w:top w:val="single" w:color="000000" w:sz="4" w:space="0"/>
              <w:left w:val="single" w:color="auto" w:sz="4" w:space="0"/>
              <w:bottom w:val="single" w:color="000000" w:sz="4" w:space="0"/>
              <w:right w:val="single" w:color="auto" w:sz="4" w:space="0"/>
            </w:tcBorders>
            <w:shd w:val="clear" w:color="auto" w:fill="auto"/>
            <w:vAlign w:val="center"/>
          </w:tcPr>
          <w:p w14:paraId="4F7EF5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w:t>
            </w:r>
          </w:p>
        </w:tc>
        <w:tc>
          <w:tcPr>
            <w:tcW w:w="1168" w:type="dxa"/>
            <w:tcBorders>
              <w:top w:val="single" w:color="000000" w:sz="4" w:space="0"/>
              <w:left w:val="single" w:color="auto" w:sz="4" w:space="0"/>
              <w:bottom w:val="single" w:color="000000" w:sz="4" w:space="0"/>
              <w:right w:val="single" w:color="auto" w:sz="4" w:space="0"/>
            </w:tcBorders>
            <w:shd w:val="clear" w:color="auto" w:fill="auto"/>
            <w:vAlign w:val="center"/>
          </w:tcPr>
          <w:p w14:paraId="07893B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石材栏杆</w:t>
            </w:r>
          </w:p>
        </w:tc>
        <w:tc>
          <w:tcPr>
            <w:tcW w:w="902" w:type="dxa"/>
            <w:tcBorders>
              <w:top w:val="single" w:color="000000" w:sz="4" w:space="0"/>
              <w:left w:val="single" w:color="auto" w:sz="4" w:space="0"/>
              <w:bottom w:val="single" w:color="000000" w:sz="4" w:space="0"/>
              <w:right w:val="single" w:color="000000" w:sz="4" w:space="0"/>
            </w:tcBorders>
            <w:shd w:val="clear" w:color="auto" w:fill="auto"/>
            <w:vAlign w:val="center"/>
          </w:tcPr>
          <w:p w14:paraId="0680A2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62</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7C0AA8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274236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28B7B85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u w:val="none"/>
                <w:lang w:val="en-US" w:eastAsia="zh-CN" w:bidi="ar-SA"/>
              </w:rPr>
            </w:pPr>
          </w:p>
        </w:tc>
      </w:tr>
      <w:tr w14:paraId="4BEF1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CD2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lang w:val="en-US" w:eastAsia="zh-CN"/>
              </w:rPr>
            </w:pPr>
            <w:r>
              <w:rPr>
                <w:rFonts w:hint="eastAsia" w:ascii="宋体" w:hAnsi="宋体" w:eastAsia="宋体" w:cs="宋体"/>
                <w:i w:val="0"/>
                <w:iCs w:val="0"/>
                <w:color w:val="auto"/>
                <w:kern w:val="2"/>
                <w:sz w:val="21"/>
                <w:szCs w:val="21"/>
                <w:highlight w:val="none"/>
                <w:lang w:val="en-US" w:eastAsia="zh-CN"/>
              </w:rPr>
              <w:t>7</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26FF78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醉翁路桥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452606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醉翁路与虹桥路交口东侧</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00F32B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4EAF52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50.00 </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0761D0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17.80 </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7C7C0F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890.00 </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3C6306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1335" w:type="dxa"/>
            <w:tcBorders>
              <w:top w:val="single" w:color="000000" w:sz="4" w:space="0"/>
              <w:left w:val="single" w:color="auto" w:sz="4" w:space="0"/>
              <w:bottom w:val="single" w:color="000000" w:sz="4" w:space="0"/>
              <w:right w:val="single" w:color="auto" w:sz="4" w:space="0"/>
            </w:tcBorders>
            <w:shd w:val="clear" w:color="auto" w:fill="auto"/>
            <w:vAlign w:val="center"/>
          </w:tcPr>
          <w:p w14:paraId="3469D5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1*13</w:t>
            </w:r>
          </w:p>
        </w:tc>
        <w:tc>
          <w:tcPr>
            <w:tcW w:w="810" w:type="dxa"/>
            <w:tcBorders>
              <w:top w:val="single" w:color="000000" w:sz="4" w:space="0"/>
              <w:left w:val="single" w:color="auto" w:sz="4" w:space="0"/>
              <w:bottom w:val="single" w:color="000000" w:sz="4" w:space="0"/>
              <w:right w:val="single" w:color="auto" w:sz="4" w:space="0"/>
            </w:tcBorders>
            <w:shd w:val="clear" w:color="auto" w:fill="auto"/>
            <w:vAlign w:val="center"/>
          </w:tcPr>
          <w:p w14:paraId="0F4885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型钢</w:t>
            </w:r>
          </w:p>
        </w:tc>
        <w:tc>
          <w:tcPr>
            <w:tcW w:w="720" w:type="dxa"/>
            <w:tcBorders>
              <w:top w:val="single" w:color="000000" w:sz="4" w:space="0"/>
              <w:left w:val="single" w:color="auto" w:sz="4" w:space="0"/>
              <w:bottom w:val="single" w:color="000000" w:sz="4" w:space="0"/>
              <w:right w:val="single" w:color="auto" w:sz="4" w:space="0"/>
            </w:tcBorders>
            <w:shd w:val="clear" w:color="auto" w:fill="auto"/>
            <w:vAlign w:val="center"/>
          </w:tcPr>
          <w:p w14:paraId="706C0C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w:t>
            </w:r>
          </w:p>
        </w:tc>
        <w:tc>
          <w:tcPr>
            <w:tcW w:w="1168" w:type="dxa"/>
            <w:tcBorders>
              <w:top w:val="single" w:color="000000" w:sz="4" w:space="0"/>
              <w:left w:val="single" w:color="auto" w:sz="4" w:space="0"/>
              <w:bottom w:val="single" w:color="000000" w:sz="4" w:space="0"/>
              <w:right w:val="single" w:color="auto" w:sz="4" w:space="0"/>
            </w:tcBorders>
            <w:shd w:val="clear" w:color="auto" w:fill="auto"/>
            <w:vAlign w:val="center"/>
          </w:tcPr>
          <w:p w14:paraId="31A570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不锈钢护栏/防撞护栏</w:t>
            </w:r>
          </w:p>
        </w:tc>
        <w:tc>
          <w:tcPr>
            <w:tcW w:w="902" w:type="dxa"/>
            <w:tcBorders>
              <w:top w:val="single" w:color="000000" w:sz="4" w:space="0"/>
              <w:left w:val="single" w:color="auto" w:sz="4" w:space="0"/>
              <w:bottom w:val="single" w:color="000000" w:sz="4" w:space="0"/>
              <w:right w:val="single" w:color="000000" w:sz="4" w:space="0"/>
            </w:tcBorders>
            <w:shd w:val="clear" w:color="auto" w:fill="auto"/>
            <w:vAlign w:val="center"/>
          </w:tcPr>
          <w:p w14:paraId="348BF9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71.2</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570EC0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2113CF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7A338E7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u w:val="none"/>
                <w:lang w:val="en-US" w:eastAsia="zh-CN" w:bidi="ar-SA"/>
              </w:rPr>
            </w:pPr>
          </w:p>
        </w:tc>
      </w:tr>
      <w:tr w14:paraId="707AC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52E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lang w:val="en-US" w:eastAsia="zh-CN"/>
              </w:rPr>
            </w:pPr>
            <w:r>
              <w:rPr>
                <w:rFonts w:hint="eastAsia" w:ascii="宋体" w:hAnsi="宋体" w:eastAsia="宋体" w:cs="宋体"/>
                <w:i w:val="0"/>
                <w:iCs w:val="0"/>
                <w:color w:val="auto"/>
                <w:kern w:val="2"/>
                <w:sz w:val="21"/>
                <w:szCs w:val="21"/>
                <w:highlight w:val="none"/>
                <w:lang w:val="en-US" w:eastAsia="zh-CN"/>
              </w:rPr>
              <w:t>8</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7BF3E2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花园路桥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1B6C27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花园路与西涧路交口西侧</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4FD401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49F7C3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11.20 </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3FD57D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27.20 </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7055CC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304.64</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2843C1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1335" w:type="dxa"/>
            <w:tcBorders>
              <w:top w:val="single" w:color="000000" w:sz="4" w:space="0"/>
              <w:left w:val="single" w:color="auto" w:sz="4" w:space="0"/>
              <w:bottom w:val="single" w:color="000000" w:sz="4" w:space="0"/>
              <w:right w:val="single" w:color="auto" w:sz="4" w:space="0"/>
            </w:tcBorders>
            <w:shd w:val="clear" w:color="auto" w:fill="auto"/>
            <w:vAlign w:val="center"/>
          </w:tcPr>
          <w:p w14:paraId="460A32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2*10</w:t>
            </w:r>
          </w:p>
        </w:tc>
        <w:tc>
          <w:tcPr>
            <w:tcW w:w="810" w:type="dxa"/>
            <w:tcBorders>
              <w:top w:val="single" w:color="000000" w:sz="4" w:space="0"/>
              <w:left w:val="single" w:color="auto" w:sz="4" w:space="0"/>
              <w:bottom w:val="single" w:color="000000" w:sz="4" w:space="0"/>
              <w:right w:val="single" w:color="auto" w:sz="4" w:space="0"/>
            </w:tcBorders>
            <w:shd w:val="clear" w:color="auto" w:fill="auto"/>
            <w:vAlign w:val="center"/>
          </w:tcPr>
          <w:p w14:paraId="7B5F94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简易断缝</w:t>
            </w:r>
          </w:p>
        </w:tc>
        <w:tc>
          <w:tcPr>
            <w:tcW w:w="720" w:type="dxa"/>
            <w:tcBorders>
              <w:top w:val="single" w:color="000000" w:sz="4" w:space="0"/>
              <w:left w:val="single" w:color="auto" w:sz="4" w:space="0"/>
              <w:bottom w:val="single" w:color="000000" w:sz="4" w:space="0"/>
              <w:right w:val="single" w:color="auto" w:sz="4" w:space="0"/>
            </w:tcBorders>
            <w:shd w:val="clear" w:color="auto" w:fill="auto"/>
            <w:vAlign w:val="center"/>
          </w:tcPr>
          <w:p w14:paraId="2EBE34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1168" w:type="dxa"/>
            <w:tcBorders>
              <w:top w:val="single" w:color="000000" w:sz="4" w:space="0"/>
              <w:left w:val="single" w:color="auto" w:sz="4" w:space="0"/>
              <w:bottom w:val="single" w:color="000000" w:sz="4" w:space="0"/>
              <w:right w:val="single" w:color="auto" w:sz="4" w:space="0"/>
            </w:tcBorders>
            <w:shd w:val="clear" w:color="auto" w:fill="auto"/>
            <w:vAlign w:val="center"/>
          </w:tcPr>
          <w:p w14:paraId="094927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石材栏杆</w:t>
            </w:r>
          </w:p>
        </w:tc>
        <w:tc>
          <w:tcPr>
            <w:tcW w:w="902" w:type="dxa"/>
            <w:tcBorders>
              <w:top w:val="single" w:color="000000" w:sz="4" w:space="0"/>
              <w:left w:val="single" w:color="auto" w:sz="4" w:space="0"/>
              <w:bottom w:val="single" w:color="000000" w:sz="4" w:space="0"/>
              <w:right w:val="single" w:color="000000" w:sz="4" w:space="0"/>
            </w:tcBorders>
            <w:shd w:val="clear" w:color="auto" w:fill="auto"/>
            <w:vAlign w:val="center"/>
          </w:tcPr>
          <w:p w14:paraId="125892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54.4</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6C9949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007C14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693580E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u w:val="none"/>
                <w:lang w:val="en-US" w:eastAsia="zh-CN" w:bidi="ar-SA"/>
              </w:rPr>
            </w:pPr>
          </w:p>
        </w:tc>
      </w:tr>
      <w:tr w14:paraId="5A06D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B51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lang w:val="en-US" w:eastAsia="zh-CN"/>
              </w:rPr>
            </w:pPr>
            <w:r>
              <w:rPr>
                <w:rFonts w:hint="eastAsia" w:ascii="宋体" w:hAnsi="宋体" w:eastAsia="宋体" w:cs="宋体"/>
                <w:i w:val="0"/>
                <w:iCs w:val="0"/>
                <w:color w:val="auto"/>
                <w:kern w:val="2"/>
                <w:sz w:val="21"/>
                <w:szCs w:val="21"/>
                <w:highlight w:val="none"/>
                <w:lang w:val="en-US" w:eastAsia="zh-CN"/>
              </w:rPr>
              <w:t>9</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628D14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经三路桥（南京路桥）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54A363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南京路与丰收渠</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501B65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2A5D6B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37.5</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543CCB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36</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7C00E7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1350</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1FE848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1335" w:type="dxa"/>
            <w:tcBorders>
              <w:top w:val="single" w:color="000000" w:sz="4" w:space="0"/>
              <w:left w:val="single" w:color="auto" w:sz="4" w:space="0"/>
              <w:bottom w:val="single" w:color="000000" w:sz="4" w:space="0"/>
              <w:right w:val="single" w:color="auto" w:sz="4" w:space="0"/>
            </w:tcBorders>
            <w:shd w:val="clear" w:color="auto" w:fill="auto"/>
            <w:vAlign w:val="center"/>
          </w:tcPr>
          <w:p w14:paraId="15445F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3×10m</w:t>
            </w:r>
          </w:p>
        </w:tc>
        <w:tc>
          <w:tcPr>
            <w:tcW w:w="810" w:type="dxa"/>
            <w:tcBorders>
              <w:top w:val="single" w:color="000000" w:sz="4" w:space="0"/>
              <w:left w:val="single" w:color="auto" w:sz="4" w:space="0"/>
              <w:bottom w:val="single" w:color="000000" w:sz="4" w:space="0"/>
              <w:right w:val="single" w:color="auto" w:sz="4" w:space="0"/>
            </w:tcBorders>
            <w:shd w:val="clear" w:color="auto" w:fill="auto"/>
            <w:vAlign w:val="center"/>
          </w:tcPr>
          <w:p w14:paraId="6F3B68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型钢</w:t>
            </w:r>
          </w:p>
        </w:tc>
        <w:tc>
          <w:tcPr>
            <w:tcW w:w="720" w:type="dxa"/>
            <w:tcBorders>
              <w:top w:val="single" w:color="000000" w:sz="4" w:space="0"/>
              <w:left w:val="single" w:color="auto" w:sz="4" w:space="0"/>
              <w:bottom w:val="single" w:color="000000" w:sz="4" w:space="0"/>
              <w:right w:val="single" w:color="auto" w:sz="4" w:space="0"/>
            </w:tcBorders>
            <w:shd w:val="clear" w:color="auto" w:fill="auto"/>
            <w:vAlign w:val="center"/>
          </w:tcPr>
          <w:p w14:paraId="356E86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w:t>
            </w:r>
          </w:p>
        </w:tc>
        <w:tc>
          <w:tcPr>
            <w:tcW w:w="1168" w:type="dxa"/>
            <w:tcBorders>
              <w:top w:val="single" w:color="000000" w:sz="4" w:space="0"/>
              <w:left w:val="single" w:color="auto" w:sz="4" w:space="0"/>
              <w:bottom w:val="single" w:color="000000" w:sz="4" w:space="0"/>
              <w:right w:val="single" w:color="auto" w:sz="4" w:space="0"/>
            </w:tcBorders>
            <w:shd w:val="clear" w:color="auto" w:fill="auto"/>
            <w:vAlign w:val="center"/>
          </w:tcPr>
          <w:p w14:paraId="00AB5B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石材栏杆/防撞护栏</w:t>
            </w:r>
          </w:p>
        </w:tc>
        <w:tc>
          <w:tcPr>
            <w:tcW w:w="902" w:type="dxa"/>
            <w:tcBorders>
              <w:top w:val="single" w:color="000000" w:sz="4" w:space="0"/>
              <w:left w:val="single" w:color="auto" w:sz="4" w:space="0"/>
              <w:bottom w:val="single" w:color="000000" w:sz="4" w:space="0"/>
              <w:right w:val="single" w:color="000000" w:sz="4" w:space="0"/>
            </w:tcBorders>
            <w:shd w:val="clear" w:color="auto" w:fill="auto"/>
            <w:vAlign w:val="center"/>
          </w:tcPr>
          <w:p w14:paraId="7DD2788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lang w:val="en-US" w:eastAsia="zh-CN"/>
              </w:rPr>
            </w:pPr>
          </w:p>
        </w:tc>
        <w:tc>
          <w:tcPr>
            <w:tcW w:w="750" w:type="dxa"/>
            <w:tcBorders>
              <w:top w:val="single" w:color="000000" w:sz="4" w:space="0"/>
              <w:left w:val="nil"/>
              <w:bottom w:val="single" w:color="000000" w:sz="4" w:space="0"/>
              <w:right w:val="single" w:color="000000" w:sz="4" w:space="0"/>
            </w:tcBorders>
            <w:shd w:val="clear" w:color="auto" w:fill="auto"/>
            <w:vAlign w:val="center"/>
          </w:tcPr>
          <w:p w14:paraId="0D6678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23F47F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68DEB8D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u w:val="none"/>
                <w:lang w:val="en-US" w:eastAsia="zh-CN" w:bidi="ar-SA"/>
              </w:rPr>
            </w:pPr>
          </w:p>
        </w:tc>
      </w:tr>
      <w:tr w14:paraId="02782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3723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2"/>
                <w:sz w:val="21"/>
                <w:szCs w:val="21"/>
                <w:highlight w:val="none"/>
                <w:lang w:val="en-US" w:eastAsia="zh-CN"/>
              </w:rPr>
            </w:pPr>
            <w:r>
              <w:rPr>
                <w:rFonts w:hint="eastAsia" w:ascii="宋体" w:hAnsi="宋体" w:eastAsia="宋体" w:cs="宋体"/>
                <w:i w:val="0"/>
                <w:iCs w:val="0"/>
                <w:color w:val="auto"/>
                <w:kern w:val="2"/>
                <w:sz w:val="21"/>
                <w:szCs w:val="21"/>
                <w:highlight w:val="none"/>
                <w:lang w:val="en-US" w:eastAsia="zh-CN"/>
              </w:rPr>
              <w:t>10</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409411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中学路桥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4056B2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中学路与菱溪路河交口</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518531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719E20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20.5</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1E83AC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34.8</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2C5B38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713.4</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37890F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1335" w:type="dxa"/>
            <w:tcBorders>
              <w:top w:val="single" w:color="000000" w:sz="4" w:space="0"/>
              <w:left w:val="single" w:color="auto" w:sz="4" w:space="0"/>
              <w:bottom w:val="single" w:color="000000" w:sz="4" w:space="0"/>
              <w:right w:val="single" w:color="auto" w:sz="4" w:space="0"/>
            </w:tcBorders>
            <w:shd w:val="clear" w:color="auto" w:fill="auto"/>
            <w:vAlign w:val="center"/>
          </w:tcPr>
          <w:p w14:paraId="78A1E8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3*10</w:t>
            </w:r>
          </w:p>
        </w:tc>
        <w:tc>
          <w:tcPr>
            <w:tcW w:w="810" w:type="dxa"/>
            <w:tcBorders>
              <w:top w:val="single" w:color="000000" w:sz="4" w:space="0"/>
              <w:left w:val="single" w:color="auto" w:sz="4" w:space="0"/>
              <w:bottom w:val="single" w:color="000000" w:sz="4" w:space="0"/>
              <w:right w:val="single" w:color="auto" w:sz="4" w:space="0"/>
            </w:tcBorders>
            <w:shd w:val="clear" w:color="auto" w:fill="auto"/>
            <w:vAlign w:val="center"/>
          </w:tcPr>
          <w:p w14:paraId="4C5492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型钢</w:t>
            </w:r>
          </w:p>
        </w:tc>
        <w:tc>
          <w:tcPr>
            <w:tcW w:w="720" w:type="dxa"/>
            <w:tcBorders>
              <w:top w:val="single" w:color="000000" w:sz="4" w:space="0"/>
              <w:left w:val="single" w:color="auto" w:sz="4" w:space="0"/>
              <w:bottom w:val="single" w:color="000000" w:sz="4" w:space="0"/>
              <w:right w:val="single" w:color="auto" w:sz="4" w:space="0"/>
            </w:tcBorders>
            <w:shd w:val="clear" w:color="auto" w:fill="auto"/>
            <w:vAlign w:val="center"/>
          </w:tcPr>
          <w:p w14:paraId="37727F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1168" w:type="dxa"/>
            <w:tcBorders>
              <w:top w:val="single" w:color="000000" w:sz="4" w:space="0"/>
              <w:left w:val="single" w:color="auto" w:sz="4" w:space="0"/>
              <w:bottom w:val="single" w:color="000000" w:sz="4" w:space="0"/>
              <w:right w:val="single" w:color="auto" w:sz="4" w:space="0"/>
            </w:tcBorders>
            <w:shd w:val="clear" w:color="auto" w:fill="auto"/>
            <w:vAlign w:val="center"/>
          </w:tcPr>
          <w:p w14:paraId="43B251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不锈钢栏杆</w:t>
            </w:r>
          </w:p>
        </w:tc>
        <w:tc>
          <w:tcPr>
            <w:tcW w:w="902" w:type="dxa"/>
            <w:tcBorders>
              <w:top w:val="single" w:color="000000" w:sz="4" w:space="0"/>
              <w:left w:val="single" w:color="auto" w:sz="4" w:space="0"/>
              <w:bottom w:val="single" w:color="000000" w:sz="4" w:space="0"/>
              <w:right w:val="single" w:color="000000" w:sz="4" w:space="0"/>
            </w:tcBorders>
            <w:shd w:val="clear" w:color="auto" w:fill="auto"/>
            <w:vAlign w:val="center"/>
          </w:tcPr>
          <w:p w14:paraId="483086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69.6</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70393C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670BCB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561F46E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u w:val="none"/>
                <w:lang w:val="en-US" w:eastAsia="zh-CN" w:bidi="ar-SA"/>
              </w:rPr>
            </w:pPr>
          </w:p>
        </w:tc>
      </w:tr>
      <w:tr w14:paraId="44AE4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A507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2"/>
                <w:sz w:val="21"/>
                <w:szCs w:val="21"/>
                <w:highlight w:val="none"/>
                <w:lang w:val="en-US" w:eastAsia="zh-CN"/>
              </w:rPr>
            </w:pPr>
            <w:r>
              <w:rPr>
                <w:rFonts w:hint="eastAsia" w:ascii="宋体" w:hAnsi="宋体" w:eastAsia="宋体" w:cs="宋体"/>
                <w:i w:val="0"/>
                <w:iCs w:val="0"/>
                <w:color w:val="auto"/>
                <w:kern w:val="2"/>
                <w:sz w:val="21"/>
                <w:szCs w:val="21"/>
                <w:highlight w:val="none"/>
                <w:lang w:val="en-US" w:eastAsia="zh-CN"/>
              </w:rPr>
              <w:t>11</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646B42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文德桥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29DBFF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育新北巷跨内城河</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23DE78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4F11AE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3.65</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1924F0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27.2</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3CCEAA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99.28</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721A20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1335" w:type="dxa"/>
            <w:tcBorders>
              <w:top w:val="single" w:color="000000" w:sz="4" w:space="0"/>
              <w:left w:val="single" w:color="auto" w:sz="4" w:space="0"/>
              <w:bottom w:val="single" w:color="000000" w:sz="4" w:space="0"/>
              <w:right w:val="single" w:color="auto" w:sz="4" w:space="0"/>
            </w:tcBorders>
            <w:shd w:val="clear" w:color="auto" w:fill="auto"/>
            <w:vAlign w:val="center"/>
          </w:tcPr>
          <w:p w14:paraId="6BC731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7.5+10.5+7.5</w:t>
            </w:r>
          </w:p>
        </w:tc>
        <w:tc>
          <w:tcPr>
            <w:tcW w:w="810" w:type="dxa"/>
            <w:tcBorders>
              <w:top w:val="single" w:color="000000" w:sz="4" w:space="0"/>
              <w:left w:val="single" w:color="auto" w:sz="4" w:space="0"/>
              <w:bottom w:val="single" w:color="000000" w:sz="4" w:space="0"/>
              <w:right w:val="single" w:color="auto" w:sz="4" w:space="0"/>
            </w:tcBorders>
            <w:shd w:val="clear" w:color="auto" w:fill="auto"/>
            <w:vAlign w:val="center"/>
          </w:tcPr>
          <w:p w14:paraId="4555C3C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lang w:val="en-US" w:eastAsia="zh-CN"/>
              </w:rPr>
            </w:pPr>
          </w:p>
        </w:tc>
        <w:tc>
          <w:tcPr>
            <w:tcW w:w="720" w:type="dxa"/>
            <w:tcBorders>
              <w:top w:val="single" w:color="000000" w:sz="4" w:space="0"/>
              <w:left w:val="single" w:color="auto" w:sz="4" w:space="0"/>
              <w:bottom w:val="single" w:color="000000" w:sz="4" w:space="0"/>
              <w:right w:val="single" w:color="auto" w:sz="4" w:space="0"/>
            </w:tcBorders>
            <w:shd w:val="clear" w:color="auto" w:fill="auto"/>
            <w:vAlign w:val="center"/>
          </w:tcPr>
          <w:p w14:paraId="4B206E0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lang w:val="en-US" w:eastAsia="zh-CN"/>
              </w:rPr>
            </w:pPr>
          </w:p>
        </w:tc>
        <w:tc>
          <w:tcPr>
            <w:tcW w:w="1168" w:type="dxa"/>
            <w:tcBorders>
              <w:top w:val="single" w:color="000000" w:sz="4" w:space="0"/>
              <w:left w:val="single" w:color="auto" w:sz="4" w:space="0"/>
              <w:bottom w:val="single" w:color="000000" w:sz="4" w:space="0"/>
              <w:right w:val="single" w:color="auto" w:sz="4" w:space="0"/>
            </w:tcBorders>
            <w:shd w:val="clear" w:color="auto" w:fill="auto"/>
            <w:vAlign w:val="center"/>
          </w:tcPr>
          <w:p w14:paraId="24E200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石材栏杆</w:t>
            </w:r>
          </w:p>
        </w:tc>
        <w:tc>
          <w:tcPr>
            <w:tcW w:w="902" w:type="dxa"/>
            <w:tcBorders>
              <w:top w:val="single" w:color="000000" w:sz="4" w:space="0"/>
              <w:left w:val="single" w:color="auto" w:sz="4" w:space="0"/>
              <w:bottom w:val="single" w:color="000000" w:sz="4" w:space="0"/>
              <w:right w:val="single" w:color="000000" w:sz="4" w:space="0"/>
            </w:tcBorders>
            <w:shd w:val="clear" w:color="auto" w:fill="auto"/>
            <w:vAlign w:val="center"/>
          </w:tcPr>
          <w:p w14:paraId="0A5EA9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54.4</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58FB6F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698524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68A6EF6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u w:val="none"/>
                <w:lang w:val="en-US" w:eastAsia="zh-CN" w:bidi="ar-SA"/>
              </w:rPr>
            </w:pPr>
          </w:p>
        </w:tc>
      </w:tr>
      <w:tr w14:paraId="06EA1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1511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2"/>
                <w:sz w:val="21"/>
                <w:szCs w:val="21"/>
                <w:highlight w:val="none"/>
                <w:lang w:val="en-US" w:eastAsia="zh-CN"/>
              </w:rPr>
            </w:pPr>
            <w:r>
              <w:rPr>
                <w:rFonts w:hint="eastAsia" w:ascii="宋体" w:hAnsi="宋体" w:eastAsia="宋体" w:cs="宋体"/>
                <w:i w:val="0"/>
                <w:iCs w:val="0"/>
                <w:color w:val="auto"/>
                <w:kern w:val="2"/>
                <w:sz w:val="21"/>
                <w:szCs w:val="21"/>
                <w:highlight w:val="none"/>
                <w:lang w:val="en-US" w:eastAsia="zh-CN"/>
              </w:rPr>
              <w:t>12</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351C1E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世纪大道4号桥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77A7C0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金鹏山河境西北角 世纪大道上</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19E2B5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03EF5C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49</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05F8D9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26</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7481B2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1274</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1E31E4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1335" w:type="dxa"/>
            <w:tcBorders>
              <w:top w:val="single" w:color="000000" w:sz="4" w:space="0"/>
              <w:left w:val="single" w:color="auto" w:sz="4" w:space="0"/>
              <w:bottom w:val="single" w:color="000000" w:sz="4" w:space="0"/>
              <w:right w:val="single" w:color="auto" w:sz="4" w:space="0"/>
            </w:tcBorders>
            <w:shd w:val="clear" w:color="auto" w:fill="auto"/>
            <w:vAlign w:val="center"/>
          </w:tcPr>
          <w:p w14:paraId="694AC8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1×20</w:t>
            </w:r>
          </w:p>
        </w:tc>
        <w:tc>
          <w:tcPr>
            <w:tcW w:w="810" w:type="dxa"/>
            <w:tcBorders>
              <w:top w:val="single" w:color="000000" w:sz="4" w:space="0"/>
              <w:left w:val="single" w:color="auto" w:sz="4" w:space="0"/>
              <w:bottom w:val="single" w:color="000000" w:sz="4" w:space="0"/>
              <w:right w:val="single" w:color="auto" w:sz="4" w:space="0"/>
            </w:tcBorders>
            <w:shd w:val="clear" w:color="auto" w:fill="auto"/>
            <w:vAlign w:val="center"/>
          </w:tcPr>
          <w:p w14:paraId="61CFBA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型钢</w:t>
            </w:r>
          </w:p>
        </w:tc>
        <w:tc>
          <w:tcPr>
            <w:tcW w:w="720" w:type="dxa"/>
            <w:tcBorders>
              <w:top w:val="single" w:color="000000" w:sz="4" w:space="0"/>
              <w:left w:val="single" w:color="auto" w:sz="4" w:space="0"/>
              <w:bottom w:val="single" w:color="000000" w:sz="4" w:space="0"/>
              <w:right w:val="single" w:color="auto" w:sz="4" w:space="0"/>
            </w:tcBorders>
            <w:shd w:val="clear" w:color="auto" w:fill="auto"/>
            <w:vAlign w:val="center"/>
          </w:tcPr>
          <w:p w14:paraId="2991D4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w:t>
            </w:r>
          </w:p>
        </w:tc>
        <w:tc>
          <w:tcPr>
            <w:tcW w:w="1168" w:type="dxa"/>
            <w:tcBorders>
              <w:top w:val="single" w:color="000000" w:sz="4" w:space="0"/>
              <w:left w:val="single" w:color="auto" w:sz="4" w:space="0"/>
              <w:bottom w:val="single" w:color="000000" w:sz="4" w:space="0"/>
              <w:right w:val="single" w:color="auto" w:sz="4" w:space="0"/>
            </w:tcBorders>
            <w:shd w:val="clear" w:color="auto" w:fill="auto"/>
            <w:vAlign w:val="center"/>
          </w:tcPr>
          <w:p w14:paraId="3E9C99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石材栏杆/防撞护栏</w:t>
            </w:r>
          </w:p>
        </w:tc>
        <w:tc>
          <w:tcPr>
            <w:tcW w:w="902" w:type="dxa"/>
            <w:tcBorders>
              <w:top w:val="single" w:color="000000" w:sz="4" w:space="0"/>
              <w:left w:val="single" w:color="auto" w:sz="4" w:space="0"/>
              <w:bottom w:val="single" w:color="000000" w:sz="4" w:space="0"/>
              <w:right w:val="single" w:color="000000" w:sz="4" w:space="0"/>
            </w:tcBorders>
            <w:shd w:val="clear" w:color="auto" w:fill="auto"/>
            <w:vAlign w:val="center"/>
          </w:tcPr>
          <w:p w14:paraId="261255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104</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4AEA78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3E32A6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3712CB9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u w:val="none"/>
                <w:lang w:val="en-US" w:eastAsia="zh-CN" w:bidi="ar-SA"/>
              </w:rPr>
            </w:pPr>
          </w:p>
        </w:tc>
      </w:tr>
      <w:tr w14:paraId="7A47B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695B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2"/>
                <w:sz w:val="21"/>
                <w:szCs w:val="21"/>
                <w:highlight w:val="none"/>
                <w:lang w:val="en-US" w:eastAsia="zh-CN"/>
              </w:rPr>
            </w:pPr>
            <w:r>
              <w:rPr>
                <w:rFonts w:hint="eastAsia" w:ascii="宋体" w:hAnsi="宋体" w:eastAsia="宋体" w:cs="宋体"/>
                <w:i w:val="0"/>
                <w:iCs w:val="0"/>
                <w:color w:val="auto"/>
                <w:kern w:val="2"/>
                <w:sz w:val="21"/>
                <w:szCs w:val="21"/>
                <w:highlight w:val="none"/>
                <w:lang w:val="en-US" w:eastAsia="zh-CN"/>
              </w:rPr>
              <w:t>13</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5FF80E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清流路与黄山路</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039383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清流路与菱溪河</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57AB9E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2AC95F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48.6</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514611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34.4</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79A054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1671.84</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0D3D35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1335" w:type="dxa"/>
            <w:tcBorders>
              <w:top w:val="single" w:color="000000" w:sz="4" w:space="0"/>
              <w:left w:val="single" w:color="auto" w:sz="4" w:space="0"/>
              <w:bottom w:val="single" w:color="000000" w:sz="4" w:space="0"/>
              <w:right w:val="single" w:color="auto" w:sz="4" w:space="0"/>
            </w:tcBorders>
            <w:shd w:val="clear" w:color="auto" w:fill="auto"/>
            <w:vAlign w:val="center"/>
          </w:tcPr>
          <w:p w14:paraId="504228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3×10</w:t>
            </w:r>
          </w:p>
        </w:tc>
        <w:tc>
          <w:tcPr>
            <w:tcW w:w="810" w:type="dxa"/>
            <w:tcBorders>
              <w:top w:val="single" w:color="000000" w:sz="4" w:space="0"/>
              <w:left w:val="single" w:color="auto" w:sz="4" w:space="0"/>
              <w:bottom w:val="single" w:color="000000" w:sz="4" w:space="0"/>
              <w:right w:val="single" w:color="auto" w:sz="4" w:space="0"/>
            </w:tcBorders>
            <w:shd w:val="clear" w:color="auto" w:fill="auto"/>
            <w:vAlign w:val="center"/>
          </w:tcPr>
          <w:p w14:paraId="3301CB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型钢</w:t>
            </w:r>
          </w:p>
        </w:tc>
        <w:tc>
          <w:tcPr>
            <w:tcW w:w="720" w:type="dxa"/>
            <w:tcBorders>
              <w:top w:val="single" w:color="000000" w:sz="4" w:space="0"/>
              <w:left w:val="single" w:color="auto" w:sz="4" w:space="0"/>
              <w:bottom w:val="single" w:color="000000" w:sz="4" w:space="0"/>
              <w:right w:val="single" w:color="auto" w:sz="4" w:space="0"/>
            </w:tcBorders>
            <w:shd w:val="clear" w:color="auto" w:fill="auto"/>
            <w:vAlign w:val="center"/>
          </w:tcPr>
          <w:p w14:paraId="31E2D5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w:t>
            </w:r>
          </w:p>
        </w:tc>
        <w:tc>
          <w:tcPr>
            <w:tcW w:w="1168" w:type="dxa"/>
            <w:tcBorders>
              <w:top w:val="single" w:color="000000" w:sz="4" w:space="0"/>
              <w:left w:val="single" w:color="auto" w:sz="4" w:space="0"/>
              <w:bottom w:val="single" w:color="000000" w:sz="4" w:space="0"/>
              <w:right w:val="single" w:color="auto" w:sz="4" w:space="0"/>
            </w:tcBorders>
            <w:shd w:val="clear" w:color="auto" w:fill="auto"/>
            <w:vAlign w:val="center"/>
          </w:tcPr>
          <w:p w14:paraId="6148CC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石材护栏</w:t>
            </w:r>
          </w:p>
        </w:tc>
        <w:tc>
          <w:tcPr>
            <w:tcW w:w="902" w:type="dxa"/>
            <w:tcBorders>
              <w:top w:val="single" w:color="000000" w:sz="4" w:space="0"/>
              <w:left w:val="single" w:color="auto" w:sz="4" w:space="0"/>
              <w:bottom w:val="single" w:color="000000" w:sz="4" w:space="0"/>
              <w:right w:val="single" w:color="000000" w:sz="4" w:space="0"/>
            </w:tcBorders>
            <w:shd w:val="clear" w:color="auto" w:fill="auto"/>
            <w:vAlign w:val="center"/>
          </w:tcPr>
          <w:p w14:paraId="6B4745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68.8</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19D052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353F13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1906939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u w:val="none"/>
                <w:lang w:val="en-US" w:eastAsia="zh-CN" w:bidi="ar-SA"/>
              </w:rPr>
            </w:pPr>
          </w:p>
        </w:tc>
      </w:tr>
      <w:tr w14:paraId="0E937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CC87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2"/>
                <w:sz w:val="21"/>
                <w:szCs w:val="21"/>
                <w:highlight w:val="none"/>
                <w:lang w:val="en-US" w:eastAsia="zh-CN"/>
              </w:rPr>
            </w:pPr>
            <w:r>
              <w:rPr>
                <w:rFonts w:hint="eastAsia" w:ascii="宋体" w:hAnsi="宋体" w:eastAsia="宋体" w:cs="宋体"/>
                <w:i w:val="0"/>
                <w:iCs w:val="0"/>
                <w:color w:val="auto"/>
                <w:kern w:val="2"/>
                <w:sz w:val="21"/>
                <w:szCs w:val="21"/>
                <w:highlight w:val="none"/>
                <w:lang w:val="en-US" w:eastAsia="zh-CN"/>
              </w:rPr>
              <w:t>14</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586902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世纪大道1号桥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0CE56B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世纪大道与黄山路交口西</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34571C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0E7795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45.4</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643E58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3A8400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544.8</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12557C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1335" w:type="dxa"/>
            <w:tcBorders>
              <w:top w:val="single" w:color="000000" w:sz="4" w:space="0"/>
              <w:left w:val="single" w:color="auto" w:sz="4" w:space="0"/>
              <w:bottom w:val="single" w:color="000000" w:sz="4" w:space="0"/>
              <w:right w:val="single" w:color="auto" w:sz="4" w:space="0"/>
            </w:tcBorders>
            <w:shd w:val="clear" w:color="auto" w:fill="auto"/>
            <w:vAlign w:val="center"/>
          </w:tcPr>
          <w:p w14:paraId="6F3489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1*10</w:t>
            </w:r>
          </w:p>
        </w:tc>
        <w:tc>
          <w:tcPr>
            <w:tcW w:w="810" w:type="dxa"/>
            <w:tcBorders>
              <w:top w:val="single" w:color="000000" w:sz="4" w:space="0"/>
              <w:left w:val="single" w:color="auto" w:sz="4" w:space="0"/>
              <w:bottom w:val="single" w:color="000000" w:sz="4" w:space="0"/>
              <w:right w:val="single" w:color="auto" w:sz="4" w:space="0"/>
            </w:tcBorders>
            <w:shd w:val="clear" w:color="auto" w:fill="auto"/>
            <w:vAlign w:val="center"/>
          </w:tcPr>
          <w:p w14:paraId="71DC5A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型钢</w:t>
            </w:r>
          </w:p>
        </w:tc>
        <w:tc>
          <w:tcPr>
            <w:tcW w:w="720" w:type="dxa"/>
            <w:tcBorders>
              <w:top w:val="single" w:color="000000" w:sz="4" w:space="0"/>
              <w:left w:val="single" w:color="auto" w:sz="4" w:space="0"/>
              <w:bottom w:val="single" w:color="000000" w:sz="4" w:space="0"/>
              <w:right w:val="single" w:color="auto" w:sz="4" w:space="0"/>
            </w:tcBorders>
            <w:shd w:val="clear" w:color="auto" w:fill="auto"/>
            <w:vAlign w:val="center"/>
          </w:tcPr>
          <w:p w14:paraId="63D125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w:t>
            </w:r>
          </w:p>
        </w:tc>
        <w:tc>
          <w:tcPr>
            <w:tcW w:w="1168" w:type="dxa"/>
            <w:tcBorders>
              <w:top w:val="single" w:color="000000" w:sz="4" w:space="0"/>
              <w:left w:val="single" w:color="auto" w:sz="4" w:space="0"/>
              <w:bottom w:val="single" w:color="000000" w:sz="4" w:space="0"/>
              <w:right w:val="single" w:color="auto" w:sz="4" w:space="0"/>
            </w:tcBorders>
            <w:shd w:val="clear" w:color="auto" w:fill="auto"/>
            <w:vAlign w:val="center"/>
          </w:tcPr>
          <w:p w14:paraId="3B263F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不锈钢护栏/防撞护栏</w:t>
            </w:r>
          </w:p>
        </w:tc>
        <w:tc>
          <w:tcPr>
            <w:tcW w:w="902" w:type="dxa"/>
            <w:tcBorders>
              <w:top w:val="single" w:color="000000" w:sz="4" w:space="0"/>
              <w:left w:val="single" w:color="auto" w:sz="4" w:space="0"/>
              <w:bottom w:val="single" w:color="000000" w:sz="4" w:space="0"/>
              <w:right w:val="single" w:color="000000" w:sz="4" w:space="0"/>
            </w:tcBorders>
            <w:shd w:val="clear" w:color="auto" w:fill="auto"/>
            <w:vAlign w:val="center"/>
          </w:tcPr>
          <w:p w14:paraId="30C262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48</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5B97D1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47F8F9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540D66E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u w:val="none"/>
                <w:lang w:val="en-US" w:eastAsia="zh-CN" w:bidi="ar-SA"/>
              </w:rPr>
            </w:pPr>
          </w:p>
        </w:tc>
      </w:tr>
      <w:tr w14:paraId="485D6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DCF3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2"/>
                <w:sz w:val="21"/>
                <w:szCs w:val="21"/>
                <w:highlight w:val="none"/>
                <w:lang w:val="en-US" w:eastAsia="zh-CN"/>
              </w:rPr>
            </w:pPr>
            <w:r>
              <w:rPr>
                <w:rFonts w:hint="eastAsia" w:ascii="宋体" w:hAnsi="宋体" w:eastAsia="宋体" w:cs="宋体"/>
                <w:i w:val="0"/>
                <w:iCs w:val="0"/>
                <w:color w:val="auto"/>
                <w:kern w:val="2"/>
                <w:sz w:val="21"/>
                <w:szCs w:val="21"/>
                <w:highlight w:val="none"/>
                <w:lang w:val="en-US" w:eastAsia="zh-CN"/>
              </w:rPr>
              <w:t>15</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2CF547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花山路桥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4ACAFE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花山路与撇洪沟</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19A59E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2E22F8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10.6</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5F3866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30.6</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576BAB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324.36</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04896A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1335" w:type="dxa"/>
            <w:tcBorders>
              <w:top w:val="single" w:color="000000" w:sz="4" w:space="0"/>
              <w:left w:val="single" w:color="auto" w:sz="4" w:space="0"/>
              <w:bottom w:val="single" w:color="000000" w:sz="4" w:space="0"/>
              <w:right w:val="single" w:color="auto" w:sz="4" w:space="0"/>
            </w:tcBorders>
            <w:shd w:val="clear" w:color="auto" w:fill="auto"/>
            <w:vAlign w:val="center"/>
          </w:tcPr>
          <w:p w14:paraId="52E4CE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3*8</w:t>
            </w:r>
          </w:p>
        </w:tc>
        <w:tc>
          <w:tcPr>
            <w:tcW w:w="810" w:type="dxa"/>
            <w:tcBorders>
              <w:top w:val="single" w:color="000000" w:sz="4" w:space="0"/>
              <w:left w:val="single" w:color="auto" w:sz="4" w:space="0"/>
              <w:bottom w:val="single" w:color="000000" w:sz="4" w:space="0"/>
              <w:right w:val="single" w:color="auto" w:sz="4" w:space="0"/>
            </w:tcBorders>
            <w:shd w:val="clear" w:color="auto" w:fill="auto"/>
            <w:vAlign w:val="center"/>
          </w:tcPr>
          <w:p w14:paraId="14B172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简易断缝</w:t>
            </w:r>
          </w:p>
        </w:tc>
        <w:tc>
          <w:tcPr>
            <w:tcW w:w="720" w:type="dxa"/>
            <w:tcBorders>
              <w:top w:val="single" w:color="000000" w:sz="4" w:space="0"/>
              <w:left w:val="single" w:color="auto" w:sz="4" w:space="0"/>
              <w:bottom w:val="single" w:color="000000" w:sz="4" w:space="0"/>
              <w:right w:val="single" w:color="auto" w:sz="4" w:space="0"/>
            </w:tcBorders>
            <w:shd w:val="clear" w:color="auto" w:fill="auto"/>
            <w:vAlign w:val="center"/>
          </w:tcPr>
          <w:p w14:paraId="039041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w:t>
            </w:r>
          </w:p>
        </w:tc>
        <w:tc>
          <w:tcPr>
            <w:tcW w:w="1168" w:type="dxa"/>
            <w:tcBorders>
              <w:top w:val="single" w:color="000000" w:sz="4" w:space="0"/>
              <w:left w:val="single" w:color="auto" w:sz="4" w:space="0"/>
              <w:bottom w:val="single" w:color="000000" w:sz="4" w:space="0"/>
              <w:right w:val="single" w:color="auto" w:sz="4" w:space="0"/>
            </w:tcBorders>
            <w:shd w:val="clear" w:color="auto" w:fill="auto"/>
            <w:vAlign w:val="center"/>
          </w:tcPr>
          <w:p w14:paraId="1957A3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石材栏杆</w:t>
            </w:r>
          </w:p>
        </w:tc>
        <w:tc>
          <w:tcPr>
            <w:tcW w:w="902" w:type="dxa"/>
            <w:tcBorders>
              <w:top w:val="single" w:color="000000" w:sz="4" w:space="0"/>
              <w:left w:val="single" w:color="auto" w:sz="4" w:space="0"/>
              <w:bottom w:val="single" w:color="000000" w:sz="4" w:space="0"/>
              <w:right w:val="single" w:color="000000" w:sz="4" w:space="0"/>
            </w:tcBorders>
            <w:shd w:val="clear" w:color="auto" w:fill="auto"/>
            <w:vAlign w:val="center"/>
          </w:tcPr>
          <w:p w14:paraId="234793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61.2</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0FFBB6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3DFB55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64BF5E0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u w:val="none"/>
                <w:lang w:val="en-US" w:eastAsia="zh-CN" w:bidi="ar-SA"/>
              </w:rPr>
            </w:pPr>
          </w:p>
        </w:tc>
      </w:tr>
      <w:tr w14:paraId="230FC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1885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2"/>
                <w:sz w:val="21"/>
                <w:szCs w:val="21"/>
                <w:highlight w:val="none"/>
                <w:lang w:val="en-US" w:eastAsia="zh-CN"/>
              </w:rPr>
            </w:pPr>
            <w:r>
              <w:rPr>
                <w:rFonts w:hint="eastAsia" w:ascii="宋体" w:hAnsi="宋体" w:eastAsia="宋体" w:cs="宋体"/>
                <w:i w:val="0"/>
                <w:iCs w:val="0"/>
                <w:color w:val="auto"/>
                <w:kern w:val="2"/>
                <w:sz w:val="21"/>
                <w:szCs w:val="21"/>
                <w:highlight w:val="none"/>
                <w:lang w:val="en-US" w:eastAsia="zh-CN"/>
              </w:rPr>
              <w:t>16</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3DC141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扬子路桥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1E8FAE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扬子路与丰收渠</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034E78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19C2E2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43</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70EAAC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17</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54CC68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731</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0A7487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1335" w:type="dxa"/>
            <w:tcBorders>
              <w:top w:val="single" w:color="000000" w:sz="4" w:space="0"/>
              <w:left w:val="single" w:color="auto" w:sz="4" w:space="0"/>
              <w:bottom w:val="single" w:color="000000" w:sz="4" w:space="0"/>
              <w:right w:val="single" w:color="auto" w:sz="4" w:space="0"/>
            </w:tcBorders>
            <w:shd w:val="clear" w:color="auto" w:fill="auto"/>
            <w:vAlign w:val="center"/>
          </w:tcPr>
          <w:p w14:paraId="626C55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1*13</w:t>
            </w:r>
          </w:p>
        </w:tc>
        <w:tc>
          <w:tcPr>
            <w:tcW w:w="810" w:type="dxa"/>
            <w:tcBorders>
              <w:top w:val="single" w:color="000000" w:sz="4" w:space="0"/>
              <w:left w:val="single" w:color="auto" w:sz="4" w:space="0"/>
              <w:bottom w:val="single" w:color="000000" w:sz="4" w:space="0"/>
              <w:right w:val="single" w:color="auto" w:sz="4" w:space="0"/>
            </w:tcBorders>
            <w:shd w:val="clear" w:color="auto" w:fill="auto"/>
            <w:vAlign w:val="center"/>
          </w:tcPr>
          <w:p w14:paraId="498A8D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型钢</w:t>
            </w:r>
          </w:p>
        </w:tc>
        <w:tc>
          <w:tcPr>
            <w:tcW w:w="720" w:type="dxa"/>
            <w:tcBorders>
              <w:top w:val="single" w:color="000000" w:sz="4" w:space="0"/>
              <w:left w:val="single" w:color="auto" w:sz="4" w:space="0"/>
              <w:bottom w:val="single" w:color="000000" w:sz="4" w:space="0"/>
              <w:right w:val="single" w:color="auto" w:sz="4" w:space="0"/>
            </w:tcBorders>
            <w:shd w:val="clear" w:color="auto" w:fill="auto"/>
            <w:vAlign w:val="center"/>
          </w:tcPr>
          <w:p w14:paraId="098766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1168" w:type="dxa"/>
            <w:tcBorders>
              <w:top w:val="single" w:color="000000" w:sz="4" w:space="0"/>
              <w:left w:val="single" w:color="auto" w:sz="4" w:space="0"/>
              <w:bottom w:val="single" w:color="000000" w:sz="4" w:space="0"/>
              <w:right w:val="single" w:color="auto" w:sz="4" w:space="0"/>
            </w:tcBorders>
            <w:shd w:val="clear" w:color="auto" w:fill="auto"/>
            <w:vAlign w:val="center"/>
          </w:tcPr>
          <w:p w14:paraId="182E3B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混凝土护栏</w:t>
            </w:r>
          </w:p>
        </w:tc>
        <w:tc>
          <w:tcPr>
            <w:tcW w:w="902" w:type="dxa"/>
            <w:tcBorders>
              <w:top w:val="single" w:color="000000" w:sz="4" w:space="0"/>
              <w:left w:val="single" w:color="auto" w:sz="4" w:space="0"/>
              <w:bottom w:val="single" w:color="000000" w:sz="4" w:space="0"/>
              <w:right w:val="single" w:color="000000" w:sz="4" w:space="0"/>
            </w:tcBorders>
            <w:shd w:val="clear" w:color="auto" w:fill="auto"/>
            <w:vAlign w:val="center"/>
          </w:tcPr>
          <w:p w14:paraId="34B770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34</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1FC59A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084A0C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72DDC3C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u w:val="none"/>
                <w:lang w:val="en-US" w:eastAsia="zh-CN" w:bidi="ar-SA"/>
              </w:rPr>
            </w:pPr>
          </w:p>
        </w:tc>
      </w:tr>
      <w:tr w14:paraId="0928C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E817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2"/>
                <w:sz w:val="21"/>
                <w:szCs w:val="21"/>
                <w:highlight w:val="none"/>
                <w:lang w:val="en-US" w:eastAsia="zh-CN"/>
              </w:rPr>
            </w:pPr>
            <w:r>
              <w:rPr>
                <w:rFonts w:hint="eastAsia" w:ascii="宋体" w:hAnsi="宋体" w:eastAsia="宋体" w:cs="宋体"/>
                <w:i w:val="0"/>
                <w:iCs w:val="0"/>
                <w:color w:val="auto"/>
                <w:kern w:val="2"/>
                <w:sz w:val="21"/>
                <w:szCs w:val="21"/>
                <w:highlight w:val="none"/>
                <w:lang w:val="en-US" w:eastAsia="zh-CN"/>
              </w:rPr>
              <w:t>17</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6B7EB9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永乐路桥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3B28A1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永乐路与敬梓路交口北侧</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5BE4B5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43318F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50.00 </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6AFDEC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26.20 </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1078C0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1310.00 </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72482D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1335" w:type="dxa"/>
            <w:tcBorders>
              <w:top w:val="single" w:color="000000" w:sz="4" w:space="0"/>
              <w:left w:val="single" w:color="auto" w:sz="4" w:space="0"/>
              <w:bottom w:val="single" w:color="000000" w:sz="4" w:space="0"/>
              <w:right w:val="single" w:color="auto" w:sz="4" w:space="0"/>
            </w:tcBorders>
            <w:shd w:val="clear" w:color="auto" w:fill="auto"/>
            <w:vAlign w:val="center"/>
          </w:tcPr>
          <w:p w14:paraId="198218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1*20</w:t>
            </w:r>
          </w:p>
        </w:tc>
        <w:tc>
          <w:tcPr>
            <w:tcW w:w="810" w:type="dxa"/>
            <w:tcBorders>
              <w:top w:val="single" w:color="000000" w:sz="4" w:space="0"/>
              <w:left w:val="single" w:color="auto" w:sz="4" w:space="0"/>
              <w:bottom w:val="single" w:color="000000" w:sz="4" w:space="0"/>
              <w:right w:val="single" w:color="auto" w:sz="4" w:space="0"/>
            </w:tcBorders>
            <w:shd w:val="clear" w:color="auto" w:fill="auto"/>
            <w:vAlign w:val="center"/>
          </w:tcPr>
          <w:p w14:paraId="51B2B1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型钢</w:t>
            </w:r>
          </w:p>
        </w:tc>
        <w:tc>
          <w:tcPr>
            <w:tcW w:w="720" w:type="dxa"/>
            <w:tcBorders>
              <w:top w:val="single" w:color="000000" w:sz="4" w:space="0"/>
              <w:left w:val="single" w:color="auto" w:sz="4" w:space="0"/>
              <w:bottom w:val="single" w:color="000000" w:sz="4" w:space="0"/>
              <w:right w:val="single" w:color="auto" w:sz="4" w:space="0"/>
            </w:tcBorders>
            <w:shd w:val="clear" w:color="auto" w:fill="auto"/>
            <w:vAlign w:val="center"/>
          </w:tcPr>
          <w:p w14:paraId="2BAB48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1168" w:type="dxa"/>
            <w:tcBorders>
              <w:top w:val="single" w:color="000000" w:sz="4" w:space="0"/>
              <w:left w:val="single" w:color="auto" w:sz="4" w:space="0"/>
              <w:bottom w:val="single" w:color="000000" w:sz="4" w:space="0"/>
              <w:right w:val="single" w:color="auto" w:sz="4" w:space="0"/>
            </w:tcBorders>
            <w:shd w:val="clear" w:color="auto" w:fill="auto"/>
            <w:vAlign w:val="center"/>
          </w:tcPr>
          <w:p w14:paraId="535A54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石材栏杆</w:t>
            </w:r>
          </w:p>
        </w:tc>
        <w:tc>
          <w:tcPr>
            <w:tcW w:w="902" w:type="dxa"/>
            <w:tcBorders>
              <w:top w:val="single" w:color="000000" w:sz="4" w:space="0"/>
              <w:left w:val="single" w:color="auto" w:sz="4" w:space="0"/>
              <w:bottom w:val="single" w:color="000000" w:sz="4" w:space="0"/>
              <w:right w:val="single" w:color="000000" w:sz="4" w:space="0"/>
            </w:tcBorders>
            <w:shd w:val="clear" w:color="auto" w:fill="auto"/>
            <w:vAlign w:val="center"/>
          </w:tcPr>
          <w:p w14:paraId="4C1635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52.4</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0D4783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415B3E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6A63380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u w:val="none"/>
                <w:lang w:val="en-US" w:eastAsia="zh-CN" w:bidi="ar-SA"/>
              </w:rPr>
            </w:pPr>
          </w:p>
        </w:tc>
      </w:tr>
      <w:tr w14:paraId="7B4DE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025A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2"/>
                <w:sz w:val="21"/>
                <w:szCs w:val="21"/>
                <w:highlight w:val="none"/>
                <w:lang w:val="en-US" w:eastAsia="zh-CN"/>
              </w:rPr>
            </w:pPr>
            <w:r>
              <w:rPr>
                <w:rFonts w:hint="eastAsia" w:ascii="宋体" w:hAnsi="宋体" w:eastAsia="宋体" w:cs="宋体"/>
                <w:i w:val="0"/>
                <w:iCs w:val="0"/>
                <w:color w:val="auto"/>
                <w:kern w:val="2"/>
                <w:sz w:val="21"/>
                <w:szCs w:val="21"/>
                <w:highlight w:val="none"/>
                <w:lang w:val="en-US" w:eastAsia="zh-CN"/>
              </w:rPr>
              <w:t>18</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32D5D8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西涧大桥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1DC027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丰乐大道跨内城河</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7CF7CC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双曲拱桥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5E75C4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23.80 </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703658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87.00 </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54D631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2070.60 </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1706AA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1335" w:type="dxa"/>
            <w:tcBorders>
              <w:top w:val="single" w:color="000000" w:sz="4" w:space="0"/>
              <w:left w:val="single" w:color="auto" w:sz="4" w:space="0"/>
              <w:bottom w:val="single" w:color="000000" w:sz="4" w:space="0"/>
              <w:right w:val="single" w:color="auto" w:sz="4" w:space="0"/>
            </w:tcBorders>
            <w:shd w:val="clear" w:color="auto" w:fill="auto"/>
            <w:vAlign w:val="center"/>
          </w:tcPr>
          <w:p w14:paraId="40364B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36+12+12</w:t>
            </w:r>
          </w:p>
        </w:tc>
        <w:tc>
          <w:tcPr>
            <w:tcW w:w="810" w:type="dxa"/>
            <w:tcBorders>
              <w:top w:val="single" w:color="000000" w:sz="4" w:space="0"/>
              <w:left w:val="single" w:color="auto" w:sz="4" w:space="0"/>
              <w:bottom w:val="single" w:color="000000" w:sz="4" w:space="0"/>
              <w:right w:val="single" w:color="auto" w:sz="4" w:space="0"/>
            </w:tcBorders>
            <w:shd w:val="clear" w:color="auto" w:fill="auto"/>
            <w:vAlign w:val="center"/>
          </w:tcPr>
          <w:p w14:paraId="2BCCAFF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20" w:type="dxa"/>
            <w:tcBorders>
              <w:top w:val="single" w:color="000000" w:sz="4" w:space="0"/>
              <w:left w:val="single" w:color="auto" w:sz="4" w:space="0"/>
              <w:bottom w:val="single" w:color="000000" w:sz="4" w:space="0"/>
              <w:right w:val="single" w:color="auto" w:sz="4" w:space="0"/>
            </w:tcBorders>
            <w:shd w:val="clear" w:color="auto" w:fill="auto"/>
            <w:vAlign w:val="center"/>
          </w:tcPr>
          <w:p w14:paraId="0B4A133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1168" w:type="dxa"/>
            <w:tcBorders>
              <w:top w:val="single" w:color="000000" w:sz="4" w:space="0"/>
              <w:left w:val="single" w:color="auto" w:sz="4" w:space="0"/>
              <w:bottom w:val="single" w:color="000000" w:sz="4" w:space="0"/>
              <w:right w:val="single" w:color="auto" w:sz="4" w:space="0"/>
            </w:tcBorders>
            <w:shd w:val="clear" w:color="auto" w:fill="auto"/>
            <w:vAlign w:val="center"/>
          </w:tcPr>
          <w:p w14:paraId="6AD992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不锈钢栏杆</w:t>
            </w:r>
          </w:p>
        </w:tc>
        <w:tc>
          <w:tcPr>
            <w:tcW w:w="902" w:type="dxa"/>
            <w:tcBorders>
              <w:top w:val="single" w:color="000000" w:sz="4" w:space="0"/>
              <w:left w:val="single" w:color="auto" w:sz="4" w:space="0"/>
              <w:bottom w:val="single" w:color="000000" w:sz="4" w:space="0"/>
              <w:right w:val="single" w:color="000000" w:sz="4" w:space="0"/>
            </w:tcBorders>
            <w:shd w:val="clear" w:color="auto" w:fill="auto"/>
            <w:vAlign w:val="center"/>
          </w:tcPr>
          <w:p w14:paraId="6EA7DF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174</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683F59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6EF7F2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7CF4BF1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u w:val="none"/>
                <w:lang w:val="en-US" w:eastAsia="zh-CN" w:bidi="ar-SA"/>
              </w:rPr>
            </w:pPr>
          </w:p>
        </w:tc>
      </w:tr>
      <w:tr w14:paraId="21173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08F3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2"/>
                <w:sz w:val="21"/>
                <w:szCs w:val="21"/>
                <w:highlight w:val="none"/>
                <w:lang w:val="en-US" w:eastAsia="zh-CN"/>
              </w:rPr>
            </w:pPr>
            <w:r>
              <w:rPr>
                <w:rFonts w:hint="eastAsia" w:ascii="宋体" w:hAnsi="宋体" w:eastAsia="宋体" w:cs="宋体"/>
                <w:i w:val="0"/>
                <w:iCs w:val="0"/>
                <w:color w:val="auto"/>
                <w:kern w:val="2"/>
                <w:sz w:val="21"/>
                <w:szCs w:val="21"/>
                <w:highlight w:val="none"/>
                <w:lang w:val="en-US" w:eastAsia="zh-CN"/>
              </w:rPr>
              <w:t>19</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25E376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永乐路龙蟠河桥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143155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永乐路跨龙蟠河</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3FDDA6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刚架拱桥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473BF8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7.00 </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1FFD31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38.80 </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578433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271.60 </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5C5879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1335" w:type="dxa"/>
            <w:tcBorders>
              <w:top w:val="single" w:color="000000" w:sz="4" w:space="0"/>
              <w:left w:val="single" w:color="auto" w:sz="4" w:space="0"/>
              <w:bottom w:val="single" w:color="000000" w:sz="4" w:space="0"/>
              <w:right w:val="single" w:color="auto" w:sz="4" w:space="0"/>
            </w:tcBorders>
            <w:shd w:val="clear" w:color="auto" w:fill="auto"/>
            <w:vAlign w:val="center"/>
          </w:tcPr>
          <w:p w14:paraId="5D61FE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1*29</w:t>
            </w:r>
          </w:p>
        </w:tc>
        <w:tc>
          <w:tcPr>
            <w:tcW w:w="810" w:type="dxa"/>
            <w:tcBorders>
              <w:top w:val="single" w:color="000000" w:sz="4" w:space="0"/>
              <w:left w:val="single" w:color="auto" w:sz="4" w:space="0"/>
              <w:bottom w:val="single" w:color="000000" w:sz="4" w:space="0"/>
              <w:right w:val="single" w:color="auto" w:sz="4" w:space="0"/>
            </w:tcBorders>
            <w:shd w:val="clear" w:color="auto" w:fill="auto"/>
            <w:vAlign w:val="center"/>
          </w:tcPr>
          <w:p w14:paraId="515A756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20" w:type="dxa"/>
            <w:tcBorders>
              <w:top w:val="single" w:color="000000" w:sz="4" w:space="0"/>
              <w:left w:val="single" w:color="auto" w:sz="4" w:space="0"/>
              <w:bottom w:val="single" w:color="000000" w:sz="4" w:space="0"/>
              <w:right w:val="single" w:color="auto" w:sz="4" w:space="0"/>
            </w:tcBorders>
            <w:shd w:val="clear" w:color="auto" w:fill="auto"/>
            <w:vAlign w:val="center"/>
          </w:tcPr>
          <w:p w14:paraId="5F558BA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1168" w:type="dxa"/>
            <w:tcBorders>
              <w:top w:val="single" w:color="000000" w:sz="4" w:space="0"/>
              <w:left w:val="single" w:color="auto" w:sz="4" w:space="0"/>
              <w:bottom w:val="single" w:color="000000" w:sz="4" w:space="0"/>
              <w:right w:val="single" w:color="auto" w:sz="4" w:space="0"/>
            </w:tcBorders>
            <w:shd w:val="clear" w:color="auto" w:fill="auto"/>
            <w:vAlign w:val="center"/>
          </w:tcPr>
          <w:p w14:paraId="1D4AE7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不锈钢栏杆</w:t>
            </w:r>
          </w:p>
        </w:tc>
        <w:tc>
          <w:tcPr>
            <w:tcW w:w="902" w:type="dxa"/>
            <w:tcBorders>
              <w:top w:val="single" w:color="000000" w:sz="4" w:space="0"/>
              <w:left w:val="single" w:color="auto" w:sz="4" w:space="0"/>
              <w:bottom w:val="single" w:color="000000" w:sz="4" w:space="0"/>
              <w:right w:val="single" w:color="000000" w:sz="4" w:space="0"/>
            </w:tcBorders>
            <w:shd w:val="clear" w:color="auto" w:fill="auto"/>
            <w:vAlign w:val="center"/>
          </w:tcPr>
          <w:p w14:paraId="31292D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77.6</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2B5F5D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IV类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4685ED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591C05C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u w:val="none"/>
                <w:lang w:val="en-US" w:eastAsia="zh-CN" w:bidi="ar-SA"/>
              </w:rPr>
            </w:pPr>
          </w:p>
        </w:tc>
      </w:tr>
      <w:tr w14:paraId="554C4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6879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2"/>
                <w:sz w:val="21"/>
                <w:szCs w:val="21"/>
                <w:highlight w:val="none"/>
                <w:lang w:val="en-US" w:eastAsia="zh-CN"/>
              </w:rPr>
            </w:pPr>
            <w:r>
              <w:rPr>
                <w:rFonts w:hint="eastAsia" w:ascii="宋体" w:hAnsi="宋体" w:eastAsia="宋体" w:cs="宋体"/>
                <w:i w:val="0"/>
                <w:iCs w:val="0"/>
                <w:color w:val="auto"/>
                <w:kern w:val="2"/>
                <w:sz w:val="21"/>
                <w:szCs w:val="21"/>
                <w:highlight w:val="none"/>
                <w:lang w:val="en-US" w:eastAsia="zh-CN"/>
              </w:rPr>
              <w:t>20</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7B351D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西方寺路桥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112CC7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老年公寓西北扬子大道上</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74E1D1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374795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25.50 </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0C392D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39.00 </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06653E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994.50 </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21836C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1335" w:type="dxa"/>
            <w:tcBorders>
              <w:top w:val="single" w:color="000000" w:sz="4" w:space="0"/>
              <w:left w:val="single" w:color="auto" w:sz="4" w:space="0"/>
              <w:bottom w:val="single" w:color="000000" w:sz="4" w:space="0"/>
              <w:right w:val="single" w:color="auto" w:sz="4" w:space="0"/>
            </w:tcBorders>
            <w:shd w:val="clear" w:color="auto" w:fill="auto"/>
            <w:vAlign w:val="center"/>
          </w:tcPr>
          <w:p w14:paraId="2AA462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3*13</w:t>
            </w:r>
          </w:p>
        </w:tc>
        <w:tc>
          <w:tcPr>
            <w:tcW w:w="810" w:type="dxa"/>
            <w:tcBorders>
              <w:top w:val="single" w:color="000000" w:sz="4" w:space="0"/>
              <w:left w:val="single" w:color="auto" w:sz="4" w:space="0"/>
              <w:bottom w:val="single" w:color="000000" w:sz="4" w:space="0"/>
              <w:right w:val="single" w:color="auto" w:sz="4" w:space="0"/>
            </w:tcBorders>
            <w:shd w:val="clear" w:color="auto" w:fill="auto"/>
            <w:vAlign w:val="center"/>
          </w:tcPr>
          <w:p w14:paraId="38395B2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20" w:type="dxa"/>
            <w:tcBorders>
              <w:top w:val="single" w:color="000000" w:sz="4" w:space="0"/>
              <w:left w:val="single" w:color="auto" w:sz="4" w:space="0"/>
              <w:bottom w:val="single" w:color="000000" w:sz="4" w:space="0"/>
              <w:right w:val="single" w:color="auto" w:sz="4" w:space="0"/>
            </w:tcBorders>
            <w:shd w:val="clear" w:color="auto" w:fill="auto"/>
            <w:vAlign w:val="center"/>
          </w:tcPr>
          <w:p w14:paraId="0264C4B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1168" w:type="dxa"/>
            <w:tcBorders>
              <w:top w:val="single" w:color="000000" w:sz="4" w:space="0"/>
              <w:left w:val="single" w:color="auto" w:sz="4" w:space="0"/>
              <w:bottom w:val="single" w:color="000000" w:sz="4" w:space="0"/>
              <w:right w:val="single" w:color="auto" w:sz="4" w:space="0"/>
            </w:tcBorders>
            <w:shd w:val="clear" w:color="auto" w:fill="auto"/>
            <w:vAlign w:val="center"/>
          </w:tcPr>
          <w:p w14:paraId="0C32A9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花岗岩</w:t>
            </w:r>
          </w:p>
        </w:tc>
        <w:tc>
          <w:tcPr>
            <w:tcW w:w="902" w:type="dxa"/>
            <w:tcBorders>
              <w:top w:val="single" w:color="000000" w:sz="4" w:space="0"/>
              <w:left w:val="single" w:color="auto" w:sz="4" w:space="0"/>
              <w:bottom w:val="single" w:color="000000" w:sz="4" w:space="0"/>
              <w:right w:val="single" w:color="000000" w:sz="4" w:space="0"/>
            </w:tcBorders>
            <w:shd w:val="clear" w:color="auto" w:fill="auto"/>
            <w:vAlign w:val="center"/>
          </w:tcPr>
          <w:p w14:paraId="2AA0082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50" w:type="dxa"/>
            <w:tcBorders>
              <w:top w:val="single" w:color="000000" w:sz="4" w:space="0"/>
              <w:left w:val="nil"/>
              <w:bottom w:val="single" w:color="000000" w:sz="4" w:space="0"/>
              <w:right w:val="single" w:color="000000" w:sz="4" w:space="0"/>
            </w:tcBorders>
            <w:shd w:val="clear" w:color="auto" w:fill="auto"/>
            <w:vAlign w:val="center"/>
          </w:tcPr>
          <w:p w14:paraId="430AF0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14D4C4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6C672EA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u w:val="none"/>
                <w:lang w:val="en-US" w:eastAsia="zh-CN" w:bidi="ar-SA"/>
              </w:rPr>
            </w:pPr>
          </w:p>
        </w:tc>
      </w:tr>
    </w:tbl>
    <w:p w14:paraId="227426D0">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备注：清流路跨清流河桥概况</w:t>
      </w:r>
    </w:p>
    <w:p w14:paraId="5F13DB2F">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1.桥梁概况</w:t>
      </w:r>
    </w:p>
    <w:p w14:paraId="09572694">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清流河大桥跨越清流河，西接清流高架，东接清流路与菱溪路交叉口。桥轴线与河道交角为83°，常水位水面宽度约60m。为适应清流河综合治理后两岸的景观要求，清流河大桥桥型确定为(30+120+30)m飞燕式拱桥，边中跨比为0.25。主拱肋、边拱肋横桥向内倾9°。</w:t>
      </w:r>
    </w:p>
    <w:p w14:paraId="171C9C62">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桥梁起点桩号为K1+291.704，终点桩号位K1+501.704，总长210m。桥宽46m，其中两侧各为2.5m、3m宽的非机动车道和人行道，中间为30m宽的车行道。</w:t>
      </w:r>
    </w:p>
    <w:p w14:paraId="09772CAC">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跨跨径120米，两侧边跨为上承式钢筋混凝土悬臂半拱；通过锚固于两侧边拱端部横梁上的系杆使结构形成为自锚体系拱桥。吊杆横梁、肋间横梁与桥面板纵桥向设置支座。立柱与横梁设置支座，柱上横梁与桥面系固结。主拱上设置19对吊杆，吊杆纵向间距为5m，吊杆横桥向水平夹角为81°。吊杆上端锚固于拱肋上弦管锚箱处，下端锚固于吊杆横梁梁底内。吊杆内设磁通量传感器以便对施工过程及后期吊杆应力进行长期监测。每一拱肋设 6 束成品系杆索，单束系杆由 37 根直径 15.20 的环氧喷涂钢绞线外套 PE 层构成索体。系杆内设磁通量传感器以便对施工过程及后期系杆应力进行长期监测。主桥纵桥向设置四道伸缩缝，其中两道设置在主拱肋间横梁的顶面。另外两道伸缩缝设置于桥台交接处，型号均为D80型。</w:t>
      </w:r>
    </w:p>
    <w:p w14:paraId="7AA10F8A">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主墩及桥台基础均采用桩基础形式。</w:t>
      </w:r>
    </w:p>
    <w:p w14:paraId="69F97313">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2.设计标准</w:t>
      </w:r>
    </w:p>
    <w:p w14:paraId="5D84DC93">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 道路等级：城市Ⅰ级主干道</w:t>
      </w:r>
    </w:p>
    <w:p w14:paraId="643BADBE">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 设计行车速度：60km/h</w:t>
      </w:r>
    </w:p>
    <w:p w14:paraId="072B4081">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 道路红线控制宽度：桥面宽度为46米</w:t>
      </w:r>
    </w:p>
    <w:p w14:paraId="5012E098">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 基本车道数：按双向八车道设计，两侧设非机动车道、人行道</w:t>
      </w:r>
    </w:p>
    <w:p w14:paraId="35D3D34B">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 最小平曲线半径：本桥位于直线上</w:t>
      </w:r>
    </w:p>
    <w:p w14:paraId="78D09F9F">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 最大纵坡：2.49%</w:t>
      </w:r>
    </w:p>
    <w:p w14:paraId="4C8A21B5">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7）桥面设计纵坡 0.3％，桥面设计横坡：机动车道、非机动车道采用2.0%坡；人行道及系杆箱采用 1%坡。</w:t>
      </w:r>
    </w:p>
    <w:p w14:paraId="0A8885F7">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 设计荷载：公路Ⅰ级</w:t>
      </w:r>
    </w:p>
    <w:p w14:paraId="3D8C8A0D">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 设计洪水频率：1/100</w:t>
      </w:r>
    </w:p>
    <w:p w14:paraId="0BA8A2D6">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10)地震峰值加速度值为 0.05g</w:t>
      </w:r>
    </w:p>
    <w:p w14:paraId="098716E0">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3.总体设计</w:t>
      </w:r>
    </w:p>
    <w:p w14:paraId="761A5501">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（1）平面设计：</w:t>
      </w:r>
    </w:p>
    <w:p w14:paraId="0DF37B0F">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主桥位于直线上</w:t>
      </w:r>
    </w:p>
    <w:p w14:paraId="4402E32F">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（2）纵断面设计：</w:t>
      </w:r>
    </w:p>
    <w:p w14:paraId="0C9D9E69">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主桥纵坡为 0.3%，竖曲线半径为 9000m。</w:t>
      </w:r>
    </w:p>
    <w:p w14:paraId="61CD531C">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（3）横断面设计：</w:t>
      </w:r>
    </w:p>
    <w:p w14:paraId="4010860E">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主桥标准断面为：2.5m（人行道）+3.0m（非机动车道）+2.5m（拱肋保区） +14.75m（机动车道）+0.5m（双黄线）+14.75m（机动车道）+2.5m（拱肋保护区）+3.0m（非机动车道）+2.5m（人行道），全宽46m。</w:t>
      </w:r>
    </w:p>
    <w:p w14:paraId="3FAE5E1D">
      <w:pPr>
        <w:pStyle w:val="2"/>
        <w:ind w:firstLine="480" w:firstLineChars="200"/>
        <w:rPr>
          <w:rFonts w:hint="default"/>
          <w:color w:val="auto"/>
          <w:highlight w:val="none"/>
          <w:lang w:val="en-US" w:eastAsia="zh-CN"/>
        </w:rPr>
      </w:pPr>
      <w:r>
        <w:rPr>
          <w:rFonts w:hint="eastAsia" w:ascii="宋体" w:hAnsi="宋体" w:eastAsia="宋体" w:cs="宋体"/>
          <w:color w:val="auto"/>
          <w:kern w:val="2"/>
          <w:sz w:val="24"/>
          <w:szCs w:val="24"/>
          <w:highlight w:val="none"/>
          <w:lang w:val="en-US" w:eastAsia="zh-CN" w:bidi="ar"/>
        </w:rPr>
        <w:t>清流路跨清流河桥必须进行动力特性及重要部位的内力静载实验。</w:t>
      </w:r>
    </w:p>
    <w:p w14:paraId="3AE7A98B">
      <w:pPr>
        <w:spacing w:line="360" w:lineRule="auto"/>
        <w:ind w:firstLine="435"/>
        <w:jc w:val="center"/>
        <w:rPr>
          <w:rFonts w:hint="eastAsia" w:ascii="Times New Roman" w:hAnsi="Times New Roman" w:cs="Times New Roman"/>
          <w:color w:val="auto"/>
          <w:sz w:val="24"/>
          <w:szCs w:val="32"/>
          <w:highlight w:val="none"/>
          <w:lang w:eastAsia="zh-CN"/>
        </w:rPr>
      </w:pPr>
      <w:r>
        <w:rPr>
          <w:rFonts w:hint="eastAsia" w:ascii="Times New Roman" w:hAnsi="Times New Roman" w:cs="Times New Roman"/>
          <w:color w:val="auto"/>
          <w:sz w:val="24"/>
          <w:szCs w:val="32"/>
          <w:highlight w:val="none"/>
          <w:lang w:eastAsia="zh-CN"/>
        </w:rPr>
        <w:drawing>
          <wp:inline distT="0" distB="0" distL="114300" distR="114300">
            <wp:extent cx="6703695" cy="4685030"/>
            <wp:effectExtent l="0" t="0" r="1905" b="1270"/>
            <wp:docPr id="1" name="图片 1" descr="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平面图"/>
                    <pic:cNvPicPr>
                      <a:picLocks noChangeAspect="1"/>
                    </pic:cNvPicPr>
                  </pic:nvPicPr>
                  <pic:blipFill>
                    <a:blip r:embed="rId8"/>
                    <a:stretch>
                      <a:fillRect/>
                    </a:stretch>
                  </pic:blipFill>
                  <pic:spPr>
                    <a:xfrm>
                      <a:off x="0" y="0"/>
                      <a:ext cx="6703695" cy="4685030"/>
                    </a:xfrm>
                    <a:prstGeom prst="rect">
                      <a:avLst/>
                    </a:prstGeom>
                    <a:noFill/>
                    <a:ln>
                      <a:noFill/>
                    </a:ln>
                  </pic:spPr>
                </pic:pic>
              </a:graphicData>
            </a:graphic>
          </wp:inline>
        </w:drawing>
      </w:r>
    </w:p>
    <w:p w14:paraId="7ABAA624">
      <w:pPr>
        <w:spacing w:line="360" w:lineRule="auto"/>
        <w:ind w:firstLine="435"/>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32"/>
          <w:highlight w:val="none"/>
          <w:lang w:val="en-US" w:eastAsia="zh-CN"/>
        </w:rPr>
        <w:t>桥梁平面图</w:t>
      </w:r>
    </w:p>
    <w:p w14:paraId="7DE5C639">
      <w:pPr>
        <w:spacing w:line="360" w:lineRule="auto"/>
        <w:ind w:firstLine="435"/>
        <w:jc w:val="center"/>
        <w:rPr>
          <w:rFonts w:hint="eastAsia" w:ascii="宋体" w:hAnsi="宋体" w:eastAsia="宋体" w:cs="宋体"/>
          <w:color w:val="auto"/>
          <w:sz w:val="24"/>
          <w:szCs w:val="24"/>
          <w:highlight w:val="none"/>
          <w:lang w:val="en-US" w:eastAsia="zh-CN"/>
        </w:rPr>
      </w:pPr>
      <w:r>
        <w:rPr>
          <w:rFonts w:hint="eastAsia" w:ascii="Times New Roman" w:hAnsi="Times New Roman" w:cs="Times New Roman"/>
          <w:color w:val="auto"/>
          <w:sz w:val="24"/>
          <w:szCs w:val="32"/>
          <w:highlight w:val="none"/>
          <w:lang w:eastAsia="zh-CN"/>
        </w:rPr>
        <w:drawing>
          <wp:inline distT="0" distB="0" distL="114300" distR="114300">
            <wp:extent cx="6690360" cy="4665980"/>
            <wp:effectExtent l="0" t="0" r="15240" b="1270"/>
            <wp:docPr id="2" name="图片 2" descr="立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立面图"/>
                    <pic:cNvPicPr>
                      <a:picLocks noChangeAspect="1"/>
                    </pic:cNvPicPr>
                  </pic:nvPicPr>
                  <pic:blipFill>
                    <a:blip r:embed="rId9"/>
                    <a:stretch>
                      <a:fillRect/>
                    </a:stretch>
                  </pic:blipFill>
                  <pic:spPr>
                    <a:xfrm>
                      <a:off x="0" y="0"/>
                      <a:ext cx="6690360" cy="4665980"/>
                    </a:xfrm>
                    <a:prstGeom prst="rect">
                      <a:avLst/>
                    </a:prstGeom>
                    <a:noFill/>
                    <a:ln>
                      <a:noFill/>
                    </a:ln>
                  </pic:spPr>
                </pic:pic>
              </a:graphicData>
            </a:graphic>
          </wp:inline>
        </w:drawing>
      </w:r>
    </w:p>
    <w:p w14:paraId="5A7E0D96">
      <w:pPr>
        <w:spacing w:line="360" w:lineRule="auto"/>
        <w:ind w:firstLine="435"/>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桥梁立面图</w:t>
      </w:r>
    </w:p>
    <w:p w14:paraId="0350A989">
      <w:pPr>
        <w:spacing w:line="360" w:lineRule="auto"/>
        <w:ind w:firstLine="435"/>
        <w:jc w:val="center"/>
        <w:rPr>
          <w:rFonts w:hint="eastAsia" w:ascii="宋体" w:hAnsi="宋体" w:eastAsia="宋体" w:cs="宋体"/>
          <w:color w:val="auto"/>
          <w:sz w:val="24"/>
          <w:szCs w:val="24"/>
          <w:highlight w:val="none"/>
          <w:lang w:val="en-US" w:eastAsia="zh-CN"/>
        </w:rPr>
      </w:pPr>
      <w:r>
        <w:rPr>
          <w:rFonts w:hint="default" w:ascii="Times New Roman" w:hAnsi="Times New Roman" w:cs="Times New Roman"/>
          <w:color w:val="auto"/>
          <w:sz w:val="24"/>
          <w:szCs w:val="32"/>
          <w:highlight w:val="none"/>
          <w:lang w:eastAsia="zh-CN"/>
        </w:rPr>
        <w:drawing>
          <wp:inline distT="0" distB="0" distL="114300" distR="114300">
            <wp:extent cx="8851265" cy="3467100"/>
            <wp:effectExtent l="0" t="0" r="6985" b="0"/>
            <wp:docPr id="3" name="图片 3" descr="立面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立面照"/>
                    <pic:cNvPicPr>
                      <a:picLocks noChangeAspect="1"/>
                    </pic:cNvPicPr>
                  </pic:nvPicPr>
                  <pic:blipFill>
                    <a:blip r:embed="rId10"/>
                    <a:stretch>
                      <a:fillRect/>
                    </a:stretch>
                  </pic:blipFill>
                  <pic:spPr>
                    <a:xfrm>
                      <a:off x="0" y="0"/>
                      <a:ext cx="8851265" cy="3467100"/>
                    </a:xfrm>
                    <a:prstGeom prst="rect">
                      <a:avLst/>
                    </a:prstGeom>
                    <a:noFill/>
                    <a:ln>
                      <a:noFill/>
                    </a:ln>
                  </pic:spPr>
                </pic:pic>
              </a:graphicData>
            </a:graphic>
          </wp:inline>
        </w:drawing>
      </w:r>
    </w:p>
    <w:p w14:paraId="38CA69B4">
      <w:pPr>
        <w:spacing w:line="360" w:lineRule="auto"/>
        <w:ind w:firstLine="435"/>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桥梁立面照</w:t>
      </w:r>
    </w:p>
    <w:p w14:paraId="76B46E03">
      <w:pPr>
        <w:spacing w:line="360" w:lineRule="auto"/>
        <w:ind w:firstLine="435"/>
        <w:rPr>
          <w:rFonts w:hint="eastAsia" w:ascii="宋体" w:hAnsi="宋体" w:eastAsia="宋体" w:cs="宋体"/>
          <w:color w:val="auto"/>
          <w:sz w:val="24"/>
          <w:szCs w:val="24"/>
          <w:highlight w:val="none"/>
          <w:lang w:val="en-US" w:eastAsia="zh-CN"/>
        </w:rPr>
      </w:pPr>
    </w:p>
    <w:p w14:paraId="5B0A022B">
      <w:pPr>
        <w:spacing w:line="360" w:lineRule="auto"/>
        <w:ind w:firstLine="435"/>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1.1.2 97座桥梁的</w:t>
      </w:r>
      <w:r>
        <w:rPr>
          <w:rFonts w:hint="eastAsia" w:ascii="宋体" w:hAnsi="宋体" w:eastAsia="宋体" w:cs="宋体"/>
          <w:color w:val="auto"/>
          <w:sz w:val="24"/>
          <w:szCs w:val="24"/>
          <w:highlight w:val="none"/>
          <w:lang w:eastAsia="zh-CN"/>
        </w:rPr>
        <w:t>常规定期检测</w:t>
      </w:r>
      <w:r>
        <w:rPr>
          <w:rFonts w:hint="eastAsia" w:ascii="宋体" w:hAnsi="宋体" w:eastAsia="宋体" w:cs="宋体"/>
          <w:color w:val="auto"/>
          <w:sz w:val="24"/>
          <w:szCs w:val="24"/>
          <w:highlight w:val="none"/>
          <w:lang w:val="en-US" w:eastAsia="zh-CN"/>
        </w:rPr>
        <w:t>，桥梁名称及相关情况如下：</w:t>
      </w:r>
    </w:p>
    <w:tbl>
      <w:tblPr>
        <w:tblStyle w:val="23"/>
        <w:tblW w:w="1505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8"/>
        <w:gridCol w:w="3010"/>
        <w:gridCol w:w="2865"/>
        <w:gridCol w:w="1425"/>
        <w:gridCol w:w="1200"/>
        <w:gridCol w:w="1488"/>
        <w:gridCol w:w="1200"/>
        <w:gridCol w:w="1200"/>
        <w:gridCol w:w="1176"/>
        <w:gridCol w:w="795"/>
      </w:tblGrid>
      <w:tr w14:paraId="04253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6"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D8C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序号</w:t>
            </w:r>
          </w:p>
        </w:tc>
        <w:tc>
          <w:tcPr>
            <w:tcW w:w="3010" w:type="dxa"/>
            <w:tcBorders>
              <w:top w:val="single" w:color="000000" w:sz="4" w:space="0"/>
              <w:left w:val="nil"/>
              <w:bottom w:val="single" w:color="000000" w:sz="4" w:space="0"/>
              <w:right w:val="single" w:color="000000" w:sz="4" w:space="0"/>
            </w:tcBorders>
            <w:shd w:val="clear" w:color="auto" w:fill="auto"/>
            <w:noWrap/>
            <w:vAlign w:val="center"/>
          </w:tcPr>
          <w:p w14:paraId="158392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桥名</w:t>
            </w:r>
          </w:p>
        </w:tc>
        <w:tc>
          <w:tcPr>
            <w:tcW w:w="2865" w:type="dxa"/>
            <w:tcBorders>
              <w:top w:val="single" w:color="000000" w:sz="4" w:space="0"/>
              <w:left w:val="nil"/>
              <w:bottom w:val="single" w:color="000000" w:sz="4" w:space="0"/>
              <w:right w:val="single" w:color="000000" w:sz="4" w:space="0"/>
            </w:tcBorders>
            <w:shd w:val="clear" w:color="auto" w:fill="auto"/>
            <w:noWrap/>
            <w:vAlign w:val="center"/>
          </w:tcPr>
          <w:p w14:paraId="3F8028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位置</w:t>
            </w:r>
          </w:p>
        </w:tc>
        <w:tc>
          <w:tcPr>
            <w:tcW w:w="1425" w:type="dxa"/>
            <w:tcBorders>
              <w:top w:val="single" w:color="000000" w:sz="4" w:space="0"/>
              <w:left w:val="nil"/>
              <w:bottom w:val="single" w:color="000000" w:sz="4" w:space="0"/>
              <w:right w:val="single" w:color="000000" w:sz="4" w:space="0"/>
            </w:tcBorders>
            <w:shd w:val="clear" w:color="auto" w:fill="auto"/>
            <w:noWrap/>
            <w:vAlign w:val="center"/>
          </w:tcPr>
          <w:p w14:paraId="7D2F40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2"/>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结构类型</w:t>
            </w:r>
          </w:p>
        </w:tc>
        <w:tc>
          <w:tcPr>
            <w:tcW w:w="1200" w:type="dxa"/>
            <w:tcBorders>
              <w:top w:val="single" w:color="000000" w:sz="4" w:space="0"/>
              <w:left w:val="nil"/>
              <w:bottom w:val="single" w:color="000000" w:sz="4" w:space="0"/>
              <w:right w:val="single" w:color="000000" w:sz="4" w:space="0"/>
            </w:tcBorders>
            <w:shd w:val="clear" w:color="auto" w:fill="auto"/>
            <w:noWrap/>
            <w:vAlign w:val="center"/>
          </w:tcPr>
          <w:p w14:paraId="7A4249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2"/>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桥梁宽(m)</w:t>
            </w:r>
          </w:p>
        </w:tc>
        <w:tc>
          <w:tcPr>
            <w:tcW w:w="1488" w:type="dxa"/>
            <w:tcBorders>
              <w:top w:val="single" w:color="000000" w:sz="4" w:space="0"/>
              <w:left w:val="nil"/>
              <w:bottom w:val="single" w:color="000000" w:sz="4" w:space="0"/>
              <w:right w:val="single" w:color="000000" w:sz="4" w:space="0"/>
            </w:tcBorders>
            <w:shd w:val="clear" w:color="auto" w:fill="auto"/>
            <w:noWrap/>
            <w:vAlign w:val="center"/>
          </w:tcPr>
          <w:p w14:paraId="57E7AC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2"/>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桥梁总长(m)</w:t>
            </w:r>
          </w:p>
        </w:tc>
        <w:tc>
          <w:tcPr>
            <w:tcW w:w="1200" w:type="dxa"/>
            <w:tcBorders>
              <w:top w:val="single" w:color="000000" w:sz="4" w:space="0"/>
              <w:left w:val="nil"/>
              <w:bottom w:val="single" w:color="000000" w:sz="4" w:space="0"/>
              <w:right w:val="single" w:color="000000" w:sz="4" w:space="0"/>
            </w:tcBorders>
            <w:shd w:val="clear" w:color="auto" w:fill="auto"/>
            <w:noWrap/>
            <w:vAlign w:val="center"/>
          </w:tcPr>
          <w:p w14:paraId="0FA980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面积(㎡)</w:t>
            </w:r>
          </w:p>
        </w:tc>
        <w:tc>
          <w:tcPr>
            <w:tcW w:w="1200" w:type="dxa"/>
            <w:tcBorders>
              <w:top w:val="single" w:color="000000" w:sz="4" w:space="0"/>
              <w:left w:val="nil"/>
              <w:bottom w:val="single" w:color="000000" w:sz="4" w:space="0"/>
              <w:right w:val="single" w:color="000000" w:sz="4" w:space="0"/>
            </w:tcBorders>
            <w:shd w:val="clear" w:color="auto" w:fill="auto"/>
            <w:noWrap/>
            <w:vAlign w:val="center"/>
          </w:tcPr>
          <w:p w14:paraId="04F442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2"/>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养护等级</w:t>
            </w:r>
          </w:p>
        </w:tc>
        <w:tc>
          <w:tcPr>
            <w:tcW w:w="1176" w:type="dxa"/>
            <w:tcBorders>
              <w:top w:val="single" w:color="000000" w:sz="4" w:space="0"/>
              <w:left w:val="nil"/>
              <w:bottom w:val="single" w:color="000000" w:sz="4" w:space="0"/>
              <w:right w:val="single" w:color="000000" w:sz="4" w:space="0"/>
            </w:tcBorders>
            <w:shd w:val="clear" w:color="auto" w:fill="auto"/>
            <w:noWrap/>
            <w:vAlign w:val="center"/>
          </w:tcPr>
          <w:p w14:paraId="607DF52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桥梁规模</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73FFDF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备注</w:t>
            </w:r>
          </w:p>
        </w:tc>
      </w:tr>
      <w:tr w14:paraId="1EAD1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96B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7DD59DC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清流高架跨清流河桥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07C1D76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清流路跨清流河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1BE560F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拱桥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E3B368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46.00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1B3A382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210.00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A8E823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9660.00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F088C2A">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60210A98">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大桥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1ED4DA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53679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A80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2</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3CB5EDE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清流路高架桥跨京沪铁路桥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71310A4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清流路跨铁路</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36E079B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连续梁桥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6D3CCA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22.50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5AA36BA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746.60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B680CE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16798.50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97C37D4">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34AB27F0">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大桥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1E09B9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2636E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F3C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3</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0515509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古马路桥（永济桥）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08C1BD5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古马路与西涧路交口东侧</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1F95385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3C52F8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13.00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0E40B21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205.80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6C565E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2675.40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96F7B8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793D4FAF">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大桥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0632D1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37A15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622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4</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0EA5565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北关桥（曾用名：S311线滁定路新跑洪桥）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78DBF3E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西涧北路跨城西水库北泄洪渠</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4DBC56B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EA110D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19.90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2A41285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105.60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53500C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2101.44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B435661">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634E7F1B">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大桥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3291E0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0D832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8C4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5</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402A77C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世纪大道跨清流河桥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675727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世纪大道跨清流河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63960CB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B4E9D5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37.90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728CD4D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205.30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CCA1FA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7780.87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6B9E7F8">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365A349E">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大桥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0F2EEC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02030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CAB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6</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620405D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世纪大道跨铁路桥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48A6072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世纪大道跨铁路</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10EA0AC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966D90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38.00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4DA1DE8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380.00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D642C7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14440.00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80A0D53">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2E3704C2">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大桥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7E6660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1619B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5FF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7</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419B475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会峰路跨铁路桥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53C5917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会峰路跨铁路</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37BCFA4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7BE2C7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38.00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4A24564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554.40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30C316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21067.20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BB596B1">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217AFD69">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大桥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7892A3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0D799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630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8</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75F2425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洪武路上跨滁马高速立交桥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6BB25EA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洪武路上跨滁马高速</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666FE11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01ED9A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44.00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290C4CB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126.00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F97613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5544.00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0FD40D0">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5055BBB9">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大桥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0E084D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29E9E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3D5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9</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73884E6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会峰路跨清流河桥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3F15D12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会峰路跨清流河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57E2F19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连续梁桥+简支梁桥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26EC79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38.00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4CA7A87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434.45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EA79E6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16509.10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FAD3BC2">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3CA1943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大桥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227BE5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36629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EEE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10</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61CCE76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西大街桥(永丰桥)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07593B3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西大街跨北湖</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424AF4B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拱桥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95E40A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24.00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21664E9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144.70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3C1408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3472.80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A89E34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572FFC4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大桥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0E868A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036BA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3B2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11</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63D9EE0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东阳桥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551A92F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定远路跨南湖</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4DD6575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拱桥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CC233A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4A141A3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105.00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AF0DA2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2100.00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A8B7333">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3596ADCA">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大桥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418796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1C6A1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4C3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12</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2721831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东大街桥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F70537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东大街跨北湖</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01F29AF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拱桥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D8C5B6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24.00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180A3CD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145.00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3A67EA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3480.00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B3CA021">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33605162">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大桥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6EF872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5D377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CBF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13</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5021846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老清流路桥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6A42549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清流路跨清流河桥北边</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E34CDA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桁架桥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86BAD5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11.6</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204FF07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144.10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9C9189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1671.56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3E24EB3">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123E75D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大桥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47F995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412A6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2E9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14</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083600C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宝山桥（曾用名：宝山路跨清流河桥）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4B1499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宝山路跨清流河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7225358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桁架桥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1CA5F2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307783B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342.00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F2FD09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10260.00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F78A73C">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6F7E2600">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大桥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AA459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22BC5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D8D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15</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7F31E67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桑梓路桥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612C332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敬梓路与桑梓路交口南</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9A969C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涵洞</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A3A9B6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36.00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7D93E18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16.00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C575DF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576.00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F063D0B">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7B99625E">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涵洞</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2C1E3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566D9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CB9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16</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107BA90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敬梓路理想创业园桥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FBFA03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理想创业路西</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3D641D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涵洞</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806A88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1F32AF9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16.00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FDF372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800.00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1A71C93">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79432CCB">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涵洞</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39EBCB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549F8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022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17</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65226AE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明光路跨线桥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407F8BB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明光路跨京沪铁路、清流河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0FEFBBE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连续梁桥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1CF98E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32.50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675BCDC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1145.00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781FD6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37212.50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8964268">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0A13EB60">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特大桥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BBAA8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78CE7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4F5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18</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54E7D05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遵阳街立交桥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36AB6B7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遵阳街下穿铁路</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191BD22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下穿桥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3DB251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19.00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6B16369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85484B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570.00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3B8AC2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V类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190B1709">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下穿</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49210D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2C8BB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3AC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19</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79CEC33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清流路立交桥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439E51B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清流路下穿京沪铁路</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6114EBD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下穿桥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C87151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19.00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561864D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370.00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1D7AA5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7030.00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AA4AE55">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V类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48EB73A0">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下穿</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3525D3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21B4A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CFF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20</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1F86447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宝山隧道（曾用名：紫薇路下穿桥）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7AB96A2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紫薇路跨京沪铁路</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619DCE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下穿桥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98D4BE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2B1F835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608.00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D270AD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18240.00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C99FB8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V类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4E6C4B76">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下穿</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45E0E9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490F2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17E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21</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710EFAF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栀子花王隧道（曾用名：龙蟠大道下穿京沪铁路）</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2198E3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龙蟠大道与京沪铁路交口</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58A9D46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下穿桥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1DD888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52.00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19947AC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69.00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A392CF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3588.00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D5EE669">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743DBE94">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下穿</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13E5F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539F5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173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22</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6656A5A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上海路桥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715249C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上海路跨丰收渠</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4070879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7E4DB1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49.50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6F80F87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31.40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0FFF3C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1554.30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A8E2816">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74E06ECA">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F1981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7DB0F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008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23</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7290C23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学院路桥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0EC0D94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西涧路与学院路交口</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683C12C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B4FA37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83.50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6B7B24E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26.80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BF4091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2237.80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D278008">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30BEF2F1">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435253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18F25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D21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24</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1C1240B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创业南路二号桥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0FF33BD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创业南路李郢闸站处</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1A1F1D4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5BCFB1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23.60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7CD3E43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19.30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4F2DEF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455.48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C4109B6">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54A06B39">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1A62A0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51059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B4C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25</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5FB5626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创业南路一号桥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0973EBF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创业南路教堂处</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395BFBC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ACB45C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24.90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16794C0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10.80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AC1435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268.92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77A4CDF">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3E02852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083BF8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529CA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794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26</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166B93E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永阳路桥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6AB09E8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永阳路与扬州路交口东侧</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4A6B4D2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2306B5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60.00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26CA717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19.50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494CD8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1170.00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1104913">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73E83D1F">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7F0A41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31975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054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27</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7404E03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纬四路桥（清流路桥）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4CA4159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清流路与丰收渠</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04E09EC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57A946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7A83C1A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31.40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B759EB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1570.00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BEFC9B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41972647">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7807A3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4B263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595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28</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3684451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坦克一桥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66BA9E4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--在军事管理区内--</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78E5DA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4B2459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8.00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1A4108C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7.20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84C670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57.60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6341133">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1B7F66DE">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6BC1BB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32928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C20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29</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75C0295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紫薇路二桥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5F855E3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盛世华庭熙园南侧</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4AB0E2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BAFA05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42.00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650472F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16.10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83056F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676.20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5A568A0">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5684B82F">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364FF1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48CFF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B3B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30</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0902F66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世纪大道2号桥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8AB8E9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世纪大道与拖秋岭路交口</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C438D8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19843A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50.60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47E32C0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21.40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653D75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1082.84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8C20C9B">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6545B841">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4982B5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4AA19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8B3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31</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2E2F13A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世纪大道3号桥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4AE5FFA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世纪大道与雷桥路交口西</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43F7A3D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F51B2C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50.60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753F324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21.40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7A79B3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1082.84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642900F">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77ABDA0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43F291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11DDB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D5C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32</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62B731A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陈桥一村桥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5ED1FDD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滁州学院内部路跨撇洪沟</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457F11D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6C6167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20.60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26C2167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30.20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63A761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622.12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0EC1CE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62D59A7E">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3D070D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1F613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4B7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33</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7C84C33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陈桥二村桥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5CC737F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会峰路跨撇洪沟</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0D0999C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73299C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35EA910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23.00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341D67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1150.00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F95A730">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16CE7414">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6FC531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4AA4D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D44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34</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186959C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陈桥四村桥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624812B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长乐路与西涧路交口西南</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E0F84A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04A622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11.10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324EE81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31.00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68654C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344.10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B16D48F">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40CD1AEF">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642A5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3811E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F72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35</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50D127A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醉翁路桥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36A390A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醉翁路与虹桥路交口东侧</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3749460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533DD1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2BDD018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17.80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56DE77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890.00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F91939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2770C863">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4C27A4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22395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923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36</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2768F1E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坦克二桥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72A3640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--在军事管理区内--</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27D369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94A4B9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4111113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7.20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098BB3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72.00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5D8AE8B">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662FF4F8">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843DC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2BA5F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849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37</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1A0D3A2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花园路桥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005EB7D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花园路与西涧路交口西侧</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6CEAB07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7F4BF7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11.20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5196764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27.20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85D111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304.64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E94A669">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1E56EAC5">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6EFD2A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3D29A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FA7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38</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48A1FB7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经三路桥（南京路桥）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5630FBE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南京路与丰收渠</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40C3495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76BAC0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37.50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05FCF06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36.00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86DF5E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1350.00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5B389B6">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5B1550F7">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4E8B39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209BC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E9A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39</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3035A38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中学路桥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7AA745F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中学路与菱溪路河交口</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32AB2EE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E8F45F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20.50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06EB8CB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34.80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230A99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713.40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DB64A19">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3641A04C">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44B908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30308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1D3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40</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575475C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文德桥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7FF5B51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育新北巷跨内城河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684D647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8F2B89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3.65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4320276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27.20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2B9E84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99.28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0C6E1BB">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4D2C01C1">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15D61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57C13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C06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41</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03FBC25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世纪大道4号桥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18F8F78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金鹏山河境西北角 世纪大道上</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0F00E2E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6B88CB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49.00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516AA31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26.00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DA57FA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1274.00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A7CE37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292F4B1C">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6D6394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67A6A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CE6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42</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0BE5784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清流路与黄山路</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37AE315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清流路与菱溪河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7CF8897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3953F8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48.60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317A7F3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34.40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A3992D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1671.84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ABD0199">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5425A2EE">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9AB4F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74CBA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6A6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43</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5D45053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世纪大道1号桥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68D4155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世纪大道与黄山路交口西</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37D371C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D1C202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45.40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72115B1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12.00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52A268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544.80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A182856">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5373914B">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60D3FA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40BB4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F00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44</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138D584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花山路桥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53D6917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花山路与撇洪沟</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73798F7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B7B589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10.60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0557B67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30.60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D8474E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324.36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7741DB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4FE996C6">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E2441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49E26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274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45</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0653122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扬子路桥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7170D48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扬子路与丰收渠</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D15C9D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1B2484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43.00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39D2F58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17.00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7C2167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731.00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BA2BD72">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423F562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055527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79D2D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75A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46</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709E8C0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花园路与儒林路桥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2B9E0B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花园路跨城西干渠</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7170191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334F23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49.20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165FE77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16.50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443A85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811.80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86E3145">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5BCFCB89">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6AE207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62905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680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47</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17803ED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九江路与南京路桥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55BF2B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九江路跨丰收渠</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3F44DF0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C664A1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36.60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5F6D150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34.80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4AFEA8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1273.68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AC208CA">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5D9E837E">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2F7BD7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1A2DF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934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48</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0937688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九江路与黄山路桥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0941088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九江路跨菱溪河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0313D55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0778D0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36.70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7F76020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34.80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EADF99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1277.16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F70F763">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160E8ABE">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0EC5BB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354D7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1E9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49</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416BD24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黄山路与九江路桥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58B21A9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黄山路跨菱溪河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B54952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757C1D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36.90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15B2A28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35.00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A9A7DD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1291.50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C269531">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3C4CE76C">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36048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79C64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753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50</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3B8EB79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黄山路与扬子路桥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05D19F5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黄山路跨丰收渠</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EB7074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A97946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35.60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3712717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28.20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03DD24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1003.92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09D6A19">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09BF24F2">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34A568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3AC1F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3FB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51</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2C7C0B0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天龙池桥（曾用名：紫薇北路桥）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12C1EED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紫薇路跨内城河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347A1CA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连续梁桥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85C5A0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272CF48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61.20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9C55F0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1836.00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0BD9D35">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39E65EDE">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1A057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5F464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64D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52</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432E3BC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南谯南路一号桥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0017BB3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南谯南路与龙兴路辅道交口南</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37FDA94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DCC926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67.00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3D9200F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35.70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108237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2391.90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85DBAEA">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3272491C">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066569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0197B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741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53</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528A1C3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南谯南路二号桥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73BACF8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南谯南路与恒丰路交口南</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7398633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DCF87E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65.00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6ED5241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35.80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F8081F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2327.00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43E14B1">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63576E93">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2C91FF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15214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634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54</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5CBE5FB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滁州火车站广场人行天桥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33FE163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火车站广场处</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681C610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02D93B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3.60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7336CEB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24.90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A83F02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89.64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F1D869F">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77132034">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小桥（人行天桥）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2A2F0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60045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EB5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55</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7D6689A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双龙桥（曾用名：南谯南路桥（跨龙蟠河））</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04CED44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南谯路与龙蟠河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7C9466D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D04119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60.00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2045F62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37.00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61562D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2220.00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2CABA50">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7AA318DC">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02D5D2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65A2D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6F4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56</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0374535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保生桥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447FFC4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南谯路与南湖/护城河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5C5B8E5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拱桥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05B35A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51.20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5D9AD94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60.00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643AB0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3072.00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83EFBDB">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19841F3E">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25A88F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3FF17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056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57</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3B6466F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览山桥（曾用名：西涧路跨龙蟠河桥）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3C704E5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西涧路跨龙蟠河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4C91BF5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连续梁桥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05AFDD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50.50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15A1128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75.00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AF7BBA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3787.50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958B5AC">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33682DF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75B3DB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102CE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A36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58</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77D48AB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南大桥（通济桥）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4040EBD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南谯路与内城河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70B747B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拱桥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E38931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41.00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3C2CAC8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52.50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EFEC15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2152.50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1E0EB5C">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7192B461">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495A16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66C7A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267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59</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1349E17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西涧大桥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5465526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丰乐大道跨内城河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4973118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双曲拱桥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2FE085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23.80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456B2CA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87.00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4615A8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2070.60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7D56DAC">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645C7F0C">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7C8AFA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4A725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377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60</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22D2759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闻莺桥（曾用名：永乐路龙蟠河桥）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495E5DD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永乐路跨龙蟠河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6F232FC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刚架拱桥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103E44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7.00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5B96FF9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38.80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1CF84C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271.60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EF64C65">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IV类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7698DFEE">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6D1650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14548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9FB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61</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522147F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驿道桥（曾用名：凤阳路龙蟠河桥）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3102A69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凤阳路跨龙蟠河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03C539A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6B7338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50.60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0D7F797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39.00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3CF57C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1973.40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8ED810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31C50190">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B927F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5BB1E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09F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62</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4E5A89C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陡岗桥（曾用名：全椒路龙蟠河桥）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01CC0E3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全椒路跨龙蟠河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5D87264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B0CFCB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44.10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524289D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37.00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DA9A72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1631.70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39A9D46">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061EF2B5">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7DBB3E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735A1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E29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63</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1DD7338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蟠龙桥（曾用名：丰乐南路龙蟠河桥）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6741B9B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丰乐南路跨龙蟠河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6E2444D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FC3D2D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4E0C9B1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44.60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443094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2230.00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2DCFC1F">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3B262046">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78A8C7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6B717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90F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64</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303B800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书香桥（曾用名：中都大道桥）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0EB1890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中都大道跨龙蟠路</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59108B8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48C795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60.00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389F3D4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37.00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38F3D8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2220.00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838EB08">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6CC96A48">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7B20AF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4856F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FA1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65</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29ADF8C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古胜桥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40A0E76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丰乐大道跨南湖</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5EA7902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拱桥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3416E9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24.70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125FE2A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54.00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F8C750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1333.80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5257B90">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2FAAECB1">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14FA26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297DF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E6E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66</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58FA9AA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双郢桥（曾用名：儒林路桥）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3FF2C19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阳明路跨龙蟠河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7082BDA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34A3D2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24.20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480B385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44.60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D7E5E9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1079.32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04C7FAB">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38FBFC7B">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1839FE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5884D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BF0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67</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1C6020F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上庄桥（曾用名：紫薇南路桥）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0117255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紫薇路跨龙蟠河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070769E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63B64A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44.80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66DA918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44.20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3686F9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1980.16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08293AB">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02049EF2">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7C4BD0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2FF4B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01F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68</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1FA6EFD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拱极门桥（曾用名：南谯北路桥）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586EA94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南桥北路跨北湖桥</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184B54D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拱桥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0EFEC7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24.00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7E2B977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160.20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07C452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3844.80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AA0C1B5">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3385EBFE">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7E083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2B69E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FD2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69</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39F16EE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知行桥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4FA358B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滁州学院内部路与西涧路交口</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65F2690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连续梁桥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0E6DA1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47.00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1D7F6EA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64.30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3CDDD3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3022.10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DBB6286">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11AC7738">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607A66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1DCDA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994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70</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57B2CC7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明德桥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3BB0B5F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会峰路与西涧路交口</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337234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1DA6A5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130.50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777C991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40.80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E005B8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5324.40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ECED616">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55B6FD73">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3C587E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0900F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7E3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71</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396B7A5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野渡桥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6B7C3E4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西涧北路跨城西水库南泄洪渠</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6A070DD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连续梁桥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FC1E67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497B16A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94.20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392333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2826.00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053857A">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592A1979">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2B7F5D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63D29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DE5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72</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59D5FB3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永乐路桥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EFEF01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永乐路与敬梓路交口北侧</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104626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44324F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5096F0C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26.20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27F8C1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1310.00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545140C">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437F43C1">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1209C0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49F9C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8F8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73</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48E5133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新大桥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60DAD27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明光路桥北侧</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4702F7C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空腹式板拱桥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E2C876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11.60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355A9D8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102.00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38665B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1183.20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FCFC080">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24D224B2">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6DAF51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15D6B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6A4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74</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6B4A115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迴龙桥（曾用名：金陵路桥）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6AEB1A2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金陵路跨龙蟠河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618DF8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44AD0A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60.30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1EE166C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35.20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EF5BD8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2122.56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57A014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2BA1C371">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01065E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26409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C18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75</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6FAB469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苏拢坝泄洪渠桥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EA257E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龙蟠河苏拢坝处</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135CF2A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26AC3C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8.00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1BF5E63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85.50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0C6894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684.00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76DD15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23D99ED8">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17C558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736BC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C58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76</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60A2D64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五川桥（曾用名：五孔桥）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09604A1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老五孔桥</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5420E05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拱桥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863235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6.70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18D0E62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137.50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D16664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921.25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29B49E5">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2E63E267">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60B556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60E06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374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77</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215B204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孟公桥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7E8C949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孟公巷跨内城河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0B44550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双曲拱桥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3ED8A0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3.90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75B41F0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40.00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64B730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156.00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C87B220">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113EBB42">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7C31F4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69250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6E6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78</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709F234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西方寺路桥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E5855C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老年公寓西北扬子大道上</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3578FFD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6E301D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25.50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3D50864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39.00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771568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994.50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BE4B9BC">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75B1AE59">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1DDB96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0F03A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B82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79</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7432235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南谯南路三号桥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7FB3D78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南谯南路与明湖大道北</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491E84E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B3FB0A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65.00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584CF7C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25.40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E24AE1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1651.00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E09882B">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044DE7E3">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DF45A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67A37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093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80</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0C60D15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崇礼桥（曾用名：南谯南路与龙兴河桥）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070C681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南谯南路与龙兴河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0DF0E23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梁拱组合桥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42B873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58.00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56EBF15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105.08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CA8433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6094.64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607A7BF">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70EAAD02">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E0E9A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57DE6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4C4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81</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28A12AF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梅圃桥（曾用名：全椒路与龙兴河桥）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69A3158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全椒路与龙兴河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508A739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梁拱组合桥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D875DC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51.00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3A1BE92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100.00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FDA0D0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5100.00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7B3D8D2">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2828EE18">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F86E0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44D33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139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82</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181906E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西方寺桥（曾用名：新五孔桥）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127F6E5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遵阳街桥</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6437818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连续梁桥+简支梁桥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4D3EA0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8.00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05398E1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220.00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119827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1760.00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8A6532B">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3E8C9632">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711F4E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21325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2AF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83</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2F97056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昌盛路桥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3487724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昌盛路K0+823.794~K0+963.704</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170C3D6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拉杆拱桥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62D7FB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78C81CF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146.04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1DE001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7302.00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7DFB0F4">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495B4C9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3B2C88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135D1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C1B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84</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5D05731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腰坝桥（曾用名：新安江路桥）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4631EF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新安江路与菱溪水渠</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670A3B5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5E7494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36.00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0925900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35.00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51D627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1260.00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20A2D56">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6FE9FE68">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379DBF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2A19F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613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85</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6263314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菱溪路立交桥（曾用名：菱溪路跨世纪大道桥）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5F40054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菱溪路与世纪大道交口上方</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A2B0CE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连续梁桥+简支梁桥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750FC1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26.50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7475953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748.10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1BD8A2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19824.65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D734448">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264901EE">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35049E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6D03D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BF6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86</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7B27F7A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腰铺人行天桥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54C0ADA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丰乐大道与京沪高铁南侧</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5879AF8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连续梁桥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A99417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4.40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3527365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60.00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0D1EC2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264.00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9373068">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05C36AC4">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中桥（人行天桥）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41D718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150C3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712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87</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38912A5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范郢人行天桥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446E546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第一污水处理厂南</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D14C9D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6D7828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2.10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0A60CBE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103.00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9E4DED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216.30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7C24C06">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4577B4A9">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中桥（人行天桥）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32E07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7D634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B48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88</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633A1A4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万达人行天桥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F06586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万达广场</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3178A4D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7AEA07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3.60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2BBF52C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40.20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B41317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144.72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8F13D00">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73982EF0">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中桥（人行天桥）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24A5C4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14250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118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89</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298A08C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创业南路跨龙蟠河桥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0F6182E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创业路跨龙蟠河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5A3C60A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连续梁桥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0EDF8D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23.00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5C16050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315.00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B5997A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7245.00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BC0583F">
            <w:pPr>
              <w:keepNext w:val="0"/>
              <w:keepLines w:val="0"/>
              <w:suppressLineNumbers w:val="0"/>
              <w:spacing w:before="0" w:beforeAutospacing="0" w:after="0" w:afterAutospacing="0"/>
              <w:ind w:left="0" w:right="0"/>
              <w:rPr>
                <w:rFonts w:hint="eastAsia" w:ascii="宋体" w:hAnsi="宋体" w:eastAsia="宋体" w:cs="宋体"/>
                <w:i w:val="0"/>
                <w:iCs w:val="0"/>
                <w:color w:val="auto"/>
                <w:sz w:val="21"/>
                <w:szCs w:val="21"/>
                <w:highlight w:val="none"/>
                <w:u w:val="none"/>
                <w:lang w:val="en-US" w:eastAsia="zh-CN"/>
              </w:rPr>
            </w:pP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025A5DDF">
            <w:pPr>
              <w:keepNext w:val="0"/>
              <w:keepLines w:val="0"/>
              <w:suppressLineNumbers w:val="0"/>
              <w:spacing w:before="0" w:beforeAutospacing="0" w:after="0" w:afterAutospacing="0"/>
              <w:ind w:left="0" w:right="0"/>
              <w:rPr>
                <w:rFonts w:hint="eastAsia" w:ascii="宋体" w:hAnsi="宋体" w:eastAsia="宋体" w:cs="宋体"/>
                <w:i w:val="0"/>
                <w:iCs w:val="0"/>
                <w:color w:val="auto"/>
                <w:sz w:val="21"/>
                <w:szCs w:val="21"/>
                <w:highlight w:val="none"/>
                <w:u w:val="none"/>
                <w:lang w:val="en-US" w:eastAsia="zh-CN"/>
              </w:rPr>
            </w:pP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2A17E3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14B70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5F4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90</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3363EBB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清琅大桥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1907E27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西涧路跨清流河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7115D61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斜拉桥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61F770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lang w:val="en-US" w:eastAsia="zh-CN"/>
              </w:rPr>
            </w:pP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18F6327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lang w:val="en-US" w:eastAsia="zh-CN"/>
              </w:rPr>
            </w:pP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6B1979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lang w:val="en-US" w:eastAsia="zh-CN"/>
              </w:rPr>
            </w:pP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E3BD3B2">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491867E2">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大桥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0CAC18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5D09B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9CF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91</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72A01D8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龙兴路下穿南谯路</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30227E7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龙兴路与南谯路交口</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0427BCB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下穿桥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44403C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35.00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302CF5C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553.00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78FA14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19355.00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01F208B">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589A41EA">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下穿</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34252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292F3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222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92</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6E5289E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龙兴路下穿丰乐大道</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31339E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龙兴路与丰乐大道交口</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4800560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下穿桥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421262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35.00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384F27F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654.00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D2D4CF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22890.00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3AE6149">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726293A9">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下穿</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4A3A53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2BE73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3D4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93</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2F737D2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龙兴路下穿滁州大道</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428BAFF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龙兴路与滁州大道交口</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3ADF9A3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下穿桥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1F6C21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35.90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6948F45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554.00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D118E7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19888.60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2BA4D2A">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42991D71">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下穿</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6D76EF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256BA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7E0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94</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71D4973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龙兴路1号桥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409D326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龙兴路与全椒路交口西侧</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0103EE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ED6548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60.00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1367FF2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36.00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65B6B4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2160.00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DC5C7F5">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35C4CC3A">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4A2430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7FCE7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FD2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95</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5EC29E8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龙兴路2号桥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5DACCBD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龙兴路与仁义路交口西侧</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2D4B0A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4F3E7F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60.00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51553E6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36.00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8852A3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2160.00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D9DCEE2">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74B93BF1">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448D92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3B4F9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26B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96</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75A0B2F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紫薇路1号人行道下穿</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0E826EF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紫薇路垃圾站附近</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1248AF9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lang w:val="en-US" w:eastAsia="zh-CN"/>
              </w:rPr>
            </w:pP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177F4F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lang w:val="en-US" w:eastAsia="zh-CN"/>
              </w:rPr>
            </w:pP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4637C2F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lang w:val="en-US" w:eastAsia="zh-CN"/>
              </w:rPr>
            </w:pP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BCCD7E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lang w:val="en-US" w:eastAsia="zh-CN"/>
              </w:rPr>
            </w:pP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86F22CF">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57BA567E">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下穿</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3C4652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7839D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ECE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97</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5E1E834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紫薇路2号人行道下穿</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A004C7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紫薇路与南谯路交口西</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6C1942D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lang w:val="en-US" w:eastAsia="zh-CN"/>
              </w:rPr>
            </w:pP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41FE0E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lang w:val="en-US" w:eastAsia="zh-CN"/>
              </w:rPr>
            </w:pP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26B61C6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lang w:val="en-US" w:eastAsia="zh-CN"/>
              </w:rPr>
            </w:pP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179ED6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lang w:val="en-US" w:eastAsia="zh-CN"/>
              </w:rPr>
            </w:pP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02D25FB">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7D122232">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下穿</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2BC59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bl>
    <w:p w14:paraId="70EF635B">
      <w:pPr>
        <w:spacing w:line="360" w:lineRule="auto"/>
        <w:ind w:firstLine="435"/>
        <w:rPr>
          <w:rFonts w:hint="eastAsia" w:ascii="宋体" w:hAnsi="宋体" w:eastAsia="宋体" w:cs="宋体"/>
          <w:color w:val="auto"/>
          <w:sz w:val="24"/>
          <w:szCs w:val="24"/>
          <w:highlight w:val="none"/>
          <w:lang w:eastAsia="zh-CN"/>
        </w:rPr>
      </w:pPr>
    </w:p>
    <w:p w14:paraId="5F91EBB5">
      <w:pPr>
        <w:spacing w:line="360" w:lineRule="auto"/>
        <w:ind w:firstLine="435"/>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1.2 本项目采用的桥梁检测技术标准与规范</w:t>
      </w:r>
    </w:p>
    <w:p w14:paraId="52AA4E06">
      <w:pPr>
        <w:spacing w:line="360" w:lineRule="auto"/>
        <w:ind w:firstLine="435"/>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1)本项目的桥梁检测过程、检测数据采集、处理和检测结果、报告等必须要符合并执行国家、行业现行有效的标准、规范。</w:t>
      </w:r>
    </w:p>
    <w:p w14:paraId="1A7C9DEA">
      <w:pPr>
        <w:spacing w:line="360" w:lineRule="auto"/>
        <w:ind w:firstLine="435"/>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2)在桥梁检测过程中，如果国家、行业及有关部门颁布了新的技术标准或规范，则应采用新的标准或规范进行检测。</w:t>
      </w:r>
    </w:p>
    <w:p w14:paraId="47DDFE8D">
      <w:pPr>
        <w:spacing w:line="360" w:lineRule="auto"/>
        <w:ind w:firstLine="435"/>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3)中标人在桥梁检测工作中必须使用中华人民共和国《工程建设标准强制性条文》和下述标准、规范（可能使用但不限于下述标准或规范）：</w:t>
      </w:r>
    </w:p>
    <w:tbl>
      <w:tblPr>
        <w:tblStyle w:val="23"/>
        <w:tblW w:w="0" w:type="auto"/>
        <w:tblInd w:w="52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121"/>
        <w:gridCol w:w="5817"/>
      </w:tblGrid>
      <w:tr w14:paraId="3C0C3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8" w:hRule="atLeast"/>
        </w:trPr>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46AD9">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 (JTG 5120-2021)</w:t>
            </w:r>
          </w:p>
        </w:tc>
        <w:tc>
          <w:tcPr>
            <w:tcW w:w="5817" w:type="dxa"/>
            <w:tcBorders>
              <w:top w:val="single" w:color="000000" w:sz="4" w:space="0"/>
              <w:left w:val="nil"/>
              <w:bottom w:val="single" w:color="000000" w:sz="4" w:space="0"/>
              <w:right w:val="single" w:color="000000" w:sz="4" w:space="0"/>
            </w:tcBorders>
            <w:shd w:val="clear" w:color="auto" w:fill="auto"/>
            <w:vAlign w:val="center"/>
          </w:tcPr>
          <w:p w14:paraId="756C524D">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《公路桥涵养护规范》</w:t>
            </w:r>
          </w:p>
        </w:tc>
      </w:tr>
      <w:tr w14:paraId="30DBE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trPr>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0CB85">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 (JTG B01-2014)</w:t>
            </w:r>
          </w:p>
        </w:tc>
        <w:tc>
          <w:tcPr>
            <w:tcW w:w="5817" w:type="dxa"/>
            <w:tcBorders>
              <w:top w:val="single" w:color="000000" w:sz="4" w:space="0"/>
              <w:left w:val="nil"/>
              <w:bottom w:val="single" w:color="000000" w:sz="4" w:space="0"/>
              <w:right w:val="single" w:color="000000" w:sz="4" w:space="0"/>
            </w:tcBorders>
            <w:shd w:val="clear" w:color="auto" w:fill="auto"/>
            <w:vAlign w:val="center"/>
          </w:tcPr>
          <w:p w14:paraId="75A739AA">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《公路工程技术标准》</w:t>
            </w:r>
          </w:p>
        </w:tc>
      </w:tr>
      <w:tr w14:paraId="3381F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332DD">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 (JTG/T 5190-2019)</w:t>
            </w:r>
          </w:p>
        </w:tc>
        <w:tc>
          <w:tcPr>
            <w:tcW w:w="5817" w:type="dxa"/>
            <w:tcBorders>
              <w:top w:val="single" w:color="000000" w:sz="4" w:space="0"/>
              <w:left w:val="nil"/>
              <w:bottom w:val="single" w:color="000000" w:sz="4" w:space="0"/>
              <w:right w:val="single" w:color="000000" w:sz="4" w:space="0"/>
            </w:tcBorders>
            <w:shd w:val="clear" w:color="auto" w:fill="auto"/>
            <w:vAlign w:val="center"/>
          </w:tcPr>
          <w:p w14:paraId="6800817F">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《农村公路养护技术规范》</w:t>
            </w:r>
          </w:p>
        </w:tc>
      </w:tr>
      <w:tr w14:paraId="621E0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1" w:hRule="atLeast"/>
        </w:trPr>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07835">
            <w:pPr>
              <w:keepNext w:val="0"/>
              <w:keepLines w:val="0"/>
              <w:widowControl w:val="0"/>
              <w:numPr>
                <w:ilvl w:val="0"/>
                <w:numId w:val="1"/>
              </w:numPr>
              <w:suppressLineNumbers w:val="0"/>
              <w:spacing w:before="0" w:beforeAutospacing="0" w:after="0" w:afterAutospacing="0" w:line="440" w:lineRule="exact"/>
              <w:ind w:left="0" w:leftChars="0" w:right="0" w:rightChars="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(JTG D60-2015)</w:t>
            </w:r>
          </w:p>
        </w:tc>
        <w:tc>
          <w:tcPr>
            <w:tcW w:w="5817" w:type="dxa"/>
            <w:tcBorders>
              <w:top w:val="single" w:color="000000" w:sz="4" w:space="0"/>
              <w:left w:val="nil"/>
              <w:bottom w:val="single" w:color="000000" w:sz="4" w:space="0"/>
              <w:right w:val="single" w:color="000000" w:sz="4" w:space="0"/>
            </w:tcBorders>
            <w:shd w:val="clear" w:color="auto" w:fill="auto"/>
            <w:vAlign w:val="center"/>
          </w:tcPr>
          <w:p w14:paraId="0FB9E18E">
            <w:pPr>
              <w:keepNext w:val="0"/>
              <w:keepLines w:val="0"/>
              <w:widowControl w:val="0"/>
              <w:suppressLineNumbers w:val="0"/>
              <w:spacing w:before="0" w:beforeAutospacing="0" w:after="0" w:afterAutospacing="0" w:line="440" w:lineRule="exact"/>
              <w:ind w:left="0" w:right="0"/>
              <w:jc w:val="center"/>
              <w:rPr>
                <w:rFonts w:hint="default" w:ascii="宋体" w:hAnsi="宋体" w:eastAsia="宋体" w:cs="宋体"/>
                <w:color w:val="auto"/>
                <w:kern w:val="2"/>
                <w:sz w:val="21"/>
                <w:szCs w:val="21"/>
                <w:highlight w:val="none"/>
                <w:lang w:val="en-US"/>
              </w:rPr>
            </w:pPr>
            <w:r>
              <w:rPr>
                <w:rFonts w:hint="eastAsia" w:ascii="宋体" w:hAnsi="宋体" w:eastAsia="宋体" w:cs="宋体"/>
                <w:color w:val="auto"/>
                <w:kern w:val="2"/>
                <w:sz w:val="21"/>
                <w:szCs w:val="21"/>
                <w:highlight w:val="none"/>
                <w:lang w:val="en-US" w:eastAsia="zh-CN" w:bidi="ar"/>
              </w:rPr>
              <w:t>《公路桥涵设计通用规范》</w:t>
            </w:r>
          </w:p>
        </w:tc>
      </w:tr>
      <w:tr w14:paraId="37C8F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A294D">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 (</w:t>
            </w:r>
            <w:r>
              <w:rPr>
                <w:rFonts w:hint="eastAsia" w:ascii="宋体" w:hAnsi="宋体" w:eastAsia="宋体" w:cs="宋体"/>
                <w:color w:val="auto"/>
                <w:kern w:val="2"/>
                <w:sz w:val="21"/>
                <w:szCs w:val="21"/>
                <w:highlight w:val="none"/>
                <w:lang w:val="en-US" w:eastAsia="zh-CN" w:bidi="ar"/>
              </w:rPr>
              <w:fldChar w:fldCharType="begin"/>
            </w:r>
            <w:r>
              <w:rPr>
                <w:rFonts w:hint="eastAsia" w:ascii="宋体" w:hAnsi="宋体" w:eastAsia="宋体" w:cs="宋体"/>
                <w:color w:val="auto"/>
                <w:kern w:val="2"/>
                <w:sz w:val="21"/>
                <w:szCs w:val="21"/>
                <w:highlight w:val="none"/>
                <w:lang w:val="en-US" w:eastAsia="zh-CN" w:bidi="ar"/>
              </w:rPr>
              <w:instrText xml:space="preserve"> HYPERLINK "http://www.csres.com/detail/317958.html" \t "http://www.csres.com/detail/_blank" </w:instrText>
            </w:r>
            <w:r>
              <w:rPr>
                <w:rFonts w:hint="eastAsia" w:ascii="宋体" w:hAnsi="宋体" w:eastAsia="宋体" w:cs="宋体"/>
                <w:color w:val="auto"/>
                <w:kern w:val="2"/>
                <w:sz w:val="21"/>
                <w:szCs w:val="21"/>
                <w:highlight w:val="none"/>
                <w:lang w:val="en-US" w:eastAsia="zh-CN" w:bidi="ar"/>
              </w:rPr>
              <w:fldChar w:fldCharType="separate"/>
            </w:r>
            <w:r>
              <w:rPr>
                <w:rFonts w:hint="eastAsia" w:ascii="宋体" w:hAnsi="宋体" w:eastAsia="宋体" w:cs="宋体"/>
                <w:color w:val="auto"/>
                <w:kern w:val="2"/>
                <w:sz w:val="21"/>
                <w:szCs w:val="21"/>
                <w:highlight w:val="none"/>
                <w:lang w:val="en-US" w:eastAsia="zh-CN" w:bidi="ar"/>
              </w:rPr>
              <w:t>JTG 3362-2018</w:t>
            </w:r>
            <w:r>
              <w:rPr>
                <w:rFonts w:hint="eastAsia" w:ascii="宋体" w:hAnsi="宋体" w:eastAsia="宋体" w:cs="宋体"/>
                <w:color w:val="auto"/>
                <w:kern w:val="2"/>
                <w:sz w:val="21"/>
                <w:szCs w:val="21"/>
                <w:highlight w:val="none"/>
                <w:lang w:val="en-US" w:eastAsia="zh-CN" w:bidi="ar"/>
              </w:rPr>
              <w:fldChar w:fldCharType="end"/>
            </w:r>
            <w:r>
              <w:rPr>
                <w:rFonts w:hint="eastAsia" w:ascii="宋体" w:hAnsi="宋体" w:eastAsia="宋体" w:cs="宋体"/>
                <w:color w:val="auto"/>
                <w:kern w:val="2"/>
                <w:sz w:val="21"/>
                <w:szCs w:val="21"/>
                <w:highlight w:val="none"/>
                <w:lang w:val="en-US" w:eastAsia="zh-CN" w:bidi="ar"/>
              </w:rPr>
              <w:t>)</w:t>
            </w:r>
          </w:p>
        </w:tc>
        <w:tc>
          <w:tcPr>
            <w:tcW w:w="5817" w:type="dxa"/>
            <w:tcBorders>
              <w:top w:val="single" w:color="000000" w:sz="4" w:space="0"/>
              <w:left w:val="nil"/>
              <w:bottom w:val="single" w:color="000000" w:sz="4" w:space="0"/>
              <w:right w:val="single" w:color="000000" w:sz="4" w:space="0"/>
            </w:tcBorders>
            <w:shd w:val="clear" w:color="auto" w:fill="auto"/>
            <w:vAlign w:val="center"/>
          </w:tcPr>
          <w:p w14:paraId="645F6886">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《公路钢筋混凝土及预应力混凝土桥涵设计规范》</w:t>
            </w:r>
          </w:p>
        </w:tc>
      </w:tr>
      <w:tr w14:paraId="367B1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 w:hRule="atLeast"/>
        </w:trPr>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6AF3">
            <w:pPr>
              <w:keepNext w:val="0"/>
              <w:keepLines w:val="0"/>
              <w:widowControl w:val="0"/>
              <w:numPr>
                <w:ilvl w:val="0"/>
                <w:numId w:val="1"/>
              </w:numPr>
              <w:suppressLineNumbers w:val="0"/>
              <w:spacing w:before="0" w:beforeAutospacing="0" w:after="0" w:afterAutospacing="0" w:line="440" w:lineRule="exact"/>
              <w:ind w:left="0" w:leftChars="0" w:right="0" w:rightChars="0" w:firstLine="0" w:firstLineChars="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(JTG D61-2005)</w:t>
            </w:r>
          </w:p>
        </w:tc>
        <w:tc>
          <w:tcPr>
            <w:tcW w:w="5817" w:type="dxa"/>
            <w:tcBorders>
              <w:top w:val="single" w:color="000000" w:sz="4" w:space="0"/>
              <w:left w:val="nil"/>
              <w:bottom w:val="single" w:color="000000" w:sz="4" w:space="0"/>
              <w:right w:val="single" w:color="000000" w:sz="4" w:space="0"/>
            </w:tcBorders>
            <w:shd w:val="clear" w:color="auto" w:fill="auto"/>
            <w:vAlign w:val="center"/>
          </w:tcPr>
          <w:p w14:paraId="6BFD343D">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《公路圬工桥涵设计规范》</w:t>
            </w:r>
          </w:p>
        </w:tc>
      </w:tr>
      <w:tr w14:paraId="78FBE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CBA23">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7. (JTG/T 3650-2020)</w:t>
            </w:r>
          </w:p>
        </w:tc>
        <w:tc>
          <w:tcPr>
            <w:tcW w:w="5817" w:type="dxa"/>
            <w:tcBorders>
              <w:top w:val="single" w:color="000000" w:sz="4" w:space="0"/>
              <w:left w:val="nil"/>
              <w:bottom w:val="single" w:color="000000" w:sz="4" w:space="0"/>
              <w:right w:val="single" w:color="000000" w:sz="4" w:space="0"/>
            </w:tcBorders>
            <w:shd w:val="clear" w:color="auto" w:fill="auto"/>
            <w:vAlign w:val="center"/>
          </w:tcPr>
          <w:p w14:paraId="088D6483">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《公路桥涵施工技术规范》</w:t>
            </w:r>
          </w:p>
        </w:tc>
      </w:tr>
      <w:tr w14:paraId="31F61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7" w:hRule="atLeast"/>
        </w:trPr>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202B4">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8. (JT/T 4-2019)</w:t>
            </w:r>
          </w:p>
        </w:tc>
        <w:tc>
          <w:tcPr>
            <w:tcW w:w="5817" w:type="dxa"/>
            <w:tcBorders>
              <w:top w:val="single" w:color="000000" w:sz="4" w:space="0"/>
              <w:left w:val="nil"/>
              <w:bottom w:val="single" w:color="000000" w:sz="4" w:space="0"/>
              <w:right w:val="single" w:color="000000" w:sz="4" w:space="0"/>
            </w:tcBorders>
            <w:shd w:val="clear" w:color="auto" w:fill="auto"/>
            <w:vAlign w:val="center"/>
          </w:tcPr>
          <w:p w14:paraId="0B145DAC">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《公路桥梁板式橡胶支座》</w:t>
            </w:r>
          </w:p>
        </w:tc>
      </w:tr>
      <w:tr w14:paraId="74C00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3" w:hRule="atLeast"/>
        </w:trPr>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48FE9">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9. (JT/T 327-2016)</w:t>
            </w:r>
          </w:p>
        </w:tc>
        <w:tc>
          <w:tcPr>
            <w:tcW w:w="5817" w:type="dxa"/>
            <w:tcBorders>
              <w:top w:val="single" w:color="000000" w:sz="4" w:space="0"/>
              <w:left w:val="nil"/>
              <w:bottom w:val="single" w:color="000000" w:sz="4" w:space="0"/>
              <w:right w:val="single" w:color="000000" w:sz="4" w:space="0"/>
            </w:tcBorders>
            <w:shd w:val="clear" w:color="auto" w:fill="auto"/>
            <w:vAlign w:val="center"/>
          </w:tcPr>
          <w:p w14:paraId="05E19073">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《公路桥梁伸缩装置通用技术条件》</w:t>
            </w:r>
          </w:p>
        </w:tc>
      </w:tr>
      <w:tr w14:paraId="08FE4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FBFE1">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10. (</w:t>
            </w:r>
            <w:r>
              <w:rPr>
                <w:rFonts w:hint="eastAsia" w:ascii="宋体" w:hAnsi="宋体" w:eastAsia="宋体" w:cs="宋体"/>
                <w:color w:val="auto"/>
                <w:kern w:val="2"/>
                <w:sz w:val="21"/>
                <w:szCs w:val="21"/>
                <w:highlight w:val="none"/>
                <w:lang w:val="en-US" w:eastAsia="zh-CN"/>
              </w:rPr>
              <w:t>JT/T 985-2015</w:t>
            </w:r>
            <w:r>
              <w:rPr>
                <w:rFonts w:hint="eastAsia" w:ascii="宋体" w:hAnsi="宋体" w:eastAsia="宋体" w:cs="宋体"/>
                <w:color w:val="auto"/>
                <w:kern w:val="2"/>
                <w:sz w:val="21"/>
                <w:szCs w:val="21"/>
                <w:highlight w:val="none"/>
                <w:lang w:val="en-US" w:eastAsia="zh-CN" w:bidi="ar"/>
              </w:rPr>
              <w:t>)</w:t>
            </w:r>
          </w:p>
        </w:tc>
        <w:tc>
          <w:tcPr>
            <w:tcW w:w="5817" w:type="dxa"/>
            <w:tcBorders>
              <w:top w:val="single" w:color="000000" w:sz="4" w:space="0"/>
              <w:left w:val="nil"/>
              <w:bottom w:val="single" w:color="000000" w:sz="4" w:space="0"/>
              <w:right w:val="single" w:color="000000" w:sz="4" w:space="0"/>
            </w:tcBorders>
            <w:shd w:val="clear" w:color="auto" w:fill="auto"/>
            <w:vAlign w:val="center"/>
          </w:tcPr>
          <w:p w14:paraId="5BA5A672">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公路桥涵用耐久混凝土</w:t>
            </w:r>
            <w:r>
              <w:rPr>
                <w:rFonts w:hint="eastAsia" w:ascii="宋体" w:hAnsi="宋体" w:eastAsia="宋体" w:cs="宋体"/>
                <w:color w:val="auto"/>
                <w:kern w:val="2"/>
                <w:sz w:val="21"/>
                <w:szCs w:val="21"/>
                <w:highlight w:val="none"/>
                <w:lang w:eastAsia="zh-CN"/>
              </w:rPr>
              <w:t>》</w:t>
            </w:r>
          </w:p>
        </w:tc>
      </w:tr>
      <w:tr w14:paraId="4D121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D16A8">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11. (JTG 3363-2019)</w:t>
            </w:r>
          </w:p>
        </w:tc>
        <w:tc>
          <w:tcPr>
            <w:tcW w:w="5817" w:type="dxa"/>
            <w:tcBorders>
              <w:top w:val="single" w:color="000000" w:sz="4" w:space="0"/>
              <w:left w:val="nil"/>
              <w:bottom w:val="single" w:color="000000" w:sz="4" w:space="0"/>
              <w:right w:val="single" w:color="000000" w:sz="4" w:space="0"/>
            </w:tcBorders>
            <w:shd w:val="clear" w:color="auto" w:fill="auto"/>
            <w:vAlign w:val="center"/>
          </w:tcPr>
          <w:p w14:paraId="13D79279">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《公路桥涵地基与基础设计规范》</w:t>
            </w:r>
          </w:p>
        </w:tc>
      </w:tr>
      <w:tr w14:paraId="3D22A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ED121">
            <w:pPr>
              <w:keepNext w:val="0"/>
              <w:keepLines w:val="0"/>
              <w:widowControl w:val="0"/>
              <w:numPr>
                <w:ilvl w:val="0"/>
                <w:numId w:val="2"/>
              </w:numPr>
              <w:suppressLineNumbers w:val="0"/>
              <w:spacing w:before="0" w:beforeAutospacing="0" w:after="0" w:afterAutospacing="0" w:line="440" w:lineRule="exact"/>
              <w:ind w:left="0" w:leftChars="0" w:right="0" w:rightChars="0"/>
              <w:jc w:val="both"/>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bidi="ar"/>
              </w:rPr>
              <w:t>(JTG H30-2015)</w:t>
            </w:r>
          </w:p>
        </w:tc>
        <w:tc>
          <w:tcPr>
            <w:tcW w:w="5817" w:type="dxa"/>
            <w:tcBorders>
              <w:top w:val="single" w:color="000000" w:sz="4" w:space="0"/>
              <w:left w:val="nil"/>
              <w:bottom w:val="single" w:color="000000" w:sz="4" w:space="0"/>
              <w:right w:val="single" w:color="000000" w:sz="4" w:space="0"/>
            </w:tcBorders>
            <w:shd w:val="clear" w:color="auto" w:fill="auto"/>
            <w:vAlign w:val="center"/>
          </w:tcPr>
          <w:p w14:paraId="6D73B433">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val="en-US" w:eastAsia="zh-CN" w:bidi="ar"/>
              </w:rPr>
              <w:t>《公路养护安全作业规程》</w:t>
            </w:r>
          </w:p>
        </w:tc>
      </w:tr>
      <w:tr w14:paraId="28D0D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 w:hRule="atLeast"/>
        </w:trPr>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6301B">
            <w:pPr>
              <w:keepNext w:val="0"/>
              <w:keepLines w:val="0"/>
              <w:widowControl w:val="0"/>
              <w:suppressLineNumbers w:val="0"/>
              <w:spacing w:before="0" w:beforeAutospacing="0" w:after="0" w:afterAutospacing="0" w:line="440" w:lineRule="exact"/>
              <w:ind w:left="0" w:right="0"/>
              <w:jc w:val="both"/>
              <w:rPr>
                <w:rFonts w:hint="default" w:ascii="宋体" w:hAnsi="宋体" w:eastAsia="宋体" w:cs="宋体"/>
                <w:color w:val="auto"/>
                <w:kern w:val="2"/>
                <w:sz w:val="21"/>
                <w:szCs w:val="21"/>
                <w:highlight w:val="none"/>
                <w:lang w:val="en-US"/>
              </w:rPr>
            </w:pPr>
            <w:r>
              <w:rPr>
                <w:rFonts w:hint="eastAsia" w:ascii="宋体" w:hAnsi="宋体" w:eastAsia="宋体" w:cs="宋体"/>
                <w:color w:val="auto"/>
                <w:kern w:val="2"/>
                <w:sz w:val="21"/>
                <w:szCs w:val="21"/>
                <w:highlight w:val="none"/>
                <w:lang w:val="en-US" w:eastAsia="zh-CN" w:bidi="ar"/>
              </w:rPr>
              <w:t>13. (JTG/T J21-2011)</w:t>
            </w:r>
          </w:p>
        </w:tc>
        <w:tc>
          <w:tcPr>
            <w:tcW w:w="5817" w:type="dxa"/>
            <w:tcBorders>
              <w:top w:val="single" w:color="000000" w:sz="4" w:space="0"/>
              <w:left w:val="nil"/>
              <w:bottom w:val="single" w:color="000000" w:sz="4" w:space="0"/>
              <w:right w:val="single" w:color="000000" w:sz="4" w:space="0"/>
            </w:tcBorders>
            <w:shd w:val="clear" w:color="auto" w:fill="auto"/>
            <w:vAlign w:val="center"/>
          </w:tcPr>
          <w:p w14:paraId="610DA0C8">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《公路桥梁承载能力检测评定规程》</w:t>
            </w:r>
          </w:p>
        </w:tc>
      </w:tr>
      <w:tr w14:paraId="06000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trPr>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C500A">
            <w:pPr>
              <w:keepNext w:val="0"/>
              <w:keepLines w:val="0"/>
              <w:widowControl w:val="0"/>
              <w:numPr>
                <w:ilvl w:val="0"/>
                <w:numId w:val="3"/>
              </w:numPr>
              <w:suppressLineNumbers w:val="0"/>
              <w:spacing w:before="0" w:beforeAutospacing="0" w:after="0" w:afterAutospacing="0" w:line="440" w:lineRule="exact"/>
              <w:ind w:left="0" w:leftChars="0" w:right="0" w:rightChars="0"/>
              <w:jc w:val="both"/>
              <w:rPr>
                <w:rFonts w:hint="default" w:ascii="宋体" w:hAnsi="宋体" w:eastAsia="宋体" w:cs="宋体"/>
                <w:color w:val="auto"/>
                <w:kern w:val="2"/>
                <w:sz w:val="21"/>
                <w:szCs w:val="21"/>
                <w:highlight w:val="none"/>
                <w:lang w:val="en-US" w:eastAsia="zh-CN" w:bidi="ar"/>
              </w:rPr>
            </w:pPr>
            <w:r>
              <w:rPr>
                <w:rFonts w:hint="default" w:ascii="宋体" w:hAnsi="宋体" w:eastAsia="宋体" w:cs="宋体"/>
                <w:color w:val="auto"/>
                <w:kern w:val="2"/>
                <w:sz w:val="21"/>
                <w:szCs w:val="21"/>
                <w:highlight w:val="none"/>
                <w:lang w:val="en-US" w:eastAsia="zh-CN" w:bidi="ar"/>
              </w:rPr>
              <w:t>(CJJ</w:t>
            </w:r>
            <w:r>
              <w:rPr>
                <w:rFonts w:hint="eastAsia" w:ascii="宋体" w:hAnsi="宋体" w:eastAsia="宋体" w:cs="宋体"/>
                <w:color w:val="auto"/>
                <w:kern w:val="2"/>
                <w:sz w:val="21"/>
                <w:szCs w:val="21"/>
                <w:highlight w:val="none"/>
                <w:lang w:val="en-US" w:eastAsia="zh-CN" w:bidi="ar"/>
              </w:rPr>
              <w:t xml:space="preserve"> </w:t>
            </w:r>
            <w:r>
              <w:rPr>
                <w:rFonts w:hint="default" w:ascii="宋体" w:hAnsi="宋体" w:eastAsia="宋体" w:cs="宋体"/>
                <w:color w:val="auto"/>
                <w:kern w:val="2"/>
                <w:sz w:val="21"/>
                <w:szCs w:val="21"/>
                <w:highlight w:val="none"/>
                <w:lang w:val="en-US" w:eastAsia="zh-CN" w:bidi="ar"/>
              </w:rPr>
              <w:t>99-20</w:t>
            </w:r>
            <w:r>
              <w:rPr>
                <w:rFonts w:hint="eastAsia" w:ascii="宋体" w:hAnsi="宋体" w:eastAsia="宋体" w:cs="宋体"/>
                <w:color w:val="auto"/>
                <w:kern w:val="2"/>
                <w:sz w:val="21"/>
                <w:szCs w:val="21"/>
                <w:highlight w:val="none"/>
                <w:lang w:val="en-US" w:eastAsia="zh-CN" w:bidi="ar"/>
              </w:rPr>
              <w:t>17</w:t>
            </w:r>
            <w:r>
              <w:rPr>
                <w:rFonts w:hint="default" w:ascii="宋体" w:hAnsi="宋体" w:eastAsia="宋体" w:cs="宋体"/>
                <w:color w:val="auto"/>
                <w:kern w:val="2"/>
                <w:sz w:val="21"/>
                <w:szCs w:val="21"/>
                <w:highlight w:val="none"/>
                <w:lang w:val="en-US" w:eastAsia="zh-CN" w:bidi="ar"/>
              </w:rPr>
              <w:t>)</w:t>
            </w:r>
          </w:p>
        </w:tc>
        <w:tc>
          <w:tcPr>
            <w:tcW w:w="5817" w:type="dxa"/>
            <w:tcBorders>
              <w:top w:val="single" w:color="000000" w:sz="4" w:space="0"/>
              <w:left w:val="nil"/>
              <w:bottom w:val="single" w:color="000000" w:sz="4" w:space="0"/>
              <w:right w:val="single" w:color="000000" w:sz="4" w:space="0"/>
            </w:tcBorders>
            <w:shd w:val="clear" w:color="auto" w:fill="auto"/>
            <w:vAlign w:val="center"/>
          </w:tcPr>
          <w:p w14:paraId="21063A46">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《城市桥梁养护技术标准》</w:t>
            </w:r>
          </w:p>
        </w:tc>
      </w:tr>
    </w:tbl>
    <w:p w14:paraId="312FF4E7">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4)中标人在桥梁检测工作中使用或参考上述标准、规范以外的技术标准、规范时，应征得采购人或采购人指定代表人的同意。</w:t>
      </w:r>
    </w:p>
    <w:p w14:paraId="0396E0BA">
      <w:pPr>
        <w:spacing w:line="360" w:lineRule="auto"/>
        <w:ind w:firstLine="435"/>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1.3 桥梁定期检测内容：</w:t>
      </w:r>
    </w:p>
    <w:p w14:paraId="29A4483C">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结构质量检查：对所有桥梁的结构历史和现状进行调查，对结构尺寸复核，检测桥梁结构各构件、材料以及当前使用状态下存在的缺陷、病害，并进行有效的描述，分析原因。②桥梁检测应包括下列内容（但不限于）：桥头引道、桥跨结构及其部件检测、桥梁几何尺寸检测、外观破损检测、支座情况检测、桥面系检测、附属设施现状检测；材料强度检测、裂缝检测、钢筋锈蚀状况检测、钢筋保护层厚度检测等。③结构承载力检算分析：根据桥梁检测结果，按实测桥梁结构的工作状态进行结构检算，以确定桥梁的承载能力和安全使用性能。④结构荷载试验：根据检测的实际情况，通过建模检算对必要的桥梁进行动、静载试验，检验其承载能力和安全使用性能。⑤对桥梁桥面系、上部结构、下部结构和全桥进行构件技术状况评定。⑥结构承载能力评定：结合结构质量检查、结构检算和荷载试验评估桥梁承载能力，对桥梁技术状况进行综合评定。⑦承载力试验结果不满足的桥梁：在加固改善之前，应给出确保桥梁使用安全的限载、限速或封闭交通的措施、监测结构变化状况方法的建议。⑧检测后，需要与往年的检测结论进行对比和分析，进一步分析确认桥梁的健康状态。</w:t>
      </w:r>
    </w:p>
    <w:p w14:paraId="77740D1B">
      <w:pPr>
        <w:spacing w:line="360" w:lineRule="auto"/>
        <w:ind w:firstLine="435"/>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1.4</w:t>
      </w:r>
      <w:r>
        <w:rPr>
          <w:rFonts w:hint="eastAsia" w:ascii="宋体" w:hAnsi="宋体" w:eastAsia="宋体" w:cs="宋体"/>
          <w:b/>
          <w:bCs/>
          <w:color w:val="auto"/>
          <w:sz w:val="24"/>
          <w:szCs w:val="24"/>
          <w:highlight w:val="none"/>
          <w:lang w:val="en-US" w:eastAsia="zh-CN"/>
        </w:rPr>
        <w:tab/>
      </w:r>
      <w:r>
        <w:rPr>
          <w:rFonts w:hint="eastAsia" w:ascii="宋体" w:hAnsi="宋体" w:eastAsia="宋体" w:cs="宋体"/>
          <w:b/>
          <w:bCs/>
          <w:color w:val="auto"/>
          <w:sz w:val="24"/>
          <w:szCs w:val="24"/>
          <w:highlight w:val="none"/>
          <w:lang w:val="en-US" w:eastAsia="zh-CN"/>
        </w:rPr>
        <w:t>本项目服务期：一年（包含检测报告完成并通过专家评审），具体以合同签订日期为准。</w:t>
      </w:r>
    </w:p>
    <w:p w14:paraId="6F793D0E">
      <w:pPr>
        <w:spacing w:line="360" w:lineRule="auto"/>
        <w:ind w:firstLine="435"/>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lang w:val="en-US" w:eastAsia="zh-CN"/>
        </w:rPr>
        <w:tab/>
      </w:r>
      <w:r>
        <w:rPr>
          <w:rFonts w:hint="eastAsia" w:ascii="宋体" w:hAnsi="宋体" w:eastAsia="宋体" w:cs="宋体"/>
          <w:b/>
          <w:bCs/>
          <w:color w:val="auto"/>
          <w:sz w:val="24"/>
          <w:szCs w:val="24"/>
          <w:highlight w:val="none"/>
          <w:lang w:val="en-US" w:eastAsia="zh-CN"/>
        </w:rPr>
        <w:t>供应商的报价应含完成本项目检测所需的人工费、材料费、机械费、税金、规费及桥梁检测费用、资料整理、评审费用、招标代理服务费、桥检车费、国家对中标单位征收的各种税费及完成本项目所需其他所有费用；供应商应按照采购人提供的招标文件等内容，依据国家规定的收费标准，结合企业自身情况和市场行情分析各项费用，确定项目检测投标总报价，投标报价今后将不作任何调整。采购人不再为此次招标项目的完成支付任何费用。</w:t>
      </w:r>
    </w:p>
    <w:p w14:paraId="29C1D616">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w:t>
      </w:r>
      <w:r>
        <w:rPr>
          <w:rFonts w:hint="eastAsia" w:ascii="宋体" w:hAnsi="宋体" w:eastAsia="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供应商应充分考虑工程数量、现场情况、交通、天气等因素，结合自身实际情况进行报价。</w:t>
      </w:r>
    </w:p>
    <w:p w14:paraId="2593007F">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1)本项目所使用的材料、机械设备、车辆等均由供应商自行配备；</w:t>
      </w:r>
    </w:p>
    <w:p w14:paraId="3515ADAD">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2)本项目已考虑因项目变化和项目单价调整而导致检测费用的调整。</w:t>
      </w:r>
    </w:p>
    <w:p w14:paraId="67CB4CC8">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w:t>
      </w:r>
      <w:r>
        <w:rPr>
          <w:rFonts w:hint="eastAsia" w:ascii="宋体" w:hAnsi="宋体" w:eastAsia="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采购人有权在签订合同时对项目方案作适当调整或修改。</w:t>
      </w:r>
    </w:p>
    <w:p w14:paraId="29970A29">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w:t>
      </w:r>
      <w:r>
        <w:rPr>
          <w:rFonts w:hint="eastAsia" w:ascii="宋体" w:hAnsi="宋体" w:eastAsia="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供应商中标后不得再以任何方式转包或分包本项目。</w:t>
      </w:r>
    </w:p>
    <w:p w14:paraId="274A2DE9">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1.9检测项目必须执行国家、行业现行有效的标准和规范。</w:t>
      </w:r>
    </w:p>
    <w:p w14:paraId="107E1E3B">
      <w:pPr>
        <w:spacing w:line="360" w:lineRule="auto"/>
        <w:ind w:firstLine="435"/>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1.10供应商必须具有科学的质量管理体系，在检测实施方案中应描述各阶段的质量保证标准及措施。</w:t>
      </w:r>
    </w:p>
    <w:p w14:paraId="150E8449">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1.11供应商必须对本项目投入满足检测需求的试验检测人员，所投入的试验检测人员必须持有交通部或建设部颁发的桥梁检测资格证书（资格证书要在有效期内）和专业的技术知识及检测经验。</w:t>
      </w:r>
    </w:p>
    <w:p w14:paraId="7104EE80">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1.12供应商应配备足够的检测仪器设备，检测仪器设备必须在检定/校准有效期内。</w:t>
      </w:r>
    </w:p>
    <w:p w14:paraId="5A4782EB">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1.13检测过程要求：</w:t>
      </w:r>
    </w:p>
    <w:p w14:paraId="62CCD616">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1)检测工作人员要熟悉并严格按照试验检测规程和方法，做好试验检测工作，同时做好原始数据记录；</w:t>
      </w:r>
    </w:p>
    <w:p w14:paraId="73CE4A1F">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2)各试验检测工作校核者应掌握试验检测规程和技术，检查数据与原始记录符合，事实符合，严格按照规范进行； </w:t>
      </w:r>
    </w:p>
    <w:p w14:paraId="1F106510">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3)审核者保证程序合法，审核有效。</w:t>
      </w:r>
    </w:p>
    <w:p w14:paraId="7E3CE492">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1.14本项目的检测质量不符合要求或质量不合格者，采购人有权要求中标人停工和返工，返工费用由中标人承担，工期不予顺延。</w:t>
      </w:r>
    </w:p>
    <w:p w14:paraId="0ED7742E">
      <w:pPr>
        <w:spacing w:line="360" w:lineRule="auto"/>
        <w:ind w:firstLine="435"/>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1.15本项目中根据检测结果，需要做动静载试验的，所需费用包含在投标报价中；清流路跨清流河桥本次必须做动静载试验，费用也包含在投标报价中。请各潜在投标人综合考虑风险，谨慎报价。</w:t>
      </w:r>
    </w:p>
    <w:p w14:paraId="6445CF08">
      <w:pPr>
        <w:spacing w:line="360" w:lineRule="auto"/>
        <w:ind w:firstLine="435"/>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2．检测报告要求</w:t>
      </w:r>
    </w:p>
    <w:p w14:paraId="13544E33">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1）检测目的、检测内容、检测依据、概述检测的一般情况，包括桥梁的基本情况、检测的组织时间、背景和工作过程等；</w:t>
      </w:r>
    </w:p>
    <w:p w14:paraId="2A8448EE">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2）桥梁正面照片、立面照片；</w:t>
      </w:r>
    </w:p>
    <w:p w14:paraId="01568423">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3）桥梁检测数据表；</w:t>
      </w:r>
    </w:p>
    <w:p w14:paraId="3E20AB6E">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4）完善城市桥梁资料卡（CJJ99-2017附录B）；</w:t>
      </w:r>
    </w:p>
    <w:p w14:paraId="0700520C">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5）缺损和病害的部位应附数码照片及说明，缺损和病害状况的描述采用专业术语，说明缺损和病害的部位、类型、性质、范围、数量和程度等；分析缺损和病害的成因；</w:t>
      </w:r>
    </w:p>
    <w:p w14:paraId="564BC055">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6）技术状况构件评定表；</w:t>
      </w:r>
    </w:p>
    <w:p w14:paraId="59EBAD48">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7）对存在缺损和病害的部位给出明确的结论和养护对策及相关维修、加固建议；对存在重大安全隐患的桥梁给出明确的结论和建议；</w:t>
      </w:r>
    </w:p>
    <w:p w14:paraId="4CBEB12D">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对桥梁技术状况进行综合评估：桥面系、上部结构、下部结构和全桥评估。应采用先分部位再综合的方法评估。对于做动、静载试验的桥梁明确承载能力；未做动、静载试验的桥梁根据检测实际情况，科学地给出建议限载吨位；</w:t>
      </w:r>
    </w:p>
    <w:p w14:paraId="1BE36C79">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9）应将每座桥梁的检测报告单独装订成册，一式六份。</w:t>
      </w:r>
    </w:p>
    <w:p w14:paraId="37B8541C">
      <w:pPr>
        <w:spacing w:line="360" w:lineRule="auto"/>
        <w:ind w:firstLine="435"/>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3．工程项目管理</w:t>
      </w:r>
    </w:p>
    <w:p w14:paraId="28B8BDA8">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中标人必须严格按照已经确认的实施方案组织实施，并接受采购人的监管。</w:t>
      </w:r>
    </w:p>
    <w:p w14:paraId="61474C50">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在投标文件中承诺并经选定的项目负责人及检测人员，在工程实施过程中应依时到场，未经采购人同意，中标人不得擅自调换和撤离。</w:t>
      </w:r>
    </w:p>
    <w:p w14:paraId="7559C687">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中标人在工程进行期间，须严格遵守当地政府职能部门的各项规章制度，由于管理不善，导致政府职能部门的罚款和停工整改，其所发生的费用与损失由中标人自行承担，且采购人保留暂缓支付工程款的权利。</w:t>
      </w:r>
    </w:p>
    <w:p w14:paraId="7B81A8FB">
      <w:pPr>
        <w:spacing w:line="360" w:lineRule="auto"/>
        <w:ind w:firstLine="435"/>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4．荷载试验报告要求</w:t>
      </w:r>
    </w:p>
    <w:p w14:paraId="1FFDC56E">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4.1报告内容：</w:t>
      </w:r>
    </w:p>
    <w:p w14:paraId="70A74C5C">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1)试验概况；</w:t>
      </w:r>
    </w:p>
    <w:p w14:paraId="65123A80">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2）试验依据；</w:t>
      </w:r>
    </w:p>
    <w:p w14:paraId="4B51387B">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3）试验规划；</w:t>
      </w:r>
    </w:p>
    <w:p w14:paraId="503E4916">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4）试验方案设计；</w:t>
      </w:r>
    </w:p>
    <w:p w14:paraId="05CC5CC6">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5）试验准备工作；</w:t>
      </w:r>
    </w:p>
    <w:p w14:paraId="109DC570">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6）试验过程（附相关试验过程照片、工况表等）；</w:t>
      </w:r>
    </w:p>
    <w:p w14:paraId="1262B4FF">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7）试验结果与分析（应对每个工况的结果进行分析）；</w:t>
      </w:r>
    </w:p>
    <w:p w14:paraId="343E74CB">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8）试验结论（明确桥梁承载能力）。</w:t>
      </w:r>
    </w:p>
    <w:p w14:paraId="4ECA8505">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以上报告的内容，可根据实际情况增加，但不应减少。</w:t>
      </w:r>
    </w:p>
    <w:p w14:paraId="532A3847">
      <w:pPr>
        <w:spacing w:line="360" w:lineRule="auto"/>
        <w:ind w:firstLine="435"/>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4.2动、静载试验报告应单独装订成册，一式六份。</w:t>
      </w:r>
    </w:p>
    <w:p w14:paraId="7A86E199">
      <w:pPr>
        <w:spacing w:line="360" w:lineRule="auto"/>
        <w:ind w:firstLine="435"/>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5.工程结算</w:t>
      </w:r>
    </w:p>
    <w:p w14:paraId="4CC68935">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5.1供应商应充分考虑采购人的要求、市场环境和生产要素的变化对工程报价的影响，除供应商要求增加或减少的工程量外，竣工结算时不因市场价格变化、人员工资福利调整以及其它政策性价格调整而调整。</w:t>
      </w:r>
    </w:p>
    <w:p w14:paraId="34EE9B8A">
      <w:pPr>
        <w:spacing w:line="360" w:lineRule="auto"/>
        <w:ind w:firstLine="435"/>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6.其他要求</w:t>
      </w:r>
    </w:p>
    <w:p w14:paraId="3D32B740">
      <w:pPr>
        <w:spacing w:line="360" w:lineRule="auto"/>
        <w:ind w:firstLine="435"/>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6.1检测单位负责做好检测期间的安全工作，因检测单位安全措施不规范引起的安全事故，由检测单位承担相关责任及经济损失。</w:t>
      </w:r>
    </w:p>
    <w:p w14:paraId="1634761A">
      <w:pPr>
        <w:spacing w:line="360" w:lineRule="auto"/>
        <w:ind w:firstLine="435"/>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检测单位每个月至少一次常规巡检，提供纸质和电子版报告，报告内的照片要体现当月巡检的日期、时间，巡检报告及每年定检结果须录入桥梁信息管理系统。不能按要求提供巡检报告的，处以500元/次违约金。</w:t>
      </w:r>
    </w:p>
    <w:p w14:paraId="4D6A4230">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6.3在检测服务期内，其他单位或人员发现桥梁存在重大安全隐患，检测单位未发现的，每次处违约金500元。</w:t>
      </w:r>
    </w:p>
    <w:p w14:paraId="31D31C69">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6.4在服务期内，因突发情况，个别桥梁需进行紧急检测评估时，检测单位需配合采购人无条件开展工作，此部分费用含在投标报价中。</w:t>
      </w:r>
    </w:p>
    <w:p w14:paraId="6292CDD4">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6.5服务期内，上级对采购人进行相关检查时，检测单位需按采购人要求提供资料，配合工作。</w:t>
      </w:r>
    </w:p>
    <w:p w14:paraId="261648EF">
      <w:pPr>
        <w:spacing w:line="360" w:lineRule="auto"/>
        <w:ind w:firstLine="4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6.6检测单位不服从或不配合采购人工作安排的，处以1000元/次违约金。</w:t>
      </w:r>
    </w:p>
    <w:p w14:paraId="74D7A661">
      <w:pPr>
        <w:spacing w:line="360" w:lineRule="auto"/>
        <w:ind w:firstLine="435"/>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6.7检测报告结果须经过专家评审，未通过评审的，不予支付服务费用。</w:t>
      </w:r>
      <w:bookmarkEnd w:id="25"/>
      <w:bookmarkEnd w:id="27"/>
    </w:p>
    <w:p w14:paraId="37FE8856">
      <w:pPr>
        <w:rPr>
          <w:rFonts w:hint="eastAsia" w:asciiTheme="minorEastAsia" w:hAnsiTheme="minorEastAsia" w:eastAsiaTheme="minorEastAsia"/>
          <w:b/>
          <w:color w:val="auto"/>
          <w:sz w:val="28"/>
          <w:highlight w:val="none"/>
        </w:rPr>
      </w:pPr>
      <w:r>
        <w:rPr>
          <w:rFonts w:hint="eastAsia" w:asciiTheme="minorEastAsia" w:hAnsiTheme="minorEastAsia" w:eastAsiaTheme="minorEastAsia"/>
          <w:b/>
          <w:color w:val="auto"/>
          <w:sz w:val="28"/>
          <w:highlight w:val="none"/>
        </w:rPr>
        <w:br w:type="page"/>
      </w:r>
    </w:p>
    <w:p w14:paraId="5F9B5930">
      <w:pPr>
        <w:spacing w:line="360" w:lineRule="auto"/>
        <w:jc w:val="center"/>
        <w:outlineLvl w:val="0"/>
        <w:rPr>
          <w:rFonts w:hint="eastAsia" w:asciiTheme="minorEastAsia" w:hAnsiTheme="minorEastAsia" w:eastAsiaTheme="minorEastAsia"/>
          <w:b/>
          <w:color w:val="auto"/>
          <w:sz w:val="28"/>
          <w:highlight w:val="none"/>
        </w:rPr>
        <w:sectPr>
          <w:pgSz w:w="16838" w:h="11906" w:orient="landscape"/>
          <w:pgMar w:top="1803" w:right="1440" w:bottom="1803" w:left="1440" w:header="851" w:footer="992" w:gutter="0"/>
          <w:pgNumType w:fmt="decimal"/>
          <w:cols w:space="0" w:num="1"/>
          <w:rtlGutter w:val="0"/>
          <w:docGrid w:type="lines" w:linePitch="319" w:charSpace="0"/>
        </w:sectPr>
      </w:pPr>
      <w:bookmarkStart w:id="31" w:name="_Toc30824"/>
    </w:p>
    <w:p w14:paraId="5A817903">
      <w:pPr>
        <w:spacing w:line="360" w:lineRule="auto"/>
        <w:jc w:val="center"/>
        <w:outlineLvl w:val="0"/>
        <w:rPr>
          <w:rFonts w:asciiTheme="minorEastAsia" w:hAnsiTheme="minorEastAsia" w:eastAsiaTheme="minorEastAsia"/>
          <w:b/>
          <w:color w:val="auto"/>
          <w:sz w:val="28"/>
          <w:highlight w:val="none"/>
        </w:rPr>
      </w:pPr>
      <w:r>
        <w:rPr>
          <w:rFonts w:hint="eastAsia" w:asciiTheme="minorEastAsia" w:hAnsiTheme="minorEastAsia" w:eastAsiaTheme="minorEastAsia"/>
          <w:b/>
          <w:color w:val="auto"/>
          <w:sz w:val="28"/>
          <w:highlight w:val="none"/>
        </w:rPr>
        <w:t>第四章  评标方法和标准（综合评分法）</w:t>
      </w:r>
      <w:bookmarkEnd w:id="31"/>
    </w:p>
    <w:p w14:paraId="605D185B">
      <w:pPr>
        <w:spacing w:line="360" w:lineRule="auto"/>
        <w:ind w:firstLine="437"/>
        <w:outlineLvl w:val="1"/>
        <w:rPr>
          <w:rFonts w:asciiTheme="minorEastAsia" w:hAnsiTheme="minorEastAsia" w:eastAsiaTheme="minorEastAsia"/>
          <w:b/>
          <w:color w:val="auto"/>
          <w:sz w:val="24"/>
          <w:highlight w:val="none"/>
        </w:rPr>
      </w:pPr>
      <w:bookmarkStart w:id="32" w:name="_Toc4705"/>
      <w:bookmarkStart w:id="33" w:name="_Toc11823"/>
      <w:r>
        <w:rPr>
          <w:rFonts w:hint="eastAsia" w:asciiTheme="minorEastAsia" w:hAnsiTheme="minorEastAsia" w:eastAsiaTheme="minorEastAsia"/>
          <w:b/>
          <w:color w:val="auto"/>
          <w:sz w:val="24"/>
          <w:highlight w:val="none"/>
        </w:rPr>
        <w:t>一、总则</w:t>
      </w:r>
      <w:bookmarkEnd w:id="32"/>
      <w:bookmarkEnd w:id="33"/>
    </w:p>
    <w:p w14:paraId="6D744AB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本项目将按照招标文件第二章 投标人须知的相关要求</w:t>
      </w:r>
      <w:r>
        <w:rPr>
          <w:rFonts w:asciiTheme="minorEastAsia" w:hAnsiTheme="minorEastAsia" w:eastAsiaTheme="minorEastAsia"/>
          <w:color w:val="auto"/>
          <w:sz w:val="24"/>
          <w:highlight w:val="none"/>
        </w:rPr>
        <w:t>及本章的规定评标。</w:t>
      </w:r>
    </w:p>
    <w:p w14:paraId="252E2A73">
      <w:pPr>
        <w:spacing w:line="360" w:lineRule="auto"/>
        <w:ind w:firstLine="437"/>
        <w:outlineLvl w:val="1"/>
        <w:rPr>
          <w:rFonts w:asciiTheme="minorEastAsia" w:hAnsiTheme="minorEastAsia" w:eastAsiaTheme="minorEastAsia"/>
          <w:b/>
          <w:color w:val="auto"/>
          <w:sz w:val="24"/>
          <w:highlight w:val="none"/>
        </w:rPr>
      </w:pPr>
      <w:bookmarkStart w:id="34" w:name="_Toc32410"/>
      <w:bookmarkStart w:id="35" w:name="_Toc31871"/>
      <w:r>
        <w:rPr>
          <w:rFonts w:hint="eastAsia" w:asciiTheme="minorEastAsia" w:hAnsiTheme="minorEastAsia" w:eastAsiaTheme="minorEastAsia"/>
          <w:b/>
          <w:color w:val="auto"/>
          <w:sz w:val="24"/>
          <w:highlight w:val="none"/>
        </w:rPr>
        <w:t>二、评标方法</w:t>
      </w:r>
      <w:bookmarkEnd w:id="34"/>
      <w:bookmarkEnd w:id="35"/>
    </w:p>
    <w:p w14:paraId="4BFAF007">
      <w:pPr>
        <w:spacing w:line="360" w:lineRule="auto"/>
        <w:ind w:firstLine="437"/>
        <w:outlineLvl w:val="2"/>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2.1资格审查</w:t>
      </w:r>
    </w:p>
    <w:tbl>
      <w:tblPr>
        <w:tblStyle w:val="23"/>
        <w:tblW w:w="51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646"/>
        <w:gridCol w:w="4552"/>
        <w:gridCol w:w="1894"/>
      </w:tblGrid>
      <w:tr w14:paraId="0C524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000" w:type="pct"/>
            <w:gridSpan w:val="4"/>
            <w:tcBorders>
              <w:bottom w:val="single" w:color="auto" w:sz="4" w:space="0"/>
            </w:tcBorders>
            <w:vAlign w:val="center"/>
          </w:tcPr>
          <w:p w14:paraId="03574201">
            <w:pPr>
              <w:keepNext w:val="0"/>
              <w:keepLines w:val="0"/>
              <w:suppressLineNumbers w:val="0"/>
              <w:adjustRightInd w:val="0"/>
              <w:snapToGrid w:val="0"/>
              <w:spacing w:before="0" w:beforeAutospacing="0" w:after="0" w:afterAutospacing="0" w:line="360" w:lineRule="auto"/>
              <w:ind w:left="0" w:right="-10"/>
              <w:jc w:val="center"/>
              <w:rPr>
                <w:rFonts w:hint="default" w:ascii="宋体" w:hAnsi="宋体" w:eastAsia="宋体"/>
                <w:color w:val="auto"/>
                <w:sz w:val="24"/>
                <w:szCs w:val="20"/>
                <w:highlight w:val="none"/>
              </w:rPr>
            </w:pPr>
            <w:r>
              <w:rPr>
                <w:rFonts w:hint="eastAsia" w:ascii="宋体" w:hAnsi="宋体" w:eastAsia="宋体"/>
                <w:b/>
                <w:color w:val="auto"/>
                <w:sz w:val="24"/>
                <w:szCs w:val="22"/>
                <w:highlight w:val="none"/>
              </w:rPr>
              <w:t>资格审查表</w:t>
            </w:r>
          </w:p>
        </w:tc>
      </w:tr>
      <w:tr w14:paraId="46509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tcBorders>
              <w:bottom w:val="single" w:color="auto" w:sz="4" w:space="0"/>
            </w:tcBorders>
            <w:vAlign w:val="center"/>
          </w:tcPr>
          <w:p w14:paraId="72F53D61">
            <w:pPr>
              <w:keepNext w:val="0"/>
              <w:keepLines w:val="0"/>
              <w:suppressLineNumbers w:val="0"/>
              <w:adjustRightInd w:val="0"/>
              <w:snapToGrid w:val="0"/>
              <w:spacing w:before="0" w:beforeAutospacing="0" w:after="0" w:afterAutospacing="0" w:line="360" w:lineRule="auto"/>
              <w:ind w:left="0" w:right="-10"/>
              <w:jc w:val="center"/>
              <w:rPr>
                <w:rFonts w:hint="default" w:ascii="宋体" w:hAnsi="宋体" w:eastAsia="宋体"/>
                <w:color w:val="auto"/>
                <w:sz w:val="24"/>
                <w:szCs w:val="20"/>
                <w:highlight w:val="none"/>
              </w:rPr>
            </w:pPr>
            <w:r>
              <w:rPr>
                <w:rFonts w:hint="eastAsia" w:ascii="宋体" w:hAnsi="宋体" w:eastAsia="宋体"/>
                <w:color w:val="auto"/>
                <w:sz w:val="24"/>
                <w:szCs w:val="20"/>
                <w:highlight w:val="none"/>
              </w:rPr>
              <w:t>序号</w:t>
            </w:r>
          </w:p>
        </w:tc>
        <w:tc>
          <w:tcPr>
            <w:tcW w:w="940" w:type="pct"/>
            <w:tcBorders>
              <w:bottom w:val="single" w:color="auto" w:sz="4" w:space="0"/>
            </w:tcBorders>
            <w:vAlign w:val="center"/>
          </w:tcPr>
          <w:p w14:paraId="425F11B2">
            <w:pPr>
              <w:pStyle w:val="42"/>
              <w:keepNext w:val="0"/>
              <w:keepLines w:val="0"/>
              <w:suppressLineNumbers w:val="0"/>
              <w:pBdr>
                <w:bottom w:val="none" w:color="auto" w:sz="0" w:space="0"/>
              </w:pBdr>
              <w:tabs>
                <w:tab w:val="clear" w:pos="4153"/>
                <w:tab w:val="clear" w:pos="8306"/>
              </w:tabs>
              <w:snapToGrid w:val="0"/>
              <w:spacing w:before="0" w:beforeAutospacing="0" w:after="0" w:afterAutospacing="0" w:line="360" w:lineRule="auto"/>
              <w:ind w:left="0" w:right="-10"/>
              <w:textAlignment w:val="auto"/>
              <w:rPr>
                <w:rFonts w:hint="default" w:ascii="宋体" w:hAnsi="宋体" w:eastAsia="宋体"/>
                <w:color w:val="auto"/>
                <w:kern w:val="2"/>
                <w:szCs w:val="24"/>
                <w:highlight w:val="none"/>
                <w:lang w:val="en-US"/>
              </w:rPr>
            </w:pPr>
            <w:r>
              <w:rPr>
                <w:rFonts w:hint="eastAsia" w:ascii="宋体" w:hAnsi="宋体" w:eastAsia="宋体"/>
                <w:color w:val="auto"/>
                <w:kern w:val="2"/>
                <w:szCs w:val="24"/>
                <w:highlight w:val="none"/>
                <w:lang w:val="en-US" w:eastAsia="zh-CN"/>
              </w:rPr>
              <w:t>审查因素</w:t>
            </w:r>
          </w:p>
        </w:tc>
        <w:tc>
          <w:tcPr>
            <w:tcW w:w="2600" w:type="pct"/>
            <w:tcBorders>
              <w:bottom w:val="single" w:color="auto" w:sz="4" w:space="0"/>
            </w:tcBorders>
            <w:vAlign w:val="center"/>
          </w:tcPr>
          <w:p w14:paraId="33FB6DD9">
            <w:pPr>
              <w:keepNext w:val="0"/>
              <w:keepLines w:val="0"/>
              <w:suppressLineNumbers w:val="0"/>
              <w:adjustRightInd w:val="0"/>
              <w:snapToGrid w:val="0"/>
              <w:spacing w:before="0" w:beforeAutospacing="0" w:after="0" w:afterAutospacing="0" w:line="360" w:lineRule="auto"/>
              <w:ind w:left="0" w:right="-10"/>
              <w:jc w:val="center"/>
              <w:rPr>
                <w:rFonts w:hint="default" w:ascii="宋体" w:hAnsi="宋体" w:eastAsia="宋体"/>
                <w:color w:val="auto"/>
                <w:sz w:val="24"/>
                <w:szCs w:val="20"/>
                <w:highlight w:val="none"/>
                <w:lang w:val="en-US" w:eastAsia="zh-CN"/>
              </w:rPr>
            </w:pPr>
            <w:r>
              <w:rPr>
                <w:rFonts w:hint="eastAsia" w:ascii="宋体" w:hAnsi="宋体" w:eastAsia="宋体"/>
                <w:color w:val="auto"/>
                <w:sz w:val="24"/>
                <w:szCs w:val="20"/>
                <w:highlight w:val="none"/>
                <w:lang w:val="en-US" w:eastAsia="zh-CN"/>
              </w:rPr>
              <w:t>审查内容</w:t>
            </w:r>
          </w:p>
        </w:tc>
        <w:tc>
          <w:tcPr>
            <w:tcW w:w="1080" w:type="pct"/>
            <w:tcBorders>
              <w:bottom w:val="single" w:color="auto" w:sz="4" w:space="0"/>
            </w:tcBorders>
            <w:vAlign w:val="center"/>
          </w:tcPr>
          <w:p w14:paraId="023BE62B">
            <w:pPr>
              <w:keepNext w:val="0"/>
              <w:keepLines w:val="0"/>
              <w:suppressLineNumbers w:val="0"/>
              <w:adjustRightInd w:val="0"/>
              <w:snapToGrid w:val="0"/>
              <w:spacing w:before="0" w:beforeAutospacing="0" w:after="0" w:afterAutospacing="0" w:line="360" w:lineRule="auto"/>
              <w:ind w:left="0" w:right="-10"/>
              <w:jc w:val="center"/>
              <w:rPr>
                <w:rFonts w:hint="default" w:ascii="宋体" w:hAnsi="宋体" w:eastAsia="宋体"/>
                <w:color w:val="auto"/>
                <w:sz w:val="24"/>
                <w:szCs w:val="20"/>
                <w:highlight w:val="none"/>
              </w:rPr>
            </w:pPr>
            <w:r>
              <w:rPr>
                <w:rFonts w:hint="eastAsia" w:ascii="宋体" w:hAnsi="宋体" w:eastAsia="宋体"/>
                <w:color w:val="auto"/>
                <w:sz w:val="24"/>
                <w:szCs w:val="20"/>
                <w:highlight w:val="none"/>
              </w:rPr>
              <w:t>格式要求</w:t>
            </w:r>
          </w:p>
        </w:tc>
      </w:tr>
      <w:tr w14:paraId="00B8B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378" w:type="pct"/>
            <w:tcBorders>
              <w:bottom w:val="single" w:color="auto" w:sz="4" w:space="0"/>
            </w:tcBorders>
            <w:vAlign w:val="center"/>
          </w:tcPr>
          <w:p w14:paraId="29BBC9A5">
            <w:pPr>
              <w:keepNext w:val="0"/>
              <w:keepLines w:val="0"/>
              <w:suppressLineNumbers w:val="0"/>
              <w:adjustRightInd w:val="0"/>
              <w:snapToGrid w:val="0"/>
              <w:spacing w:before="0" w:beforeAutospacing="0" w:after="0" w:afterAutospacing="0" w:line="360" w:lineRule="auto"/>
              <w:ind w:left="0" w:right="-10" w:rightChars="0"/>
              <w:jc w:val="center"/>
              <w:rPr>
                <w:rFonts w:hint="default" w:ascii="宋体" w:hAnsi="宋体" w:eastAsia="宋体" w:cs="@仿宋_GB2312"/>
                <w:color w:val="auto"/>
                <w:kern w:val="2"/>
                <w:sz w:val="24"/>
                <w:szCs w:val="20"/>
                <w:highlight w:val="none"/>
                <w:lang w:val="en-US" w:eastAsia="zh-CN" w:bidi="ar-SA"/>
              </w:rPr>
            </w:pPr>
            <w:r>
              <w:rPr>
                <w:rFonts w:hint="eastAsia" w:ascii="宋体" w:hAnsi="宋体" w:eastAsia="宋体"/>
                <w:color w:val="auto"/>
                <w:sz w:val="24"/>
                <w:szCs w:val="20"/>
                <w:highlight w:val="none"/>
              </w:rPr>
              <w:t>1</w:t>
            </w:r>
          </w:p>
        </w:tc>
        <w:tc>
          <w:tcPr>
            <w:tcW w:w="940" w:type="pct"/>
            <w:tcBorders>
              <w:bottom w:val="single" w:color="auto" w:sz="4" w:space="0"/>
            </w:tcBorders>
            <w:vAlign w:val="center"/>
          </w:tcPr>
          <w:p w14:paraId="6D34222E">
            <w:pPr>
              <w:keepNext w:val="0"/>
              <w:keepLines w:val="0"/>
              <w:suppressLineNumbers w:val="0"/>
              <w:spacing w:before="0" w:beforeAutospacing="0" w:after="50" w:afterAutospacing="0" w:line="360" w:lineRule="auto"/>
              <w:ind w:left="0" w:right="-10" w:rightChars="0"/>
              <w:jc w:val="center"/>
              <w:rPr>
                <w:rFonts w:hint="default" w:ascii="宋体" w:hAnsi="宋体" w:eastAsia="宋体" w:cs="@仿宋_GB2312"/>
                <w:color w:val="auto"/>
                <w:kern w:val="2"/>
                <w:sz w:val="24"/>
                <w:szCs w:val="28"/>
                <w:highlight w:val="none"/>
                <w:lang w:val="en-US" w:eastAsia="zh-CN" w:bidi="ar-SA"/>
              </w:rPr>
            </w:pPr>
            <w:r>
              <w:rPr>
                <w:rFonts w:hint="default" w:ascii="宋体" w:hAnsi="宋体" w:eastAsia="宋体" w:cs="宋体"/>
                <w:color w:val="auto"/>
                <w:spacing w:val="9"/>
                <w:sz w:val="24"/>
                <w:szCs w:val="24"/>
                <w:highlight w:val="none"/>
              </w:rPr>
              <w:t>营业执照等证明</w:t>
            </w:r>
            <w:r>
              <w:rPr>
                <w:rFonts w:hint="default" w:ascii="宋体" w:hAnsi="宋体" w:eastAsia="宋体" w:cs="宋体"/>
                <w:color w:val="auto"/>
                <w:spacing w:val="-3"/>
                <w:sz w:val="24"/>
                <w:szCs w:val="24"/>
                <w:highlight w:val="none"/>
              </w:rPr>
              <w:t>文件</w:t>
            </w:r>
          </w:p>
        </w:tc>
        <w:tc>
          <w:tcPr>
            <w:tcW w:w="2600" w:type="pct"/>
            <w:tcBorders>
              <w:bottom w:val="single" w:color="auto" w:sz="4" w:space="0"/>
            </w:tcBorders>
            <w:vAlign w:val="center"/>
          </w:tcPr>
          <w:p w14:paraId="31A79B04">
            <w:pPr>
              <w:keepNext w:val="0"/>
              <w:keepLines w:val="0"/>
              <w:suppressLineNumbers w:val="0"/>
              <w:spacing w:before="0" w:beforeAutospacing="0" w:after="50" w:afterAutospacing="0" w:line="360" w:lineRule="auto"/>
              <w:ind w:left="0" w:right="-10" w:rightChars="0"/>
              <w:jc w:val="left"/>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default" w:ascii="宋体" w:hAnsi="宋体" w:eastAsia="宋体" w:cs="宋体"/>
                <w:color w:val="auto"/>
                <w:sz w:val="24"/>
                <w:szCs w:val="24"/>
                <w:highlight w:val="none"/>
              </w:rPr>
              <w:t>投标人为企业（包括合伙企业）的，应</w:t>
            </w:r>
            <w:r>
              <w:rPr>
                <w:rFonts w:hint="eastAsia" w:ascii="宋体" w:hAnsi="宋体" w:eastAsia="宋体" w:cs="宋体"/>
                <w:color w:val="auto"/>
                <w:sz w:val="24"/>
                <w:szCs w:val="24"/>
                <w:highlight w:val="none"/>
                <w:lang w:val="en-US" w:eastAsia="zh-CN"/>
              </w:rPr>
              <w:t>提</w:t>
            </w:r>
            <w:r>
              <w:rPr>
                <w:rFonts w:hint="default" w:ascii="宋体" w:hAnsi="宋体" w:eastAsia="宋体" w:cs="宋体"/>
                <w:color w:val="auto"/>
                <w:sz w:val="24"/>
                <w:szCs w:val="24"/>
                <w:highlight w:val="none"/>
              </w:rPr>
              <w:t>供有效的营业执照；</w:t>
            </w:r>
          </w:p>
          <w:p w14:paraId="72ECCBA8">
            <w:pPr>
              <w:keepNext w:val="0"/>
              <w:keepLines w:val="0"/>
              <w:suppressLineNumbers w:val="0"/>
              <w:spacing w:before="0" w:beforeAutospacing="0" w:after="50" w:afterAutospacing="0" w:line="360" w:lineRule="auto"/>
              <w:ind w:left="0" w:right="-10" w:rightChars="0"/>
              <w:jc w:val="left"/>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default" w:ascii="宋体" w:hAnsi="宋体" w:eastAsia="宋体" w:cs="宋体"/>
                <w:color w:val="auto"/>
                <w:sz w:val="24"/>
                <w:szCs w:val="24"/>
                <w:highlight w:val="none"/>
              </w:rPr>
              <w:t>投标人为事业单位的，应</w:t>
            </w:r>
            <w:r>
              <w:rPr>
                <w:rFonts w:hint="eastAsia" w:ascii="宋体" w:hAnsi="宋体" w:eastAsia="宋体" w:cs="宋体"/>
                <w:color w:val="auto"/>
                <w:sz w:val="24"/>
                <w:szCs w:val="24"/>
                <w:highlight w:val="none"/>
                <w:lang w:val="en-US" w:eastAsia="zh-CN"/>
              </w:rPr>
              <w:t>提</w:t>
            </w:r>
            <w:r>
              <w:rPr>
                <w:rFonts w:hint="default" w:ascii="宋体" w:hAnsi="宋体" w:eastAsia="宋体" w:cs="宋体"/>
                <w:color w:val="auto"/>
                <w:sz w:val="24"/>
                <w:szCs w:val="24"/>
                <w:highlight w:val="none"/>
              </w:rPr>
              <w:t>供有效的事业单位法人证书；</w:t>
            </w:r>
          </w:p>
          <w:p w14:paraId="23B632EA">
            <w:pPr>
              <w:keepNext w:val="0"/>
              <w:keepLines w:val="0"/>
              <w:suppressLineNumbers w:val="0"/>
              <w:spacing w:before="0" w:beforeAutospacing="0" w:after="50" w:afterAutospacing="0" w:line="360" w:lineRule="auto"/>
              <w:ind w:left="0" w:right="-10" w:rightChars="0"/>
              <w:jc w:val="left"/>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default" w:ascii="宋体" w:hAnsi="宋体" w:eastAsia="宋体" w:cs="宋体"/>
                <w:color w:val="auto"/>
                <w:sz w:val="24"/>
                <w:szCs w:val="24"/>
                <w:highlight w:val="none"/>
              </w:rPr>
              <w:t>投标人是非企业机构的，应</w:t>
            </w:r>
            <w:r>
              <w:rPr>
                <w:rFonts w:hint="eastAsia" w:ascii="宋体" w:hAnsi="宋体" w:eastAsia="宋体" w:cs="宋体"/>
                <w:color w:val="auto"/>
                <w:sz w:val="24"/>
                <w:szCs w:val="24"/>
                <w:highlight w:val="none"/>
                <w:lang w:val="en-US" w:eastAsia="zh-CN"/>
              </w:rPr>
              <w:t>提</w:t>
            </w:r>
            <w:r>
              <w:rPr>
                <w:rFonts w:hint="default" w:ascii="宋体" w:hAnsi="宋体" w:eastAsia="宋体" w:cs="宋体"/>
                <w:color w:val="auto"/>
                <w:sz w:val="24"/>
                <w:szCs w:val="24"/>
                <w:highlight w:val="none"/>
              </w:rPr>
              <w:t>供有效的执业许可证</w:t>
            </w:r>
            <w:r>
              <w:rPr>
                <w:rFonts w:hint="eastAsia" w:ascii="宋体" w:hAnsi="宋体" w:eastAsia="宋体" w:cs="宋体"/>
                <w:color w:val="auto"/>
                <w:sz w:val="24"/>
                <w:szCs w:val="24"/>
                <w:highlight w:val="none"/>
                <w:lang w:val="en-US" w:eastAsia="zh-CN"/>
              </w:rPr>
              <w:t>或</w:t>
            </w:r>
            <w:r>
              <w:rPr>
                <w:rFonts w:hint="default" w:ascii="宋体" w:hAnsi="宋体" w:eastAsia="宋体" w:cs="宋体"/>
                <w:color w:val="auto"/>
                <w:sz w:val="24"/>
                <w:szCs w:val="24"/>
                <w:highlight w:val="none"/>
              </w:rPr>
              <w:t>登记证书等证明文件；</w:t>
            </w:r>
          </w:p>
          <w:p w14:paraId="090C6299">
            <w:pPr>
              <w:keepNext w:val="0"/>
              <w:keepLines w:val="0"/>
              <w:suppressLineNumbers w:val="0"/>
              <w:spacing w:before="0" w:beforeAutospacing="0" w:after="50" w:afterAutospacing="0" w:line="360" w:lineRule="auto"/>
              <w:ind w:left="0" w:right="-10" w:rightChars="0"/>
              <w:jc w:val="left"/>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default" w:ascii="宋体" w:hAnsi="宋体" w:eastAsia="宋体" w:cs="宋体"/>
                <w:color w:val="auto"/>
                <w:sz w:val="24"/>
                <w:szCs w:val="24"/>
                <w:highlight w:val="none"/>
              </w:rPr>
              <w:t>投标人是个体工商户的，应</w:t>
            </w:r>
            <w:r>
              <w:rPr>
                <w:rFonts w:hint="eastAsia" w:ascii="宋体" w:hAnsi="宋体" w:eastAsia="宋体" w:cs="宋体"/>
                <w:color w:val="auto"/>
                <w:sz w:val="24"/>
                <w:szCs w:val="24"/>
                <w:highlight w:val="none"/>
                <w:lang w:val="en-US" w:eastAsia="zh-CN"/>
              </w:rPr>
              <w:t>提</w:t>
            </w:r>
            <w:r>
              <w:rPr>
                <w:rFonts w:hint="default" w:ascii="宋体" w:hAnsi="宋体" w:eastAsia="宋体" w:cs="宋体"/>
                <w:color w:val="auto"/>
                <w:sz w:val="24"/>
                <w:szCs w:val="24"/>
                <w:highlight w:val="none"/>
              </w:rPr>
              <w:t>供有效的个体工商户营业执照；</w:t>
            </w:r>
          </w:p>
          <w:p w14:paraId="57ED0743">
            <w:pPr>
              <w:keepNext w:val="0"/>
              <w:keepLines w:val="0"/>
              <w:suppressLineNumbers w:val="0"/>
              <w:spacing w:before="0" w:beforeAutospacing="0" w:after="50" w:afterAutospacing="0" w:line="360" w:lineRule="auto"/>
              <w:ind w:left="0" w:right="-10" w:rightChars="0"/>
              <w:jc w:val="left"/>
              <w:rPr>
                <w:rFonts w:hint="default" w:ascii="宋体" w:hAnsi="宋体" w:eastAsia="宋体" w:cs="@仿宋_GB2312"/>
                <w:color w:val="auto"/>
                <w:kern w:val="2"/>
                <w:sz w:val="24"/>
                <w:szCs w:val="28"/>
                <w:highlight w:val="none"/>
                <w:lang w:val="en-US" w:eastAsia="zh-CN" w:bidi="ar-SA"/>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hint="default" w:ascii="宋体" w:hAnsi="宋体" w:eastAsia="宋体" w:cs="宋体"/>
                <w:color w:val="auto"/>
                <w:sz w:val="24"/>
                <w:szCs w:val="24"/>
                <w:highlight w:val="none"/>
              </w:rPr>
              <w:t>投标人是自然人的，应</w:t>
            </w:r>
            <w:r>
              <w:rPr>
                <w:rFonts w:hint="eastAsia" w:ascii="宋体" w:hAnsi="宋体" w:eastAsia="宋体" w:cs="宋体"/>
                <w:color w:val="auto"/>
                <w:sz w:val="24"/>
                <w:szCs w:val="24"/>
                <w:highlight w:val="none"/>
                <w:lang w:val="en-US" w:eastAsia="zh-CN"/>
              </w:rPr>
              <w:t>提</w:t>
            </w:r>
            <w:r>
              <w:rPr>
                <w:rFonts w:hint="default" w:ascii="宋体" w:hAnsi="宋体" w:eastAsia="宋体" w:cs="宋体"/>
                <w:color w:val="auto"/>
                <w:sz w:val="24"/>
                <w:szCs w:val="24"/>
                <w:highlight w:val="none"/>
              </w:rPr>
              <w:t>供有效的自然人身份证明。</w:t>
            </w:r>
          </w:p>
        </w:tc>
        <w:tc>
          <w:tcPr>
            <w:tcW w:w="1080" w:type="pct"/>
            <w:vAlign w:val="center"/>
          </w:tcPr>
          <w:p w14:paraId="0E12DE87">
            <w:pPr>
              <w:keepNext w:val="0"/>
              <w:keepLines w:val="0"/>
              <w:suppressLineNumbers w:val="0"/>
              <w:spacing w:before="0" w:beforeAutospacing="0" w:after="0" w:afterAutospacing="0" w:line="360" w:lineRule="auto"/>
              <w:ind w:left="0" w:right="0"/>
              <w:jc w:val="left"/>
              <w:rPr>
                <w:rFonts w:hint="default" w:ascii="宋体" w:hAnsi="宋体" w:eastAsia="宋体" w:cs="@仿宋_GB2312"/>
                <w:color w:val="auto"/>
                <w:kern w:val="2"/>
                <w:sz w:val="24"/>
                <w:szCs w:val="20"/>
                <w:highlight w:val="none"/>
                <w:lang w:val="en-US" w:eastAsia="zh-CN" w:bidi="ar-SA"/>
              </w:rPr>
            </w:pPr>
            <w:r>
              <w:rPr>
                <w:rFonts w:hint="eastAsia" w:ascii="宋体" w:hAnsi="宋体" w:eastAsia="宋体" w:cs="宋体"/>
                <w:b w:val="0"/>
                <w:bCs w:val="0"/>
                <w:color w:val="auto"/>
                <w:sz w:val="24"/>
                <w:szCs w:val="24"/>
                <w:highlight w:val="none"/>
              </w:rPr>
              <w:t>提供</w:t>
            </w:r>
            <w:r>
              <w:rPr>
                <w:rFonts w:hint="eastAsia" w:ascii="宋体" w:hAnsi="宋体" w:eastAsia="宋体" w:cs="宋体"/>
                <w:b w:val="0"/>
                <w:bCs w:val="0"/>
                <w:color w:val="auto"/>
                <w:sz w:val="24"/>
                <w:szCs w:val="24"/>
                <w:highlight w:val="none"/>
                <w:lang w:val="en-US" w:eastAsia="zh-CN"/>
              </w:rPr>
              <w:t>材料</w:t>
            </w:r>
            <w:r>
              <w:rPr>
                <w:rFonts w:hint="eastAsia" w:ascii="宋体" w:hAnsi="宋体" w:eastAsia="宋体" w:cs="宋体"/>
                <w:b w:val="0"/>
                <w:bCs w:val="0"/>
                <w:color w:val="auto"/>
                <w:sz w:val="24"/>
                <w:szCs w:val="24"/>
                <w:highlight w:val="none"/>
              </w:rPr>
              <w:t>扫描件</w:t>
            </w:r>
            <w:r>
              <w:rPr>
                <w:rFonts w:hint="eastAsia" w:ascii="宋体" w:hAnsi="宋体" w:eastAsia="宋体" w:cs="宋体"/>
                <w:b w:val="0"/>
                <w:bCs w:val="0"/>
                <w:color w:val="auto"/>
                <w:sz w:val="24"/>
                <w:szCs w:val="24"/>
                <w:highlight w:val="none"/>
                <w:lang w:val="en-US" w:eastAsia="zh-CN"/>
              </w:rPr>
              <w:t>或电子证照</w:t>
            </w:r>
            <w:r>
              <w:rPr>
                <w:rFonts w:hint="eastAsia" w:ascii="宋体" w:hAnsi="宋体" w:eastAsia="宋体" w:cs="宋体"/>
                <w:b w:val="0"/>
                <w:bCs w:val="0"/>
                <w:color w:val="auto"/>
                <w:sz w:val="24"/>
                <w:szCs w:val="24"/>
                <w:highlight w:val="none"/>
              </w:rPr>
              <w:t>，应完整的体现出</w:t>
            </w:r>
            <w:r>
              <w:rPr>
                <w:rFonts w:hint="eastAsia" w:ascii="宋体" w:hAnsi="宋体" w:eastAsia="宋体" w:cs="宋体"/>
                <w:b w:val="0"/>
                <w:bCs w:val="0"/>
                <w:color w:val="auto"/>
                <w:sz w:val="24"/>
                <w:szCs w:val="24"/>
                <w:highlight w:val="none"/>
                <w:lang w:val="en-US" w:eastAsia="zh-CN"/>
              </w:rPr>
              <w:t>材料或电子证照</w:t>
            </w:r>
            <w:r>
              <w:rPr>
                <w:rFonts w:hint="eastAsia" w:ascii="宋体" w:hAnsi="宋体" w:eastAsia="宋体" w:cs="宋体"/>
                <w:b w:val="0"/>
                <w:bCs w:val="0"/>
                <w:color w:val="auto"/>
                <w:sz w:val="24"/>
                <w:szCs w:val="24"/>
                <w:highlight w:val="none"/>
              </w:rPr>
              <w:t>全部内容。联合体投标的联合体各方均须提供。</w:t>
            </w:r>
          </w:p>
        </w:tc>
      </w:tr>
      <w:tr w14:paraId="156BE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378" w:type="pct"/>
            <w:tcBorders>
              <w:bottom w:val="single" w:color="auto" w:sz="4" w:space="0"/>
            </w:tcBorders>
            <w:vAlign w:val="center"/>
          </w:tcPr>
          <w:p w14:paraId="1B43CF56">
            <w:pPr>
              <w:keepNext w:val="0"/>
              <w:keepLines w:val="0"/>
              <w:suppressLineNumbers w:val="0"/>
              <w:adjustRightInd w:val="0"/>
              <w:snapToGrid w:val="0"/>
              <w:spacing w:before="0" w:beforeAutospacing="0" w:after="0" w:afterAutospacing="0" w:line="360" w:lineRule="auto"/>
              <w:ind w:left="0" w:right="-10" w:rightChars="0"/>
              <w:jc w:val="center"/>
              <w:rPr>
                <w:rFonts w:hint="eastAsia" w:ascii="宋体" w:hAnsi="宋体" w:eastAsia="宋体"/>
                <w:color w:val="auto"/>
                <w:sz w:val="24"/>
                <w:szCs w:val="20"/>
                <w:highlight w:val="none"/>
                <w:lang w:val="en-US" w:eastAsia="zh-CN"/>
              </w:rPr>
            </w:pPr>
            <w:r>
              <w:rPr>
                <w:rFonts w:hint="eastAsia" w:ascii="宋体" w:hAnsi="宋体" w:eastAsia="宋体"/>
                <w:color w:val="auto"/>
                <w:sz w:val="24"/>
                <w:szCs w:val="20"/>
                <w:highlight w:val="none"/>
                <w:lang w:val="en-US" w:eastAsia="zh-CN"/>
              </w:rPr>
              <w:t>2</w:t>
            </w:r>
          </w:p>
        </w:tc>
        <w:tc>
          <w:tcPr>
            <w:tcW w:w="940" w:type="pct"/>
            <w:tcBorders>
              <w:bottom w:val="single" w:color="auto" w:sz="4" w:space="0"/>
            </w:tcBorders>
            <w:vAlign w:val="center"/>
          </w:tcPr>
          <w:p w14:paraId="53C3BAC2">
            <w:pPr>
              <w:keepNext w:val="0"/>
              <w:keepLines w:val="0"/>
              <w:suppressLineNumbers w:val="0"/>
              <w:spacing w:before="0" w:beforeAutospacing="0" w:after="50" w:afterAutospacing="0" w:line="360" w:lineRule="auto"/>
              <w:ind w:left="0" w:right="-10" w:rightChars="0"/>
              <w:jc w:val="center"/>
              <w:rPr>
                <w:rFonts w:hint="default" w:ascii="宋体" w:hAnsi="宋体" w:eastAsia="宋体"/>
                <w:color w:val="auto"/>
                <w:sz w:val="24"/>
                <w:szCs w:val="28"/>
                <w:highlight w:val="none"/>
                <w:lang w:val="en-US"/>
              </w:rPr>
            </w:pPr>
            <w:r>
              <w:rPr>
                <w:rFonts w:hint="eastAsia" w:ascii="宋体" w:hAnsi="宋体" w:eastAsia="宋体"/>
                <w:color w:val="auto"/>
                <w:sz w:val="24"/>
                <w:szCs w:val="18"/>
                <w:highlight w:val="none"/>
                <w:lang w:val="en-US" w:eastAsia="zh-CN"/>
              </w:rPr>
              <w:t>投标人资格声明书</w:t>
            </w:r>
          </w:p>
        </w:tc>
        <w:tc>
          <w:tcPr>
            <w:tcW w:w="2600" w:type="pct"/>
            <w:tcBorders>
              <w:bottom w:val="single" w:color="auto" w:sz="4" w:space="0"/>
            </w:tcBorders>
            <w:vAlign w:val="center"/>
          </w:tcPr>
          <w:p w14:paraId="001FF8ED">
            <w:pPr>
              <w:keepNext w:val="0"/>
              <w:keepLines w:val="0"/>
              <w:suppressLineNumbers w:val="0"/>
              <w:spacing w:before="0" w:beforeAutospacing="0" w:after="50" w:afterAutospacing="0" w:line="360" w:lineRule="auto"/>
              <w:ind w:left="0" w:right="-10" w:rightChars="0"/>
              <w:jc w:val="left"/>
              <w:rPr>
                <w:rFonts w:hint="eastAsia" w:ascii="宋体" w:hAnsi="宋体" w:eastAsia="宋体"/>
                <w:color w:val="auto"/>
                <w:sz w:val="24"/>
                <w:szCs w:val="28"/>
                <w:highlight w:val="none"/>
              </w:rPr>
            </w:pPr>
            <w:r>
              <w:rPr>
                <w:rFonts w:hint="eastAsia" w:ascii="宋体" w:hAnsi="宋体" w:eastAsia="宋体" w:cs="宋体"/>
                <w:color w:val="auto"/>
                <w:sz w:val="24"/>
                <w:szCs w:val="24"/>
                <w:highlight w:val="none"/>
                <w:lang w:val="en-US" w:eastAsia="zh-CN"/>
              </w:rPr>
              <w:t>提</w:t>
            </w:r>
            <w:r>
              <w:rPr>
                <w:rFonts w:hint="default" w:ascii="宋体" w:hAnsi="宋体" w:eastAsia="宋体" w:cs="宋体"/>
                <w:color w:val="auto"/>
                <w:sz w:val="24"/>
                <w:szCs w:val="24"/>
                <w:highlight w:val="none"/>
              </w:rPr>
              <w:t>供符合招标文件要求的《投标人资格声明书》</w:t>
            </w:r>
            <w:r>
              <w:rPr>
                <w:rFonts w:hint="eastAsia" w:ascii="宋体" w:hAnsi="宋体" w:eastAsia="宋体" w:cs="宋体"/>
                <w:color w:val="auto"/>
                <w:sz w:val="24"/>
                <w:szCs w:val="24"/>
                <w:highlight w:val="none"/>
                <w:lang w:eastAsia="zh-CN"/>
              </w:rPr>
              <w:t>。</w:t>
            </w:r>
          </w:p>
        </w:tc>
        <w:tc>
          <w:tcPr>
            <w:tcW w:w="1080" w:type="pct"/>
            <w:vAlign w:val="center"/>
          </w:tcPr>
          <w:p w14:paraId="78C1B1B6">
            <w:pPr>
              <w:keepNext w:val="0"/>
              <w:keepLines w:val="0"/>
              <w:suppressLineNumbers w:val="0"/>
              <w:spacing w:before="0" w:beforeAutospacing="0" w:after="0" w:afterAutospacing="0" w:line="360" w:lineRule="auto"/>
              <w:ind w:left="0" w:right="0"/>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olor w:val="auto"/>
                <w:sz w:val="24"/>
                <w:szCs w:val="20"/>
                <w:highlight w:val="none"/>
              </w:rPr>
              <w:t>详见第六章投标文件格式</w:t>
            </w:r>
            <w:r>
              <w:rPr>
                <w:rFonts w:hint="eastAsia" w:ascii="宋体" w:hAnsi="宋体" w:eastAsia="宋体"/>
                <w:color w:val="auto"/>
                <w:sz w:val="24"/>
                <w:szCs w:val="20"/>
                <w:highlight w:val="none"/>
                <w:lang w:eastAsia="zh-CN"/>
              </w:rPr>
              <w:t>。</w:t>
            </w:r>
          </w:p>
        </w:tc>
      </w:tr>
      <w:tr w14:paraId="16862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tcBorders>
              <w:bottom w:val="single" w:color="auto" w:sz="4" w:space="0"/>
            </w:tcBorders>
            <w:vAlign w:val="center"/>
          </w:tcPr>
          <w:p w14:paraId="7A71D6C8">
            <w:pPr>
              <w:keepNext w:val="0"/>
              <w:keepLines w:val="0"/>
              <w:suppressLineNumbers w:val="0"/>
              <w:adjustRightInd w:val="0"/>
              <w:snapToGrid w:val="0"/>
              <w:spacing w:before="0" w:beforeAutospacing="0" w:after="0" w:afterAutospacing="0" w:line="360" w:lineRule="auto"/>
              <w:ind w:left="0" w:right="-10"/>
              <w:jc w:val="center"/>
              <w:rPr>
                <w:rFonts w:hint="eastAsia" w:ascii="宋体" w:hAnsi="宋体" w:eastAsia="宋体"/>
                <w:color w:val="auto"/>
                <w:sz w:val="24"/>
                <w:szCs w:val="20"/>
                <w:highlight w:val="none"/>
                <w:lang w:val="en-US" w:eastAsia="zh-CN"/>
              </w:rPr>
            </w:pPr>
            <w:r>
              <w:rPr>
                <w:rFonts w:hint="eastAsia" w:ascii="宋体" w:hAnsi="宋体" w:eastAsia="宋体"/>
                <w:color w:val="auto"/>
                <w:sz w:val="24"/>
                <w:szCs w:val="20"/>
                <w:highlight w:val="none"/>
                <w:lang w:val="en-US" w:eastAsia="zh-CN"/>
              </w:rPr>
              <w:t>3</w:t>
            </w:r>
          </w:p>
        </w:tc>
        <w:tc>
          <w:tcPr>
            <w:tcW w:w="940" w:type="pct"/>
            <w:tcBorders>
              <w:bottom w:val="single" w:color="auto" w:sz="4" w:space="0"/>
            </w:tcBorders>
            <w:vAlign w:val="center"/>
          </w:tcPr>
          <w:p w14:paraId="6BA74C9D">
            <w:pPr>
              <w:keepNext w:val="0"/>
              <w:keepLines w:val="0"/>
              <w:suppressLineNumbers w:val="0"/>
              <w:spacing w:before="0" w:beforeAutospacing="0" w:after="50" w:afterAutospacing="0" w:line="360" w:lineRule="auto"/>
              <w:ind w:left="0" w:right="-10"/>
              <w:jc w:val="center"/>
              <w:rPr>
                <w:rFonts w:hint="default" w:ascii="宋体" w:hAnsi="宋体" w:eastAsia="宋体"/>
                <w:color w:val="auto"/>
                <w:sz w:val="24"/>
                <w:szCs w:val="28"/>
                <w:highlight w:val="none"/>
              </w:rPr>
            </w:pPr>
            <w:r>
              <w:rPr>
                <w:rFonts w:hint="eastAsia" w:ascii="宋体" w:hAnsi="宋体" w:eastAsia="宋体" w:cs="宋体"/>
                <w:color w:val="auto"/>
                <w:sz w:val="24"/>
                <w:szCs w:val="24"/>
                <w:highlight w:val="none"/>
              </w:rPr>
              <w:t>投标人信用记录</w:t>
            </w:r>
          </w:p>
        </w:tc>
        <w:tc>
          <w:tcPr>
            <w:tcW w:w="2600" w:type="pct"/>
            <w:tcBorders>
              <w:bottom w:val="single" w:color="auto" w:sz="4" w:space="0"/>
            </w:tcBorders>
            <w:vAlign w:val="center"/>
          </w:tcPr>
          <w:p w14:paraId="2F8BFD46">
            <w:pPr>
              <w:keepNext w:val="0"/>
              <w:keepLines w:val="0"/>
              <w:suppressLineNumbers w:val="0"/>
              <w:spacing w:before="0" w:beforeAutospacing="0" w:after="50" w:afterAutospacing="0" w:line="360" w:lineRule="auto"/>
              <w:ind w:left="0" w:right="-10" w:rightChars="0"/>
              <w:jc w:val="left"/>
              <w:rPr>
                <w:rFonts w:hint="default"/>
                <w:color w:val="auto"/>
                <w:szCs w:val="20"/>
                <w:highlight w:val="none"/>
              </w:rPr>
            </w:pPr>
            <w:r>
              <w:rPr>
                <w:rFonts w:hint="eastAsia" w:ascii="宋体" w:hAnsi="宋体" w:eastAsia="宋体" w:cs="宋体"/>
                <w:color w:val="auto"/>
                <w:sz w:val="24"/>
                <w:szCs w:val="24"/>
                <w:highlight w:val="none"/>
                <w:lang w:val="zh-CN" w:eastAsia="zh-CN"/>
              </w:rPr>
              <w:t>投标人不得存在</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邀请第4条信誉要求和投标人须知正文第1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zh-CN" w:eastAsia="zh-CN"/>
              </w:rPr>
              <w:t>.2</w:t>
            </w:r>
            <w:r>
              <w:rPr>
                <w:rFonts w:hint="eastAsia" w:ascii="宋体" w:hAnsi="宋体" w:eastAsia="宋体" w:cs="宋体"/>
                <w:color w:val="auto"/>
                <w:sz w:val="24"/>
                <w:szCs w:val="24"/>
                <w:highlight w:val="none"/>
                <w:lang w:val="en-US" w:eastAsia="zh-CN"/>
              </w:rPr>
              <w:t>条中</w:t>
            </w:r>
            <w:r>
              <w:rPr>
                <w:rFonts w:hint="eastAsia" w:ascii="宋体" w:hAnsi="宋体" w:eastAsia="宋体"/>
                <w:color w:val="auto"/>
                <w:sz w:val="24"/>
                <w:szCs w:val="28"/>
                <w:highlight w:val="none"/>
              </w:rPr>
              <w:t>的</w:t>
            </w:r>
            <w:r>
              <w:rPr>
                <w:rFonts w:hint="eastAsia" w:ascii="宋体" w:hAnsi="宋体" w:eastAsia="宋体"/>
                <w:color w:val="auto"/>
                <w:sz w:val="24"/>
                <w:szCs w:val="18"/>
                <w:highlight w:val="none"/>
              </w:rPr>
              <w:t>不良信用记录情形</w:t>
            </w:r>
          </w:p>
        </w:tc>
        <w:tc>
          <w:tcPr>
            <w:tcW w:w="1080" w:type="pct"/>
            <w:tcBorders>
              <w:bottom w:val="single" w:color="auto" w:sz="4" w:space="0"/>
            </w:tcBorders>
            <w:vAlign w:val="center"/>
          </w:tcPr>
          <w:p w14:paraId="4E0DDC24">
            <w:pPr>
              <w:keepNext w:val="0"/>
              <w:keepLines w:val="0"/>
              <w:suppressLineNumbers w:val="0"/>
              <w:spacing w:before="0" w:beforeAutospacing="0" w:after="0" w:afterAutospacing="0" w:line="360" w:lineRule="auto"/>
              <w:ind w:left="0" w:right="0"/>
              <w:jc w:val="left"/>
              <w:rPr>
                <w:rFonts w:hint="default" w:ascii="@仿宋_GB2312" w:hAnsi="@仿宋_GB2312" w:eastAsia="@仿宋_GB2312" w:cs="@仿宋_GB2312"/>
                <w:color w:val="auto"/>
                <w:kern w:val="2"/>
                <w:sz w:val="21"/>
                <w:szCs w:val="20"/>
                <w:highlight w:val="none"/>
                <w:lang w:val="en-US" w:eastAsia="zh-CN" w:bidi="ar-SA"/>
              </w:rPr>
            </w:pPr>
            <w:r>
              <w:rPr>
                <w:rFonts w:hint="eastAsia" w:ascii="宋体" w:hAnsi="宋体" w:eastAsia="宋体" w:cs="宋体"/>
                <w:color w:val="auto"/>
                <w:sz w:val="24"/>
                <w:szCs w:val="24"/>
                <w:highlight w:val="none"/>
              </w:rPr>
              <w:t>无须投标人</w:t>
            </w:r>
            <w:r>
              <w:rPr>
                <w:rFonts w:hint="eastAsia" w:ascii="宋体" w:hAnsi="宋体" w:eastAsia="宋体" w:cs="宋体"/>
                <w:color w:val="auto"/>
                <w:sz w:val="24"/>
                <w:szCs w:val="24"/>
                <w:highlight w:val="none"/>
                <w:lang w:val="en-US" w:eastAsia="zh-CN"/>
              </w:rPr>
              <w:t>提</w:t>
            </w:r>
            <w:r>
              <w:rPr>
                <w:rFonts w:hint="eastAsia" w:ascii="宋体" w:hAnsi="宋体" w:eastAsia="宋体" w:cs="宋体"/>
                <w:color w:val="auto"/>
                <w:sz w:val="24"/>
                <w:szCs w:val="24"/>
                <w:highlight w:val="none"/>
              </w:rPr>
              <w:t>供，由采购人或采购代理机构查询。</w:t>
            </w:r>
          </w:p>
        </w:tc>
      </w:tr>
      <w:tr w14:paraId="7916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tcBorders>
              <w:bottom w:val="single" w:color="auto" w:sz="4" w:space="0"/>
            </w:tcBorders>
            <w:vAlign w:val="center"/>
          </w:tcPr>
          <w:p w14:paraId="18A9AB4C">
            <w:pPr>
              <w:keepNext w:val="0"/>
              <w:keepLines w:val="0"/>
              <w:suppressLineNumbers w:val="0"/>
              <w:adjustRightInd w:val="0"/>
              <w:snapToGrid w:val="0"/>
              <w:spacing w:before="0" w:beforeAutospacing="0" w:after="0" w:afterAutospacing="0" w:line="360" w:lineRule="auto"/>
              <w:ind w:left="0" w:right="-10" w:rightChars="0"/>
              <w:jc w:val="center"/>
              <w:rPr>
                <w:rFonts w:hint="eastAsia" w:ascii="宋体" w:hAnsi="宋体" w:eastAsia="宋体" w:cs="@仿宋_GB2312"/>
                <w:color w:val="auto"/>
                <w:kern w:val="2"/>
                <w:sz w:val="24"/>
                <w:szCs w:val="20"/>
                <w:highlight w:val="none"/>
                <w:lang w:val="en-US" w:eastAsia="zh-CN" w:bidi="ar-SA"/>
              </w:rPr>
            </w:pPr>
            <w:r>
              <w:rPr>
                <w:rFonts w:hint="eastAsia" w:ascii="宋体" w:hAnsi="宋体" w:eastAsia="宋体"/>
                <w:color w:val="auto"/>
                <w:sz w:val="24"/>
                <w:szCs w:val="20"/>
                <w:highlight w:val="none"/>
                <w:lang w:val="en-US" w:eastAsia="zh-CN"/>
              </w:rPr>
              <w:t>4</w:t>
            </w:r>
          </w:p>
        </w:tc>
        <w:tc>
          <w:tcPr>
            <w:tcW w:w="940" w:type="pct"/>
            <w:tcBorders>
              <w:bottom w:val="single" w:color="auto" w:sz="4" w:space="0"/>
            </w:tcBorders>
            <w:vAlign w:val="center"/>
          </w:tcPr>
          <w:p w14:paraId="404FCE1C">
            <w:pPr>
              <w:keepNext w:val="0"/>
              <w:keepLines w:val="0"/>
              <w:suppressLineNumbers w:val="0"/>
              <w:spacing w:before="0" w:beforeAutospacing="0" w:after="50" w:afterAutospacing="0" w:line="360" w:lineRule="auto"/>
              <w:ind w:left="0" w:right="-1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诚信投标承诺书</w:t>
            </w:r>
          </w:p>
        </w:tc>
        <w:tc>
          <w:tcPr>
            <w:tcW w:w="2600" w:type="pct"/>
            <w:tcBorders>
              <w:bottom w:val="single" w:color="auto" w:sz="4" w:space="0"/>
            </w:tcBorders>
            <w:vAlign w:val="top"/>
          </w:tcPr>
          <w:p w14:paraId="35DE2DEF">
            <w:pPr>
              <w:keepNext w:val="0"/>
              <w:keepLines w:val="0"/>
              <w:suppressLineNumbers w:val="0"/>
              <w:spacing w:before="0" w:beforeAutospacing="0" w:after="50" w:afterAutospacing="0" w:line="360" w:lineRule="auto"/>
              <w:ind w:left="0" w:right="-10"/>
              <w:jc w:val="left"/>
              <w:rPr>
                <w:rFonts w:hint="eastAsia" w:ascii="宋体" w:hAnsi="宋体" w:eastAsia="宋体" w:cs="宋体"/>
                <w:color w:val="auto"/>
                <w:sz w:val="24"/>
                <w:szCs w:val="24"/>
                <w:highlight w:val="none"/>
                <w:lang w:val="en-US" w:eastAsia="zh-CN"/>
              </w:rPr>
            </w:pPr>
            <w:r>
              <w:rPr>
                <w:rFonts w:hint="eastAsia" w:ascii="宋体" w:hAnsi="宋体" w:eastAsia="宋体"/>
                <w:color w:val="auto"/>
                <w:sz w:val="24"/>
                <w:szCs w:val="28"/>
                <w:highlight w:val="none"/>
              </w:rPr>
              <w:t>格式、填写要求符合招标文件规定并加盖投标人电子签章</w:t>
            </w:r>
            <w:r>
              <w:rPr>
                <w:rFonts w:hint="eastAsia" w:ascii="宋体" w:hAnsi="宋体" w:eastAsia="宋体"/>
                <w:color w:val="auto"/>
                <w:sz w:val="24"/>
                <w:szCs w:val="28"/>
                <w:highlight w:val="none"/>
                <w:lang w:eastAsia="zh-CN"/>
              </w:rPr>
              <w:t>。</w:t>
            </w:r>
          </w:p>
        </w:tc>
        <w:tc>
          <w:tcPr>
            <w:tcW w:w="1080" w:type="pct"/>
            <w:tcBorders>
              <w:bottom w:val="single" w:color="auto" w:sz="4" w:space="0"/>
            </w:tcBorders>
            <w:vAlign w:val="center"/>
          </w:tcPr>
          <w:p w14:paraId="1BB7BEC6">
            <w:pPr>
              <w:keepNext w:val="0"/>
              <w:keepLines w:val="0"/>
              <w:suppressLineNumbers w:val="0"/>
              <w:spacing w:before="0" w:beforeAutospacing="0" w:after="50" w:afterAutospacing="0" w:line="360" w:lineRule="auto"/>
              <w:ind w:left="0" w:right="-10"/>
              <w:jc w:val="center"/>
              <w:rPr>
                <w:rFonts w:hint="eastAsia" w:ascii="宋体" w:hAnsi="宋体" w:eastAsia="宋体" w:cs="宋体"/>
                <w:color w:val="auto"/>
                <w:sz w:val="24"/>
                <w:szCs w:val="24"/>
                <w:highlight w:val="none"/>
                <w:lang w:val="en-US" w:eastAsia="zh-CN"/>
              </w:rPr>
            </w:pPr>
            <w:r>
              <w:rPr>
                <w:rFonts w:hint="eastAsia" w:ascii="宋体" w:hAnsi="宋体" w:eastAsia="宋体"/>
                <w:color w:val="auto"/>
                <w:sz w:val="24"/>
                <w:szCs w:val="20"/>
                <w:highlight w:val="none"/>
              </w:rPr>
              <w:t>详见第六章投标文件格式</w:t>
            </w:r>
            <w:r>
              <w:rPr>
                <w:rFonts w:hint="eastAsia" w:ascii="宋体" w:hAnsi="宋体" w:eastAsia="宋体"/>
                <w:color w:val="auto"/>
                <w:sz w:val="24"/>
                <w:szCs w:val="20"/>
                <w:highlight w:val="none"/>
                <w:lang w:eastAsia="zh-CN"/>
              </w:rPr>
              <w:t>。</w:t>
            </w:r>
          </w:p>
        </w:tc>
      </w:tr>
      <w:tr w14:paraId="12B1F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Align w:val="center"/>
          </w:tcPr>
          <w:p w14:paraId="6ABB00CC">
            <w:pPr>
              <w:keepNext w:val="0"/>
              <w:keepLines w:val="0"/>
              <w:suppressLineNumbers w:val="0"/>
              <w:adjustRightInd w:val="0"/>
              <w:snapToGrid w:val="0"/>
              <w:spacing w:before="0" w:beforeAutospacing="0" w:after="0" w:afterAutospacing="0" w:line="360" w:lineRule="auto"/>
              <w:ind w:left="0" w:right="-10" w:rightChars="0"/>
              <w:jc w:val="center"/>
              <w:rPr>
                <w:rFonts w:hint="eastAsia" w:ascii="宋体" w:hAnsi="宋体" w:eastAsia="宋体" w:cs="@仿宋_GB2312"/>
                <w:color w:val="auto"/>
                <w:kern w:val="2"/>
                <w:sz w:val="24"/>
                <w:szCs w:val="20"/>
                <w:highlight w:val="none"/>
                <w:lang w:val="en-US" w:eastAsia="zh-CN" w:bidi="ar-SA"/>
              </w:rPr>
            </w:pPr>
            <w:r>
              <w:rPr>
                <w:rFonts w:hint="eastAsia" w:ascii="宋体" w:hAnsi="宋体" w:eastAsia="宋体"/>
                <w:color w:val="auto"/>
                <w:sz w:val="24"/>
                <w:szCs w:val="20"/>
                <w:highlight w:val="none"/>
                <w:lang w:val="en-US" w:eastAsia="zh-CN"/>
              </w:rPr>
              <w:t>5</w:t>
            </w:r>
          </w:p>
        </w:tc>
        <w:tc>
          <w:tcPr>
            <w:tcW w:w="940" w:type="pct"/>
            <w:vAlign w:val="center"/>
          </w:tcPr>
          <w:p w14:paraId="4038CB04">
            <w:pPr>
              <w:keepNext w:val="0"/>
              <w:keepLines w:val="0"/>
              <w:suppressLineNumbers w:val="0"/>
              <w:spacing w:before="0" w:beforeAutospacing="0" w:after="50" w:afterAutospacing="0" w:line="360" w:lineRule="auto"/>
              <w:ind w:left="0" w:right="-10"/>
              <w:jc w:val="both"/>
              <w:rPr>
                <w:rFonts w:hint="default" w:ascii="宋体" w:hAnsi="宋体" w:eastAsia="宋体" w:cs="宋体"/>
                <w:color w:val="auto"/>
                <w:spacing w:val="10"/>
                <w:sz w:val="24"/>
                <w:szCs w:val="24"/>
                <w:highlight w:val="none"/>
                <w:lang w:val="en-US" w:eastAsia="zh-CN"/>
              </w:rPr>
            </w:pPr>
            <w:r>
              <w:rPr>
                <w:rFonts w:hint="default" w:ascii="宋体" w:hAnsi="宋体" w:eastAsia="宋体" w:cs="宋体"/>
                <w:color w:val="auto"/>
                <w:spacing w:val="10"/>
                <w:sz w:val="24"/>
                <w:szCs w:val="24"/>
                <w:highlight w:val="none"/>
              </w:rPr>
              <w:t>其他特定资格要求</w:t>
            </w:r>
          </w:p>
        </w:tc>
        <w:tc>
          <w:tcPr>
            <w:tcW w:w="2600" w:type="pct"/>
            <w:vAlign w:val="center"/>
          </w:tcPr>
          <w:p w14:paraId="38ECEF0B">
            <w:pPr>
              <w:keepNext w:val="0"/>
              <w:keepLines w:val="0"/>
              <w:suppressLineNumbers w:val="0"/>
              <w:spacing w:before="0" w:beforeAutospacing="0" w:after="50" w:afterAutospacing="0" w:line="360" w:lineRule="auto"/>
              <w:ind w:left="0" w:right="-10"/>
              <w:jc w:val="both"/>
              <w:rPr>
                <w:rFonts w:hint="default" w:ascii="宋体" w:hAnsi="宋体" w:eastAsia="宋体" w:cs="宋体"/>
                <w:color w:val="auto"/>
                <w:spacing w:val="10"/>
                <w:sz w:val="24"/>
                <w:szCs w:val="24"/>
                <w:highlight w:val="none"/>
              </w:rPr>
            </w:pPr>
            <w:r>
              <w:rPr>
                <w:rFonts w:hint="eastAsia" w:ascii="宋体" w:hAnsi="宋体" w:eastAsia="宋体" w:cs="宋体"/>
                <w:color w:val="auto"/>
                <w:spacing w:val="10"/>
                <w:sz w:val="24"/>
                <w:szCs w:val="24"/>
                <w:highlight w:val="none"/>
              </w:rPr>
              <w:t>见第一章《投标邀请》</w:t>
            </w:r>
          </w:p>
        </w:tc>
        <w:tc>
          <w:tcPr>
            <w:tcW w:w="1080" w:type="pct"/>
            <w:vAlign w:val="center"/>
          </w:tcPr>
          <w:p w14:paraId="22297724">
            <w:pPr>
              <w:keepNext w:val="0"/>
              <w:keepLines w:val="0"/>
              <w:suppressLineNumbers w:val="0"/>
              <w:spacing w:before="0" w:beforeAutospacing="0" w:after="50" w:afterAutospacing="0" w:line="360" w:lineRule="auto"/>
              <w:ind w:left="0" w:right="-10"/>
              <w:jc w:val="both"/>
              <w:rPr>
                <w:rFonts w:hint="default" w:ascii="宋体" w:hAnsi="宋体" w:eastAsia="宋体" w:cs="宋体"/>
                <w:color w:val="auto"/>
                <w:spacing w:val="10"/>
                <w:sz w:val="24"/>
                <w:szCs w:val="24"/>
                <w:highlight w:val="none"/>
              </w:rPr>
            </w:pPr>
            <w:r>
              <w:rPr>
                <w:rFonts w:hint="eastAsia" w:ascii="宋体" w:hAnsi="宋体" w:eastAsia="宋体" w:cs="宋体"/>
                <w:b w:val="0"/>
                <w:bCs w:val="0"/>
                <w:color w:val="auto"/>
                <w:sz w:val="24"/>
                <w:szCs w:val="24"/>
                <w:highlight w:val="none"/>
              </w:rPr>
              <w:t>提供</w:t>
            </w:r>
            <w:r>
              <w:rPr>
                <w:rFonts w:hint="eastAsia" w:ascii="宋体" w:hAnsi="宋体" w:eastAsia="宋体" w:cs="宋体"/>
                <w:b w:val="0"/>
                <w:bCs w:val="0"/>
                <w:color w:val="auto"/>
                <w:sz w:val="24"/>
                <w:szCs w:val="24"/>
                <w:highlight w:val="none"/>
                <w:lang w:val="en-US" w:eastAsia="zh-CN"/>
              </w:rPr>
              <w:t>材料</w:t>
            </w:r>
            <w:r>
              <w:rPr>
                <w:rFonts w:hint="eastAsia" w:ascii="宋体" w:hAnsi="宋体" w:eastAsia="宋体" w:cs="宋体"/>
                <w:b w:val="0"/>
                <w:bCs w:val="0"/>
                <w:color w:val="auto"/>
                <w:sz w:val="24"/>
                <w:szCs w:val="24"/>
                <w:highlight w:val="none"/>
              </w:rPr>
              <w:t>扫描件</w:t>
            </w:r>
            <w:r>
              <w:rPr>
                <w:rFonts w:hint="eastAsia" w:ascii="宋体" w:hAnsi="宋体" w:eastAsia="宋体" w:cs="宋体"/>
                <w:b w:val="0"/>
                <w:bCs w:val="0"/>
                <w:color w:val="auto"/>
                <w:sz w:val="24"/>
                <w:szCs w:val="24"/>
                <w:highlight w:val="none"/>
                <w:lang w:val="en-US" w:eastAsia="zh-CN"/>
              </w:rPr>
              <w:t>或电子证照</w:t>
            </w:r>
            <w:r>
              <w:rPr>
                <w:rFonts w:hint="eastAsia" w:ascii="宋体" w:hAnsi="宋体" w:eastAsia="宋体" w:cs="宋体"/>
                <w:b w:val="0"/>
                <w:bCs w:val="0"/>
                <w:color w:val="auto"/>
                <w:sz w:val="24"/>
                <w:szCs w:val="24"/>
                <w:highlight w:val="none"/>
              </w:rPr>
              <w:t>，应完整的体现出</w:t>
            </w:r>
            <w:r>
              <w:rPr>
                <w:rFonts w:hint="eastAsia" w:ascii="宋体" w:hAnsi="宋体" w:eastAsia="宋体" w:cs="宋体"/>
                <w:b w:val="0"/>
                <w:bCs w:val="0"/>
                <w:color w:val="auto"/>
                <w:sz w:val="24"/>
                <w:szCs w:val="24"/>
                <w:highlight w:val="none"/>
                <w:lang w:val="en-US" w:eastAsia="zh-CN"/>
              </w:rPr>
              <w:t>材料或电子证照</w:t>
            </w:r>
            <w:r>
              <w:rPr>
                <w:rFonts w:hint="eastAsia" w:ascii="宋体" w:hAnsi="宋体" w:eastAsia="宋体" w:cs="宋体"/>
                <w:b w:val="0"/>
                <w:bCs w:val="0"/>
                <w:color w:val="auto"/>
                <w:sz w:val="24"/>
                <w:szCs w:val="24"/>
                <w:highlight w:val="none"/>
              </w:rPr>
              <w:t>全部内容。</w:t>
            </w:r>
          </w:p>
        </w:tc>
      </w:tr>
    </w:tbl>
    <w:p w14:paraId="745D3ECE">
      <w:pPr>
        <w:spacing w:line="360" w:lineRule="auto"/>
        <w:ind w:firstLine="435"/>
        <w:rPr>
          <w:rFonts w:asciiTheme="minorEastAsia" w:hAnsiTheme="minorEastAsia" w:eastAsiaTheme="minorEastAsia"/>
          <w:color w:val="auto"/>
          <w:sz w:val="24"/>
          <w:highlight w:val="none"/>
        </w:rPr>
      </w:pPr>
      <w:r>
        <w:rPr>
          <w:rFonts w:hint="eastAsia" w:ascii="宋体" w:hAnsi="宋体" w:eastAsia="宋体"/>
          <w:b/>
          <w:bCs/>
          <w:color w:val="auto"/>
          <w:sz w:val="24"/>
          <w:highlight w:val="none"/>
        </w:rPr>
        <w:t>资格审查指标通过标准：</w:t>
      </w:r>
      <w:r>
        <w:rPr>
          <w:rFonts w:hint="eastAsia" w:ascii="宋体" w:hAnsi="宋体" w:eastAsia="宋体"/>
          <w:color w:val="auto"/>
          <w:sz w:val="24"/>
          <w:highlight w:val="none"/>
        </w:rPr>
        <w:t>投标人必须通过资格审查表中的全部评审指标。</w:t>
      </w:r>
    </w:p>
    <w:p w14:paraId="17A2F07E">
      <w:pPr>
        <w:spacing w:line="360" w:lineRule="auto"/>
        <w:ind w:firstLine="437"/>
        <w:outlineLvl w:val="2"/>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2.2符合性审查</w:t>
      </w:r>
    </w:p>
    <w:p w14:paraId="05220EEA">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评标委员会对通过资格审查的投标人的投标文件进行符合性审查，以确定其是否满足招标文件的实质性要求。符合性审查表如下：</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2114"/>
        <w:gridCol w:w="3124"/>
        <w:gridCol w:w="2516"/>
      </w:tblGrid>
      <w:tr w14:paraId="69707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5000" w:type="pct"/>
            <w:gridSpan w:val="4"/>
            <w:tcBorders>
              <w:bottom w:val="single" w:color="auto" w:sz="4" w:space="0"/>
            </w:tcBorders>
            <w:vAlign w:val="center"/>
          </w:tcPr>
          <w:p w14:paraId="01314EDF">
            <w:pPr>
              <w:keepNext w:val="0"/>
              <w:keepLines w:val="0"/>
              <w:suppressLineNumbers w:val="0"/>
              <w:adjustRightInd w:val="0"/>
              <w:snapToGrid w:val="0"/>
              <w:spacing w:before="0" w:beforeAutospacing="0" w:after="0" w:afterAutospacing="0" w:line="360" w:lineRule="auto"/>
              <w:ind w:left="0" w:right="-10"/>
              <w:jc w:val="center"/>
              <w:rPr>
                <w:rFonts w:hint="default" w:ascii="宋体" w:hAnsi="宋体" w:eastAsia="宋体"/>
                <w:b/>
                <w:bCs/>
                <w:color w:val="auto"/>
                <w:sz w:val="24"/>
                <w:szCs w:val="20"/>
                <w:highlight w:val="none"/>
              </w:rPr>
            </w:pPr>
            <w:r>
              <w:rPr>
                <w:rFonts w:hint="eastAsia" w:ascii="宋体" w:hAnsi="宋体" w:eastAsia="宋体"/>
                <w:b/>
                <w:bCs/>
                <w:color w:val="auto"/>
                <w:sz w:val="24"/>
                <w:szCs w:val="20"/>
                <w:highlight w:val="none"/>
              </w:rPr>
              <w:t>符合性审查表</w:t>
            </w:r>
          </w:p>
        </w:tc>
      </w:tr>
      <w:tr w14:paraId="7694C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48" w:type="pct"/>
            <w:tcBorders>
              <w:bottom w:val="single" w:color="auto" w:sz="4" w:space="0"/>
            </w:tcBorders>
            <w:vAlign w:val="center"/>
          </w:tcPr>
          <w:p w14:paraId="00FF0197">
            <w:pPr>
              <w:keepNext w:val="0"/>
              <w:keepLines w:val="0"/>
              <w:suppressLineNumbers w:val="0"/>
              <w:adjustRightInd w:val="0"/>
              <w:snapToGrid w:val="0"/>
              <w:spacing w:before="0" w:beforeAutospacing="0" w:after="0" w:afterAutospacing="0" w:line="360" w:lineRule="auto"/>
              <w:ind w:left="0" w:right="-10"/>
              <w:jc w:val="center"/>
              <w:rPr>
                <w:rFonts w:hint="default" w:ascii="宋体" w:hAnsi="宋体" w:eastAsia="宋体"/>
                <w:color w:val="auto"/>
                <w:sz w:val="24"/>
                <w:szCs w:val="20"/>
                <w:highlight w:val="none"/>
              </w:rPr>
            </w:pPr>
            <w:r>
              <w:rPr>
                <w:rFonts w:hint="eastAsia" w:ascii="宋体" w:hAnsi="宋体" w:eastAsia="宋体"/>
                <w:color w:val="auto"/>
                <w:sz w:val="24"/>
                <w:szCs w:val="20"/>
                <w:highlight w:val="none"/>
              </w:rPr>
              <w:t>序号</w:t>
            </w:r>
          </w:p>
        </w:tc>
        <w:tc>
          <w:tcPr>
            <w:tcW w:w="1241" w:type="pct"/>
            <w:tcBorders>
              <w:bottom w:val="single" w:color="auto" w:sz="4" w:space="0"/>
            </w:tcBorders>
            <w:vAlign w:val="center"/>
          </w:tcPr>
          <w:p w14:paraId="74BFABC4">
            <w:pPr>
              <w:pStyle w:val="42"/>
              <w:keepNext w:val="0"/>
              <w:keepLines w:val="0"/>
              <w:suppressLineNumbers w:val="0"/>
              <w:pBdr>
                <w:bottom w:val="none" w:color="auto" w:sz="0" w:space="0"/>
              </w:pBdr>
              <w:tabs>
                <w:tab w:val="clear" w:pos="4153"/>
                <w:tab w:val="clear" w:pos="8306"/>
              </w:tabs>
              <w:snapToGrid w:val="0"/>
              <w:spacing w:before="0" w:beforeAutospacing="0" w:after="0" w:afterAutospacing="0" w:line="360" w:lineRule="auto"/>
              <w:ind w:left="0" w:right="-10"/>
              <w:textAlignment w:val="auto"/>
              <w:rPr>
                <w:rFonts w:hint="eastAsia" w:ascii="宋体" w:hAnsi="宋体" w:eastAsia="宋体" w:cs="@仿宋_GB2312"/>
                <w:color w:val="auto"/>
                <w:kern w:val="2"/>
                <w:sz w:val="24"/>
                <w:szCs w:val="20"/>
                <w:highlight w:val="none"/>
                <w:lang w:val="en-US" w:eastAsia="zh-CN" w:bidi="ar-SA"/>
              </w:rPr>
            </w:pPr>
            <w:r>
              <w:rPr>
                <w:rFonts w:hint="eastAsia" w:ascii="宋体" w:hAnsi="宋体" w:eastAsia="宋体" w:cs="@仿宋_GB2312"/>
                <w:color w:val="auto"/>
                <w:kern w:val="2"/>
                <w:sz w:val="24"/>
                <w:szCs w:val="20"/>
                <w:highlight w:val="none"/>
                <w:lang w:val="en-US" w:eastAsia="zh-CN" w:bidi="ar-SA"/>
              </w:rPr>
              <w:t>审查指标</w:t>
            </w:r>
          </w:p>
        </w:tc>
        <w:tc>
          <w:tcPr>
            <w:tcW w:w="1834" w:type="pct"/>
            <w:tcBorders>
              <w:bottom w:val="single" w:color="auto" w:sz="4" w:space="0"/>
            </w:tcBorders>
            <w:vAlign w:val="center"/>
          </w:tcPr>
          <w:p w14:paraId="582D0A2B">
            <w:pPr>
              <w:keepNext w:val="0"/>
              <w:keepLines w:val="0"/>
              <w:suppressLineNumbers w:val="0"/>
              <w:adjustRightInd w:val="0"/>
              <w:snapToGrid w:val="0"/>
              <w:spacing w:before="0" w:beforeAutospacing="0" w:after="0" w:afterAutospacing="0" w:line="360" w:lineRule="auto"/>
              <w:ind w:left="0" w:right="-10"/>
              <w:jc w:val="center"/>
              <w:rPr>
                <w:rFonts w:hint="eastAsia" w:ascii="宋体" w:hAnsi="宋体" w:eastAsia="宋体" w:cs="@仿宋_GB2312"/>
                <w:color w:val="auto"/>
                <w:kern w:val="2"/>
                <w:sz w:val="24"/>
                <w:szCs w:val="20"/>
                <w:highlight w:val="none"/>
                <w:lang w:val="en-US" w:eastAsia="zh-CN" w:bidi="ar-SA"/>
              </w:rPr>
            </w:pPr>
            <w:r>
              <w:rPr>
                <w:rFonts w:hint="eastAsia" w:ascii="宋体" w:hAnsi="宋体" w:eastAsia="宋体" w:cs="@仿宋_GB2312"/>
                <w:color w:val="auto"/>
                <w:kern w:val="2"/>
                <w:sz w:val="24"/>
                <w:szCs w:val="20"/>
                <w:highlight w:val="none"/>
                <w:lang w:val="en-US" w:eastAsia="zh-CN" w:bidi="ar-SA"/>
              </w:rPr>
              <w:t>审查标准</w:t>
            </w:r>
          </w:p>
        </w:tc>
        <w:tc>
          <w:tcPr>
            <w:tcW w:w="1476" w:type="pct"/>
            <w:tcBorders>
              <w:bottom w:val="single" w:color="auto" w:sz="4" w:space="0"/>
            </w:tcBorders>
            <w:vAlign w:val="center"/>
          </w:tcPr>
          <w:p w14:paraId="41950FA1">
            <w:pPr>
              <w:keepNext w:val="0"/>
              <w:keepLines w:val="0"/>
              <w:suppressLineNumbers w:val="0"/>
              <w:adjustRightInd w:val="0"/>
              <w:snapToGrid w:val="0"/>
              <w:spacing w:before="0" w:beforeAutospacing="0" w:after="0" w:afterAutospacing="0" w:line="360" w:lineRule="auto"/>
              <w:ind w:left="0" w:right="-10"/>
              <w:jc w:val="center"/>
              <w:rPr>
                <w:rFonts w:hint="default" w:ascii="宋体" w:hAnsi="宋体" w:eastAsia="宋体"/>
                <w:color w:val="auto"/>
                <w:sz w:val="24"/>
                <w:szCs w:val="20"/>
                <w:highlight w:val="none"/>
              </w:rPr>
            </w:pPr>
            <w:r>
              <w:rPr>
                <w:rFonts w:hint="eastAsia" w:ascii="宋体" w:hAnsi="宋体" w:eastAsia="宋体"/>
                <w:color w:val="auto"/>
                <w:sz w:val="24"/>
                <w:szCs w:val="20"/>
                <w:highlight w:val="none"/>
              </w:rPr>
              <w:t>格式要求</w:t>
            </w:r>
          </w:p>
        </w:tc>
      </w:tr>
      <w:tr w14:paraId="515EC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Align w:val="center"/>
          </w:tcPr>
          <w:p w14:paraId="450D468C">
            <w:pPr>
              <w:keepNext w:val="0"/>
              <w:keepLines w:val="0"/>
              <w:suppressLineNumbers w:val="0"/>
              <w:adjustRightInd w:val="0"/>
              <w:snapToGrid w:val="0"/>
              <w:spacing w:before="0" w:beforeAutospacing="0" w:after="0" w:afterAutospacing="0" w:line="360" w:lineRule="auto"/>
              <w:ind w:left="0" w:right="-1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1</w:t>
            </w:r>
          </w:p>
        </w:tc>
        <w:tc>
          <w:tcPr>
            <w:tcW w:w="1241" w:type="pct"/>
            <w:vAlign w:val="center"/>
          </w:tcPr>
          <w:p w14:paraId="41F6DF2A">
            <w:pPr>
              <w:keepNext w:val="0"/>
              <w:keepLines w:val="0"/>
              <w:suppressLineNumbers w:val="0"/>
              <w:spacing w:before="0" w:beforeAutospacing="0" w:after="50" w:afterAutospacing="0" w:line="360" w:lineRule="auto"/>
              <w:ind w:left="0" w:right="-1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0"/>
                <w:highlight w:val="none"/>
              </w:rPr>
              <w:t>开标一览表</w:t>
            </w:r>
          </w:p>
        </w:tc>
        <w:tc>
          <w:tcPr>
            <w:tcW w:w="1834" w:type="pct"/>
            <w:vAlign w:val="center"/>
          </w:tcPr>
          <w:p w14:paraId="31692CB0">
            <w:pPr>
              <w:keepNext w:val="0"/>
              <w:keepLines w:val="0"/>
              <w:suppressLineNumbers w:val="0"/>
              <w:spacing w:before="0" w:beforeAutospacing="0" w:after="50" w:afterAutospacing="0" w:line="360" w:lineRule="auto"/>
              <w:ind w:left="0" w:right="-1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格式、填写要求符合招标文件规定并加盖投标人电子签章</w:t>
            </w:r>
          </w:p>
        </w:tc>
        <w:tc>
          <w:tcPr>
            <w:tcW w:w="1476" w:type="pct"/>
            <w:vAlign w:val="center"/>
          </w:tcPr>
          <w:p w14:paraId="209168E4">
            <w:pPr>
              <w:keepNext w:val="0"/>
              <w:keepLines w:val="0"/>
              <w:suppressLineNumbers w:val="0"/>
              <w:adjustRightInd w:val="0"/>
              <w:snapToGrid w:val="0"/>
              <w:spacing w:before="0" w:beforeAutospacing="0" w:after="0" w:afterAutospacing="0" w:line="360" w:lineRule="auto"/>
              <w:ind w:left="0" w:right="-10"/>
              <w:jc w:val="center"/>
              <w:rPr>
                <w:rFonts w:hint="eastAsia" w:asciiTheme="minorEastAsia" w:hAnsiTheme="minorEastAsia" w:eastAsiaTheme="minorEastAsia"/>
                <w:color w:val="auto"/>
                <w:sz w:val="24"/>
                <w:szCs w:val="20"/>
                <w:highlight w:val="none"/>
                <w:lang w:eastAsia="zh-CN"/>
              </w:rPr>
            </w:pPr>
            <w:r>
              <w:rPr>
                <w:rFonts w:hint="eastAsia" w:asciiTheme="minorEastAsia" w:hAnsiTheme="minorEastAsia" w:eastAsiaTheme="minorEastAsia"/>
                <w:color w:val="auto"/>
                <w:sz w:val="24"/>
                <w:szCs w:val="20"/>
                <w:highlight w:val="none"/>
              </w:rPr>
              <w:t>详见第六章投标文件格式</w:t>
            </w:r>
            <w:r>
              <w:rPr>
                <w:rFonts w:hint="eastAsia" w:asciiTheme="minorEastAsia" w:hAnsiTheme="minorEastAsia" w:eastAsiaTheme="minorEastAsia"/>
                <w:color w:val="auto"/>
                <w:sz w:val="24"/>
                <w:szCs w:val="20"/>
                <w:highlight w:val="none"/>
                <w:lang w:eastAsia="zh-CN"/>
              </w:rPr>
              <w:t>。</w:t>
            </w:r>
          </w:p>
        </w:tc>
      </w:tr>
      <w:tr w14:paraId="37D07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Align w:val="center"/>
          </w:tcPr>
          <w:p w14:paraId="54E6A0F0">
            <w:pPr>
              <w:keepNext w:val="0"/>
              <w:keepLines w:val="0"/>
              <w:suppressLineNumbers w:val="0"/>
              <w:adjustRightInd w:val="0"/>
              <w:snapToGrid w:val="0"/>
              <w:spacing w:before="0" w:beforeAutospacing="0" w:after="0" w:afterAutospacing="0" w:line="360" w:lineRule="auto"/>
              <w:ind w:left="0" w:right="-1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2</w:t>
            </w:r>
          </w:p>
        </w:tc>
        <w:tc>
          <w:tcPr>
            <w:tcW w:w="1241" w:type="pct"/>
            <w:vAlign w:val="center"/>
          </w:tcPr>
          <w:p w14:paraId="42200364">
            <w:pPr>
              <w:keepNext w:val="0"/>
              <w:keepLines w:val="0"/>
              <w:suppressLineNumbers w:val="0"/>
              <w:spacing w:before="0" w:beforeAutospacing="0" w:after="50" w:afterAutospacing="0" w:line="360" w:lineRule="auto"/>
              <w:ind w:left="0" w:right="-1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投标函</w:t>
            </w:r>
          </w:p>
        </w:tc>
        <w:tc>
          <w:tcPr>
            <w:tcW w:w="1834" w:type="pct"/>
            <w:vAlign w:val="center"/>
          </w:tcPr>
          <w:p w14:paraId="6EF906B7">
            <w:pPr>
              <w:keepNext w:val="0"/>
              <w:keepLines w:val="0"/>
              <w:suppressLineNumbers w:val="0"/>
              <w:spacing w:before="0" w:beforeAutospacing="0" w:after="50" w:afterAutospacing="0" w:line="360" w:lineRule="auto"/>
              <w:ind w:left="0" w:right="-1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格式、填写要求符合招标文件规定并加盖投标人电子签章</w:t>
            </w:r>
          </w:p>
        </w:tc>
        <w:tc>
          <w:tcPr>
            <w:tcW w:w="1476" w:type="pct"/>
            <w:vAlign w:val="center"/>
          </w:tcPr>
          <w:p w14:paraId="173552AA">
            <w:pPr>
              <w:keepNext w:val="0"/>
              <w:keepLines w:val="0"/>
              <w:suppressLineNumbers w:val="0"/>
              <w:adjustRightInd w:val="0"/>
              <w:snapToGrid w:val="0"/>
              <w:spacing w:before="0" w:beforeAutospacing="0" w:after="0" w:afterAutospacing="0" w:line="360" w:lineRule="auto"/>
              <w:ind w:left="0" w:right="-1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详见第六章投标文件格式</w:t>
            </w:r>
            <w:r>
              <w:rPr>
                <w:rFonts w:hint="eastAsia" w:asciiTheme="minorEastAsia" w:hAnsiTheme="minorEastAsia" w:eastAsiaTheme="minorEastAsia"/>
                <w:color w:val="auto"/>
                <w:sz w:val="24"/>
                <w:szCs w:val="20"/>
                <w:highlight w:val="none"/>
                <w:lang w:eastAsia="zh-CN"/>
              </w:rPr>
              <w:t>。</w:t>
            </w:r>
          </w:p>
        </w:tc>
      </w:tr>
      <w:tr w14:paraId="408E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Align w:val="center"/>
          </w:tcPr>
          <w:p w14:paraId="2097777D">
            <w:pPr>
              <w:keepNext w:val="0"/>
              <w:keepLines w:val="0"/>
              <w:suppressLineNumbers w:val="0"/>
              <w:adjustRightInd w:val="0"/>
              <w:snapToGrid w:val="0"/>
              <w:spacing w:before="0" w:beforeAutospacing="0" w:after="0" w:afterAutospacing="0" w:line="360" w:lineRule="auto"/>
              <w:ind w:left="0" w:right="-10"/>
              <w:jc w:val="center"/>
              <w:rPr>
                <w:rFonts w:hint="default" w:asciiTheme="minorEastAsia" w:hAnsiTheme="minorEastAsia" w:eastAsiaTheme="minorEastAsia"/>
                <w:color w:val="auto"/>
                <w:sz w:val="24"/>
                <w:szCs w:val="20"/>
                <w:highlight w:val="none"/>
              </w:rPr>
            </w:pPr>
            <w:r>
              <w:rPr>
                <w:rFonts w:hint="default" w:asciiTheme="minorEastAsia" w:hAnsiTheme="minorEastAsia" w:eastAsiaTheme="minorEastAsia"/>
                <w:color w:val="auto"/>
                <w:sz w:val="24"/>
                <w:szCs w:val="20"/>
                <w:highlight w:val="none"/>
              </w:rPr>
              <w:t>3</w:t>
            </w:r>
          </w:p>
        </w:tc>
        <w:tc>
          <w:tcPr>
            <w:tcW w:w="1241" w:type="pct"/>
            <w:vAlign w:val="center"/>
          </w:tcPr>
          <w:p w14:paraId="47A43EB0">
            <w:pPr>
              <w:keepNext w:val="0"/>
              <w:keepLines w:val="0"/>
              <w:suppressLineNumbers w:val="0"/>
              <w:spacing w:before="0" w:beforeAutospacing="0" w:after="50" w:afterAutospacing="0" w:line="360" w:lineRule="auto"/>
              <w:ind w:left="0" w:right="-1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授权书</w:t>
            </w:r>
          </w:p>
        </w:tc>
        <w:tc>
          <w:tcPr>
            <w:tcW w:w="1834" w:type="pct"/>
            <w:vAlign w:val="center"/>
          </w:tcPr>
          <w:p w14:paraId="69AE7760">
            <w:pPr>
              <w:keepNext w:val="0"/>
              <w:keepLines w:val="0"/>
              <w:suppressLineNumbers w:val="0"/>
              <w:spacing w:before="0" w:beforeAutospacing="0" w:after="50" w:afterAutospacing="0" w:line="360" w:lineRule="auto"/>
              <w:ind w:left="0" w:right="-1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格式、填写要求符合招标文件规定并加盖投标人电子签章</w:t>
            </w:r>
          </w:p>
        </w:tc>
        <w:tc>
          <w:tcPr>
            <w:tcW w:w="1476" w:type="pct"/>
            <w:vAlign w:val="center"/>
          </w:tcPr>
          <w:p w14:paraId="5D37E603">
            <w:pPr>
              <w:keepNext w:val="0"/>
              <w:keepLines w:val="0"/>
              <w:suppressLineNumbers w:val="0"/>
              <w:adjustRightInd w:val="0"/>
              <w:snapToGrid w:val="0"/>
              <w:spacing w:before="0" w:beforeAutospacing="0" w:after="0" w:afterAutospacing="0" w:line="360" w:lineRule="auto"/>
              <w:ind w:left="0" w:right="-10"/>
              <w:jc w:val="center"/>
              <w:rPr>
                <w:rFonts w:hint="eastAsia" w:asciiTheme="minorEastAsia" w:hAnsiTheme="minorEastAsia" w:eastAsiaTheme="minorEastAsia"/>
                <w:color w:val="auto"/>
                <w:sz w:val="24"/>
                <w:szCs w:val="20"/>
                <w:highlight w:val="none"/>
                <w:lang w:eastAsia="zh-CN"/>
              </w:rPr>
            </w:pPr>
            <w:r>
              <w:rPr>
                <w:rFonts w:hint="eastAsia" w:asciiTheme="minorEastAsia" w:hAnsiTheme="minorEastAsia" w:eastAsiaTheme="minorEastAsia"/>
                <w:color w:val="auto"/>
                <w:sz w:val="24"/>
                <w:szCs w:val="20"/>
                <w:highlight w:val="none"/>
              </w:rPr>
              <w:t>法定代表人参加投标的无需此件，提供身份证明即可。详见第六章投标文件格式</w:t>
            </w:r>
            <w:r>
              <w:rPr>
                <w:rFonts w:hint="eastAsia" w:asciiTheme="minorEastAsia" w:hAnsiTheme="minorEastAsia" w:eastAsiaTheme="minorEastAsia"/>
                <w:color w:val="auto"/>
                <w:sz w:val="24"/>
                <w:szCs w:val="20"/>
                <w:highlight w:val="none"/>
                <w:lang w:eastAsia="zh-CN"/>
              </w:rPr>
              <w:t>。</w:t>
            </w:r>
          </w:p>
        </w:tc>
      </w:tr>
      <w:tr w14:paraId="0CA3E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Align w:val="center"/>
          </w:tcPr>
          <w:p w14:paraId="6EF97C3D">
            <w:pPr>
              <w:keepNext w:val="0"/>
              <w:keepLines w:val="0"/>
              <w:suppressLineNumbers w:val="0"/>
              <w:adjustRightInd w:val="0"/>
              <w:snapToGrid w:val="0"/>
              <w:spacing w:before="0" w:beforeAutospacing="0" w:after="0" w:afterAutospacing="0" w:line="360" w:lineRule="auto"/>
              <w:ind w:left="0" w:right="-1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4</w:t>
            </w:r>
          </w:p>
        </w:tc>
        <w:tc>
          <w:tcPr>
            <w:tcW w:w="1241" w:type="pct"/>
            <w:vAlign w:val="center"/>
          </w:tcPr>
          <w:p w14:paraId="789A15E7">
            <w:pPr>
              <w:keepNext w:val="0"/>
              <w:keepLines w:val="0"/>
              <w:suppressLineNumbers w:val="0"/>
              <w:spacing w:before="0" w:beforeAutospacing="0" w:after="50" w:afterAutospacing="0" w:line="360" w:lineRule="auto"/>
              <w:ind w:left="0" w:right="-1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投标报价</w:t>
            </w:r>
          </w:p>
        </w:tc>
        <w:tc>
          <w:tcPr>
            <w:tcW w:w="1834" w:type="pct"/>
            <w:vAlign w:val="center"/>
          </w:tcPr>
          <w:p w14:paraId="293CA699">
            <w:pPr>
              <w:keepNext w:val="0"/>
              <w:keepLines w:val="0"/>
              <w:suppressLineNumbers w:val="0"/>
              <w:spacing w:before="0" w:beforeAutospacing="0" w:after="50" w:afterAutospacing="0" w:line="360" w:lineRule="auto"/>
              <w:ind w:left="0" w:right="-1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符合</w:t>
            </w:r>
            <w:r>
              <w:rPr>
                <w:rFonts w:hint="eastAsia" w:asciiTheme="minorEastAsia" w:hAnsiTheme="minorEastAsia" w:eastAsiaTheme="minorEastAsia"/>
                <w:color w:val="auto"/>
                <w:sz w:val="24"/>
                <w:szCs w:val="20"/>
                <w:highlight w:val="none"/>
              </w:rPr>
              <w:t>招标文件投标人须知正文第</w:t>
            </w:r>
            <w:r>
              <w:rPr>
                <w:rFonts w:hint="eastAsia" w:asciiTheme="minorEastAsia" w:hAnsiTheme="minorEastAsia" w:eastAsiaTheme="minorEastAsia"/>
                <w:color w:val="auto"/>
                <w:sz w:val="24"/>
                <w:szCs w:val="20"/>
                <w:highlight w:val="none"/>
                <w:lang w:val="en-US" w:eastAsia="zh-CN"/>
              </w:rPr>
              <w:t>9</w:t>
            </w:r>
            <w:r>
              <w:rPr>
                <w:rFonts w:hint="eastAsia" w:asciiTheme="minorEastAsia" w:hAnsiTheme="minorEastAsia" w:eastAsiaTheme="minorEastAsia"/>
                <w:color w:val="auto"/>
                <w:sz w:val="24"/>
                <w:szCs w:val="20"/>
                <w:highlight w:val="none"/>
              </w:rPr>
              <w:t>条要求</w:t>
            </w:r>
          </w:p>
        </w:tc>
        <w:tc>
          <w:tcPr>
            <w:tcW w:w="1476" w:type="pct"/>
            <w:vAlign w:val="center"/>
          </w:tcPr>
          <w:p w14:paraId="6B3AF724">
            <w:pPr>
              <w:keepNext w:val="0"/>
              <w:keepLines w:val="0"/>
              <w:suppressLineNumbers w:val="0"/>
              <w:adjustRightInd w:val="0"/>
              <w:snapToGrid w:val="0"/>
              <w:spacing w:before="0" w:beforeAutospacing="0" w:after="0" w:afterAutospacing="0" w:line="360" w:lineRule="auto"/>
              <w:ind w:left="0" w:right="-10"/>
              <w:jc w:val="center"/>
              <w:rPr>
                <w:rFonts w:hint="eastAsia" w:asciiTheme="minorEastAsia" w:hAnsiTheme="minorEastAsia" w:eastAsiaTheme="minorEastAsia"/>
                <w:color w:val="auto"/>
                <w:sz w:val="24"/>
                <w:szCs w:val="20"/>
                <w:highlight w:val="none"/>
                <w:lang w:eastAsia="zh-CN"/>
              </w:rPr>
            </w:pPr>
            <w:r>
              <w:rPr>
                <w:rFonts w:hint="eastAsia" w:asciiTheme="minorEastAsia" w:hAnsiTheme="minorEastAsia" w:eastAsiaTheme="minorEastAsia"/>
                <w:color w:val="auto"/>
                <w:sz w:val="24"/>
                <w:szCs w:val="20"/>
                <w:highlight w:val="none"/>
              </w:rPr>
              <w:t>详见第六章投标文件格式</w:t>
            </w:r>
            <w:r>
              <w:rPr>
                <w:rFonts w:hint="eastAsia" w:asciiTheme="minorEastAsia" w:hAnsiTheme="minorEastAsia" w:eastAsiaTheme="minorEastAsia"/>
                <w:color w:val="auto"/>
                <w:sz w:val="24"/>
                <w:szCs w:val="20"/>
                <w:highlight w:val="none"/>
                <w:lang w:eastAsia="zh-CN"/>
              </w:rPr>
              <w:t>。</w:t>
            </w:r>
          </w:p>
        </w:tc>
      </w:tr>
      <w:tr w14:paraId="60F7A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Align w:val="center"/>
          </w:tcPr>
          <w:p w14:paraId="0A255FCB">
            <w:pPr>
              <w:keepNext w:val="0"/>
              <w:keepLines w:val="0"/>
              <w:suppressLineNumbers w:val="0"/>
              <w:adjustRightInd w:val="0"/>
              <w:snapToGrid w:val="0"/>
              <w:spacing w:before="0" w:beforeAutospacing="0" w:after="0" w:afterAutospacing="0" w:line="360" w:lineRule="auto"/>
              <w:ind w:left="0" w:right="-10"/>
              <w:jc w:val="center"/>
              <w:rPr>
                <w:rFonts w:hint="eastAsia" w:asciiTheme="minorEastAsia" w:hAnsiTheme="minorEastAsia" w:eastAsiaTheme="minorEastAsia"/>
                <w:color w:val="auto"/>
                <w:sz w:val="24"/>
                <w:szCs w:val="20"/>
                <w:highlight w:val="none"/>
                <w:lang w:eastAsia="zh-CN"/>
              </w:rPr>
            </w:pPr>
            <w:r>
              <w:rPr>
                <w:rFonts w:hint="eastAsia" w:asciiTheme="minorEastAsia" w:hAnsiTheme="minorEastAsia" w:eastAsiaTheme="minorEastAsia"/>
                <w:color w:val="auto"/>
                <w:sz w:val="24"/>
                <w:szCs w:val="20"/>
                <w:highlight w:val="none"/>
                <w:lang w:val="en-US" w:eastAsia="zh-CN"/>
              </w:rPr>
              <w:t>5</w:t>
            </w:r>
          </w:p>
        </w:tc>
        <w:tc>
          <w:tcPr>
            <w:tcW w:w="1241" w:type="pct"/>
            <w:vAlign w:val="center"/>
          </w:tcPr>
          <w:p w14:paraId="0564FAC1">
            <w:pPr>
              <w:keepNext w:val="0"/>
              <w:keepLines w:val="0"/>
              <w:suppressLineNumbers w:val="0"/>
              <w:spacing w:before="0" w:beforeAutospacing="0" w:after="50" w:afterAutospacing="0" w:line="360" w:lineRule="auto"/>
              <w:ind w:left="0" w:right="-1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商务响应情况</w:t>
            </w:r>
          </w:p>
        </w:tc>
        <w:tc>
          <w:tcPr>
            <w:tcW w:w="1834" w:type="pct"/>
            <w:vAlign w:val="center"/>
          </w:tcPr>
          <w:p w14:paraId="3E5A1643">
            <w:pPr>
              <w:keepNext w:val="0"/>
              <w:keepLines w:val="0"/>
              <w:suppressLineNumbers w:val="0"/>
              <w:spacing w:before="0" w:beforeAutospacing="0" w:after="50" w:afterAutospacing="0" w:line="360" w:lineRule="auto"/>
              <w:ind w:left="0" w:right="-10" w:rightChars="0"/>
              <w:jc w:val="center"/>
              <w:rPr>
                <w:rFonts w:hint="default"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符合招标文件采购需求中对付款方式、</w:t>
            </w:r>
            <w:r>
              <w:rPr>
                <w:rFonts w:hint="eastAsia" w:asciiTheme="minorEastAsia" w:hAnsiTheme="minorEastAsia" w:eastAsiaTheme="minorEastAsia"/>
                <w:color w:val="auto"/>
                <w:sz w:val="24"/>
                <w:szCs w:val="28"/>
                <w:highlight w:val="none"/>
                <w:lang w:val="en-US" w:eastAsia="zh-CN"/>
              </w:rPr>
              <w:t>服务</w:t>
            </w:r>
            <w:r>
              <w:rPr>
                <w:rFonts w:hint="eastAsia" w:asciiTheme="minorEastAsia" w:hAnsiTheme="minorEastAsia" w:eastAsiaTheme="minorEastAsia"/>
                <w:color w:val="auto"/>
                <w:sz w:val="24"/>
                <w:szCs w:val="28"/>
                <w:highlight w:val="none"/>
              </w:rPr>
              <w:t>地点、</w:t>
            </w:r>
            <w:r>
              <w:rPr>
                <w:rFonts w:hint="eastAsia" w:asciiTheme="minorEastAsia" w:hAnsiTheme="minorEastAsia" w:eastAsiaTheme="minorEastAsia"/>
                <w:color w:val="auto"/>
                <w:sz w:val="24"/>
                <w:szCs w:val="28"/>
                <w:highlight w:val="none"/>
                <w:lang w:val="en-US" w:eastAsia="zh-CN"/>
              </w:rPr>
              <w:t>服务</w:t>
            </w:r>
            <w:r>
              <w:rPr>
                <w:rFonts w:hint="eastAsia" w:asciiTheme="minorEastAsia" w:hAnsiTheme="minorEastAsia" w:eastAsiaTheme="minorEastAsia"/>
                <w:color w:val="auto"/>
                <w:sz w:val="24"/>
                <w:szCs w:val="28"/>
                <w:highlight w:val="none"/>
              </w:rPr>
              <w:t>期限</w:t>
            </w:r>
            <w:r>
              <w:rPr>
                <w:rFonts w:hint="eastAsia" w:asciiTheme="minorEastAsia" w:hAnsiTheme="minorEastAsia" w:eastAsiaTheme="minorEastAsia"/>
                <w:color w:val="auto"/>
                <w:sz w:val="24"/>
                <w:szCs w:val="28"/>
                <w:highlight w:val="none"/>
                <w:lang w:val="en-US" w:eastAsia="zh-CN"/>
              </w:rPr>
              <w:t>等实质性</w:t>
            </w:r>
            <w:r>
              <w:rPr>
                <w:rFonts w:hint="eastAsia" w:asciiTheme="minorEastAsia" w:hAnsiTheme="minorEastAsia" w:eastAsiaTheme="minorEastAsia"/>
                <w:color w:val="auto"/>
                <w:sz w:val="24"/>
                <w:szCs w:val="28"/>
                <w:highlight w:val="none"/>
              </w:rPr>
              <w:t>要求</w:t>
            </w:r>
          </w:p>
        </w:tc>
        <w:tc>
          <w:tcPr>
            <w:tcW w:w="1476" w:type="pct"/>
            <w:vAlign w:val="center"/>
          </w:tcPr>
          <w:p w14:paraId="32F0A6DB">
            <w:pPr>
              <w:keepNext w:val="0"/>
              <w:keepLines w:val="0"/>
              <w:suppressLineNumbers w:val="0"/>
              <w:adjustRightInd w:val="0"/>
              <w:snapToGrid w:val="0"/>
              <w:spacing w:before="0" w:beforeAutospacing="0" w:after="0" w:afterAutospacing="0" w:line="360" w:lineRule="auto"/>
              <w:ind w:left="0" w:right="-10"/>
              <w:jc w:val="center"/>
              <w:rPr>
                <w:rFonts w:hint="eastAsia" w:asciiTheme="minorEastAsia" w:hAnsiTheme="minorEastAsia" w:eastAsiaTheme="minorEastAsia"/>
                <w:color w:val="auto"/>
                <w:sz w:val="24"/>
                <w:szCs w:val="20"/>
                <w:highlight w:val="none"/>
                <w:lang w:eastAsia="zh-CN"/>
              </w:rPr>
            </w:pPr>
            <w:r>
              <w:rPr>
                <w:rFonts w:hint="eastAsia" w:asciiTheme="minorEastAsia" w:hAnsiTheme="minorEastAsia" w:eastAsiaTheme="minorEastAsia"/>
                <w:color w:val="auto"/>
                <w:sz w:val="24"/>
                <w:szCs w:val="20"/>
                <w:highlight w:val="none"/>
              </w:rPr>
              <w:t>详见第六章投标文件格式</w:t>
            </w:r>
            <w:r>
              <w:rPr>
                <w:rFonts w:hint="eastAsia" w:asciiTheme="minorEastAsia" w:hAnsiTheme="minorEastAsia" w:eastAsiaTheme="minorEastAsia"/>
                <w:color w:val="auto"/>
                <w:sz w:val="24"/>
                <w:szCs w:val="20"/>
                <w:highlight w:val="none"/>
                <w:lang w:eastAsia="zh-CN"/>
              </w:rPr>
              <w:t>。</w:t>
            </w:r>
          </w:p>
        </w:tc>
      </w:tr>
      <w:tr w14:paraId="5862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vAlign w:val="center"/>
          </w:tcPr>
          <w:p w14:paraId="642224B2">
            <w:pPr>
              <w:keepNext w:val="0"/>
              <w:keepLines w:val="0"/>
              <w:suppressLineNumbers w:val="0"/>
              <w:adjustRightInd w:val="0"/>
              <w:snapToGrid w:val="0"/>
              <w:spacing w:before="0" w:beforeAutospacing="0" w:after="0" w:afterAutospacing="0" w:line="360" w:lineRule="auto"/>
              <w:ind w:left="0" w:right="-10"/>
              <w:jc w:val="center"/>
              <w:rPr>
                <w:rFonts w:hint="eastAsia" w:asciiTheme="minorEastAsia" w:hAnsiTheme="minorEastAsia" w:eastAsiaTheme="minorEastAsia"/>
                <w:color w:val="auto"/>
                <w:sz w:val="24"/>
                <w:szCs w:val="20"/>
                <w:highlight w:val="none"/>
                <w:lang w:eastAsia="zh-CN"/>
              </w:rPr>
            </w:pPr>
            <w:r>
              <w:rPr>
                <w:rFonts w:hint="eastAsia" w:asciiTheme="minorEastAsia" w:hAnsiTheme="minorEastAsia" w:eastAsiaTheme="minorEastAsia"/>
                <w:color w:val="auto"/>
                <w:sz w:val="24"/>
                <w:szCs w:val="20"/>
                <w:highlight w:val="none"/>
                <w:lang w:val="en-US" w:eastAsia="zh-CN"/>
              </w:rPr>
              <w:t>6</w:t>
            </w:r>
          </w:p>
        </w:tc>
        <w:tc>
          <w:tcPr>
            <w:tcW w:w="1241" w:type="pct"/>
            <w:shd w:val="clear"/>
            <w:vAlign w:val="center"/>
          </w:tcPr>
          <w:p w14:paraId="03BA1693">
            <w:pPr>
              <w:keepNext w:val="0"/>
              <w:keepLines w:val="0"/>
              <w:suppressLineNumbers w:val="0"/>
              <w:spacing w:before="0" w:beforeAutospacing="0" w:after="50" w:afterAutospacing="0" w:line="360" w:lineRule="auto"/>
              <w:ind w:left="0" w:leftChars="0" w:right="-10" w:rightChars="0"/>
              <w:jc w:val="center"/>
              <w:rPr>
                <w:rFonts w:hint="default" w:cs="@仿宋_GB2312" w:asciiTheme="minorEastAsia" w:hAnsiTheme="minorEastAsia" w:eastAsiaTheme="minorEastAsia"/>
                <w:color w:val="auto"/>
                <w:kern w:val="2"/>
                <w:sz w:val="24"/>
                <w:szCs w:val="28"/>
                <w:highlight w:val="none"/>
                <w:lang w:val="en-US" w:eastAsia="zh-CN" w:bidi="ar-SA"/>
              </w:rPr>
            </w:pPr>
            <w:r>
              <w:rPr>
                <w:rFonts w:hint="eastAsia" w:asciiTheme="minorEastAsia" w:hAnsiTheme="minorEastAsia" w:eastAsiaTheme="minorEastAsia"/>
                <w:color w:val="auto"/>
                <w:sz w:val="24"/>
                <w:szCs w:val="28"/>
                <w:highlight w:val="none"/>
              </w:rPr>
              <w:t>其他要求</w:t>
            </w:r>
          </w:p>
        </w:tc>
        <w:tc>
          <w:tcPr>
            <w:tcW w:w="1834" w:type="pct"/>
            <w:shd w:val="clear"/>
            <w:vAlign w:val="center"/>
          </w:tcPr>
          <w:p w14:paraId="5E282C40">
            <w:pPr>
              <w:keepNext w:val="0"/>
              <w:keepLines w:val="0"/>
              <w:suppressLineNumbers w:val="0"/>
              <w:spacing w:before="0" w:beforeAutospacing="0" w:after="50" w:afterAutospacing="0" w:line="360" w:lineRule="auto"/>
              <w:ind w:left="0" w:leftChars="0" w:right="-10" w:rightChars="0"/>
              <w:jc w:val="center"/>
              <w:rPr>
                <w:rFonts w:hint="default" w:cs="@仿宋_GB2312" w:asciiTheme="minorEastAsia" w:hAnsiTheme="minorEastAsia" w:eastAsiaTheme="minorEastAsia"/>
                <w:color w:val="auto"/>
                <w:kern w:val="2"/>
                <w:sz w:val="24"/>
                <w:szCs w:val="28"/>
                <w:highlight w:val="none"/>
                <w:lang w:val="en-US" w:eastAsia="zh-CN" w:bidi="ar-SA"/>
              </w:rPr>
            </w:pPr>
            <w:r>
              <w:rPr>
                <w:rFonts w:hint="eastAsia" w:asciiTheme="minorEastAsia" w:hAnsiTheme="minorEastAsia" w:eastAsiaTheme="minorEastAsia"/>
                <w:color w:val="auto"/>
                <w:sz w:val="24"/>
                <w:szCs w:val="28"/>
                <w:highlight w:val="none"/>
              </w:rPr>
              <w:t>符合法律、行政法规规定的其他条件或招标文件列明的其他</w:t>
            </w:r>
            <w:r>
              <w:rPr>
                <w:rFonts w:hint="eastAsia" w:asciiTheme="minorEastAsia" w:hAnsiTheme="minorEastAsia" w:eastAsiaTheme="minorEastAsia"/>
                <w:color w:val="auto"/>
                <w:sz w:val="24"/>
                <w:szCs w:val="28"/>
                <w:highlight w:val="none"/>
                <w:lang w:val="en-US" w:eastAsia="zh-CN"/>
              </w:rPr>
              <w:t>实质性</w:t>
            </w:r>
            <w:r>
              <w:rPr>
                <w:rFonts w:hint="eastAsia" w:asciiTheme="minorEastAsia" w:hAnsiTheme="minorEastAsia" w:eastAsiaTheme="minorEastAsia"/>
                <w:color w:val="auto"/>
                <w:sz w:val="24"/>
                <w:szCs w:val="28"/>
                <w:highlight w:val="none"/>
              </w:rPr>
              <w:t>要求</w:t>
            </w:r>
          </w:p>
        </w:tc>
        <w:tc>
          <w:tcPr>
            <w:tcW w:w="1476" w:type="pct"/>
            <w:vAlign w:val="center"/>
          </w:tcPr>
          <w:p w14:paraId="35238DD7">
            <w:pPr>
              <w:keepNext w:val="0"/>
              <w:keepLines w:val="0"/>
              <w:suppressLineNumbers w:val="0"/>
              <w:adjustRightInd w:val="0"/>
              <w:snapToGrid w:val="0"/>
              <w:spacing w:before="0" w:beforeAutospacing="0" w:after="0" w:afterAutospacing="0" w:line="360" w:lineRule="auto"/>
              <w:ind w:left="0" w:right="-10"/>
              <w:jc w:val="center"/>
              <w:rPr>
                <w:rFonts w:hint="eastAsia" w:asciiTheme="minorEastAsia" w:hAnsiTheme="minorEastAsia" w:eastAsiaTheme="minorEastAsia"/>
                <w:color w:val="auto"/>
                <w:sz w:val="24"/>
                <w:szCs w:val="20"/>
                <w:highlight w:val="none"/>
                <w:lang w:eastAsia="zh-CN"/>
              </w:rPr>
            </w:pPr>
          </w:p>
        </w:tc>
      </w:tr>
    </w:tbl>
    <w:p w14:paraId="48DE01B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符合性审查指标通过标准：</w:t>
      </w:r>
      <w:r>
        <w:rPr>
          <w:rFonts w:hint="eastAsia" w:asciiTheme="minorEastAsia" w:hAnsiTheme="minorEastAsia" w:eastAsiaTheme="minorEastAsia"/>
          <w:color w:val="auto"/>
          <w:sz w:val="24"/>
          <w:highlight w:val="none"/>
        </w:rPr>
        <w:t>投标人必须通过符合性审查表中的全部评审指标。</w:t>
      </w:r>
    </w:p>
    <w:p w14:paraId="01EC0F47">
      <w:pPr>
        <w:spacing w:line="360" w:lineRule="auto"/>
        <w:ind w:firstLine="437"/>
        <w:outlineLvl w:val="2"/>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2.3详细审查</w:t>
      </w:r>
      <w:bookmarkStart w:id="124" w:name="_GoBack"/>
      <w:bookmarkEnd w:id="124"/>
    </w:p>
    <w:p w14:paraId="1FD8F46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.3.1</w:t>
      </w:r>
      <w:r>
        <w:rPr>
          <w:rFonts w:hint="eastAsia" w:asciiTheme="minorEastAsia" w:hAnsiTheme="minorEastAsia" w:eastAsiaTheme="minorEastAsia"/>
          <w:color w:val="auto"/>
          <w:sz w:val="24"/>
          <w:highlight w:val="none"/>
        </w:rPr>
        <w:t>评标委员会按照下表对投标文件进行详细审查和评分。</w:t>
      </w:r>
    </w:p>
    <w:p w14:paraId="52161B9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.3.2</w:t>
      </w:r>
      <w:r>
        <w:rPr>
          <w:rFonts w:hint="eastAsia" w:asciiTheme="minorEastAsia" w:hAnsiTheme="minorEastAsia" w:eastAsiaTheme="minorEastAsia"/>
          <w:color w:val="auto"/>
          <w:sz w:val="24"/>
          <w:highlight w:val="none"/>
        </w:rPr>
        <w:t>本项目综合评分满分为1</w:t>
      </w:r>
      <w:r>
        <w:rPr>
          <w:rFonts w:asciiTheme="minorEastAsia" w:hAnsiTheme="minorEastAsia" w:eastAsiaTheme="minorEastAsia"/>
          <w:color w:val="auto"/>
          <w:sz w:val="24"/>
          <w:highlight w:val="none"/>
        </w:rPr>
        <w:t>00</w:t>
      </w:r>
      <w:r>
        <w:rPr>
          <w:rFonts w:hint="eastAsia" w:asciiTheme="minorEastAsia" w:hAnsiTheme="minorEastAsia" w:eastAsiaTheme="minorEastAsia"/>
          <w:color w:val="auto"/>
          <w:sz w:val="24"/>
          <w:highlight w:val="none"/>
        </w:rPr>
        <w:t>分，其中：技术资信分值占总分值的权重为</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4</w:t>
      </w:r>
      <w:r>
        <w:rPr>
          <w:rFonts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rPr>
        <w:t>%，价格分值占总分值的权重为</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96</w:t>
      </w:r>
      <w:r>
        <w:rPr>
          <w:rFonts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rPr>
        <w:t>%。具体评分细则如下：</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2"/>
        <w:gridCol w:w="1719"/>
        <w:gridCol w:w="3966"/>
        <w:gridCol w:w="1359"/>
      </w:tblGrid>
      <w:tr w14:paraId="4FED3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64" w:type="pct"/>
            <w:tcBorders>
              <w:top w:val="single" w:color="auto" w:sz="4" w:space="0"/>
              <w:left w:val="single" w:color="auto" w:sz="4" w:space="0"/>
              <w:bottom w:val="single" w:color="auto" w:sz="4" w:space="0"/>
              <w:right w:val="single" w:color="auto" w:sz="4" w:space="0"/>
            </w:tcBorders>
            <w:vAlign w:val="center"/>
          </w:tcPr>
          <w:p w14:paraId="1BA0A69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bCs/>
                <w:color w:val="auto"/>
                <w:sz w:val="24"/>
                <w:szCs w:val="20"/>
                <w:highlight w:val="none"/>
              </w:rPr>
            </w:pPr>
            <w:r>
              <w:rPr>
                <w:rFonts w:hint="eastAsia" w:asciiTheme="minorEastAsia" w:hAnsiTheme="minorEastAsia" w:eastAsiaTheme="minorEastAsia"/>
                <w:b/>
                <w:bCs/>
                <w:color w:val="auto"/>
                <w:sz w:val="24"/>
                <w:szCs w:val="20"/>
                <w:highlight w:val="none"/>
              </w:rPr>
              <w:t>类别</w:t>
            </w:r>
          </w:p>
        </w:tc>
        <w:tc>
          <w:tcPr>
            <w:tcW w:w="1009" w:type="pct"/>
            <w:tcBorders>
              <w:top w:val="single" w:color="auto" w:sz="4" w:space="0"/>
              <w:left w:val="single" w:color="auto" w:sz="4" w:space="0"/>
              <w:bottom w:val="single" w:color="auto" w:sz="4" w:space="0"/>
              <w:right w:val="single" w:color="auto" w:sz="4" w:space="0"/>
            </w:tcBorders>
            <w:vAlign w:val="center"/>
          </w:tcPr>
          <w:p w14:paraId="1FE98B80">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bCs/>
                <w:color w:val="auto"/>
                <w:sz w:val="24"/>
                <w:szCs w:val="20"/>
                <w:highlight w:val="none"/>
              </w:rPr>
            </w:pPr>
            <w:r>
              <w:rPr>
                <w:rFonts w:hint="eastAsia" w:asciiTheme="minorEastAsia" w:hAnsiTheme="minorEastAsia" w:eastAsiaTheme="minorEastAsia"/>
                <w:b/>
                <w:bCs/>
                <w:color w:val="auto"/>
                <w:sz w:val="24"/>
                <w:szCs w:val="20"/>
                <w:highlight w:val="none"/>
              </w:rPr>
              <w:t>评分内容</w:t>
            </w:r>
          </w:p>
        </w:tc>
        <w:tc>
          <w:tcPr>
            <w:tcW w:w="2328" w:type="pct"/>
            <w:tcBorders>
              <w:top w:val="single" w:color="auto" w:sz="4" w:space="0"/>
              <w:left w:val="single" w:color="auto" w:sz="4" w:space="0"/>
              <w:bottom w:val="single" w:color="auto" w:sz="4" w:space="0"/>
              <w:right w:val="single" w:color="auto" w:sz="4" w:space="0"/>
            </w:tcBorders>
            <w:vAlign w:val="center"/>
          </w:tcPr>
          <w:p w14:paraId="25A7405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bCs/>
                <w:color w:val="auto"/>
                <w:sz w:val="24"/>
                <w:szCs w:val="20"/>
                <w:highlight w:val="none"/>
              </w:rPr>
            </w:pPr>
            <w:r>
              <w:rPr>
                <w:rFonts w:hint="eastAsia" w:asciiTheme="minorEastAsia" w:hAnsiTheme="minorEastAsia" w:eastAsiaTheme="minorEastAsia"/>
                <w:b/>
                <w:bCs/>
                <w:color w:val="auto"/>
                <w:sz w:val="24"/>
                <w:szCs w:val="20"/>
                <w:highlight w:val="none"/>
              </w:rPr>
              <w:t>评分标准</w:t>
            </w:r>
          </w:p>
        </w:tc>
        <w:tc>
          <w:tcPr>
            <w:tcW w:w="797" w:type="pct"/>
            <w:tcBorders>
              <w:top w:val="single" w:color="auto" w:sz="4" w:space="0"/>
              <w:left w:val="single" w:color="auto" w:sz="4" w:space="0"/>
              <w:bottom w:val="single" w:color="auto" w:sz="4" w:space="0"/>
              <w:right w:val="single" w:color="auto" w:sz="4" w:space="0"/>
            </w:tcBorders>
            <w:vAlign w:val="center"/>
          </w:tcPr>
          <w:p w14:paraId="5B30400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bCs/>
                <w:color w:val="auto"/>
                <w:sz w:val="24"/>
                <w:szCs w:val="20"/>
                <w:highlight w:val="none"/>
              </w:rPr>
            </w:pPr>
            <w:r>
              <w:rPr>
                <w:rFonts w:hint="eastAsia" w:asciiTheme="minorEastAsia" w:hAnsiTheme="minorEastAsia" w:eastAsiaTheme="minorEastAsia"/>
                <w:b/>
                <w:bCs/>
                <w:color w:val="auto"/>
                <w:sz w:val="24"/>
                <w:szCs w:val="20"/>
                <w:highlight w:val="none"/>
              </w:rPr>
              <w:t>分值范围</w:t>
            </w:r>
          </w:p>
        </w:tc>
      </w:tr>
      <w:tr w14:paraId="7DF46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 w:type="pct"/>
            <w:tcBorders>
              <w:top w:val="single" w:color="auto" w:sz="4" w:space="0"/>
              <w:left w:val="single" w:color="auto" w:sz="4" w:space="0"/>
              <w:right w:val="single" w:color="auto" w:sz="4" w:space="0"/>
            </w:tcBorders>
            <w:vAlign w:val="center"/>
          </w:tcPr>
          <w:p w14:paraId="58FA6F76">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技术资信分</w:t>
            </w:r>
          </w:p>
          <w:p w14:paraId="5E78C5D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bCs/>
                <w:color w:val="auto"/>
                <w:sz w:val="24"/>
                <w:szCs w:val="20"/>
                <w:highlight w:val="none"/>
              </w:rPr>
            </w:pPr>
            <w:r>
              <w:rPr>
                <w:rFonts w:hint="eastAsia" w:asciiTheme="minorEastAsia" w:hAnsiTheme="minorEastAsia" w:eastAsiaTheme="minorEastAsia"/>
                <w:color w:val="auto"/>
                <w:sz w:val="24"/>
                <w:szCs w:val="20"/>
                <w:highlight w:val="none"/>
              </w:rPr>
              <w:t>（</w:t>
            </w:r>
            <w:r>
              <w:rPr>
                <w:rFonts w:hint="eastAsia" w:asciiTheme="minorEastAsia" w:hAnsiTheme="minorEastAsia" w:eastAsiaTheme="minorEastAsia"/>
                <w:color w:val="auto"/>
                <w:sz w:val="24"/>
                <w:szCs w:val="20"/>
                <w:highlight w:val="none"/>
                <w:u w:val="single"/>
              </w:rPr>
              <w:t xml:space="preserve"> </w:t>
            </w:r>
            <w:r>
              <w:rPr>
                <w:rFonts w:hint="eastAsia" w:asciiTheme="minorEastAsia" w:hAnsiTheme="minorEastAsia" w:eastAsiaTheme="minorEastAsia"/>
                <w:color w:val="auto"/>
                <w:sz w:val="24"/>
                <w:szCs w:val="20"/>
                <w:highlight w:val="none"/>
                <w:u w:val="single"/>
                <w:lang w:val="en-US" w:eastAsia="zh-CN"/>
              </w:rPr>
              <w:t>4</w:t>
            </w:r>
            <w:r>
              <w:rPr>
                <w:rFonts w:hint="eastAsia" w:asciiTheme="minorEastAsia" w:hAnsiTheme="minorEastAsia" w:eastAsiaTheme="minorEastAsia"/>
                <w:color w:val="auto"/>
                <w:sz w:val="24"/>
                <w:szCs w:val="20"/>
                <w:highlight w:val="none"/>
                <w:u w:val="single"/>
              </w:rPr>
              <w:t xml:space="preserve"> </w:t>
            </w:r>
            <w:r>
              <w:rPr>
                <w:rFonts w:hint="eastAsia" w:asciiTheme="minorEastAsia" w:hAnsiTheme="minorEastAsia" w:eastAsiaTheme="minorEastAsia"/>
                <w:color w:val="auto"/>
                <w:sz w:val="24"/>
                <w:szCs w:val="20"/>
                <w:highlight w:val="none"/>
              </w:rPr>
              <w:t>分）</w:t>
            </w:r>
          </w:p>
        </w:tc>
        <w:tc>
          <w:tcPr>
            <w:tcW w:w="1009" w:type="pct"/>
            <w:tcBorders>
              <w:top w:val="single" w:color="auto" w:sz="4" w:space="0"/>
              <w:left w:val="single" w:color="auto" w:sz="4" w:space="0"/>
              <w:bottom w:val="single" w:color="auto" w:sz="4" w:space="0"/>
              <w:right w:val="single" w:color="auto" w:sz="4" w:space="0"/>
            </w:tcBorders>
            <w:vAlign w:val="center"/>
          </w:tcPr>
          <w:p w14:paraId="6A137346">
            <w:pPr>
              <w:keepNext w:val="0"/>
              <w:keepLines w:val="0"/>
              <w:suppressLineNumbers w:val="0"/>
              <w:spacing w:before="0" w:beforeAutospacing="0" w:after="0" w:afterAutospacing="0" w:line="360" w:lineRule="auto"/>
              <w:ind w:left="0" w:leftChars="0" w:right="0" w:rightChars="0"/>
              <w:jc w:val="center"/>
              <w:rPr>
                <w:rFonts w:hint="default" w:cs="@仿宋_GB2312" w:asciiTheme="minorEastAsia" w:hAnsiTheme="minorEastAsia" w:eastAsiaTheme="minorEastAsia"/>
                <w:color w:val="auto"/>
                <w:kern w:val="2"/>
                <w:sz w:val="24"/>
                <w:szCs w:val="20"/>
                <w:highlight w:val="none"/>
                <w:lang w:val="en-US" w:eastAsia="zh-CN" w:bidi="ar-SA"/>
              </w:rPr>
            </w:pPr>
            <w:r>
              <w:rPr>
                <w:rFonts w:hint="default" w:cs="@仿宋_GB2312" w:asciiTheme="minorEastAsia" w:hAnsiTheme="minorEastAsia" w:eastAsiaTheme="minorEastAsia"/>
                <w:color w:val="auto"/>
                <w:kern w:val="2"/>
                <w:sz w:val="24"/>
                <w:szCs w:val="20"/>
                <w:highlight w:val="none"/>
                <w:lang w:val="en-US" w:eastAsia="zh-CN" w:bidi="ar-SA"/>
              </w:rPr>
              <w:t>业绩</w:t>
            </w:r>
          </w:p>
        </w:tc>
        <w:tc>
          <w:tcPr>
            <w:tcW w:w="2328" w:type="pct"/>
            <w:tcBorders>
              <w:top w:val="single" w:color="auto" w:sz="4" w:space="0"/>
              <w:left w:val="single" w:color="auto" w:sz="4" w:space="0"/>
              <w:bottom w:val="single" w:color="auto" w:sz="4" w:space="0"/>
              <w:right w:val="single" w:color="auto" w:sz="4" w:space="0"/>
            </w:tcBorders>
            <w:vAlign w:val="center"/>
          </w:tcPr>
          <w:p w14:paraId="64B4670A">
            <w:pPr>
              <w:keepNext w:val="0"/>
              <w:keepLines w:val="0"/>
              <w:suppressLineNumbers w:val="0"/>
              <w:spacing w:before="0" w:beforeAutospacing="0" w:after="0" w:afterAutospacing="0" w:line="360" w:lineRule="auto"/>
              <w:ind w:left="0" w:leftChars="0" w:right="0" w:rightChars="0"/>
              <w:jc w:val="left"/>
              <w:rPr>
                <w:rFonts w:hint="default" w:cs="@仿宋_GB2312" w:asciiTheme="minorEastAsia" w:hAnsiTheme="minorEastAsia" w:eastAsiaTheme="minorEastAsia"/>
                <w:color w:val="auto"/>
                <w:kern w:val="2"/>
                <w:sz w:val="24"/>
                <w:szCs w:val="20"/>
                <w:highlight w:val="none"/>
                <w:lang w:val="en-US" w:eastAsia="zh-CN" w:bidi="ar-SA"/>
              </w:rPr>
            </w:pPr>
            <w:r>
              <w:rPr>
                <w:rFonts w:hint="default" w:cs="@仿宋_GB2312" w:asciiTheme="minorEastAsia" w:hAnsiTheme="minorEastAsia" w:eastAsiaTheme="minorEastAsia"/>
                <w:color w:val="auto"/>
                <w:kern w:val="2"/>
                <w:sz w:val="24"/>
                <w:szCs w:val="20"/>
                <w:highlight w:val="none"/>
                <w:lang w:val="en-US" w:eastAsia="zh-CN" w:bidi="ar-SA"/>
              </w:rPr>
              <w:t>投标人于20</w:t>
            </w:r>
            <w:r>
              <w:rPr>
                <w:rFonts w:hint="eastAsia" w:cs="@仿宋_GB2312" w:asciiTheme="minorEastAsia" w:hAnsiTheme="minorEastAsia" w:eastAsiaTheme="minorEastAsia"/>
                <w:color w:val="auto"/>
                <w:kern w:val="2"/>
                <w:sz w:val="24"/>
                <w:szCs w:val="20"/>
                <w:highlight w:val="none"/>
                <w:lang w:val="en-US" w:eastAsia="zh-CN" w:bidi="ar-SA"/>
              </w:rPr>
              <w:t>20</w:t>
            </w:r>
            <w:r>
              <w:rPr>
                <w:rFonts w:hint="default" w:cs="@仿宋_GB2312" w:asciiTheme="minorEastAsia" w:hAnsiTheme="minorEastAsia" w:eastAsiaTheme="minorEastAsia"/>
                <w:color w:val="auto"/>
                <w:kern w:val="2"/>
                <w:sz w:val="24"/>
                <w:szCs w:val="20"/>
                <w:highlight w:val="none"/>
                <w:lang w:val="en-US" w:eastAsia="zh-CN" w:bidi="ar-SA"/>
              </w:rPr>
              <w:t>年</w:t>
            </w:r>
            <w:r>
              <w:rPr>
                <w:rFonts w:hint="eastAsia" w:cs="@仿宋_GB2312" w:asciiTheme="minorEastAsia" w:hAnsiTheme="minorEastAsia" w:eastAsiaTheme="minorEastAsia"/>
                <w:color w:val="auto"/>
                <w:kern w:val="2"/>
                <w:sz w:val="24"/>
                <w:szCs w:val="20"/>
                <w:highlight w:val="none"/>
                <w:lang w:val="en-US" w:eastAsia="zh-CN" w:bidi="ar-SA"/>
              </w:rPr>
              <w:t>8</w:t>
            </w:r>
            <w:r>
              <w:rPr>
                <w:rFonts w:hint="default" w:cs="@仿宋_GB2312" w:asciiTheme="minorEastAsia" w:hAnsiTheme="minorEastAsia" w:eastAsiaTheme="minorEastAsia"/>
                <w:color w:val="auto"/>
                <w:kern w:val="2"/>
                <w:sz w:val="24"/>
                <w:szCs w:val="20"/>
                <w:highlight w:val="none"/>
                <w:lang w:val="en-US" w:eastAsia="zh-CN" w:bidi="ar-SA"/>
              </w:rPr>
              <w:t>月1日至投标截止时间止（以合同签订时间为准），承担过桥梁检测项目</w:t>
            </w:r>
            <w:r>
              <w:rPr>
                <w:rFonts w:hint="eastAsia" w:cs="@仿宋_GB2312" w:asciiTheme="minorEastAsia" w:hAnsiTheme="minorEastAsia" w:eastAsiaTheme="minorEastAsia"/>
                <w:color w:val="auto"/>
                <w:kern w:val="2"/>
                <w:sz w:val="24"/>
                <w:szCs w:val="20"/>
                <w:highlight w:val="none"/>
                <w:lang w:val="en-US" w:eastAsia="zh-CN" w:bidi="ar-SA"/>
              </w:rPr>
              <w:t>业绩</w:t>
            </w:r>
            <w:r>
              <w:rPr>
                <w:rFonts w:hint="default" w:cs="@仿宋_GB2312" w:asciiTheme="minorEastAsia" w:hAnsiTheme="minorEastAsia" w:eastAsiaTheme="minorEastAsia"/>
                <w:color w:val="auto"/>
                <w:kern w:val="2"/>
                <w:sz w:val="24"/>
                <w:szCs w:val="20"/>
                <w:highlight w:val="none"/>
                <w:lang w:val="en-US" w:eastAsia="zh-CN" w:bidi="ar-SA"/>
              </w:rPr>
              <w:t>的，每个得</w:t>
            </w:r>
            <w:r>
              <w:rPr>
                <w:rFonts w:hint="eastAsia" w:cs="@仿宋_GB2312" w:asciiTheme="minorEastAsia" w:hAnsiTheme="minorEastAsia" w:eastAsiaTheme="minorEastAsia"/>
                <w:color w:val="auto"/>
                <w:kern w:val="2"/>
                <w:sz w:val="24"/>
                <w:szCs w:val="20"/>
                <w:highlight w:val="none"/>
                <w:lang w:val="en-US" w:eastAsia="zh-CN" w:bidi="ar-SA"/>
              </w:rPr>
              <w:t>2</w:t>
            </w:r>
            <w:r>
              <w:rPr>
                <w:rFonts w:hint="default" w:cs="@仿宋_GB2312" w:asciiTheme="minorEastAsia" w:hAnsiTheme="minorEastAsia" w:eastAsiaTheme="minorEastAsia"/>
                <w:color w:val="auto"/>
                <w:kern w:val="2"/>
                <w:sz w:val="24"/>
                <w:szCs w:val="20"/>
                <w:highlight w:val="none"/>
                <w:lang w:val="en-US" w:eastAsia="zh-CN" w:bidi="ar-SA"/>
              </w:rPr>
              <w:t>分，本项最高得</w:t>
            </w:r>
            <w:r>
              <w:rPr>
                <w:rFonts w:hint="eastAsia" w:cs="@仿宋_GB2312" w:asciiTheme="minorEastAsia" w:hAnsiTheme="minorEastAsia" w:eastAsiaTheme="minorEastAsia"/>
                <w:color w:val="auto"/>
                <w:kern w:val="2"/>
                <w:sz w:val="24"/>
                <w:szCs w:val="20"/>
                <w:highlight w:val="none"/>
                <w:lang w:val="en-US" w:eastAsia="zh-CN" w:bidi="ar-SA"/>
              </w:rPr>
              <w:t>4</w:t>
            </w:r>
            <w:r>
              <w:rPr>
                <w:rFonts w:hint="default" w:cs="@仿宋_GB2312" w:asciiTheme="minorEastAsia" w:hAnsiTheme="minorEastAsia" w:eastAsiaTheme="minorEastAsia"/>
                <w:color w:val="auto"/>
                <w:kern w:val="2"/>
                <w:sz w:val="24"/>
                <w:szCs w:val="20"/>
                <w:highlight w:val="none"/>
                <w:lang w:val="en-US" w:eastAsia="zh-CN" w:bidi="ar-SA"/>
              </w:rPr>
              <w:t>分。</w:t>
            </w:r>
          </w:p>
          <w:p w14:paraId="33651AF6">
            <w:pPr>
              <w:keepNext w:val="0"/>
              <w:keepLines w:val="0"/>
              <w:suppressLineNumbers w:val="0"/>
              <w:spacing w:before="0" w:beforeAutospacing="0" w:after="0" w:afterAutospacing="0" w:line="360" w:lineRule="auto"/>
              <w:ind w:left="0" w:leftChars="0" w:right="0" w:rightChars="0"/>
              <w:jc w:val="left"/>
              <w:rPr>
                <w:rFonts w:hint="default" w:cs="@仿宋_GB2312" w:asciiTheme="minorEastAsia" w:hAnsiTheme="minorEastAsia" w:eastAsiaTheme="minorEastAsia"/>
                <w:color w:val="auto"/>
                <w:kern w:val="2"/>
                <w:sz w:val="24"/>
                <w:szCs w:val="20"/>
                <w:highlight w:val="none"/>
                <w:lang w:val="en-US" w:eastAsia="zh-CN" w:bidi="ar-SA"/>
              </w:rPr>
            </w:pPr>
            <w:r>
              <w:rPr>
                <w:rFonts w:hint="default" w:cs="@仿宋_GB2312" w:asciiTheme="minorEastAsia" w:hAnsiTheme="minorEastAsia" w:eastAsiaTheme="minorEastAsia"/>
                <w:color w:val="auto"/>
                <w:kern w:val="2"/>
                <w:sz w:val="24"/>
                <w:szCs w:val="20"/>
                <w:highlight w:val="none"/>
                <w:lang w:val="en-US" w:eastAsia="zh-CN" w:bidi="ar-SA"/>
              </w:rPr>
              <w:t>注：</w:t>
            </w:r>
            <w:r>
              <w:rPr>
                <w:rFonts w:hint="eastAsia" w:cs="@仿宋_GB2312" w:asciiTheme="minorEastAsia" w:hAnsiTheme="minorEastAsia" w:eastAsiaTheme="minorEastAsia"/>
                <w:color w:val="auto"/>
                <w:kern w:val="2"/>
                <w:sz w:val="24"/>
                <w:szCs w:val="20"/>
                <w:highlight w:val="none"/>
                <w:lang w:val="en-US" w:eastAsia="zh-CN" w:bidi="ar-SA"/>
              </w:rPr>
              <w:t>（1）</w:t>
            </w:r>
            <w:r>
              <w:rPr>
                <w:rFonts w:hint="default" w:cs="@仿宋_GB2312" w:asciiTheme="minorEastAsia" w:hAnsiTheme="minorEastAsia" w:eastAsiaTheme="minorEastAsia"/>
                <w:color w:val="auto"/>
                <w:kern w:val="2"/>
                <w:sz w:val="24"/>
                <w:szCs w:val="20"/>
                <w:highlight w:val="none"/>
                <w:lang w:val="en-US" w:eastAsia="zh-CN" w:bidi="ar-SA"/>
              </w:rPr>
              <w:t>提供项目合同扫描件。如上述材料不能够充分有效证明该业绩的项目类型等内容，投标人还需另外提供建设单位出具的加盖建设单位公章的证明材料。</w:t>
            </w:r>
          </w:p>
          <w:p w14:paraId="6977A2ED">
            <w:pPr>
              <w:keepNext w:val="0"/>
              <w:keepLines w:val="0"/>
              <w:suppressLineNumbers w:val="0"/>
              <w:spacing w:before="0" w:beforeAutospacing="0" w:after="0" w:afterAutospacing="0" w:line="360" w:lineRule="auto"/>
              <w:ind w:left="0" w:leftChars="0" w:right="0" w:rightChars="0"/>
              <w:jc w:val="left"/>
              <w:rPr>
                <w:rFonts w:hint="default" w:cs="@仿宋_GB2312" w:asciiTheme="minorEastAsia" w:hAnsiTheme="minorEastAsia" w:eastAsiaTheme="minorEastAsia"/>
                <w:color w:val="auto"/>
                <w:kern w:val="2"/>
                <w:sz w:val="24"/>
                <w:szCs w:val="20"/>
                <w:highlight w:val="none"/>
                <w:lang w:val="en-US" w:eastAsia="zh-CN" w:bidi="ar-SA"/>
              </w:rPr>
            </w:pPr>
            <w:r>
              <w:rPr>
                <w:rFonts w:hint="eastAsia" w:cs="@仿宋_GB2312" w:asciiTheme="minorEastAsia" w:hAnsiTheme="minorEastAsia" w:eastAsiaTheme="minorEastAsia"/>
                <w:color w:val="auto"/>
                <w:kern w:val="2"/>
                <w:sz w:val="24"/>
                <w:szCs w:val="20"/>
                <w:highlight w:val="none"/>
                <w:lang w:val="en-US" w:eastAsia="zh-CN" w:bidi="ar-SA"/>
              </w:rPr>
              <w:t>（2）</w:t>
            </w:r>
            <w:r>
              <w:rPr>
                <w:rFonts w:hint="default" w:cs="@仿宋_GB2312" w:asciiTheme="minorEastAsia" w:hAnsiTheme="minorEastAsia" w:eastAsiaTheme="minorEastAsia"/>
                <w:color w:val="auto"/>
                <w:kern w:val="2"/>
                <w:sz w:val="24"/>
                <w:szCs w:val="20"/>
                <w:highlight w:val="none"/>
                <w:lang w:val="en-US" w:eastAsia="zh-CN" w:bidi="ar-SA"/>
              </w:rPr>
              <w:t>投标人投标时只须提供2个评审业绩，若投标人提供业绩个数超过2个，则按照排列顺序从首个业绩开始评审至对应数量（2个），超出部分业绩不进行评审。对应数量（2个）内业绩不符合招标文件要求不得分的，不再补充评审超出部分业绩。如：提供2个业绩即得满分的，按照投标文件排序评审第一、第二项业绩，其余超出部分不再评审。</w:t>
            </w:r>
          </w:p>
        </w:tc>
        <w:tc>
          <w:tcPr>
            <w:tcW w:w="797" w:type="pct"/>
            <w:tcBorders>
              <w:top w:val="single" w:color="auto" w:sz="4" w:space="0"/>
              <w:left w:val="single" w:color="auto" w:sz="4" w:space="0"/>
              <w:bottom w:val="single" w:color="auto" w:sz="4" w:space="0"/>
              <w:right w:val="single" w:color="auto" w:sz="4" w:space="0"/>
            </w:tcBorders>
            <w:vAlign w:val="center"/>
          </w:tcPr>
          <w:p w14:paraId="7480DFBE">
            <w:pPr>
              <w:keepNext w:val="0"/>
              <w:keepLines w:val="0"/>
              <w:suppressLineNumbers w:val="0"/>
              <w:spacing w:before="0" w:beforeAutospacing="0" w:after="0" w:afterAutospacing="0" w:line="360" w:lineRule="auto"/>
              <w:ind w:left="0" w:leftChars="0" w:right="0" w:rightChars="0"/>
              <w:jc w:val="center"/>
              <w:rPr>
                <w:rFonts w:hint="default" w:cs="@仿宋_GB2312" w:asciiTheme="minorEastAsia" w:hAnsiTheme="minorEastAsia" w:eastAsiaTheme="minorEastAsia"/>
                <w:b/>
                <w:bCs/>
                <w:color w:val="auto"/>
                <w:kern w:val="2"/>
                <w:sz w:val="24"/>
                <w:szCs w:val="20"/>
                <w:highlight w:val="none"/>
                <w:lang w:val="en-US" w:eastAsia="zh-CN" w:bidi="ar-SA"/>
              </w:rPr>
            </w:pPr>
            <w:r>
              <w:rPr>
                <w:rFonts w:hint="default" w:cs="@仿宋_GB2312" w:asciiTheme="minorEastAsia" w:hAnsiTheme="minorEastAsia" w:eastAsiaTheme="minorEastAsia"/>
                <w:b/>
                <w:bCs/>
                <w:color w:val="auto"/>
                <w:kern w:val="2"/>
                <w:sz w:val="24"/>
                <w:szCs w:val="20"/>
                <w:highlight w:val="none"/>
                <w:lang w:val="en-US" w:eastAsia="zh-CN" w:bidi="ar-SA"/>
              </w:rPr>
              <w:t>0-</w:t>
            </w:r>
            <w:r>
              <w:rPr>
                <w:rFonts w:hint="eastAsia" w:cs="@仿宋_GB2312" w:asciiTheme="minorEastAsia" w:hAnsiTheme="minorEastAsia" w:eastAsiaTheme="minorEastAsia"/>
                <w:b/>
                <w:bCs/>
                <w:color w:val="auto"/>
                <w:kern w:val="2"/>
                <w:sz w:val="24"/>
                <w:szCs w:val="20"/>
                <w:highlight w:val="none"/>
                <w:lang w:val="en-US" w:eastAsia="zh-CN" w:bidi="ar-SA"/>
              </w:rPr>
              <w:t>4</w:t>
            </w:r>
            <w:r>
              <w:rPr>
                <w:rFonts w:hint="default" w:cs="@仿宋_GB2312" w:asciiTheme="minorEastAsia" w:hAnsiTheme="minorEastAsia" w:eastAsiaTheme="minorEastAsia"/>
                <w:b/>
                <w:bCs/>
                <w:color w:val="auto"/>
                <w:kern w:val="2"/>
                <w:sz w:val="24"/>
                <w:szCs w:val="20"/>
                <w:highlight w:val="none"/>
                <w:lang w:val="en-US" w:eastAsia="zh-CN" w:bidi="ar-SA"/>
              </w:rPr>
              <w:t>分</w:t>
            </w:r>
          </w:p>
        </w:tc>
      </w:tr>
      <w:tr w14:paraId="40FB0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 w:type="pct"/>
            <w:tcBorders>
              <w:left w:val="single" w:color="auto" w:sz="4" w:space="0"/>
              <w:right w:val="single" w:color="auto" w:sz="4" w:space="0"/>
            </w:tcBorders>
            <w:vAlign w:val="center"/>
          </w:tcPr>
          <w:p w14:paraId="22EC92B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价格分</w:t>
            </w:r>
          </w:p>
          <w:p w14:paraId="2F31257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bCs/>
                <w:color w:val="auto"/>
                <w:sz w:val="24"/>
                <w:szCs w:val="20"/>
                <w:highlight w:val="none"/>
              </w:rPr>
            </w:pPr>
            <w:r>
              <w:rPr>
                <w:rFonts w:hint="eastAsia" w:asciiTheme="minorEastAsia" w:hAnsiTheme="minorEastAsia" w:eastAsiaTheme="minorEastAsia"/>
                <w:color w:val="auto"/>
                <w:sz w:val="24"/>
                <w:szCs w:val="20"/>
                <w:highlight w:val="none"/>
              </w:rPr>
              <w:t>（</w:t>
            </w:r>
            <w:r>
              <w:rPr>
                <w:rFonts w:hint="eastAsia" w:asciiTheme="minorEastAsia" w:hAnsiTheme="minorEastAsia" w:eastAsiaTheme="minorEastAsia"/>
                <w:color w:val="auto"/>
                <w:sz w:val="24"/>
                <w:szCs w:val="20"/>
                <w:highlight w:val="none"/>
                <w:u w:val="single"/>
              </w:rPr>
              <w:t xml:space="preserve"> </w:t>
            </w:r>
            <w:r>
              <w:rPr>
                <w:rFonts w:hint="eastAsia" w:asciiTheme="minorEastAsia" w:hAnsiTheme="minorEastAsia" w:eastAsiaTheme="minorEastAsia"/>
                <w:color w:val="auto"/>
                <w:sz w:val="24"/>
                <w:szCs w:val="20"/>
                <w:highlight w:val="none"/>
                <w:u w:val="single"/>
                <w:lang w:val="en-US" w:eastAsia="zh-CN"/>
              </w:rPr>
              <w:t>96</w:t>
            </w:r>
            <w:r>
              <w:rPr>
                <w:rFonts w:hint="eastAsia" w:asciiTheme="minorEastAsia" w:hAnsiTheme="minorEastAsia" w:eastAsiaTheme="minorEastAsia"/>
                <w:color w:val="auto"/>
                <w:sz w:val="24"/>
                <w:szCs w:val="20"/>
                <w:highlight w:val="none"/>
                <w:u w:val="single"/>
              </w:rPr>
              <w:t xml:space="preserve"> </w:t>
            </w:r>
            <w:r>
              <w:rPr>
                <w:rFonts w:hint="eastAsia" w:asciiTheme="minorEastAsia" w:hAnsiTheme="minorEastAsia" w:eastAsiaTheme="minorEastAsia"/>
                <w:color w:val="auto"/>
                <w:sz w:val="24"/>
                <w:szCs w:val="20"/>
                <w:highlight w:val="none"/>
              </w:rPr>
              <w:t>分）</w:t>
            </w:r>
          </w:p>
        </w:tc>
        <w:tc>
          <w:tcPr>
            <w:tcW w:w="4135" w:type="pct"/>
            <w:gridSpan w:val="3"/>
            <w:tcBorders>
              <w:top w:val="single" w:color="auto" w:sz="4" w:space="0"/>
              <w:left w:val="single" w:color="auto" w:sz="4" w:space="0"/>
              <w:bottom w:val="single" w:color="auto" w:sz="4" w:space="0"/>
              <w:right w:val="single" w:color="auto" w:sz="4" w:space="0"/>
            </w:tcBorders>
            <w:vAlign w:val="center"/>
          </w:tcPr>
          <w:p w14:paraId="6A2DE6F1">
            <w:pPr>
              <w:keepNext w:val="0"/>
              <w:keepLines w:val="0"/>
              <w:suppressLineNumbers w:val="0"/>
              <w:spacing w:before="0" w:beforeAutospacing="0" w:after="0" w:afterAutospacing="0" w:line="360" w:lineRule="auto"/>
              <w:ind w:left="0" w:right="0"/>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价格分统一采用低价优先法，即满足招标文件要求且投标价格最低的投标报价为评标基准价，其价格分为满分</w:t>
            </w:r>
            <w:r>
              <w:rPr>
                <w:rFonts w:hint="eastAsia" w:asciiTheme="minorEastAsia" w:hAnsiTheme="minorEastAsia" w:eastAsiaTheme="minorEastAsia"/>
                <w:color w:val="auto"/>
                <w:sz w:val="24"/>
                <w:szCs w:val="20"/>
                <w:highlight w:val="none"/>
                <w:u w:val="single"/>
              </w:rPr>
              <w:t xml:space="preserve"> </w:t>
            </w:r>
            <w:r>
              <w:rPr>
                <w:rFonts w:hint="eastAsia" w:asciiTheme="minorEastAsia" w:hAnsiTheme="minorEastAsia" w:eastAsiaTheme="minorEastAsia"/>
                <w:color w:val="auto"/>
                <w:sz w:val="24"/>
                <w:szCs w:val="20"/>
                <w:highlight w:val="none"/>
                <w:u w:val="single"/>
                <w:lang w:val="en-US" w:eastAsia="zh-CN"/>
              </w:rPr>
              <w:t>96</w:t>
            </w:r>
            <w:r>
              <w:rPr>
                <w:rFonts w:hint="eastAsia" w:asciiTheme="minorEastAsia" w:hAnsiTheme="minorEastAsia" w:eastAsiaTheme="minorEastAsia"/>
                <w:color w:val="auto"/>
                <w:sz w:val="24"/>
                <w:szCs w:val="20"/>
                <w:highlight w:val="none"/>
                <w:u w:val="single"/>
              </w:rPr>
              <w:t xml:space="preserve"> </w:t>
            </w:r>
            <w:r>
              <w:rPr>
                <w:rFonts w:hint="eastAsia" w:asciiTheme="minorEastAsia" w:hAnsiTheme="minorEastAsia" w:eastAsiaTheme="minorEastAsia"/>
                <w:color w:val="auto"/>
                <w:sz w:val="24"/>
                <w:szCs w:val="20"/>
                <w:highlight w:val="none"/>
              </w:rPr>
              <w:t>分。其他投标人的价格分统一按照下列公式计算：</w:t>
            </w:r>
          </w:p>
          <w:p w14:paraId="1153D4D8">
            <w:pPr>
              <w:keepNext w:val="0"/>
              <w:keepLines w:val="0"/>
              <w:suppressLineNumbers w:val="0"/>
              <w:spacing w:before="0" w:beforeAutospacing="0" w:after="0" w:afterAutospacing="0" w:line="360" w:lineRule="auto"/>
              <w:ind w:left="0" w:right="0"/>
              <w:rPr>
                <w:rFonts w:hint="default" w:asciiTheme="minorEastAsia" w:hAnsiTheme="minorEastAsia" w:eastAsiaTheme="minorEastAsia"/>
                <w:b/>
                <w:bCs/>
                <w:color w:val="auto"/>
                <w:sz w:val="24"/>
                <w:szCs w:val="20"/>
                <w:highlight w:val="none"/>
              </w:rPr>
            </w:pPr>
            <w:r>
              <w:rPr>
                <w:rFonts w:hint="eastAsia" w:asciiTheme="minorEastAsia" w:hAnsiTheme="minorEastAsia" w:eastAsiaTheme="minorEastAsia"/>
                <w:color w:val="auto"/>
                <w:sz w:val="24"/>
                <w:szCs w:val="20"/>
                <w:highlight w:val="none"/>
              </w:rPr>
              <w:t>投标报价得分＝（评标基准价/投标报价）×</w:t>
            </w:r>
            <w:r>
              <w:rPr>
                <w:rFonts w:hint="eastAsia" w:asciiTheme="minorEastAsia" w:hAnsiTheme="minorEastAsia" w:eastAsiaTheme="minorEastAsia"/>
                <w:color w:val="auto"/>
                <w:sz w:val="24"/>
                <w:szCs w:val="20"/>
                <w:highlight w:val="none"/>
                <w:u w:val="single"/>
              </w:rPr>
              <w:t xml:space="preserve"> </w:t>
            </w:r>
            <w:r>
              <w:rPr>
                <w:rFonts w:hint="eastAsia" w:asciiTheme="minorEastAsia" w:hAnsiTheme="minorEastAsia" w:eastAsiaTheme="minorEastAsia"/>
                <w:color w:val="auto"/>
                <w:sz w:val="24"/>
                <w:szCs w:val="20"/>
                <w:highlight w:val="none"/>
                <w:u w:val="single"/>
                <w:lang w:val="en-US" w:eastAsia="zh-CN"/>
              </w:rPr>
              <w:t>96</w:t>
            </w:r>
            <w:r>
              <w:rPr>
                <w:rFonts w:hint="eastAsia" w:asciiTheme="minorEastAsia" w:hAnsiTheme="minorEastAsia" w:eastAsiaTheme="minorEastAsia"/>
                <w:color w:val="auto"/>
                <w:sz w:val="24"/>
                <w:szCs w:val="20"/>
                <w:highlight w:val="none"/>
                <w:u w:val="single"/>
              </w:rPr>
              <w:t xml:space="preserve"> </w:t>
            </w:r>
            <w:r>
              <w:rPr>
                <w:rFonts w:hint="eastAsia" w:asciiTheme="minorEastAsia" w:hAnsiTheme="minorEastAsia" w:eastAsiaTheme="minorEastAsia"/>
                <w:color w:val="auto"/>
                <w:sz w:val="24"/>
                <w:szCs w:val="20"/>
                <w:highlight w:val="none"/>
              </w:rPr>
              <w:t>％×100</w:t>
            </w:r>
          </w:p>
        </w:tc>
      </w:tr>
    </w:tbl>
    <w:p w14:paraId="781DB16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.3.3</w:t>
      </w:r>
      <w:r>
        <w:rPr>
          <w:rFonts w:hint="eastAsia" w:asciiTheme="minorEastAsia" w:hAnsiTheme="minorEastAsia" w:eastAsiaTheme="minorEastAsia"/>
          <w:color w:val="auto"/>
          <w:sz w:val="24"/>
          <w:highlight w:val="none"/>
        </w:rPr>
        <w:t>分值汇总</w:t>
      </w:r>
    </w:p>
    <w:p w14:paraId="2449307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评标委员会各成员应当独立对每个</w:t>
      </w:r>
      <w:r>
        <w:rPr>
          <w:rFonts w:hint="eastAsia" w:asciiTheme="minorEastAsia" w:hAnsiTheme="minorEastAsia" w:eastAsiaTheme="minorEastAsia"/>
          <w:color w:val="auto"/>
          <w:sz w:val="24"/>
          <w:highlight w:val="none"/>
        </w:rPr>
        <w:t>有效</w:t>
      </w:r>
      <w:r>
        <w:rPr>
          <w:rFonts w:asciiTheme="minorEastAsia" w:hAnsiTheme="minorEastAsia" w:eastAsiaTheme="minorEastAsia"/>
          <w:color w:val="auto"/>
          <w:sz w:val="24"/>
          <w:highlight w:val="none"/>
        </w:rPr>
        <w:t>投标人的投标文件进行评</w:t>
      </w:r>
      <w:r>
        <w:rPr>
          <w:rFonts w:hint="eastAsia" w:asciiTheme="minorEastAsia" w:hAnsiTheme="minorEastAsia" w:eastAsiaTheme="minorEastAsia"/>
          <w:color w:val="auto"/>
          <w:sz w:val="24"/>
          <w:highlight w:val="none"/>
        </w:rPr>
        <w:t>分</w:t>
      </w:r>
      <w:r>
        <w:rPr>
          <w:rFonts w:asciiTheme="minorEastAsia" w:hAnsiTheme="minorEastAsia" w:eastAsiaTheme="minorEastAsia"/>
          <w:color w:val="auto"/>
          <w:sz w:val="24"/>
          <w:highlight w:val="none"/>
        </w:rPr>
        <w:t>，并汇总每个投</w:t>
      </w:r>
      <w:r>
        <w:rPr>
          <w:rFonts w:hint="eastAsia" w:asciiTheme="minorEastAsia" w:hAnsiTheme="minorEastAsia" w:eastAsiaTheme="minorEastAsia"/>
          <w:color w:val="auto"/>
          <w:sz w:val="24"/>
          <w:highlight w:val="none"/>
        </w:rPr>
        <w:t>标人的得分。取各位评委评分之平均值，四舍五入保留至小数点后两位数，</w:t>
      </w:r>
      <w:r>
        <w:rPr>
          <w:rFonts w:asciiTheme="minorEastAsia" w:hAnsiTheme="minorEastAsia" w:eastAsiaTheme="minorEastAsia"/>
          <w:color w:val="auto"/>
          <w:sz w:val="24"/>
          <w:highlight w:val="none"/>
        </w:rPr>
        <w:t>得到该投标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的技术资信分</w:t>
      </w:r>
      <w:r>
        <w:rPr>
          <w:rFonts w:hint="eastAsia" w:asciiTheme="minorEastAsia" w:hAnsiTheme="minorEastAsia" w:eastAsiaTheme="minorEastAsia"/>
          <w:color w:val="auto"/>
          <w:sz w:val="24"/>
          <w:highlight w:val="none"/>
        </w:rPr>
        <w:t>。</w:t>
      </w:r>
    </w:p>
    <w:p w14:paraId="12DEE56F">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将投标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的技术资信分加上根据上述标准计算出的价格分，即为该投标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的综合总得分</w:t>
      </w:r>
      <w:r>
        <w:rPr>
          <w:rFonts w:hint="eastAsia" w:asciiTheme="minorEastAsia" w:hAnsiTheme="minorEastAsia" w:eastAsiaTheme="minorEastAsia"/>
          <w:color w:val="auto"/>
          <w:sz w:val="24"/>
          <w:highlight w:val="none"/>
          <w:lang w:eastAsia="zh-CN"/>
        </w:rPr>
        <w:t>。</w:t>
      </w:r>
    </w:p>
    <w:p w14:paraId="197C4F44">
      <w:pPr>
        <w:spacing w:line="360" w:lineRule="auto"/>
        <w:ind w:firstLine="435"/>
        <w:rPr>
          <w:rFonts w:hint="eastAsia" w:asciiTheme="minorEastAsia" w:hAnsiTheme="minorEastAsia" w:eastAsiaTheme="minorEastAsia"/>
          <w:b/>
          <w:bCs/>
          <w:color w:val="auto"/>
          <w:sz w:val="24"/>
          <w:highlight w:val="none"/>
          <w:lang w:eastAsia="zh-CN"/>
        </w:rPr>
      </w:pPr>
      <w:r>
        <w:rPr>
          <w:rFonts w:hint="eastAsia" w:asciiTheme="minorEastAsia" w:hAnsiTheme="minorEastAsia" w:eastAsiaTheme="minorEastAsia"/>
          <w:b/>
          <w:bCs/>
          <w:color w:val="auto"/>
          <w:sz w:val="24"/>
          <w:highlight w:val="none"/>
          <w:lang w:eastAsia="zh-CN"/>
        </w:rPr>
        <w:t>三、无效投标条款</w:t>
      </w:r>
    </w:p>
    <w:p w14:paraId="5B69C435">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3.1投标文件有下列情形之一的,其投标文件拒收:</w:t>
      </w:r>
    </w:p>
    <w:p w14:paraId="57931756">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(1) 未在开标截止时间前通过网上招标投标系统递交有效电子投标文件的，开标系统不予接收，投标将被拒绝。</w:t>
      </w:r>
    </w:p>
    <w:p w14:paraId="52BF1128">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(2)投标企业接到远程解密指令后，须在规定时间内解密。因投标人自身原因导致投标文件在规定时间内未能解密、解密失败或解密超时，投标文件无效；解密时间：从本项目解密程序开始时计时，至完成投标文件解密时间，不得超过60分钟，否则投标文件将被拒绝。</w:t>
      </w:r>
    </w:p>
    <w:p w14:paraId="6122E4F4">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3.2投标人有下列情形之一的,资格审查后其投标作无效投标处理：</w:t>
      </w:r>
    </w:p>
    <w:p w14:paraId="6A661F62">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(1)投标人为本项目提供招标代理服务的；</w:t>
      </w:r>
    </w:p>
    <w:p w14:paraId="5D9055C4">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(2)投标人与在本项目代理机构存在相互任职或工作的；</w:t>
      </w:r>
    </w:p>
    <w:p w14:paraId="7578E7FF">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(3)招标公告写明专门面向中小企业采购，投标人提供的货物非中小企业制造的；</w:t>
      </w:r>
    </w:p>
    <w:p w14:paraId="3B88B75A">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(4)要求供应商以联合体形式参加采购活动，投标人非联合体或者联合协议中中小企业合同金额未达到应当达到的比例；</w:t>
      </w:r>
    </w:p>
    <w:p w14:paraId="0B2CED5A">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(5)要求获得采购合同的供应商向中小企业分包，投标人未提供分包意向协议或者分包意向协议中中小企业合同金额未达到应当达到的比例；</w:t>
      </w:r>
    </w:p>
    <w:p w14:paraId="29A7E8F9">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(6)评标专家无法查看并检验电子投标文件中相关资料的；</w:t>
      </w:r>
    </w:p>
    <w:p w14:paraId="52D2BBB3">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(7)联合体投标未提交联合体协议的；</w:t>
      </w:r>
    </w:p>
    <w:p w14:paraId="1A530591">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(8)责令停产停业的；</w:t>
      </w:r>
    </w:p>
    <w:p w14:paraId="3C98802D">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(9)暂停或者取消参与政府采购项目资格的；</w:t>
      </w:r>
    </w:p>
    <w:p w14:paraId="7D2B8A9A">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(10)投标人单位负责人为同一人或者存在（直接）控股、管理关系的不同单位的；</w:t>
      </w:r>
    </w:p>
    <w:p w14:paraId="1CC2817E">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(11)投标人基本资格条件和特定资格条件中有一项及以上不符合要求的；</w:t>
      </w:r>
    </w:p>
    <w:p w14:paraId="16E28198">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(12)开标时查询投标文件制作机器码、文件创建标识码及造价软件加密锁号。若存在投标文件制作机器码或创建标识码或造价软件加密锁号信息与其他投标人雷同的，投标无效、进行信用信息披露，行政监管部门将依据线索依法查处；</w:t>
      </w:r>
    </w:p>
    <w:p w14:paraId="41E2DB1E">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(13)其它情形，经评标委员会委提出按无效投标处理，并经公共资源交易监督部门核准的；</w:t>
      </w:r>
    </w:p>
    <w:p w14:paraId="12750EE9">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(14)投标人投标MAC地址或投标人联系人或联系电话相同的，由评标委员会否决其投标，并报告监管部门作不良行为处理和进一步调查；</w:t>
      </w:r>
    </w:p>
    <w:p w14:paraId="7B5E3BE3">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(15)投标人单方面出现其他投标人材料的；</w:t>
      </w:r>
    </w:p>
    <w:p w14:paraId="4E5A875B">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(16)招标公告未写明允许采购进口产品，投标人所投产品为进口产品的；</w:t>
      </w:r>
    </w:p>
    <w:p w14:paraId="2C8F3CEB">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(17)招标文件规定的其它无效投标情形。</w:t>
      </w:r>
    </w:p>
    <w:p w14:paraId="1C557802">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3.3 投标人有下列情形之一的,符合性审查后其投标按无效投标处理：</w:t>
      </w:r>
    </w:p>
    <w:p w14:paraId="760D8435">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(1)投标文件签字、盖章不全，经评标委员会一致认定对开评标内容有实质性影响并经公共资源交易监督部门核准的；</w:t>
      </w:r>
    </w:p>
    <w:p w14:paraId="0A1FB0EE">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(2)未按规定的格式填写导致实质性内容不全以及实质上不响应，或者关键字迹模糊、无法辨认; 经公共资源交易监督部门核准的；</w:t>
      </w:r>
    </w:p>
    <w:p w14:paraId="525E7B6E">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(3)同一投标人提交两个以上不同的投标文件或者投标报价，但招标文件规定提交备选方案的除外；</w:t>
      </w:r>
    </w:p>
    <w:p w14:paraId="67B28DEC">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(4)投标文件没有对招标文件的实质性要求和条件作出响应;</w:t>
      </w:r>
    </w:p>
    <w:p w14:paraId="04C5D7F2">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(5)投标报价超出规定的投标限价或公布的采购预算的或投标人的投标报价各项单价高于招标文件给定的单价最高限价；</w:t>
      </w:r>
    </w:p>
    <w:p w14:paraId="1D8B6B91">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(6)不按评标委员会要求澄清、说明或补正的，或者评标委员会根据招标文件的规定对投标文件的计算错误进行修正后，投标人不接受修正的投标报价的。</w:t>
      </w:r>
    </w:p>
    <w:p w14:paraId="58F9B9E9">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(7)其它情形，经评标委员会委提出按无效投标处理，并经公共资源交易监督部门核准的；</w:t>
      </w:r>
    </w:p>
    <w:p w14:paraId="6A73E35C">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(8)投标文件含有采购人不能接受的附加条件的；</w:t>
      </w:r>
    </w:p>
    <w:p w14:paraId="3E4B47F7">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(9)招标文件规定的其它无效投标情形。</w:t>
      </w:r>
    </w:p>
    <w:p w14:paraId="5C7363D9">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3.4 投标人有下列情形之一的, 详细评审后其投标按无效投标处理：</w:t>
      </w:r>
    </w:p>
    <w:p w14:paraId="41244C68">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(1)投标产品不符合必须强制执行的国家标准的；</w:t>
      </w:r>
    </w:p>
    <w:p w14:paraId="06F64B72">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(2)投标人有串通投标、弄虚作假、行贿等违法行为；</w:t>
      </w:r>
    </w:p>
    <w:p w14:paraId="21BB5B5D">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(3)投标文件含有违反国家法律、法规的内容，或附有采购人不能接受的条件的；</w:t>
      </w:r>
    </w:p>
    <w:p w14:paraId="1F0840F3">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(4)报价明显低于其他投标人，且不能证明报价合理性的投标无效；</w:t>
      </w:r>
    </w:p>
    <w:p w14:paraId="2DDF45AA">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(5)拒不确认评标委员会评审修正的投标无效；</w:t>
      </w:r>
    </w:p>
    <w:p w14:paraId="2A4043B3">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(6)其它情形，经评标委员会委提出按无效投标处理，并经公共资源交易监督部门核准的；</w:t>
      </w:r>
    </w:p>
    <w:p w14:paraId="2112457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(7)招标文件规定的其它无效投标情形</w:t>
      </w:r>
      <w:r>
        <w:rPr>
          <w:rFonts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br w:type="page"/>
      </w:r>
    </w:p>
    <w:p w14:paraId="6D26C311">
      <w:pPr>
        <w:spacing w:line="360" w:lineRule="auto"/>
        <w:jc w:val="center"/>
        <w:outlineLvl w:val="0"/>
        <w:rPr>
          <w:rFonts w:hint="eastAsia" w:asciiTheme="minorEastAsia" w:hAnsiTheme="minorEastAsia" w:eastAsiaTheme="minorEastAsia"/>
          <w:b/>
          <w:color w:val="auto"/>
          <w:sz w:val="28"/>
          <w:highlight w:val="none"/>
          <w:lang w:eastAsia="zh-CN"/>
        </w:rPr>
      </w:pPr>
      <w:bookmarkStart w:id="36" w:name="_Toc20405"/>
      <w:r>
        <w:rPr>
          <w:rFonts w:hint="eastAsia" w:asciiTheme="minorEastAsia" w:hAnsiTheme="minorEastAsia" w:eastAsiaTheme="minorEastAsia"/>
          <w:b/>
          <w:color w:val="auto"/>
          <w:sz w:val="28"/>
          <w:highlight w:val="none"/>
        </w:rPr>
        <w:t xml:space="preserve">第五章  </w:t>
      </w:r>
      <w:r>
        <w:rPr>
          <w:rFonts w:asciiTheme="minorEastAsia" w:hAnsiTheme="minorEastAsia" w:eastAsiaTheme="minorEastAsia"/>
          <w:b/>
          <w:color w:val="auto"/>
          <w:sz w:val="28"/>
          <w:highlight w:val="none"/>
        </w:rPr>
        <w:t>政府采购合同</w:t>
      </w:r>
      <w:bookmarkEnd w:id="36"/>
    </w:p>
    <w:p w14:paraId="10533CDF">
      <w:pPr>
        <w:spacing w:line="480" w:lineRule="auto"/>
        <w:jc w:val="center"/>
        <w:outlineLvl w:val="9"/>
        <w:rPr>
          <w:rFonts w:cs="Times New Roman" w:asciiTheme="minorEastAsia" w:hAnsiTheme="minorEastAsia" w:eastAsiaTheme="minorEastAsia"/>
          <w:b/>
          <w:color w:val="auto"/>
          <w:sz w:val="28"/>
          <w:szCs w:val="28"/>
          <w:highlight w:val="none"/>
        </w:rPr>
      </w:pPr>
      <w:bookmarkStart w:id="37" w:name="_Toc331685784"/>
    </w:p>
    <w:p w14:paraId="586F98AF">
      <w:pPr>
        <w:spacing w:line="480" w:lineRule="auto"/>
        <w:jc w:val="center"/>
        <w:outlineLvl w:val="9"/>
        <w:rPr>
          <w:rFonts w:cs="Times New Roman" w:asciiTheme="minorEastAsia" w:hAnsiTheme="minorEastAsia" w:eastAsiaTheme="minorEastAsia"/>
          <w:b/>
          <w:color w:val="auto"/>
          <w:sz w:val="28"/>
          <w:szCs w:val="28"/>
          <w:highlight w:val="none"/>
        </w:rPr>
      </w:pPr>
    </w:p>
    <w:p w14:paraId="59DF362C">
      <w:pPr>
        <w:pStyle w:val="2"/>
        <w:rPr>
          <w:color w:val="auto"/>
          <w:highlight w:val="none"/>
        </w:rPr>
      </w:pPr>
    </w:p>
    <w:p w14:paraId="6FCC833F">
      <w:pPr>
        <w:spacing w:line="480" w:lineRule="auto"/>
        <w:jc w:val="center"/>
        <w:outlineLvl w:val="1"/>
        <w:rPr>
          <w:rFonts w:cs="Times New Roman" w:asciiTheme="minorEastAsia" w:hAnsiTheme="minorEastAsia" w:eastAsiaTheme="minorEastAsia"/>
          <w:b/>
          <w:color w:val="auto"/>
          <w:sz w:val="28"/>
          <w:szCs w:val="28"/>
          <w:highlight w:val="none"/>
        </w:rPr>
      </w:pPr>
      <w:r>
        <w:rPr>
          <w:rFonts w:hint="eastAsia" w:cs="Times New Roman" w:asciiTheme="minorEastAsia" w:hAnsiTheme="minorEastAsia" w:eastAsiaTheme="minorEastAsia"/>
          <w:b/>
          <w:color w:val="auto"/>
          <w:sz w:val="28"/>
          <w:szCs w:val="28"/>
          <w:highlight w:val="none"/>
        </w:rPr>
        <w:t>检测技术服务合同</w:t>
      </w:r>
    </w:p>
    <w:p w14:paraId="1587FCA3">
      <w:pPr>
        <w:spacing w:line="480" w:lineRule="auto"/>
        <w:jc w:val="center"/>
        <w:outlineLvl w:val="1"/>
        <w:rPr>
          <w:rFonts w:cs="Times New Roman" w:asciiTheme="minorEastAsia" w:hAnsiTheme="minorEastAsia" w:eastAsiaTheme="minorEastAsia"/>
          <w:b/>
          <w:color w:val="auto"/>
          <w:sz w:val="28"/>
          <w:szCs w:val="28"/>
          <w:highlight w:val="none"/>
        </w:rPr>
      </w:pPr>
    </w:p>
    <w:p w14:paraId="36BF2D7E">
      <w:pPr>
        <w:spacing w:line="480" w:lineRule="auto"/>
        <w:jc w:val="center"/>
        <w:rPr>
          <w:rFonts w:cs="Times New Roman" w:asciiTheme="minorEastAsia" w:hAnsiTheme="minorEastAsia" w:eastAsiaTheme="minorEastAsia"/>
          <w:b/>
          <w:color w:val="auto"/>
          <w:sz w:val="24"/>
          <w:szCs w:val="24"/>
          <w:highlight w:val="none"/>
        </w:rPr>
      </w:pPr>
    </w:p>
    <w:p w14:paraId="559328FA">
      <w:pPr>
        <w:spacing w:line="480" w:lineRule="auto"/>
        <w:jc w:val="center"/>
        <w:rPr>
          <w:rFonts w:cs="Times New Roman" w:asciiTheme="minorEastAsia" w:hAnsiTheme="minorEastAsia" w:eastAsiaTheme="minorEastAsia"/>
          <w:b/>
          <w:color w:val="auto"/>
          <w:sz w:val="24"/>
          <w:szCs w:val="24"/>
          <w:highlight w:val="none"/>
        </w:rPr>
      </w:pPr>
    </w:p>
    <w:p w14:paraId="39BFEFF8">
      <w:pPr>
        <w:spacing w:line="480" w:lineRule="auto"/>
        <w:jc w:val="center"/>
        <w:rPr>
          <w:rFonts w:cs="Times New Roman" w:asciiTheme="minorEastAsia" w:hAnsiTheme="minorEastAsia" w:eastAsiaTheme="minorEastAsia"/>
          <w:b/>
          <w:color w:val="auto"/>
          <w:sz w:val="24"/>
          <w:szCs w:val="24"/>
          <w:highlight w:val="none"/>
        </w:rPr>
      </w:pPr>
    </w:p>
    <w:p w14:paraId="37541E1E">
      <w:pPr>
        <w:spacing w:line="360" w:lineRule="auto"/>
        <w:jc w:val="center"/>
        <w:outlineLvl w:val="1"/>
        <w:rPr>
          <w:rFonts w:asciiTheme="minorEastAsia" w:hAnsiTheme="minorEastAsia" w:eastAsiaTheme="minorEastAsia"/>
          <w:b/>
          <w:color w:val="auto"/>
          <w:sz w:val="24"/>
          <w:highlight w:val="none"/>
        </w:rPr>
      </w:pPr>
    </w:p>
    <w:p w14:paraId="67DBAE57">
      <w:pPr>
        <w:spacing w:line="480" w:lineRule="auto"/>
        <w:jc w:val="center"/>
        <w:rPr>
          <w:rFonts w:cs="Times New Roman" w:asciiTheme="minorEastAsia" w:hAnsiTheme="minorEastAsia" w:eastAsiaTheme="minorEastAsia"/>
          <w:b/>
          <w:color w:val="auto"/>
          <w:sz w:val="24"/>
          <w:szCs w:val="24"/>
          <w:highlight w:val="none"/>
        </w:rPr>
      </w:pPr>
    </w:p>
    <w:p w14:paraId="32B70D8E">
      <w:pPr>
        <w:spacing w:line="480" w:lineRule="auto"/>
        <w:jc w:val="center"/>
        <w:rPr>
          <w:rFonts w:cs="Times New Roman" w:asciiTheme="minorEastAsia" w:hAnsiTheme="minorEastAsia" w:eastAsiaTheme="minorEastAsia"/>
          <w:b/>
          <w:color w:val="auto"/>
          <w:sz w:val="24"/>
          <w:szCs w:val="24"/>
          <w:highlight w:val="none"/>
        </w:rPr>
      </w:pPr>
    </w:p>
    <w:p w14:paraId="57AE6B48">
      <w:pPr>
        <w:pStyle w:val="2"/>
        <w:rPr>
          <w:color w:val="auto"/>
          <w:highlight w:val="none"/>
        </w:rPr>
      </w:pPr>
    </w:p>
    <w:p w14:paraId="2579C074">
      <w:pPr>
        <w:pStyle w:val="2"/>
        <w:rPr>
          <w:color w:val="auto"/>
          <w:highlight w:val="none"/>
        </w:rPr>
      </w:pPr>
    </w:p>
    <w:p w14:paraId="4FDF0D1C">
      <w:pPr>
        <w:keepNext w:val="0"/>
        <w:keepLines w:val="0"/>
        <w:pageBreakBefore w:val="0"/>
        <w:widowControl w:val="0"/>
        <w:kinsoku/>
        <w:wordWrap/>
        <w:overflowPunct/>
        <w:topLinePunct w:val="0"/>
        <w:autoSpaceDE/>
        <w:autoSpaceDN/>
        <w:bidi w:val="0"/>
        <w:adjustRightInd/>
        <w:snapToGrid/>
        <w:spacing w:before="120" w:line="480" w:lineRule="auto"/>
        <w:ind w:left="0" w:firstLine="480" w:firstLineChars="200"/>
        <w:textAlignment w:val="auto"/>
        <w:rPr>
          <w:rFonts w:cs="Times New Roman" w:asciiTheme="minorEastAsia" w:hAnsiTheme="minorEastAsia" w:eastAsiaTheme="minorEastAsia"/>
          <w:color w:val="auto"/>
          <w:sz w:val="24"/>
          <w:szCs w:val="24"/>
          <w:highlight w:val="none"/>
          <w:u w:val="single"/>
        </w:rPr>
      </w:pPr>
      <w:r>
        <w:rPr>
          <w:rFonts w:hint="eastAsia" w:cs="Times New Roman" w:asciiTheme="minorEastAsia" w:hAnsiTheme="minorEastAsia" w:eastAsiaTheme="minorEastAsia"/>
          <w:color w:val="auto"/>
          <w:sz w:val="24"/>
          <w:szCs w:val="24"/>
          <w:highlight w:val="none"/>
        </w:rPr>
        <w:t>项目名称：</w:t>
      </w:r>
      <w:r>
        <w:rPr>
          <w:rFonts w:hint="eastAsia" w:cs="Times New Roman" w:asciiTheme="minorEastAsia" w:hAnsiTheme="minorEastAsia" w:eastAsiaTheme="minorEastAsia"/>
          <w:color w:val="auto"/>
          <w:sz w:val="24"/>
          <w:szCs w:val="24"/>
          <w:highlight w:val="none"/>
          <w:u w:val="single"/>
          <w:lang w:val="en-US" w:eastAsia="zh-CN"/>
        </w:rPr>
        <w:t>2025年市政基础设施中修、安保和养护工程桥梁检测项目</w:t>
      </w:r>
    </w:p>
    <w:p w14:paraId="42C40D25">
      <w:pPr>
        <w:keepNext w:val="0"/>
        <w:keepLines w:val="0"/>
        <w:pageBreakBefore w:val="0"/>
        <w:widowControl w:val="0"/>
        <w:kinsoku/>
        <w:wordWrap/>
        <w:overflowPunct/>
        <w:topLinePunct w:val="0"/>
        <w:autoSpaceDE/>
        <w:autoSpaceDN/>
        <w:bidi w:val="0"/>
        <w:adjustRightInd/>
        <w:snapToGrid/>
        <w:spacing w:before="120" w:line="480" w:lineRule="auto"/>
        <w:ind w:left="0" w:firstLine="480" w:firstLineChars="200"/>
        <w:textAlignment w:val="auto"/>
        <w:rPr>
          <w:rFonts w:hint="default" w:cs="Times New Roman" w:asciiTheme="minorEastAsia" w:hAnsiTheme="minorEastAsia" w:eastAsiaTheme="minorEastAsia"/>
          <w:color w:val="auto"/>
          <w:sz w:val="24"/>
          <w:szCs w:val="24"/>
          <w:highlight w:val="none"/>
          <w:lang w:val="en-US" w:eastAsia="zh-CN"/>
        </w:rPr>
      </w:pPr>
      <w:r>
        <w:rPr>
          <w:rFonts w:hint="eastAsia" w:cs="Times New Roman" w:asciiTheme="minorEastAsia" w:hAnsiTheme="minorEastAsia" w:eastAsiaTheme="minorEastAsia"/>
          <w:color w:val="auto"/>
          <w:sz w:val="24"/>
          <w:szCs w:val="24"/>
          <w:highlight w:val="none"/>
        </w:rPr>
        <w:t>项目编号：</w:t>
      </w:r>
      <w:r>
        <w:rPr>
          <w:rFonts w:hint="eastAsia" w:cs="Times New Roman" w:asciiTheme="minorEastAsia" w:hAnsiTheme="minorEastAsia" w:eastAsiaTheme="minorEastAsia"/>
          <w:color w:val="auto"/>
          <w:sz w:val="24"/>
          <w:szCs w:val="24"/>
          <w:highlight w:val="none"/>
          <w:u w:val="single"/>
          <w:lang w:val="en-US" w:eastAsia="zh-CN"/>
        </w:rPr>
        <w:t xml:space="preserve">                                   </w:t>
      </w:r>
    </w:p>
    <w:p w14:paraId="53129498">
      <w:pPr>
        <w:keepNext w:val="0"/>
        <w:keepLines w:val="0"/>
        <w:pageBreakBefore w:val="0"/>
        <w:widowControl w:val="0"/>
        <w:kinsoku/>
        <w:wordWrap/>
        <w:overflowPunct/>
        <w:topLinePunct w:val="0"/>
        <w:autoSpaceDE/>
        <w:autoSpaceDN/>
        <w:bidi w:val="0"/>
        <w:adjustRightInd/>
        <w:snapToGrid/>
        <w:spacing w:before="120" w:line="480" w:lineRule="auto"/>
        <w:ind w:left="0" w:firstLine="480" w:firstLineChars="200"/>
        <w:textAlignment w:val="auto"/>
        <w:rPr>
          <w:rFonts w:hint="default" w:cs="Times New Roman" w:asciiTheme="minorEastAsia" w:hAnsiTheme="minorEastAsia" w:eastAsiaTheme="minorEastAsia"/>
          <w:color w:val="auto"/>
          <w:sz w:val="24"/>
          <w:szCs w:val="24"/>
          <w:highlight w:val="none"/>
          <w:u w:val="single"/>
          <w:lang w:val="en-US" w:eastAsia="zh-CN"/>
        </w:rPr>
      </w:pPr>
      <w:r>
        <w:rPr>
          <w:rFonts w:hint="eastAsia" w:cs="Times New Roman" w:asciiTheme="minorEastAsia" w:hAnsiTheme="minorEastAsia" w:eastAsiaTheme="minorEastAsia"/>
          <w:color w:val="auto"/>
          <w:sz w:val="24"/>
          <w:szCs w:val="24"/>
          <w:highlight w:val="none"/>
        </w:rPr>
        <w:t>委托单位：</w:t>
      </w:r>
      <w:r>
        <w:rPr>
          <w:rFonts w:hint="eastAsia" w:cs="Times New Roman" w:asciiTheme="minorEastAsia" w:hAnsiTheme="minorEastAsia" w:eastAsiaTheme="minorEastAsia"/>
          <w:color w:val="auto"/>
          <w:sz w:val="24"/>
          <w:szCs w:val="24"/>
          <w:highlight w:val="none"/>
          <w:u w:val="single"/>
        </w:rPr>
        <w:t>滁州市市政设施管理中心</w:t>
      </w:r>
      <w:r>
        <w:rPr>
          <w:rFonts w:hint="eastAsia" w:cs="Times New Roman" w:asciiTheme="minorEastAsia" w:hAnsiTheme="minorEastAsia" w:eastAsiaTheme="minorEastAsia"/>
          <w:color w:val="auto"/>
          <w:sz w:val="24"/>
          <w:szCs w:val="24"/>
          <w:highlight w:val="none"/>
          <w:u w:val="single"/>
          <w:lang w:val="en-US" w:eastAsia="zh-CN"/>
        </w:rPr>
        <w:t xml:space="preserve">             </w:t>
      </w:r>
    </w:p>
    <w:p w14:paraId="73BDB01B">
      <w:pPr>
        <w:keepNext w:val="0"/>
        <w:keepLines w:val="0"/>
        <w:pageBreakBefore w:val="0"/>
        <w:widowControl w:val="0"/>
        <w:kinsoku/>
        <w:wordWrap/>
        <w:overflowPunct/>
        <w:topLinePunct w:val="0"/>
        <w:autoSpaceDE/>
        <w:autoSpaceDN/>
        <w:bidi w:val="0"/>
        <w:adjustRightInd/>
        <w:snapToGrid/>
        <w:spacing w:before="120" w:line="480" w:lineRule="auto"/>
        <w:ind w:left="0" w:firstLine="480" w:firstLineChars="200"/>
        <w:textAlignment w:val="auto"/>
        <w:rPr>
          <w:rFonts w:cs="Times New Roman" w:asciiTheme="minorEastAsia" w:hAnsiTheme="minorEastAsia" w:eastAsiaTheme="minorEastAsia"/>
          <w:color w:val="auto"/>
          <w:sz w:val="24"/>
          <w:szCs w:val="24"/>
          <w:highlight w:val="none"/>
          <w:u w:val="single"/>
        </w:rPr>
      </w:pPr>
      <w:r>
        <w:rPr>
          <w:rFonts w:hint="eastAsia" w:cs="Times New Roman" w:asciiTheme="minorEastAsia" w:hAnsiTheme="minorEastAsia" w:eastAsiaTheme="minorEastAsia"/>
          <w:color w:val="auto"/>
          <w:sz w:val="24"/>
          <w:szCs w:val="24"/>
          <w:highlight w:val="none"/>
        </w:rPr>
        <w:t>检测单位：</w:t>
      </w:r>
      <w:r>
        <w:rPr>
          <w:rFonts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u w:val="single"/>
        </w:rPr>
        <w:t xml:space="preserve"> </w:t>
      </w:r>
      <w:r>
        <w:rPr>
          <w:rFonts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u w:val="single"/>
          <w:lang w:val="en-US" w:eastAsia="zh-CN"/>
        </w:rPr>
        <w:t xml:space="preserve">    </w:t>
      </w:r>
      <w:r>
        <w:rPr>
          <w:rFonts w:hint="eastAsia"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u w:val="single"/>
          <w:lang w:val="en-US" w:eastAsia="zh-CN"/>
        </w:rPr>
        <w:t xml:space="preserve"> </w:t>
      </w:r>
      <w:r>
        <w:rPr>
          <w:rFonts w:hint="eastAsia" w:cs="Times New Roman" w:asciiTheme="minorEastAsia" w:hAnsiTheme="minorEastAsia" w:eastAsiaTheme="minorEastAsia"/>
          <w:color w:val="auto"/>
          <w:sz w:val="24"/>
          <w:szCs w:val="24"/>
          <w:highlight w:val="none"/>
          <w:u w:val="single"/>
        </w:rPr>
        <w:t xml:space="preserve">      </w:t>
      </w:r>
    </w:p>
    <w:p w14:paraId="2B692EA4">
      <w:pPr>
        <w:keepNext w:val="0"/>
        <w:keepLines w:val="0"/>
        <w:pageBreakBefore w:val="0"/>
        <w:widowControl w:val="0"/>
        <w:kinsoku/>
        <w:wordWrap/>
        <w:overflowPunct/>
        <w:topLinePunct w:val="0"/>
        <w:autoSpaceDE/>
        <w:autoSpaceDN/>
        <w:bidi w:val="0"/>
        <w:adjustRightInd/>
        <w:snapToGrid/>
        <w:spacing w:before="120" w:line="480" w:lineRule="auto"/>
        <w:ind w:left="0" w:firstLine="480" w:firstLineChars="200"/>
        <w:textAlignment w:val="auto"/>
        <w:rPr>
          <w:rFonts w:cs="Times New Roman" w:asciiTheme="minorEastAsia" w:hAnsiTheme="minorEastAsia" w:eastAsiaTheme="minorEastAsia"/>
          <w:color w:val="auto"/>
          <w:sz w:val="24"/>
          <w:szCs w:val="24"/>
          <w:highlight w:val="none"/>
          <w:u w:val="single"/>
        </w:rPr>
      </w:pPr>
      <w:r>
        <w:rPr>
          <w:rFonts w:hint="eastAsia" w:cs="Times New Roman" w:asciiTheme="minorEastAsia" w:hAnsiTheme="minorEastAsia" w:eastAsiaTheme="minorEastAsia"/>
          <w:color w:val="auto"/>
          <w:sz w:val="24"/>
          <w:szCs w:val="24"/>
          <w:highlight w:val="none"/>
        </w:rPr>
        <w:t>签订地：</w:t>
      </w:r>
      <w:r>
        <w:rPr>
          <w:rFonts w:hint="eastAsia" w:cs="Times New Roman" w:asciiTheme="minorEastAsia" w:hAnsiTheme="minorEastAsia" w:eastAsiaTheme="minorEastAsia"/>
          <w:color w:val="auto"/>
          <w:sz w:val="24"/>
          <w:szCs w:val="24"/>
          <w:highlight w:val="none"/>
          <w:u w:val="single"/>
        </w:rPr>
        <w:t xml:space="preserve">                                     </w:t>
      </w:r>
    </w:p>
    <w:p w14:paraId="6F7DF789">
      <w:pPr>
        <w:keepNext w:val="0"/>
        <w:keepLines w:val="0"/>
        <w:pageBreakBefore w:val="0"/>
        <w:widowControl w:val="0"/>
        <w:kinsoku/>
        <w:wordWrap/>
        <w:overflowPunct/>
        <w:topLinePunct w:val="0"/>
        <w:autoSpaceDE/>
        <w:autoSpaceDN/>
        <w:bidi w:val="0"/>
        <w:adjustRightInd/>
        <w:snapToGrid/>
        <w:spacing w:before="120" w:line="480" w:lineRule="auto"/>
        <w:ind w:left="0" w:firstLine="480" w:firstLineChars="200"/>
        <w:textAlignment w:val="auto"/>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签订日期：</w:t>
      </w:r>
      <w:r>
        <w:rPr>
          <w:rFonts w:hint="eastAsia"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rPr>
        <w:t>年</w:t>
      </w:r>
      <w:r>
        <w:rPr>
          <w:rFonts w:hint="eastAsia"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rPr>
        <w:t>月</w:t>
      </w:r>
      <w:r>
        <w:rPr>
          <w:rFonts w:hint="eastAsia"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rPr>
        <w:t>日</w:t>
      </w:r>
    </w:p>
    <w:p w14:paraId="300226A0">
      <w:pPr>
        <w:widowControl/>
        <w:jc w:val="left"/>
        <w:rPr>
          <w:rFonts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br w:type="page"/>
      </w:r>
    </w:p>
    <w:p w14:paraId="122ADBF8">
      <w:pPr>
        <w:spacing w:line="360" w:lineRule="auto"/>
        <w:ind w:firstLine="435"/>
        <w:jc w:val="center"/>
        <w:rPr>
          <w:rFonts w:hint="eastAsia" w:asciiTheme="minorEastAsia" w:hAnsiTheme="minorEastAsia" w:eastAsiaTheme="minorEastAsia"/>
          <w:b/>
          <w:bCs/>
          <w:color w:val="auto"/>
          <w:sz w:val="30"/>
          <w:szCs w:val="30"/>
          <w:highlight w:val="none"/>
          <w:u w:val="none"/>
          <w:lang w:val="en-US" w:eastAsia="zh-CN"/>
        </w:rPr>
      </w:pPr>
      <w:r>
        <w:rPr>
          <w:rFonts w:hint="eastAsia" w:asciiTheme="minorEastAsia" w:hAnsiTheme="minorEastAsia" w:eastAsiaTheme="minorEastAsia"/>
          <w:b/>
          <w:bCs/>
          <w:color w:val="auto"/>
          <w:sz w:val="30"/>
          <w:szCs w:val="30"/>
          <w:highlight w:val="none"/>
          <w:u w:val="none"/>
          <w:lang w:val="en-US" w:eastAsia="zh-CN"/>
        </w:rPr>
        <w:t>一  合同协议书（格式）</w:t>
      </w:r>
    </w:p>
    <w:p w14:paraId="4AD20DF4">
      <w:pPr>
        <w:keepNext w:val="0"/>
        <w:keepLines w:val="0"/>
        <w:pageBreakBefore w:val="0"/>
        <w:kinsoku/>
        <w:wordWrap/>
        <w:overflowPunct/>
        <w:topLinePunct w:val="0"/>
        <w:autoSpaceDN/>
        <w:bidi w:val="0"/>
        <w:adjustRightInd/>
        <w:snapToGrid/>
        <w:spacing w:line="360" w:lineRule="auto"/>
        <w:ind w:firstLine="482"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b/>
          <w:bCs/>
          <w:color w:val="auto"/>
          <w:kern w:val="0"/>
          <w:sz w:val="24"/>
          <w:szCs w:val="24"/>
          <w:highlight w:val="none"/>
          <w:lang w:val="en-US" w:eastAsia="zh-CN" w:bidi="ar"/>
        </w:rPr>
        <w:t xml:space="preserve">委托单位（甲方）： </w:t>
      </w:r>
    </w:p>
    <w:p w14:paraId="545A59BA">
      <w:pPr>
        <w:keepNext w:val="0"/>
        <w:keepLines w:val="0"/>
        <w:pageBreakBefore w:val="0"/>
        <w:kinsoku/>
        <w:wordWrap/>
        <w:overflowPunct/>
        <w:topLinePunct w:val="0"/>
        <w:autoSpaceDN/>
        <w:bidi w:val="0"/>
        <w:adjustRightInd/>
        <w:snapToGrid/>
        <w:spacing w:line="360" w:lineRule="auto"/>
        <w:ind w:firstLine="482"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b/>
          <w:bCs/>
          <w:color w:val="auto"/>
          <w:kern w:val="0"/>
          <w:sz w:val="24"/>
          <w:szCs w:val="24"/>
          <w:highlight w:val="none"/>
          <w:lang w:val="en-US" w:eastAsia="zh-CN" w:bidi="ar"/>
        </w:rPr>
        <w:t xml:space="preserve">检测单位（乙方）： </w:t>
      </w:r>
    </w:p>
    <w:p w14:paraId="31C6F3CA">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根据《中华人民共和国民法典》、《中华人民共和国建筑法》及有关法律规定，遵循平等、自愿、公平和诚实信用的原则，双方就</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项目及有关事项协商一致，共同达成如下协议： </w:t>
      </w:r>
    </w:p>
    <w:p w14:paraId="6BA1E3D6">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b/>
          <w:bCs/>
          <w:color w:val="auto"/>
          <w:kern w:val="0"/>
          <w:sz w:val="24"/>
          <w:szCs w:val="24"/>
          <w:highlight w:val="none"/>
          <w:lang w:val="en-US" w:eastAsia="zh-CN" w:bidi="ar"/>
        </w:rPr>
        <w:t xml:space="preserve">一、项目概况 </w:t>
      </w:r>
    </w:p>
    <w:p w14:paraId="682D629B">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1.项目名称：</w:t>
      </w:r>
      <w:r>
        <w:rPr>
          <w:rFonts w:hint="eastAsia" w:ascii="宋体" w:hAnsi="宋体" w:eastAsia="宋体" w:cs="宋体"/>
          <w:color w:val="auto"/>
          <w:kern w:val="0"/>
          <w:sz w:val="24"/>
          <w:szCs w:val="24"/>
          <w:highlight w:val="none"/>
          <w:u w:val="single"/>
          <w:lang w:val="en-US" w:eastAsia="zh-CN" w:bidi="ar"/>
        </w:rPr>
        <w:t xml:space="preserve">                                     </w:t>
      </w:r>
    </w:p>
    <w:p w14:paraId="45DF9D58">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2.项目地点：</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 </w:t>
      </w:r>
    </w:p>
    <w:p w14:paraId="6F6F524C">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3.资金来源：</w:t>
      </w:r>
      <w:r>
        <w:rPr>
          <w:rFonts w:hint="eastAsia" w:ascii="宋体" w:hAnsi="宋体" w:eastAsia="宋体" w:cs="宋体"/>
          <w:color w:val="auto"/>
          <w:kern w:val="0"/>
          <w:sz w:val="24"/>
          <w:szCs w:val="24"/>
          <w:highlight w:val="none"/>
          <w:u w:val="single"/>
          <w:lang w:val="en-US" w:eastAsia="zh-CN" w:bidi="ar"/>
        </w:rPr>
        <w:t xml:space="preserve"> 财政资金    </w:t>
      </w:r>
      <w:r>
        <w:rPr>
          <w:rFonts w:hint="eastAsia" w:ascii="宋体" w:hAnsi="宋体" w:eastAsia="宋体" w:cs="宋体"/>
          <w:color w:val="auto"/>
          <w:kern w:val="0"/>
          <w:sz w:val="24"/>
          <w:szCs w:val="24"/>
          <w:highlight w:val="none"/>
          <w:lang w:val="en-US" w:eastAsia="zh-CN" w:bidi="ar"/>
        </w:rPr>
        <w:t xml:space="preserve">  </w:t>
      </w:r>
    </w:p>
    <w:p w14:paraId="0C5610E4">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4.项目内容：</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 </w:t>
      </w:r>
    </w:p>
    <w:p w14:paraId="0BCB7F8E">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5.项目承包范围：</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 </w:t>
      </w:r>
    </w:p>
    <w:p w14:paraId="5D956244">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b/>
          <w:bCs/>
          <w:color w:val="auto"/>
          <w:kern w:val="0"/>
          <w:sz w:val="24"/>
          <w:szCs w:val="24"/>
          <w:highlight w:val="none"/>
          <w:lang w:val="en-US" w:eastAsia="zh-CN" w:bidi="ar"/>
        </w:rPr>
        <w:t>二、合同服务期</w:t>
      </w:r>
      <w:r>
        <w:rPr>
          <w:rFonts w:hint="eastAsia" w:ascii="宋体" w:hAnsi="宋体" w:eastAsia="宋体" w:cs="宋体"/>
          <w:color w:val="auto"/>
          <w:kern w:val="0"/>
          <w:sz w:val="24"/>
          <w:szCs w:val="24"/>
          <w:highlight w:val="none"/>
          <w:lang w:val="en-US" w:eastAsia="zh-CN" w:bidi="ar"/>
        </w:rPr>
        <w:t xml:space="preserve"> </w:t>
      </w:r>
    </w:p>
    <w:p w14:paraId="2882C4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合同服务期：</w:t>
      </w:r>
      <w:r>
        <w:rPr>
          <w:rFonts w:hint="eastAsia" w:ascii="宋体" w:hAnsi="宋体" w:eastAsia="宋体" w:cs="宋体"/>
          <w:color w:val="auto"/>
          <w:kern w:val="2"/>
          <w:sz w:val="24"/>
          <w:szCs w:val="24"/>
          <w:highlight w:val="none"/>
          <w:lang w:val="en-US" w:eastAsia="zh-CN" w:bidi="ar"/>
        </w:rPr>
        <w:t>计划开始日期2025年   月   日，完成日期  年  月  日（包含检测报告完成并通过专家评审）。</w:t>
      </w:r>
      <w:r>
        <w:rPr>
          <w:rFonts w:hint="eastAsia" w:ascii="宋体" w:hAnsi="宋体" w:eastAsia="宋体" w:cs="宋体"/>
          <w:color w:val="auto"/>
          <w:kern w:val="0"/>
          <w:sz w:val="24"/>
          <w:szCs w:val="24"/>
          <w:highlight w:val="none"/>
          <w:lang w:val="en-US" w:eastAsia="zh-CN" w:bidi="ar"/>
        </w:rPr>
        <w:t xml:space="preserve">每推迟一天，按1000元/天处以违约金。 </w:t>
      </w:r>
    </w:p>
    <w:p w14:paraId="1791A357">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b/>
          <w:bCs/>
          <w:color w:val="auto"/>
          <w:kern w:val="0"/>
          <w:sz w:val="24"/>
          <w:szCs w:val="24"/>
          <w:highlight w:val="none"/>
          <w:lang w:val="en-US" w:eastAsia="zh-CN" w:bidi="ar"/>
        </w:rPr>
        <w:t xml:space="preserve">三、质量标准 </w:t>
      </w:r>
    </w:p>
    <w:p w14:paraId="76DB58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必须达到国家验收</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b/>
          <w:bCs/>
          <w:color w:val="auto"/>
          <w:kern w:val="0"/>
          <w:sz w:val="24"/>
          <w:szCs w:val="24"/>
          <w:highlight w:val="none"/>
          <w:u w:val="single"/>
          <w:lang w:val="en-US" w:eastAsia="zh-CN" w:bidi="ar"/>
        </w:rPr>
        <w:t xml:space="preserve">合格 </w:t>
      </w:r>
      <w:r>
        <w:rPr>
          <w:rFonts w:hint="eastAsia" w:ascii="宋体" w:hAnsi="宋体" w:eastAsia="宋体" w:cs="宋体"/>
          <w:color w:val="auto"/>
          <w:kern w:val="0"/>
          <w:sz w:val="24"/>
          <w:szCs w:val="24"/>
          <w:highlight w:val="none"/>
          <w:lang w:val="en-US" w:eastAsia="zh-CN" w:bidi="ar"/>
        </w:rPr>
        <w:t xml:space="preserve">标准。 </w:t>
      </w:r>
    </w:p>
    <w:p w14:paraId="34BE45EB">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0"/>
          <w:sz w:val="24"/>
          <w:szCs w:val="24"/>
          <w:highlight w:val="none"/>
          <w:lang w:val="en-US" w:eastAsia="zh-CN" w:bidi="ar"/>
        </w:rPr>
        <w:t>四、签约合同价与合同价格形式</w:t>
      </w:r>
    </w:p>
    <w:p w14:paraId="554DF4AC">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1.签约合同价为： </w:t>
      </w:r>
    </w:p>
    <w:p w14:paraId="6EDCAEC8">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检测费用：人民币（大写）</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 (¥ </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元）。 </w:t>
      </w:r>
    </w:p>
    <w:p w14:paraId="0BD7E35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2.合同价格形式：</w:t>
      </w:r>
      <w:r>
        <w:rPr>
          <w:rFonts w:hint="eastAsia" w:ascii="宋体" w:hAnsi="宋体" w:eastAsia="宋体" w:cs="宋体"/>
          <w:color w:val="auto"/>
          <w:kern w:val="0"/>
          <w:sz w:val="24"/>
          <w:szCs w:val="24"/>
          <w:highlight w:val="none"/>
          <w:u w:val="single"/>
          <w:lang w:val="en-US" w:eastAsia="zh-CN" w:bidi="ar"/>
        </w:rPr>
        <w:t xml:space="preserve"> 总价合同 </w:t>
      </w:r>
      <w:r>
        <w:rPr>
          <w:rFonts w:hint="eastAsia" w:ascii="宋体" w:hAnsi="宋体" w:eastAsia="宋体" w:cs="宋体"/>
          <w:color w:val="auto"/>
          <w:kern w:val="0"/>
          <w:sz w:val="24"/>
          <w:szCs w:val="24"/>
          <w:highlight w:val="none"/>
          <w:lang w:val="en-US" w:eastAsia="zh-CN" w:bidi="ar"/>
        </w:rPr>
        <w:t xml:space="preserve">。 </w:t>
      </w:r>
    </w:p>
    <w:p w14:paraId="5D0C09E5">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b/>
          <w:bCs/>
          <w:color w:val="auto"/>
          <w:kern w:val="0"/>
          <w:sz w:val="24"/>
          <w:szCs w:val="24"/>
          <w:highlight w:val="none"/>
          <w:lang w:val="en-US" w:eastAsia="zh-CN" w:bidi="ar"/>
        </w:rPr>
        <w:t>五、项目负责人</w:t>
      </w:r>
      <w:r>
        <w:rPr>
          <w:rFonts w:hint="eastAsia" w:ascii="宋体" w:hAnsi="宋体" w:eastAsia="宋体" w:cs="宋体"/>
          <w:color w:val="auto"/>
          <w:kern w:val="0"/>
          <w:sz w:val="24"/>
          <w:szCs w:val="24"/>
          <w:highlight w:val="none"/>
          <w:lang w:val="en-US" w:eastAsia="zh-CN" w:bidi="ar"/>
        </w:rPr>
        <w:t xml:space="preserve"> </w:t>
      </w:r>
    </w:p>
    <w:p w14:paraId="7FF619AA">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检测项目负责人：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 </w:t>
      </w:r>
    </w:p>
    <w:p w14:paraId="782B633D">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六、付款方式</w:t>
      </w:r>
    </w:p>
    <w:p w14:paraId="5B83C1C7">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0"/>
          <w:sz w:val="24"/>
          <w:szCs w:val="24"/>
          <w:highlight w:val="none"/>
          <w:lang w:val="en-US" w:eastAsia="zh-CN" w:bidi="ar"/>
        </w:rPr>
        <w:t xml:space="preserve">合同签订且具备实施条件后，支付合同价的40%预付款（预付款支付前，中标人须提供同等金额的见索即付保函），中标人在现场检测完成，提供本项目最终技术服务成果书面检测报告，并且所提供的检测报告经专家评审通过后支付至合同价的80%，服务期满后一次性付清余款。（注：发包人在政府资金调度会批准且发票送达后完成支付） </w:t>
      </w:r>
    </w:p>
    <w:p w14:paraId="78D17744">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b/>
          <w:bCs/>
          <w:color w:val="auto"/>
          <w:kern w:val="0"/>
          <w:sz w:val="24"/>
          <w:szCs w:val="24"/>
          <w:highlight w:val="none"/>
          <w:lang w:val="en-US" w:eastAsia="zh-CN" w:bidi="ar"/>
        </w:rPr>
        <w:t xml:space="preserve">七、合同文件构成 </w:t>
      </w:r>
    </w:p>
    <w:p w14:paraId="5058B4B8">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本协议书与下列文件一起构成合同文件： </w:t>
      </w:r>
    </w:p>
    <w:p w14:paraId="66B9CE50">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（1）中标通知书； </w:t>
      </w:r>
    </w:p>
    <w:p w14:paraId="07324FFC">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（2）投标函及其附录（如果有）； </w:t>
      </w:r>
    </w:p>
    <w:p w14:paraId="6F2A6B7D">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（3）技术标准和要求； </w:t>
      </w:r>
    </w:p>
    <w:p w14:paraId="1986AFF3">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（4）其他合同文件。 </w:t>
      </w:r>
    </w:p>
    <w:p w14:paraId="15C0E762">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b/>
          <w:bCs/>
          <w:color w:val="auto"/>
          <w:kern w:val="0"/>
          <w:sz w:val="24"/>
          <w:szCs w:val="24"/>
          <w:highlight w:val="none"/>
          <w:lang w:val="en-US" w:eastAsia="zh-CN" w:bidi="ar"/>
        </w:rPr>
        <w:t xml:space="preserve">八、签订时间 </w:t>
      </w:r>
    </w:p>
    <w:p w14:paraId="70647BB8">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本合同于     年     月      日签订。 </w:t>
      </w:r>
    </w:p>
    <w:p w14:paraId="7EA25173">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b/>
          <w:bCs/>
          <w:color w:val="auto"/>
          <w:kern w:val="0"/>
          <w:sz w:val="24"/>
          <w:szCs w:val="24"/>
          <w:highlight w:val="none"/>
          <w:lang w:val="en-US" w:eastAsia="zh-CN" w:bidi="ar"/>
        </w:rPr>
        <w:t xml:space="preserve">九、签订地点 </w:t>
      </w:r>
    </w:p>
    <w:p w14:paraId="79490F20">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本合同在</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 签订。 </w:t>
      </w:r>
    </w:p>
    <w:p w14:paraId="03F0756F">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b/>
          <w:bCs/>
          <w:color w:val="auto"/>
          <w:kern w:val="0"/>
          <w:sz w:val="24"/>
          <w:szCs w:val="24"/>
          <w:highlight w:val="none"/>
          <w:lang w:val="en-US" w:eastAsia="zh-CN" w:bidi="ar"/>
        </w:rPr>
        <w:t xml:space="preserve">十、补充协议 </w:t>
      </w:r>
    </w:p>
    <w:p w14:paraId="09C1439A">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合同未尽事宜，合同当事人另行签订补充协议，补充协议是合同的组成部分。</w:t>
      </w:r>
      <w:r>
        <w:rPr>
          <w:rFonts w:hint="eastAsia" w:ascii="宋体" w:hAnsi="宋体" w:eastAsia="宋体" w:cs="宋体"/>
          <w:b/>
          <w:bCs/>
          <w:color w:val="auto"/>
          <w:kern w:val="0"/>
          <w:sz w:val="24"/>
          <w:szCs w:val="24"/>
          <w:highlight w:val="none"/>
          <w:lang w:val="en-US" w:eastAsia="zh-CN" w:bidi="ar"/>
        </w:rPr>
        <w:t xml:space="preserve"> </w:t>
      </w:r>
    </w:p>
    <w:p w14:paraId="1C7ADECC">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b/>
          <w:bCs/>
          <w:color w:val="auto"/>
          <w:kern w:val="0"/>
          <w:sz w:val="24"/>
          <w:szCs w:val="24"/>
          <w:highlight w:val="none"/>
          <w:lang w:val="en-US" w:eastAsia="zh-CN" w:bidi="ar"/>
        </w:rPr>
        <w:t>十一、合同生效</w:t>
      </w:r>
      <w:r>
        <w:rPr>
          <w:rFonts w:hint="eastAsia" w:ascii="宋体" w:hAnsi="宋体" w:eastAsia="宋体" w:cs="宋体"/>
          <w:color w:val="auto"/>
          <w:kern w:val="0"/>
          <w:sz w:val="24"/>
          <w:szCs w:val="24"/>
          <w:highlight w:val="none"/>
          <w:lang w:val="en-US" w:eastAsia="zh-CN" w:bidi="ar"/>
        </w:rPr>
        <w:t xml:space="preserve"> </w:t>
      </w:r>
    </w:p>
    <w:p w14:paraId="2141A365">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本合同自 双方签字盖章后 生效。 </w:t>
      </w:r>
    </w:p>
    <w:p w14:paraId="7251FDF9">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b/>
          <w:bCs/>
          <w:color w:val="auto"/>
          <w:kern w:val="0"/>
          <w:sz w:val="24"/>
          <w:szCs w:val="24"/>
          <w:highlight w:val="none"/>
          <w:lang w:val="en-US" w:eastAsia="zh-CN" w:bidi="ar"/>
        </w:rPr>
        <w:t>十二、合同份数</w:t>
      </w:r>
      <w:r>
        <w:rPr>
          <w:rFonts w:hint="eastAsia" w:ascii="宋体" w:hAnsi="宋体" w:eastAsia="宋体" w:cs="宋体"/>
          <w:color w:val="auto"/>
          <w:kern w:val="0"/>
          <w:sz w:val="24"/>
          <w:szCs w:val="24"/>
          <w:highlight w:val="none"/>
          <w:lang w:val="en-US" w:eastAsia="zh-CN" w:bidi="ar"/>
        </w:rPr>
        <w:t xml:space="preserve"> </w:t>
      </w:r>
    </w:p>
    <w:p w14:paraId="027E2736">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本合同一式 陆份，双方各执二份，采购代理机构一份，公管局一份。 </w:t>
      </w:r>
    </w:p>
    <w:p w14:paraId="3F218BEE">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kern w:val="0"/>
          <w:sz w:val="24"/>
          <w:szCs w:val="24"/>
          <w:highlight w:val="none"/>
          <w:lang w:val="en-US" w:eastAsia="zh-CN" w:bidi="ar"/>
        </w:rPr>
      </w:pPr>
    </w:p>
    <w:p w14:paraId="17103DA4">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甲方： (公章)                         乙方： (公章) </w:t>
      </w:r>
    </w:p>
    <w:p w14:paraId="416B7798">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法定代表人或其委托代理人：            法定代表人或其委托代理人： </w:t>
      </w:r>
    </w:p>
    <w:p w14:paraId="0A0022D3">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（签字）                              （签字） </w:t>
      </w:r>
    </w:p>
    <w:p w14:paraId="733ED89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组织机构代码：                        组织机构代码： </w:t>
      </w:r>
    </w:p>
    <w:p w14:paraId="1D45159E">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地 址：                               地 址： </w:t>
      </w:r>
    </w:p>
    <w:p w14:paraId="6224AA8D">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邮政编码：                            邮政编码： </w:t>
      </w:r>
    </w:p>
    <w:p w14:paraId="34FBA3F3">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电 话：                               电 话： </w:t>
      </w:r>
    </w:p>
    <w:p w14:paraId="380940CD">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传 真：                               传 真： </w:t>
      </w:r>
    </w:p>
    <w:p w14:paraId="38B966E2">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电子信箱：                            电子信箱： </w:t>
      </w:r>
    </w:p>
    <w:p w14:paraId="21EBF244">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开户银行：                            开户银行： </w:t>
      </w:r>
    </w:p>
    <w:p w14:paraId="5C32A4C8">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账 号：                               账 号：</w:t>
      </w:r>
    </w:p>
    <w:p w14:paraId="41F89CE1">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480" w:firstLineChars="200"/>
        <w:jc w:val="left"/>
        <w:textAlignment w:val="auto"/>
        <w:rPr>
          <w:rFonts w:ascii="宋体" w:hAnsi="宋体" w:eastAsia="宋体"/>
          <w:color w:val="auto"/>
          <w:sz w:val="24"/>
          <w:szCs w:val="24"/>
          <w:highlight w:val="none"/>
        </w:rPr>
      </w:pPr>
      <w:bookmarkStart w:id="38" w:name="_Toc331685783"/>
      <w:r>
        <w:rPr>
          <w:rFonts w:hint="eastAsia" w:ascii="宋体" w:hAnsi="宋体" w:eastAsia="宋体" w:cs="宋体"/>
          <w:bCs/>
          <w:color w:val="auto"/>
          <w:sz w:val="24"/>
          <w:szCs w:val="24"/>
          <w:highlight w:val="none"/>
        </w:rPr>
        <w:t>时间：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日        </w:t>
      </w:r>
      <w:r>
        <w:rPr>
          <w:rFonts w:hint="eastAsia" w:ascii="宋体" w:hAnsi="宋体" w:eastAsia="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时间：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日</w:t>
      </w: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 </w:t>
      </w:r>
      <w:bookmarkStart w:id="39" w:name="_Hlk110099149"/>
    </w:p>
    <w:bookmarkEnd w:id="39"/>
    <w:p w14:paraId="65331930">
      <w:pPr>
        <w:keepNext w:val="0"/>
        <w:keepLines w:val="0"/>
        <w:pageBreakBefore w:val="0"/>
        <w:widowControl/>
        <w:kinsoku/>
        <w:wordWrap/>
        <w:overflowPunct/>
        <w:topLinePunct w:val="0"/>
        <w:autoSpaceDE/>
        <w:autoSpaceDN/>
        <w:bidi w:val="0"/>
        <w:adjustRightInd/>
        <w:snapToGrid/>
        <w:spacing w:line="360" w:lineRule="auto"/>
        <w:jc w:val="left"/>
        <w:textAlignment w:val="auto"/>
        <w:rPr>
          <w:rFonts w:cs="Times New Roman" w:asciiTheme="minorEastAsia" w:hAnsiTheme="minorEastAsia" w:eastAsiaTheme="minorEastAsia"/>
          <w:b/>
          <w:color w:val="auto"/>
          <w:sz w:val="24"/>
          <w:szCs w:val="24"/>
          <w:highlight w:val="none"/>
        </w:rPr>
      </w:pPr>
      <w:r>
        <w:rPr>
          <w:rFonts w:cs="Times New Roman" w:asciiTheme="minorEastAsia" w:hAnsiTheme="minorEastAsia" w:eastAsiaTheme="minorEastAsia"/>
          <w:b/>
          <w:color w:val="auto"/>
          <w:sz w:val="24"/>
          <w:szCs w:val="24"/>
          <w:highlight w:val="none"/>
        </w:rPr>
        <w:br w:type="page"/>
      </w:r>
    </w:p>
    <w:p w14:paraId="188E5A1D">
      <w:pPr>
        <w:spacing w:line="360" w:lineRule="auto"/>
        <w:jc w:val="center"/>
        <w:outlineLvl w:val="1"/>
        <w:rPr>
          <w:rFonts w:asciiTheme="minorEastAsia" w:hAnsiTheme="minorEastAsia" w:eastAsiaTheme="minorEastAsia"/>
          <w:b/>
          <w:color w:val="auto"/>
          <w:sz w:val="30"/>
          <w:szCs w:val="30"/>
          <w:highlight w:val="none"/>
        </w:rPr>
      </w:pPr>
      <w:bookmarkStart w:id="40" w:name="_Toc415"/>
      <w:r>
        <w:rPr>
          <w:rFonts w:hint="eastAsia" w:asciiTheme="minorEastAsia" w:hAnsiTheme="minorEastAsia" w:eastAsiaTheme="minorEastAsia"/>
          <w:b/>
          <w:color w:val="auto"/>
          <w:sz w:val="30"/>
          <w:szCs w:val="30"/>
          <w:highlight w:val="none"/>
        </w:rPr>
        <w:t>二</w:t>
      </w:r>
      <w:r>
        <w:rPr>
          <w:rFonts w:hint="eastAsia" w:asciiTheme="minorEastAsia" w:hAnsiTheme="minorEastAsia" w:eastAsiaTheme="minorEastAsia"/>
          <w:b/>
          <w:color w:val="auto"/>
          <w:sz w:val="30"/>
          <w:szCs w:val="30"/>
          <w:highlight w:val="none"/>
          <w:lang w:val="en-US" w:eastAsia="zh-CN"/>
        </w:rPr>
        <w:t xml:space="preserve"> </w:t>
      </w:r>
      <w:r>
        <w:rPr>
          <w:rFonts w:asciiTheme="minorEastAsia" w:hAnsiTheme="minorEastAsia" w:eastAsiaTheme="minorEastAsia"/>
          <w:b/>
          <w:color w:val="auto"/>
          <w:sz w:val="30"/>
          <w:szCs w:val="30"/>
          <w:highlight w:val="none"/>
        </w:rPr>
        <w:t xml:space="preserve"> </w:t>
      </w:r>
      <w:r>
        <w:rPr>
          <w:rFonts w:hint="eastAsia" w:asciiTheme="minorEastAsia" w:hAnsiTheme="minorEastAsia" w:eastAsiaTheme="minorEastAsia"/>
          <w:b/>
          <w:color w:val="auto"/>
          <w:sz w:val="30"/>
          <w:szCs w:val="30"/>
          <w:highlight w:val="none"/>
        </w:rPr>
        <w:t>合同条款</w:t>
      </w:r>
      <w:bookmarkEnd w:id="38"/>
      <w:bookmarkEnd w:id="40"/>
    </w:p>
    <w:p w14:paraId="580FB18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2"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b/>
          <w:bCs/>
          <w:color w:val="auto"/>
          <w:kern w:val="0"/>
          <w:sz w:val="24"/>
          <w:szCs w:val="24"/>
          <w:highlight w:val="none"/>
          <w:lang w:val="en-US" w:eastAsia="zh-CN" w:bidi="ar"/>
        </w:rPr>
        <w:t xml:space="preserve">一. 合同文件 </w:t>
      </w:r>
    </w:p>
    <w:p w14:paraId="58E7E4F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1、合同文件适用法律 </w:t>
      </w:r>
    </w:p>
    <w:p w14:paraId="720B309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适用于合同文件的法律是中华人民共和国现行法律、法规及采购人所在地的地方性法规。 </w:t>
      </w:r>
    </w:p>
    <w:p w14:paraId="0AD0639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2、合同文件组成和解释顺序 </w:t>
      </w:r>
    </w:p>
    <w:p w14:paraId="427883A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(1)合同文件的组成和解释顺序如下： </w:t>
      </w:r>
    </w:p>
    <w:p w14:paraId="40A1335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&lt;1&gt;合同的主要条款； </w:t>
      </w:r>
    </w:p>
    <w:p w14:paraId="79F883F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&lt;2&gt;合同的一般性条款； </w:t>
      </w:r>
    </w:p>
    <w:p w14:paraId="4E62924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&lt;3&gt;洽商、变更等明确双方权利义务的纪要、协议； </w:t>
      </w:r>
    </w:p>
    <w:p w14:paraId="1861645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&lt;4&gt;中标通知书、投标文件和招标文件； </w:t>
      </w:r>
    </w:p>
    <w:p w14:paraId="693821D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&lt;5&gt;有关图纸、标准、规范和其它有关技术资料、技术要求。 </w:t>
      </w:r>
    </w:p>
    <w:p w14:paraId="345F05B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&lt;6&gt;合同的主要条款的效力优于合同的一般性条款的效力。 </w:t>
      </w:r>
    </w:p>
    <w:p w14:paraId="6C44ACF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3、合同文件使用文字 </w:t>
      </w:r>
    </w:p>
    <w:p w14:paraId="0449512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(1)合同文件使用中文书写、解释和说明。 </w:t>
      </w:r>
    </w:p>
    <w:p w14:paraId="35240C1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(2)合同文件使用技术性条款约定的为国家标准和规范；国家没有相应标准、规范时，可使用 </w:t>
      </w:r>
    </w:p>
    <w:p w14:paraId="2776D28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行业标准、规范。非标货物应按约定的技术性条款的标准和规范。 </w:t>
      </w:r>
    </w:p>
    <w:p w14:paraId="5E927D3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2"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b/>
          <w:bCs/>
          <w:color w:val="auto"/>
          <w:kern w:val="0"/>
          <w:sz w:val="24"/>
          <w:szCs w:val="24"/>
          <w:highlight w:val="none"/>
          <w:lang w:val="en-US" w:eastAsia="zh-CN" w:bidi="ar"/>
        </w:rPr>
        <w:t xml:space="preserve">二. 违约责任 </w:t>
      </w:r>
    </w:p>
    <w:p w14:paraId="56FF5F2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4、①、乙方不能响应招标文件要求和履行本合同要求时，视为乙方违约。 </w:t>
      </w:r>
    </w:p>
    <w:p w14:paraId="7A97D75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②、因乙方不能按时进场或达不到标准及因乙方违约影响施工工期，甲方有权解除合同，清退乙 </w:t>
      </w:r>
    </w:p>
    <w:p w14:paraId="63CCB2C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方出场，并没收其合同履约保证金。 </w:t>
      </w:r>
    </w:p>
    <w:p w14:paraId="65B6334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③、因乙方违约给甲方造成损失和因乙方违约给甲方造成延伸损失的，甲方没收乙方的合同履约 </w:t>
      </w:r>
    </w:p>
    <w:p w14:paraId="1E65F15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保证金，合同履约保证金不能冲消甲方损失的，乙方将继续承担甲方实际损失。 </w:t>
      </w:r>
    </w:p>
    <w:p w14:paraId="2D130CC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④、甲方不能履行合同付款，给乙方造成损失的，甲方应按实赔偿给乙方。 </w:t>
      </w:r>
    </w:p>
    <w:p w14:paraId="0438A64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2"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b/>
          <w:bCs/>
          <w:color w:val="auto"/>
          <w:kern w:val="0"/>
          <w:sz w:val="24"/>
          <w:szCs w:val="24"/>
          <w:highlight w:val="none"/>
          <w:lang w:val="en-US" w:eastAsia="zh-CN" w:bidi="ar"/>
        </w:rPr>
        <w:t xml:space="preserve">三. 履约保证金 </w:t>
      </w:r>
    </w:p>
    <w:p w14:paraId="67E000D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5、本项目不收取履约保证金。</w:t>
      </w:r>
      <w:r>
        <w:rPr>
          <w:rFonts w:hint="eastAsia" w:ascii="宋体" w:hAnsi="宋体" w:eastAsia="宋体" w:cs="宋体"/>
          <w:b/>
          <w:bCs/>
          <w:color w:val="auto"/>
          <w:kern w:val="2"/>
          <w:sz w:val="24"/>
          <w:szCs w:val="24"/>
          <w:highlight w:val="none"/>
          <w:lang w:val="en-US" w:eastAsia="zh-CN" w:bidi="ar"/>
        </w:rPr>
        <w:t>中标人在政府采购活动中违反政府采购相关规定或招标文件要求，给采购人、采购代理机构造成损失的，利益受损方可向中标人主张赔偿责任，同时中标人的失信行为将被纳入诚信记录</w:t>
      </w:r>
      <w:r>
        <w:rPr>
          <w:rFonts w:hint="eastAsia" w:ascii="宋体" w:hAnsi="宋体" w:eastAsia="宋体" w:cs="宋体"/>
          <w:b/>
          <w:bCs w:val="0"/>
          <w:color w:val="auto"/>
          <w:kern w:val="2"/>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 xml:space="preserve"> </w:t>
      </w:r>
    </w:p>
    <w:p w14:paraId="557D470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2"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b/>
          <w:bCs/>
          <w:color w:val="auto"/>
          <w:kern w:val="0"/>
          <w:sz w:val="24"/>
          <w:szCs w:val="24"/>
          <w:highlight w:val="none"/>
          <w:lang w:val="en-US" w:eastAsia="zh-CN" w:bidi="ar"/>
        </w:rPr>
        <w:t xml:space="preserve">四. 合同的解除和转让 </w:t>
      </w:r>
    </w:p>
    <w:p w14:paraId="79B9386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6、合同的解除 </w:t>
      </w:r>
    </w:p>
    <w:p w14:paraId="5F980E8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(1)甲方和乙方协商一致，可以解除合同。 </w:t>
      </w:r>
    </w:p>
    <w:p w14:paraId="4EC464A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(2)有下列情形之一，合同一方可以解除合同： </w:t>
      </w:r>
    </w:p>
    <w:p w14:paraId="7FD74E2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&lt;1&gt;因不可抗力致使不能实现合同目的，未受不可抗力影响的一方有权解除合同； </w:t>
      </w:r>
    </w:p>
    <w:p w14:paraId="65C42A8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&lt;2&gt;因合同一方违约导致合同不能履行，另一方有权解除合同。 </w:t>
      </w:r>
    </w:p>
    <w:p w14:paraId="60C44C5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(3)有权解除合同的一方，应当在违约事实或不可抗力发生之后三十天内书面通知对方以主张 </w:t>
      </w:r>
    </w:p>
    <w:p w14:paraId="20AE7BD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解除合同，合同在书面通知到达对方时解除。 </w:t>
      </w:r>
    </w:p>
    <w:p w14:paraId="7316711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7、合同的转让 </w:t>
      </w:r>
    </w:p>
    <w:p w14:paraId="2E5D065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合同的部分和全部都不得转让。 </w:t>
      </w:r>
    </w:p>
    <w:p w14:paraId="7C707A4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2"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b/>
          <w:bCs/>
          <w:color w:val="auto"/>
          <w:kern w:val="0"/>
          <w:sz w:val="24"/>
          <w:szCs w:val="24"/>
          <w:highlight w:val="none"/>
          <w:lang w:val="en-US" w:eastAsia="zh-CN" w:bidi="ar"/>
        </w:rPr>
        <w:t xml:space="preserve">五. 合同的生效 </w:t>
      </w:r>
    </w:p>
    <w:p w14:paraId="0006EE6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8、合同的生效 </w:t>
      </w:r>
    </w:p>
    <w:p w14:paraId="2BE7A8E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本合同在双方签字盖章并在采购人收到中标人提交的履约保证金后，经招标采购管理部门备案后生效。 </w:t>
      </w:r>
    </w:p>
    <w:p w14:paraId="08B6A39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2"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b/>
          <w:bCs/>
          <w:color w:val="auto"/>
          <w:kern w:val="0"/>
          <w:sz w:val="24"/>
          <w:szCs w:val="24"/>
          <w:highlight w:val="none"/>
          <w:lang w:val="en-US" w:eastAsia="zh-CN" w:bidi="ar"/>
        </w:rPr>
        <w:t xml:space="preserve">六. 争议解决 </w:t>
      </w:r>
    </w:p>
    <w:p w14:paraId="45B863F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9、争议解决 </w:t>
      </w:r>
    </w:p>
    <w:p w14:paraId="1C7B229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买卖双方因合同发生争议，进行调解，协商不成，只能向有管辖权的人民法院起诉。 </w:t>
      </w:r>
    </w:p>
    <w:p w14:paraId="419DDE8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2"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b/>
          <w:bCs/>
          <w:color w:val="auto"/>
          <w:kern w:val="0"/>
          <w:sz w:val="24"/>
          <w:szCs w:val="24"/>
          <w:highlight w:val="none"/>
          <w:lang w:val="en-US" w:eastAsia="zh-CN" w:bidi="ar"/>
        </w:rPr>
        <w:t xml:space="preserve">七 .附则 </w:t>
      </w:r>
    </w:p>
    <w:p w14:paraId="2F6C1E6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10、未尽事宜 </w:t>
      </w:r>
    </w:p>
    <w:p w14:paraId="4891A38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本合同未尽事宜应按《中华人民共和国民法典》、《中华人民共和国产品质量法》之规定解释。</w:t>
      </w:r>
    </w:p>
    <w:p w14:paraId="3C5EACE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0"/>
          <w:sz w:val="24"/>
          <w:szCs w:val="24"/>
          <w:highlight w:val="none"/>
          <w:lang w:val="en-US" w:eastAsia="zh-CN" w:bidi="ar"/>
        </w:rPr>
      </w:pPr>
    </w:p>
    <w:p w14:paraId="649ADBED">
      <w:pPr>
        <w:rPr>
          <w:rFonts w:hint="eastAsia" w:asciiTheme="minorEastAsia" w:hAnsiTheme="minorEastAsia" w:eastAsiaTheme="minorEastAsia"/>
          <w:b/>
          <w:color w:val="auto"/>
          <w:sz w:val="30"/>
          <w:szCs w:val="30"/>
          <w:highlight w:val="none"/>
          <w:lang w:val="en-US" w:eastAsia="zh-CN"/>
        </w:rPr>
      </w:pPr>
      <w:r>
        <w:rPr>
          <w:rFonts w:hint="eastAsia" w:asciiTheme="minorEastAsia" w:hAnsiTheme="minorEastAsia" w:eastAsiaTheme="minorEastAsia"/>
          <w:b/>
          <w:color w:val="auto"/>
          <w:sz w:val="30"/>
          <w:szCs w:val="30"/>
          <w:highlight w:val="none"/>
          <w:lang w:val="en-US" w:eastAsia="zh-CN"/>
        </w:rPr>
        <w:br w:type="page"/>
      </w:r>
    </w:p>
    <w:p w14:paraId="1D5AD1BD">
      <w:pPr>
        <w:spacing w:line="360" w:lineRule="auto"/>
        <w:jc w:val="center"/>
        <w:outlineLvl w:val="1"/>
        <w:rPr>
          <w:rFonts w:hint="eastAsia" w:asciiTheme="minorEastAsia" w:hAnsiTheme="minorEastAsia" w:eastAsiaTheme="minorEastAsia"/>
          <w:b/>
          <w:color w:val="auto"/>
          <w:sz w:val="30"/>
          <w:szCs w:val="30"/>
          <w:highlight w:val="none"/>
          <w:lang w:val="en-US" w:eastAsia="zh-CN"/>
        </w:rPr>
        <w:sectPr>
          <w:pgSz w:w="11906" w:h="16838"/>
          <w:pgMar w:top="1440" w:right="1803" w:bottom="1440" w:left="1803" w:header="851" w:footer="992" w:gutter="0"/>
          <w:pgNumType w:fmt="decimal"/>
          <w:cols w:space="0" w:num="1"/>
          <w:rtlGutter w:val="0"/>
          <w:docGrid w:type="lines" w:linePitch="319" w:charSpace="0"/>
        </w:sectPr>
      </w:pPr>
    </w:p>
    <w:p w14:paraId="0EDE2067">
      <w:pPr>
        <w:spacing w:line="360" w:lineRule="auto"/>
        <w:jc w:val="center"/>
        <w:outlineLvl w:val="1"/>
        <w:rPr>
          <w:rFonts w:hint="eastAsia" w:asciiTheme="minorEastAsia" w:hAnsiTheme="minorEastAsia" w:eastAsiaTheme="minorEastAsia"/>
          <w:b/>
          <w:color w:val="auto"/>
          <w:sz w:val="30"/>
          <w:szCs w:val="30"/>
          <w:highlight w:val="none"/>
          <w:lang w:val="en-US" w:eastAsia="zh-CN"/>
        </w:rPr>
      </w:pPr>
      <w:r>
        <w:rPr>
          <w:rFonts w:hint="eastAsia" w:asciiTheme="minorEastAsia" w:hAnsiTheme="minorEastAsia" w:eastAsiaTheme="minorEastAsia"/>
          <w:b/>
          <w:color w:val="auto"/>
          <w:sz w:val="30"/>
          <w:szCs w:val="30"/>
          <w:highlight w:val="none"/>
          <w:lang w:val="en-US" w:eastAsia="zh-CN"/>
        </w:rPr>
        <w:t>三  桥梁检测服务内容及要求</w:t>
      </w:r>
    </w:p>
    <w:p w14:paraId="7607726A">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ab/>
      </w:r>
      <w:r>
        <w:rPr>
          <w:rFonts w:hint="eastAsia" w:ascii="宋体" w:hAnsi="宋体" w:eastAsia="宋体" w:cs="宋体"/>
          <w:color w:val="auto"/>
          <w:kern w:val="2"/>
          <w:sz w:val="24"/>
          <w:szCs w:val="24"/>
          <w:highlight w:val="none"/>
          <w:lang w:val="en-US" w:eastAsia="zh-CN" w:bidi="ar"/>
        </w:rPr>
        <w:t>检测标准、质量保证及检测质量控制要求</w:t>
      </w:r>
    </w:p>
    <w:p w14:paraId="35EC3D9A">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 滁州市市管桥梁的常规定期检测和结构定期检测，包括：（1）20座桥梁的结构定期检测；（2）97座桥梁的常规定期检测。</w:t>
      </w:r>
    </w:p>
    <w:p w14:paraId="3B14E254">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1.1.1 20座桥梁的结构定期检测，桥梁名称及相关情况如下：</w:t>
      </w:r>
    </w:p>
    <w:tbl>
      <w:tblPr>
        <w:tblStyle w:val="23"/>
        <w:tblW w:w="149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5"/>
        <w:gridCol w:w="1301"/>
        <w:gridCol w:w="1500"/>
        <w:gridCol w:w="872"/>
        <w:gridCol w:w="870"/>
        <w:gridCol w:w="885"/>
        <w:gridCol w:w="975"/>
        <w:gridCol w:w="735"/>
        <w:gridCol w:w="1335"/>
        <w:gridCol w:w="810"/>
        <w:gridCol w:w="720"/>
        <w:gridCol w:w="1168"/>
        <w:gridCol w:w="902"/>
        <w:gridCol w:w="750"/>
        <w:gridCol w:w="760"/>
        <w:gridCol w:w="760"/>
      </w:tblGrid>
      <w:tr w14:paraId="4C4E0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4F2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序号</w:t>
            </w:r>
          </w:p>
        </w:tc>
        <w:tc>
          <w:tcPr>
            <w:tcW w:w="1301" w:type="dxa"/>
            <w:tcBorders>
              <w:top w:val="single" w:color="000000" w:sz="4" w:space="0"/>
              <w:left w:val="nil"/>
              <w:bottom w:val="single" w:color="000000" w:sz="4" w:space="0"/>
              <w:right w:val="single" w:color="000000" w:sz="4" w:space="0"/>
            </w:tcBorders>
            <w:shd w:val="clear" w:color="auto" w:fill="auto"/>
            <w:noWrap/>
            <w:vAlign w:val="center"/>
          </w:tcPr>
          <w:p w14:paraId="19AE9F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桥名</w:t>
            </w:r>
          </w:p>
        </w:tc>
        <w:tc>
          <w:tcPr>
            <w:tcW w:w="1500" w:type="dxa"/>
            <w:tcBorders>
              <w:top w:val="single" w:color="000000" w:sz="4" w:space="0"/>
              <w:left w:val="nil"/>
              <w:bottom w:val="single" w:color="000000" w:sz="4" w:space="0"/>
              <w:right w:val="single" w:color="000000" w:sz="4" w:space="0"/>
            </w:tcBorders>
            <w:shd w:val="clear" w:color="auto" w:fill="auto"/>
            <w:noWrap/>
            <w:vAlign w:val="center"/>
          </w:tcPr>
          <w:p w14:paraId="078C3D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位置</w:t>
            </w:r>
          </w:p>
        </w:tc>
        <w:tc>
          <w:tcPr>
            <w:tcW w:w="872" w:type="dxa"/>
            <w:tcBorders>
              <w:top w:val="single" w:color="000000" w:sz="4" w:space="0"/>
              <w:left w:val="nil"/>
              <w:bottom w:val="single" w:color="000000" w:sz="4" w:space="0"/>
              <w:right w:val="single" w:color="000000" w:sz="4" w:space="0"/>
            </w:tcBorders>
            <w:shd w:val="clear" w:color="auto" w:fill="auto"/>
            <w:noWrap/>
            <w:vAlign w:val="center"/>
          </w:tcPr>
          <w:p w14:paraId="3622AC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结构</w:t>
            </w:r>
          </w:p>
          <w:p w14:paraId="6158C1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2"/>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类型</w:t>
            </w:r>
          </w:p>
        </w:tc>
        <w:tc>
          <w:tcPr>
            <w:tcW w:w="870" w:type="dxa"/>
            <w:tcBorders>
              <w:top w:val="single" w:color="000000" w:sz="4" w:space="0"/>
              <w:left w:val="nil"/>
              <w:bottom w:val="single" w:color="000000" w:sz="4" w:space="0"/>
              <w:right w:val="single" w:color="000000" w:sz="4" w:space="0"/>
            </w:tcBorders>
            <w:shd w:val="clear" w:color="auto" w:fill="auto"/>
            <w:noWrap/>
            <w:vAlign w:val="center"/>
          </w:tcPr>
          <w:p w14:paraId="222A16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桥梁宽</w:t>
            </w:r>
          </w:p>
          <w:p w14:paraId="5A56E8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2"/>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(m)</w:t>
            </w:r>
          </w:p>
        </w:tc>
        <w:tc>
          <w:tcPr>
            <w:tcW w:w="885" w:type="dxa"/>
            <w:tcBorders>
              <w:top w:val="single" w:color="000000" w:sz="4" w:space="0"/>
              <w:left w:val="nil"/>
              <w:bottom w:val="single" w:color="000000" w:sz="4" w:space="0"/>
              <w:right w:val="single" w:color="000000" w:sz="4" w:space="0"/>
            </w:tcBorders>
            <w:shd w:val="clear" w:color="auto" w:fill="auto"/>
            <w:noWrap/>
            <w:vAlign w:val="center"/>
          </w:tcPr>
          <w:p w14:paraId="16B454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桥梁</w:t>
            </w:r>
          </w:p>
          <w:p w14:paraId="5FE379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总长</w:t>
            </w:r>
          </w:p>
          <w:p w14:paraId="296A3C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2"/>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(m)</w:t>
            </w:r>
          </w:p>
        </w:tc>
        <w:tc>
          <w:tcPr>
            <w:tcW w:w="975" w:type="dxa"/>
            <w:tcBorders>
              <w:top w:val="single" w:color="000000" w:sz="4" w:space="0"/>
              <w:left w:val="nil"/>
              <w:bottom w:val="single" w:color="000000" w:sz="4" w:space="0"/>
              <w:right w:val="single" w:color="000000" w:sz="4" w:space="0"/>
            </w:tcBorders>
            <w:shd w:val="clear" w:color="auto" w:fill="auto"/>
            <w:noWrap/>
            <w:vAlign w:val="center"/>
          </w:tcPr>
          <w:p w14:paraId="301912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面积</w:t>
            </w:r>
          </w:p>
          <w:p w14:paraId="27C4EA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2"/>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w:t>
            </w:r>
          </w:p>
        </w:tc>
        <w:tc>
          <w:tcPr>
            <w:tcW w:w="735" w:type="dxa"/>
            <w:tcBorders>
              <w:top w:val="single" w:color="000000" w:sz="4" w:space="0"/>
              <w:left w:val="nil"/>
              <w:bottom w:val="single" w:color="000000" w:sz="4" w:space="0"/>
              <w:right w:val="single" w:color="auto" w:sz="4" w:space="0"/>
            </w:tcBorders>
            <w:shd w:val="clear" w:color="auto" w:fill="auto"/>
            <w:noWrap/>
            <w:vAlign w:val="center"/>
          </w:tcPr>
          <w:p w14:paraId="46C86A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桥梁</w:t>
            </w:r>
          </w:p>
          <w:p w14:paraId="06215D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2"/>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跨数</w:t>
            </w:r>
          </w:p>
        </w:tc>
        <w:tc>
          <w:tcPr>
            <w:tcW w:w="1335" w:type="dxa"/>
            <w:tcBorders>
              <w:top w:val="single" w:color="000000" w:sz="4" w:space="0"/>
              <w:left w:val="nil"/>
              <w:bottom w:val="single" w:color="000000" w:sz="4" w:space="0"/>
              <w:right w:val="single" w:color="auto" w:sz="4" w:space="0"/>
            </w:tcBorders>
            <w:shd w:val="clear" w:color="auto" w:fill="auto"/>
            <w:noWrap/>
            <w:vAlign w:val="center"/>
          </w:tcPr>
          <w:p w14:paraId="50323B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跨径</w:t>
            </w:r>
          </w:p>
          <w:p w14:paraId="6CFD85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组合</w:t>
            </w:r>
          </w:p>
        </w:tc>
        <w:tc>
          <w:tcPr>
            <w:tcW w:w="810" w:type="dxa"/>
            <w:tcBorders>
              <w:top w:val="single" w:color="000000" w:sz="4" w:space="0"/>
              <w:left w:val="nil"/>
              <w:bottom w:val="single" w:color="000000" w:sz="4" w:space="0"/>
              <w:right w:val="single" w:color="auto" w:sz="4" w:space="0"/>
            </w:tcBorders>
            <w:shd w:val="clear" w:color="auto" w:fill="auto"/>
            <w:noWrap/>
            <w:vAlign w:val="center"/>
          </w:tcPr>
          <w:p w14:paraId="11F4EC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伸缩缝形式</w:t>
            </w:r>
          </w:p>
        </w:tc>
        <w:tc>
          <w:tcPr>
            <w:tcW w:w="720" w:type="dxa"/>
            <w:tcBorders>
              <w:top w:val="single" w:color="000000" w:sz="4" w:space="0"/>
              <w:left w:val="nil"/>
              <w:bottom w:val="single" w:color="000000" w:sz="4" w:space="0"/>
              <w:right w:val="single" w:color="auto" w:sz="4" w:space="0"/>
            </w:tcBorders>
            <w:shd w:val="clear" w:color="auto" w:fill="auto"/>
            <w:noWrap/>
            <w:vAlign w:val="center"/>
          </w:tcPr>
          <w:p w14:paraId="1034DE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伸缩缝数量</w:t>
            </w:r>
          </w:p>
        </w:tc>
        <w:tc>
          <w:tcPr>
            <w:tcW w:w="1168" w:type="dxa"/>
            <w:tcBorders>
              <w:top w:val="single" w:color="000000" w:sz="4" w:space="0"/>
              <w:left w:val="nil"/>
              <w:bottom w:val="single" w:color="000000" w:sz="4" w:space="0"/>
              <w:right w:val="single" w:color="auto" w:sz="4" w:space="0"/>
            </w:tcBorders>
            <w:shd w:val="clear" w:color="auto" w:fill="auto"/>
            <w:noWrap/>
            <w:vAlign w:val="center"/>
          </w:tcPr>
          <w:p w14:paraId="5CD66B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护栏</w:t>
            </w:r>
          </w:p>
          <w:p w14:paraId="0CB208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结构</w:t>
            </w:r>
          </w:p>
        </w:tc>
        <w:tc>
          <w:tcPr>
            <w:tcW w:w="902" w:type="dxa"/>
            <w:tcBorders>
              <w:top w:val="single" w:color="000000" w:sz="4" w:space="0"/>
              <w:left w:val="nil"/>
              <w:bottom w:val="single" w:color="000000" w:sz="4" w:space="0"/>
              <w:right w:val="single" w:color="000000" w:sz="4" w:space="0"/>
            </w:tcBorders>
            <w:shd w:val="clear" w:color="auto" w:fill="auto"/>
            <w:noWrap/>
            <w:vAlign w:val="center"/>
          </w:tcPr>
          <w:p w14:paraId="77E863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护栏</w:t>
            </w:r>
          </w:p>
          <w:p w14:paraId="1BB1A1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长度(m)</w:t>
            </w:r>
          </w:p>
        </w:tc>
        <w:tc>
          <w:tcPr>
            <w:tcW w:w="750" w:type="dxa"/>
            <w:tcBorders>
              <w:top w:val="single" w:color="000000" w:sz="4" w:space="0"/>
              <w:left w:val="nil"/>
              <w:bottom w:val="single" w:color="000000" w:sz="4" w:space="0"/>
              <w:right w:val="single" w:color="000000" w:sz="4" w:space="0"/>
            </w:tcBorders>
            <w:shd w:val="clear" w:color="auto" w:fill="auto"/>
            <w:noWrap/>
            <w:vAlign w:val="center"/>
          </w:tcPr>
          <w:p w14:paraId="73752C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2"/>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养护等级</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14:paraId="4851E6D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桥梁规模</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14:paraId="2E46300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备注</w:t>
            </w:r>
          </w:p>
        </w:tc>
      </w:tr>
      <w:tr w14:paraId="6E0C3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D99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1003FE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清流路跨清流河桥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4B72A5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清流路跨清流河</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65D2E4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拱桥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4EF2B7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46</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6676C4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210</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7271A8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9660</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3BC324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3</w:t>
            </w:r>
          </w:p>
        </w:tc>
        <w:tc>
          <w:tcPr>
            <w:tcW w:w="1335" w:type="dxa"/>
            <w:tcBorders>
              <w:top w:val="single" w:color="000000" w:sz="4" w:space="0"/>
              <w:left w:val="nil"/>
              <w:bottom w:val="single" w:color="000000" w:sz="4" w:space="0"/>
              <w:right w:val="single" w:color="auto" w:sz="4" w:space="0"/>
            </w:tcBorders>
            <w:shd w:val="clear" w:color="auto" w:fill="auto"/>
            <w:vAlign w:val="center"/>
          </w:tcPr>
          <w:p w14:paraId="00A447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30+120+30</w:t>
            </w:r>
          </w:p>
        </w:tc>
        <w:tc>
          <w:tcPr>
            <w:tcW w:w="810" w:type="dxa"/>
            <w:tcBorders>
              <w:top w:val="single" w:color="000000" w:sz="4" w:space="0"/>
              <w:left w:val="nil"/>
              <w:bottom w:val="single" w:color="000000" w:sz="4" w:space="0"/>
              <w:right w:val="single" w:color="auto" w:sz="4" w:space="0"/>
            </w:tcBorders>
            <w:shd w:val="clear" w:color="auto" w:fill="auto"/>
            <w:vAlign w:val="center"/>
          </w:tcPr>
          <w:p w14:paraId="5387D0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型钢</w:t>
            </w:r>
          </w:p>
        </w:tc>
        <w:tc>
          <w:tcPr>
            <w:tcW w:w="720" w:type="dxa"/>
            <w:tcBorders>
              <w:top w:val="single" w:color="000000" w:sz="4" w:space="0"/>
              <w:left w:val="nil"/>
              <w:bottom w:val="single" w:color="000000" w:sz="4" w:space="0"/>
              <w:right w:val="single" w:color="auto" w:sz="4" w:space="0"/>
            </w:tcBorders>
            <w:shd w:val="clear" w:color="auto" w:fill="auto"/>
            <w:vAlign w:val="center"/>
          </w:tcPr>
          <w:p w14:paraId="4A11B7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4</w:t>
            </w:r>
          </w:p>
        </w:tc>
        <w:tc>
          <w:tcPr>
            <w:tcW w:w="1168" w:type="dxa"/>
            <w:tcBorders>
              <w:top w:val="single" w:color="000000" w:sz="4" w:space="0"/>
              <w:left w:val="nil"/>
              <w:bottom w:val="single" w:color="000000" w:sz="4" w:space="0"/>
              <w:right w:val="single" w:color="auto" w:sz="4" w:space="0"/>
            </w:tcBorders>
            <w:shd w:val="clear" w:color="auto" w:fill="auto"/>
            <w:vAlign w:val="center"/>
          </w:tcPr>
          <w:p w14:paraId="7E2C31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不锈钢钢管栏杆</w:t>
            </w:r>
          </w:p>
        </w:tc>
        <w:tc>
          <w:tcPr>
            <w:tcW w:w="902" w:type="dxa"/>
            <w:tcBorders>
              <w:top w:val="single" w:color="000000" w:sz="4" w:space="0"/>
              <w:left w:val="nil"/>
              <w:bottom w:val="single" w:color="000000" w:sz="4" w:space="0"/>
              <w:right w:val="single" w:color="000000" w:sz="4" w:space="0"/>
            </w:tcBorders>
            <w:shd w:val="clear" w:color="auto" w:fill="auto"/>
            <w:vAlign w:val="center"/>
          </w:tcPr>
          <w:p w14:paraId="71D05B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420</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46ACD7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4EAE0F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大桥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3DBC04E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rPr>
            </w:pPr>
            <w:r>
              <w:rPr>
                <w:rFonts w:hint="eastAsia" w:ascii="宋体" w:hAnsi="宋体" w:eastAsia="宋体" w:cs="宋体"/>
                <w:i w:val="0"/>
                <w:iCs w:val="0"/>
                <w:color w:val="auto"/>
                <w:kern w:val="2"/>
                <w:sz w:val="18"/>
                <w:szCs w:val="18"/>
                <w:highlight w:val="none"/>
                <w:lang w:val="en-US" w:eastAsia="zh-CN" w:bidi="ar"/>
              </w:rPr>
              <w:t>进行动力特性及重要</w:t>
            </w:r>
          </w:p>
          <w:p w14:paraId="32FBDED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rPr>
            </w:pPr>
            <w:r>
              <w:rPr>
                <w:rFonts w:hint="eastAsia" w:ascii="宋体" w:hAnsi="宋体" w:eastAsia="宋体" w:cs="宋体"/>
                <w:i w:val="0"/>
                <w:iCs w:val="0"/>
                <w:color w:val="auto"/>
                <w:kern w:val="2"/>
                <w:sz w:val="18"/>
                <w:szCs w:val="18"/>
                <w:highlight w:val="none"/>
                <w:lang w:val="en-US" w:eastAsia="zh-CN" w:bidi="ar"/>
              </w:rPr>
              <w:t>部位的内力静载实验</w:t>
            </w:r>
          </w:p>
        </w:tc>
      </w:tr>
      <w:tr w14:paraId="616EA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07F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2</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017211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世纪大道2号桥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4E6EDF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世纪大道与拖秋岭路交口</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3AF85F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5A23FA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50.60 </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3C41E8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21.40 </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4CC731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1082.84 </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30C824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w:t>
            </w:r>
          </w:p>
        </w:tc>
        <w:tc>
          <w:tcPr>
            <w:tcW w:w="1335" w:type="dxa"/>
            <w:tcBorders>
              <w:top w:val="single" w:color="000000" w:sz="4" w:space="0"/>
              <w:left w:val="nil"/>
              <w:bottom w:val="single" w:color="000000" w:sz="4" w:space="0"/>
              <w:right w:val="single" w:color="auto" w:sz="4" w:space="0"/>
            </w:tcBorders>
            <w:shd w:val="clear" w:color="auto" w:fill="auto"/>
            <w:vAlign w:val="center"/>
          </w:tcPr>
          <w:p w14:paraId="2EEBFA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1*16</w:t>
            </w:r>
          </w:p>
        </w:tc>
        <w:tc>
          <w:tcPr>
            <w:tcW w:w="810" w:type="dxa"/>
            <w:tcBorders>
              <w:top w:val="single" w:color="000000" w:sz="4" w:space="0"/>
              <w:left w:val="nil"/>
              <w:bottom w:val="single" w:color="000000" w:sz="4" w:space="0"/>
              <w:right w:val="single" w:color="auto" w:sz="4" w:space="0"/>
            </w:tcBorders>
            <w:shd w:val="clear" w:color="auto" w:fill="auto"/>
            <w:vAlign w:val="center"/>
          </w:tcPr>
          <w:p w14:paraId="429503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型钢</w:t>
            </w:r>
          </w:p>
        </w:tc>
        <w:tc>
          <w:tcPr>
            <w:tcW w:w="720" w:type="dxa"/>
            <w:tcBorders>
              <w:top w:val="single" w:color="000000" w:sz="4" w:space="0"/>
              <w:left w:val="nil"/>
              <w:bottom w:val="single" w:color="000000" w:sz="4" w:space="0"/>
              <w:right w:val="single" w:color="auto" w:sz="4" w:space="0"/>
            </w:tcBorders>
            <w:shd w:val="clear" w:color="auto" w:fill="auto"/>
            <w:vAlign w:val="center"/>
          </w:tcPr>
          <w:p w14:paraId="70602A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8</w:t>
            </w:r>
          </w:p>
        </w:tc>
        <w:tc>
          <w:tcPr>
            <w:tcW w:w="1168" w:type="dxa"/>
            <w:tcBorders>
              <w:top w:val="single" w:color="000000" w:sz="4" w:space="0"/>
              <w:left w:val="nil"/>
              <w:bottom w:val="single" w:color="000000" w:sz="4" w:space="0"/>
              <w:right w:val="single" w:color="auto" w:sz="4" w:space="0"/>
            </w:tcBorders>
            <w:shd w:val="clear" w:color="auto" w:fill="auto"/>
            <w:vAlign w:val="center"/>
          </w:tcPr>
          <w:p w14:paraId="63826C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石材栏杆/防撞护栏</w:t>
            </w:r>
          </w:p>
        </w:tc>
        <w:tc>
          <w:tcPr>
            <w:tcW w:w="902" w:type="dxa"/>
            <w:tcBorders>
              <w:top w:val="single" w:color="000000" w:sz="4" w:space="0"/>
              <w:left w:val="nil"/>
              <w:bottom w:val="single" w:color="000000" w:sz="4" w:space="0"/>
              <w:right w:val="single" w:color="000000" w:sz="4" w:space="0"/>
            </w:tcBorders>
            <w:shd w:val="clear" w:color="auto" w:fill="auto"/>
            <w:vAlign w:val="center"/>
          </w:tcPr>
          <w:p w14:paraId="30BBE1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85.6</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069F35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2DBE5A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2DCCEF5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rPr>
            </w:pPr>
          </w:p>
        </w:tc>
      </w:tr>
      <w:tr w14:paraId="602B5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205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2"/>
                <w:sz w:val="21"/>
                <w:szCs w:val="21"/>
                <w:highlight w:val="none"/>
                <w:lang w:val="en-US" w:eastAsia="zh-CN" w:bidi="ar"/>
              </w:rPr>
              <w:t>3</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6DE995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世纪大道3号桥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31CCE4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世纪大道与雷桥路交口西</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395C5E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6941AE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50.60 </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343FB8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21.40 </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2FDF8C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1082.84 </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1D872B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w:t>
            </w:r>
          </w:p>
        </w:tc>
        <w:tc>
          <w:tcPr>
            <w:tcW w:w="1335" w:type="dxa"/>
            <w:tcBorders>
              <w:top w:val="single" w:color="000000" w:sz="4" w:space="0"/>
              <w:left w:val="nil"/>
              <w:bottom w:val="single" w:color="000000" w:sz="4" w:space="0"/>
              <w:right w:val="single" w:color="auto" w:sz="4" w:space="0"/>
            </w:tcBorders>
            <w:shd w:val="clear" w:color="auto" w:fill="auto"/>
            <w:vAlign w:val="center"/>
          </w:tcPr>
          <w:p w14:paraId="076713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1*16</w:t>
            </w:r>
          </w:p>
        </w:tc>
        <w:tc>
          <w:tcPr>
            <w:tcW w:w="810" w:type="dxa"/>
            <w:tcBorders>
              <w:top w:val="single" w:color="000000" w:sz="4" w:space="0"/>
              <w:left w:val="nil"/>
              <w:bottom w:val="single" w:color="000000" w:sz="4" w:space="0"/>
              <w:right w:val="single" w:color="auto" w:sz="4" w:space="0"/>
            </w:tcBorders>
            <w:shd w:val="clear" w:color="auto" w:fill="auto"/>
            <w:vAlign w:val="center"/>
          </w:tcPr>
          <w:p w14:paraId="2C90C0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型钢</w:t>
            </w:r>
          </w:p>
        </w:tc>
        <w:tc>
          <w:tcPr>
            <w:tcW w:w="720" w:type="dxa"/>
            <w:tcBorders>
              <w:top w:val="single" w:color="000000" w:sz="4" w:space="0"/>
              <w:left w:val="nil"/>
              <w:bottom w:val="single" w:color="000000" w:sz="4" w:space="0"/>
              <w:right w:val="single" w:color="auto" w:sz="4" w:space="0"/>
            </w:tcBorders>
            <w:shd w:val="clear" w:color="auto" w:fill="auto"/>
            <w:vAlign w:val="center"/>
          </w:tcPr>
          <w:p w14:paraId="43673B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8</w:t>
            </w:r>
          </w:p>
        </w:tc>
        <w:tc>
          <w:tcPr>
            <w:tcW w:w="1168" w:type="dxa"/>
            <w:tcBorders>
              <w:top w:val="single" w:color="000000" w:sz="4" w:space="0"/>
              <w:left w:val="nil"/>
              <w:bottom w:val="single" w:color="000000" w:sz="4" w:space="0"/>
              <w:right w:val="single" w:color="auto" w:sz="4" w:space="0"/>
            </w:tcBorders>
            <w:shd w:val="clear" w:color="auto" w:fill="auto"/>
            <w:vAlign w:val="center"/>
          </w:tcPr>
          <w:p w14:paraId="7AC088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石材栏杆/防撞护栏</w:t>
            </w:r>
          </w:p>
        </w:tc>
        <w:tc>
          <w:tcPr>
            <w:tcW w:w="902" w:type="dxa"/>
            <w:tcBorders>
              <w:top w:val="single" w:color="000000" w:sz="4" w:space="0"/>
              <w:left w:val="nil"/>
              <w:bottom w:val="single" w:color="000000" w:sz="4" w:space="0"/>
              <w:right w:val="single" w:color="000000" w:sz="4" w:space="0"/>
            </w:tcBorders>
            <w:shd w:val="clear" w:color="auto" w:fill="auto"/>
            <w:vAlign w:val="center"/>
          </w:tcPr>
          <w:p w14:paraId="325002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85.6</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3F9EEF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0EF52F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3608FEA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rPr>
            </w:pPr>
          </w:p>
        </w:tc>
      </w:tr>
      <w:tr w14:paraId="67F40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7A9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2"/>
                <w:sz w:val="21"/>
                <w:szCs w:val="21"/>
                <w:highlight w:val="none"/>
                <w:lang w:val="en-US" w:eastAsia="zh-CN" w:bidi="ar"/>
              </w:rPr>
              <w:t>4</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604673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陈桥一村桥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125012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滁州学院内部路跨撇洪沟</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4C52EF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3E9E38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20.60 </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040C9D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30.20 </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79ABBE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622.12 </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5DC333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3</w:t>
            </w:r>
          </w:p>
        </w:tc>
        <w:tc>
          <w:tcPr>
            <w:tcW w:w="1335" w:type="dxa"/>
            <w:tcBorders>
              <w:top w:val="single" w:color="000000" w:sz="4" w:space="0"/>
              <w:left w:val="nil"/>
              <w:bottom w:val="single" w:color="000000" w:sz="4" w:space="0"/>
              <w:right w:val="single" w:color="auto" w:sz="4" w:space="0"/>
            </w:tcBorders>
            <w:shd w:val="clear" w:color="auto" w:fill="auto"/>
            <w:vAlign w:val="center"/>
          </w:tcPr>
          <w:p w14:paraId="2C5195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3*8</w:t>
            </w:r>
          </w:p>
        </w:tc>
        <w:tc>
          <w:tcPr>
            <w:tcW w:w="810" w:type="dxa"/>
            <w:tcBorders>
              <w:top w:val="single" w:color="000000" w:sz="4" w:space="0"/>
              <w:left w:val="nil"/>
              <w:bottom w:val="single" w:color="000000" w:sz="4" w:space="0"/>
              <w:right w:val="single" w:color="auto" w:sz="4" w:space="0"/>
            </w:tcBorders>
            <w:shd w:val="clear" w:color="auto" w:fill="auto"/>
            <w:vAlign w:val="center"/>
          </w:tcPr>
          <w:p w14:paraId="241447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型钢</w:t>
            </w:r>
          </w:p>
        </w:tc>
        <w:tc>
          <w:tcPr>
            <w:tcW w:w="720" w:type="dxa"/>
            <w:tcBorders>
              <w:top w:val="single" w:color="000000" w:sz="4" w:space="0"/>
              <w:left w:val="nil"/>
              <w:bottom w:val="single" w:color="000000" w:sz="4" w:space="0"/>
              <w:right w:val="single" w:color="auto" w:sz="4" w:space="0"/>
            </w:tcBorders>
            <w:shd w:val="clear" w:color="auto" w:fill="auto"/>
            <w:vAlign w:val="center"/>
          </w:tcPr>
          <w:p w14:paraId="46D2D8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2</w:t>
            </w:r>
          </w:p>
        </w:tc>
        <w:tc>
          <w:tcPr>
            <w:tcW w:w="1168" w:type="dxa"/>
            <w:tcBorders>
              <w:top w:val="single" w:color="000000" w:sz="4" w:space="0"/>
              <w:left w:val="nil"/>
              <w:bottom w:val="single" w:color="000000" w:sz="4" w:space="0"/>
              <w:right w:val="single" w:color="auto" w:sz="4" w:space="0"/>
            </w:tcBorders>
            <w:shd w:val="clear" w:color="auto" w:fill="auto"/>
            <w:vAlign w:val="center"/>
          </w:tcPr>
          <w:p w14:paraId="288E6C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石材栏杆</w:t>
            </w:r>
          </w:p>
        </w:tc>
        <w:tc>
          <w:tcPr>
            <w:tcW w:w="902" w:type="dxa"/>
            <w:tcBorders>
              <w:top w:val="single" w:color="000000" w:sz="4" w:space="0"/>
              <w:left w:val="nil"/>
              <w:bottom w:val="single" w:color="000000" w:sz="4" w:space="0"/>
              <w:right w:val="single" w:color="000000" w:sz="4" w:space="0"/>
            </w:tcBorders>
            <w:shd w:val="clear" w:color="auto" w:fill="auto"/>
            <w:vAlign w:val="center"/>
          </w:tcPr>
          <w:p w14:paraId="656949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60.4</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4070BF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3676BC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39E9DCE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rPr>
            </w:pPr>
          </w:p>
        </w:tc>
      </w:tr>
      <w:tr w14:paraId="2F6C8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6EA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2"/>
                <w:sz w:val="21"/>
                <w:szCs w:val="21"/>
                <w:highlight w:val="none"/>
                <w:lang w:val="en-US" w:eastAsia="zh-CN" w:bidi="ar"/>
              </w:rPr>
              <w:t>5</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60FD3C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陈桥二村桥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746484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会峰路跨撇洪沟</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6D0ECE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5BACDA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50.00 </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34843D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23.00 </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02BE26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1150.00 </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4F23CD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2</w:t>
            </w:r>
          </w:p>
        </w:tc>
        <w:tc>
          <w:tcPr>
            <w:tcW w:w="1335" w:type="dxa"/>
            <w:tcBorders>
              <w:top w:val="single" w:color="000000" w:sz="4" w:space="0"/>
              <w:left w:val="nil"/>
              <w:bottom w:val="single" w:color="000000" w:sz="4" w:space="0"/>
              <w:right w:val="single" w:color="auto" w:sz="4" w:space="0"/>
            </w:tcBorders>
            <w:shd w:val="clear" w:color="auto" w:fill="auto"/>
            <w:vAlign w:val="center"/>
          </w:tcPr>
          <w:p w14:paraId="77A76B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2*8</w:t>
            </w:r>
          </w:p>
        </w:tc>
        <w:tc>
          <w:tcPr>
            <w:tcW w:w="810" w:type="dxa"/>
            <w:tcBorders>
              <w:top w:val="single" w:color="000000" w:sz="4" w:space="0"/>
              <w:left w:val="nil"/>
              <w:bottom w:val="single" w:color="000000" w:sz="4" w:space="0"/>
              <w:right w:val="single" w:color="auto" w:sz="4" w:space="0"/>
            </w:tcBorders>
            <w:shd w:val="clear" w:color="auto" w:fill="auto"/>
            <w:vAlign w:val="center"/>
          </w:tcPr>
          <w:p w14:paraId="0357F6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型钢</w:t>
            </w:r>
          </w:p>
        </w:tc>
        <w:tc>
          <w:tcPr>
            <w:tcW w:w="720" w:type="dxa"/>
            <w:tcBorders>
              <w:top w:val="single" w:color="000000" w:sz="4" w:space="0"/>
              <w:left w:val="nil"/>
              <w:bottom w:val="single" w:color="000000" w:sz="4" w:space="0"/>
              <w:right w:val="single" w:color="auto" w:sz="4" w:space="0"/>
            </w:tcBorders>
            <w:shd w:val="clear" w:color="auto" w:fill="auto"/>
            <w:vAlign w:val="center"/>
          </w:tcPr>
          <w:p w14:paraId="5A6B61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2</w:t>
            </w:r>
          </w:p>
        </w:tc>
        <w:tc>
          <w:tcPr>
            <w:tcW w:w="1168" w:type="dxa"/>
            <w:tcBorders>
              <w:top w:val="single" w:color="000000" w:sz="4" w:space="0"/>
              <w:left w:val="nil"/>
              <w:bottom w:val="single" w:color="000000" w:sz="4" w:space="0"/>
              <w:right w:val="single" w:color="auto" w:sz="4" w:space="0"/>
            </w:tcBorders>
            <w:shd w:val="clear" w:color="auto" w:fill="auto"/>
            <w:vAlign w:val="center"/>
          </w:tcPr>
          <w:p w14:paraId="08C981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石材栏杆</w:t>
            </w:r>
          </w:p>
        </w:tc>
        <w:tc>
          <w:tcPr>
            <w:tcW w:w="902" w:type="dxa"/>
            <w:tcBorders>
              <w:top w:val="single" w:color="000000" w:sz="4" w:space="0"/>
              <w:left w:val="nil"/>
              <w:bottom w:val="single" w:color="000000" w:sz="4" w:space="0"/>
              <w:right w:val="single" w:color="000000" w:sz="4" w:space="0"/>
            </w:tcBorders>
            <w:shd w:val="clear" w:color="auto" w:fill="auto"/>
            <w:vAlign w:val="center"/>
          </w:tcPr>
          <w:p w14:paraId="654157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46</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58870A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701605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6F4B42C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rPr>
            </w:pPr>
          </w:p>
        </w:tc>
      </w:tr>
      <w:tr w14:paraId="6D96B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804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2"/>
                <w:sz w:val="21"/>
                <w:szCs w:val="21"/>
                <w:highlight w:val="none"/>
                <w:lang w:val="en-US" w:eastAsia="zh-CN" w:bidi="ar"/>
              </w:rPr>
              <w:t>6</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60C181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陈桥四村桥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15179A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长乐路与西涧路交口西南</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37484F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77015F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11.10 </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6FA1D9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31.00 </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65590F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344.10 </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5F140B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3</w:t>
            </w:r>
          </w:p>
        </w:tc>
        <w:tc>
          <w:tcPr>
            <w:tcW w:w="1335" w:type="dxa"/>
            <w:tcBorders>
              <w:top w:val="single" w:color="000000" w:sz="4" w:space="0"/>
              <w:left w:val="nil"/>
              <w:bottom w:val="single" w:color="000000" w:sz="4" w:space="0"/>
              <w:right w:val="single" w:color="auto" w:sz="4" w:space="0"/>
            </w:tcBorders>
            <w:shd w:val="clear" w:color="auto" w:fill="auto"/>
            <w:vAlign w:val="center"/>
          </w:tcPr>
          <w:p w14:paraId="3A33E1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3×8</w:t>
            </w:r>
          </w:p>
        </w:tc>
        <w:tc>
          <w:tcPr>
            <w:tcW w:w="810" w:type="dxa"/>
            <w:tcBorders>
              <w:top w:val="single" w:color="000000" w:sz="4" w:space="0"/>
              <w:left w:val="nil"/>
              <w:bottom w:val="single" w:color="000000" w:sz="4" w:space="0"/>
              <w:right w:val="single" w:color="auto" w:sz="4" w:space="0"/>
            </w:tcBorders>
            <w:shd w:val="clear" w:color="auto" w:fill="auto"/>
            <w:vAlign w:val="center"/>
          </w:tcPr>
          <w:p w14:paraId="6E5A0A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简易断缝  </w:t>
            </w:r>
          </w:p>
        </w:tc>
        <w:tc>
          <w:tcPr>
            <w:tcW w:w="720" w:type="dxa"/>
            <w:tcBorders>
              <w:top w:val="single" w:color="000000" w:sz="4" w:space="0"/>
              <w:left w:val="nil"/>
              <w:bottom w:val="single" w:color="000000" w:sz="4" w:space="0"/>
              <w:right w:val="single" w:color="auto" w:sz="4" w:space="0"/>
            </w:tcBorders>
            <w:shd w:val="clear" w:color="auto" w:fill="auto"/>
            <w:vAlign w:val="center"/>
          </w:tcPr>
          <w:p w14:paraId="3FC072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4</w:t>
            </w:r>
          </w:p>
        </w:tc>
        <w:tc>
          <w:tcPr>
            <w:tcW w:w="1168" w:type="dxa"/>
            <w:tcBorders>
              <w:top w:val="single" w:color="000000" w:sz="4" w:space="0"/>
              <w:left w:val="nil"/>
              <w:bottom w:val="single" w:color="000000" w:sz="4" w:space="0"/>
              <w:right w:val="single" w:color="auto" w:sz="4" w:space="0"/>
            </w:tcBorders>
            <w:shd w:val="clear" w:color="auto" w:fill="auto"/>
            <w:vAlign w:val="center"/>
          </w:tcPr>
          <w:p w14:paraId="11F54C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石材栏杆</w:t>
            </w:r>
          </w:p>
        </w:tc>
        <w:tc>
          <w:tcPr>
            <w:tcW w:w="902" w:type="dxa"/>
            <w:tcBorders>
              <w:top w:val="single" w:color="000000" w:sz="4" w:space="0"/>
              <w:left w:val="nil"/>
              <w:bottom w:val="single" w:color="000000" w:sz="4" w:space="0"/>
              <w:right w:val="single" w:color="000000" w:sz="4" w:space="0"/>
            </w:tcBorders>
            <w:shd w:val="clear" w:color="auto" w:fill="auto"/>
            <w:vAlign w:val="center"/>
          </w:tcPr>
          <w:p w14:paraId="269661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62</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680F87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01F8BD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348E81D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rPr>
            </w:pPr>
          </w:p>
        </w:tc>
      </w:tr>
      <w:tr w14:paraId="75F77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802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2"/>
                <w:sz w:val="21"/>
                <w:szCs w:val="21"/>
                <w:highlight w:val="none"/>
                <w:lang w:val="en-US" w:eastAsia="zh-CN" w:bidi="ar"/>
              </w:rPr>
              <w:t>7</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1A1F9E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醉翁路桥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474CD6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醉翁路与虹桥路交口东侧</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63E309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18E3EE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50.00 </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235E37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17.80 </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5F9CBF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890.00 </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6E623B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w:t>
            </w:r>
          </w:p>
        </w:tc>
        <w:tc>
          <w:tcPr>
            <w:tcW w:w="1335" w:type="dxa"/>
            <w:tcBorders>
              <w:top w:val="single" w:color="000000" w:sz="4" w:space="0"/>
              <w:left w:val="nil"/>
              <w:bottom w:val="single" w:color="000000" w:sz="4" w:space="0"/>
              <w:right w:val="single" w:color="auto" w:sz="4" w:space="0"/>
            </w:tcBorders>
            <w:shd w:val="clear" w:color="auto" w:fill="auto"/>
            <w:vAlign w:val="center"/>
          </w:tcPr>
          <w:p w14:paraId="5ADB1B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1*13</w:t>
            </w:r>
          </w:p>
        </w:tc>
        <w:tc>
          <w:tcPr>
            <w:tcW w:w="810" w:type="dxa"/>
            <w:tcBorders>
              <w:top w:val="single" w:color="000000" w:sz="4" w:space="0"/>
              <w:left w:val="nil"/>
              <w:bottom w:val="single" w:color="000000" w:sz="4" w:space="0"/>
              <w:right w:val="single" w:color="auto" w:sz="4" w:space="0"/>
            </w:tcBorders>
            <w:shd w:val="clear" w:color="auto" w:fill="auto"/>
            <w:vAlign w:val="center"/>
          </w:tcPr>
          <w:p w14:paraId="7F1397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型钢</w:t>
            </w:r>
          </w:p>
        </w:tc>
        <w:tc>
          <w:tcPr>
            <w:tcW w:w="720" w:type="dxa"/>
            <w:tcBorders>
              <w:top w:val="single" w:color="000000" w:sz="4" w:space="0"/>
              <w:left w:val="nil"/>
              <w:bottom w:val="single" w:color="000000" w:sz="4" w:space="0"/>
              <w:right w:val="single" w:color="auto" w:sz="4" w:space="0"/>
            </w:tcBorders>
            <w:shd w:val="clear" w:color="auto" w:fill="auto"/>
            <w:vAlign w:val="center"/>
          </w:tcPr>
          <w:p w14:paraId="1BA89D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6</w:t>
            </w:r>
          </w:p>
        </w:tc>
        <w:tc>
          <w:tcPr>
            <w:tcW w:w="1168" w:type="dxa"/>
            <w:tcBorders>
              <w:top w:val="single" w:color="000000" w:sz="4" w:space="0"/>
              <w:left w:val="nil"/>
              <w:bottom w:val="single" w:color="000000" w:sz="4" w:space="0"/>
              <w:right w:val="single" w:color="auto" w:sz="4" w:space="0"/>
            </w:tcBorders>
            <w:shd w:val="clear" w:color="auto" w:fill="auto"/>
            <w:vAlign w:val="center"/>
          </w:tcPr>
          <w:p w14:paraId="1AC3B1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不锈钢护栏/防撞护栏</w:t>
            </w:r>
          </w:p>
        </w:tc>
        <w:tc>
          <w:tcPr>
            <w:tcW w:w="902" w:type="dxa"/>
            <w:tcBorders>
              <w:top w:val="single" w:color="000000" w:sz="4" w:space="0"/>
              <w:left w:val="nil"/>
              <w:bottom w:val="single" w:color="000000" w:sz="4" w:space="0"/>
              <w:right w:val="single" w:color="000000" w:sz="4" w:space="0"/>
            </w:tcBorders>
            <w:shd w:val="clear" w:color="auto" w:fill="auto"/>
            <w:vAlign w:val="center"/>
          </w:tcPr>
          <w:p w14:paraId="318919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71.2</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45C28D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73BB16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5C0BD78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rPr>
            </w:pPr>
          </w:p>
        </w:tc>
      </w:tr>
      <w:tr w14:paraId="5E53C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7A1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2"/>
                <w:sz w:val="21"/>
                <w:szCs w:val="21"/>
                <w:highlight w:val="none"/>
                <w:lang w:val="en-US" w:eastAsia="zh-CN" w:bidi="ar"/>
              </w:rPr>
              <w:t>8</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784FC3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花园路桥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4FC35D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花园路与西涧路交口西侧</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0679F1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580247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11.20 </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5CE0D1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27.20 </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24A9AF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304.64</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554163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2</w:t>
            </w:r>
          </w:p>
        </w:tc>
        <w:tc>
          <w:tcPr>
            <w:tcW w:w="1335" w:type="dxa"/>
            <w:tcBorders>
              <w:top w:val="single" w:color="000000" w:sz="4" w:space="0"/>
              <w:left w:val="nil"/>
              <w:bottom w:val="single" w:color="000000" w:sz="4" w:space="0"/>
              <w:right w:val="single" w:color="auto" w:sz="4" w:space="0"/>
            </w:tcBorders>
            <w:shd w:val="clear" w:color="auto" w:fill="auto"/>
            <w:vAlign w:val="center"/>
          </w:tcPr>
          <w:p w14:paraId="4F11B6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2*10</w:t>
            </w:r>
          </w:p>
        </w:tc>
        <w:tc>
          <w:tcPr>
            <w:tcW w:w="810" w:type="dxa"/>
            <w:tcBorders>
              <w:top w:val="single" w:color="000000" w:sz="4" w:space="0"/>
              <w:left w:val="nil"/>
              <w:bottom w:val="single" w:color="000000" w:sz="4" w:space="0"/>
              <w:right w:val="single" w:color="auto" w:sz="4" w:space="0"/>
            </w:tcBorders>
            <w:shd w:val="clear" w:color="auto" w:fill="auto"/>
            <w:vAlign w:val="center"/>
          </w:tcPr>
          <w:p w14:paraId="79B92A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简易断缝</w:t>
            </w:r>
          </w:p>
        </w:tc>
        <w:tc>
          <w:tcPr>
            <w:tcW w:w="720" w:type="dxa"/>
            <w:tcBorders>
              <w:top w:val="single" w:color="000000" w:sz="4" w:space="0"/>
              <w:left w:val="nil"/>
              <w:bottom w:val="single" w:color="000000" w:sz="4" w:space="0"/>
              <w:right w:val="single" w:color="auto" w:sz="4" w:space="0"/>
            </w:tcBorders>
            <w:shd w:val="clear" w:color="auto" w:fill="auto"/>
            <w:vAlign w:val="center"/>
          </w:tcPr>
          <w:p w14:paraId="2180A2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3</w:t>
            </w:r>
          </w:p>
        </w:tc>
        <w:tc>
          <w:tcPr>
            <w:tcW w:w="1168" w:type="dxa"/>
            <w:tcBorders>
              <w:top w:val="single" w:color="000000" w:sz="4" w:space="0"/>
              <w:left w:val="nil"/>
              <w:bottom w:val="single" w:color="000000" w:sz="4" w:space="0"/>
              <w:right w:val="single" w:color="auto" w:sz="4" w:space="0"/>
            </w:tcBorders>
            <w:shd w:val="clear" w:color="auto" w:fill="auto"/>
            <w:vAlign w:val="center"/>
          </w:tcPr>
          <w:p w14:paraId="1A6131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石材栏杆</w:t>
            </w:r>
          </w:p>
        </w:tc>
        <w:tc>
          <w:tcPr>
            <w:tcW w:w="902" w:type="dxa"/>
            <w:tcBorders>
              <w:top w:val="single" w:color="000000" w:sz="4" w:space="0"/>
              <w:left w:val="nil"/>
              <w:bottom w:val="single" w:color="000000" w:sz="4" w:space="0"/>
              <w:right w:val="single" w:color="000000" w:sz="4" w:space="0"/>
            </w:tcBorders>
            <w:shd w:val="clear" w:color="auto" w:fill="auto"/>
            <w:vAlign w:val="center"/>
          </w:tcPr>
          <w:p w14:paraId="4A0C1A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54.4</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53E72B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1AAA67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4209006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rPr>
            </w:pPr>
          </w:p>
        </w:tc>
      </w:tr>
      <w:tr w14:paraId="22716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598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2"/>
                <w:sz w:val="21"/>
                <w:szCs w:val="21"/>
                <w:highlight w:val="none"/>
                <w:lang w:val="en-US" w:eastAsia="zh-CN" w:bidi="ar"/>
              </w:rPr>
              <w:t>9</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031711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经三路桥（南京路桥）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035B1A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南京路与丰收渠</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22E4F7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294AEE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37.5</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5B56B9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36</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3DE2F9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1350</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79D559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3</w:t>
            </w:r>
          </w:p>
        </w:tc>
        <w:tc>
          <w:tcPr>
            <w:tcW w:w="1335" w:type="dxa"/>
            <w:tcBorders>
              <w:top w:val="single" w:color="000000" w:sz="4" w:space="0"/>
              <w:left w:val="nil"/>
              <w:bottom w:val="single" w:color="000000" w:sz="4" w:space="0"/>
              <w:right w:val="single" w:color="auto" w:sz="4" w:space="0"/>
            </w:tcBorders>
            <w:shd w:val="clear" w:color="auto" w:fill="auto"/>
            <w:vAlign w:val="center"/>
          </w:tcPr>
          <w:p w14:paraId="401A5D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3×10m</w:t>
            </w:r>
          </w:p>
        </w:tc>
        <w:tc>
          <w:tcPr>
            <w:tcW w:w="810" w:type="dxa"/>
            <w:tcBorders>
              <w:top w:val="single" w:color="000000" w:sz="4" w:space="0"/>
              <w:left w:val="nil"/>
              <w:bottom w:val="single" w:color="000000" w:sz="4" w:space="0"/>
              <w:right w:val="single" w:color="auto" w:sz="4" w:space="0"/>
            </w:tcBorders>
            <w:shd w:val="clear" w:color="auto" w:fill="auto"/>
            <w:vAlign w:val="center"/>
          </w:tcPr>
          <w:p w14:paraId="535766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型钢</w:t>
            </w:r>
          </w:p>
        </w:tc>
        <w:tc>
          <w:tcPr>
            <w:tcW w:w="720" w:type="dxa"/>
            <w:tcBorders>
              <w:top w:val="single" w:color="000000" w:sz="4" w:space="0"/>
              <w:left w:val="nil"/>
              <w:bottom w:val="single" w:color="000000" w:sz="4" w:space="0"/>
              <w:right w:val="single" w:color="auto" w:sz="4" w:space="0"/>
            </w:tcBorders>
            <w:shd w:val="clear" w:color="auto" w:fill="auto"/>
            <w:vAlign w:val="center"/>
          </w:tcPr>
          <w:p w14:paraId="6B77C4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4</w:t>
            </w:r>
          </w:p>
        </w:tc>
        <w:tc>
          <w:tcPr>
            <w:tcW w:w="1168" w:type="dxa"/>
            <w:tcBorders>
              <w:top w:val="single" w:color="000000" w:sz="4" w:space="0"/>
              <w:left w:val="nil"/>
              <w:bottom w:val="single" w:color="000000" w:sz="4" w:space="0"/>
              <w:right w:val="single" w:color="auto" w:sz="4" w:space="0"/>
            </w:tcBorders>
            <w:shd w:val="clear" w:color="auto" w:fill="auto"/>
            <w:vAlign w:val="center"/>
          </w:tcPr>
          <w:p w14:paraId="6AE3A0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石材栏杆/防撞护栏</w:t>
            </w:r>
          </w:p>
        </w:tc>
        <w:tc>
          <w:tcPr>
            <w:tcW w:w="902" w:type="dxa"/>
            <w:tcBorders>
              <w:top w:val="single" w:color="000000" w:sz="4" w:space="0"/>
              <w:left w:val="nil"/>
              <w:bottom w:val="single" w:color="000000" w:sz="4" w:space="0"/>
              <w:right w:val="single" w:color="000000" w:sz="4" w:space="0"/>
            </w:tcBorders>
            <w:shd w:val="clear" w:color="auto" w:fill="auto"/>
            <w:vAlign w:val="center"/>
          </w:tcPr>
          <w:p w14:paraId="4BA827C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1"/>
                <w:szCs w:val="21"/>
                <w:highlight w:val="none"/>
              </w:rPr>
            </w:pPr>
          </w:p>
        </w:tc>
        <w:tc>
          <w:tcPr>
            <w:tcW w:w="750" w:type="dxa"/>
            <w:tcBorders>
              <w:top w:val="single" w:color="000000" w:sz="4" w:space="0"/>
              <w:left w:val="nil"/>
              <w:bottom w:val="single" w:color="000000" w:sz="4" w:space="0"/>
              <w:right w:val="single" w:color="000000" w:sz="4" w:space="0"/>
            </w:tcBorders>
            <w:shd w:val="clear" w:color="auto" w:fill="auto"/>
            <w:vAlign w:val="center"/>
          </w:tcPr>
          <w:p w14:paraId="1F4A9F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4E5EBA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6014B3F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rPr>
            </w:pPr>
          </w:p>
        </w:tc>
      </w:tr>
      <w:tr w14:paraId="610BA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05F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2"/>
                <w:sz w:val="21"/>
                <w:szCs w:val="21"/>
                <w:highlight w:val="none"/>
                <w:lang w:val="en-US" w:eastAsia="zh-CN" w:bidi="ar"/>
              </w:rPr>
              <w:t>10</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45B097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中学路桥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659998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中学路与菱溪路河交口</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3533AD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1F9706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20.5</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284712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34.8</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14FC82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713.4</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76C157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3</w:t>
            </w:r>
          </w:p>
        </w:tc>
        <w:tc>
          <w:tcPr>
            <w:tcW w:w="1335" w:type="dxa"/>
            <w:tcBorders>
              <w:top w:val="single" w:color="000000" w:sz="4" w:space="0"/>
              <w:left w:val="nil"/>
              <w:bottom w:val="single" w:color="000000" w:sz="4" w:space="0"/>
              <w:right w:val="single" w:color="auto" w:sz="4" w:space="0"/>
            </w:tcBorders>
            <w:shd w:val="clear" w:color="auto" w:fill="auto"/>
            <w:vAlign w:val="center"/>
          </w:tcPr>
          <w:p w14:paraId="118A86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3*10</w:t>
            </w:r>
          </w:p>
        </w:tc>
        <w:tc>
          <w:tcPr>
            <w:tcW w:w="810" w:type="dxa"/>
            <w:tcBorders>
              <w:top w:val="single" w:color="000000" w:sz="4" w:space="0"/>
              <w:left w:val="nil"/>
              <w:bottom w:val="single" w:color="000000" w:sz="4" w:space="0"/>
              <w:right w:val="single" w:color="auto" w:sz="4" w:space="0"/>
            </w:tcBorders>
            <w:shd w:val="clear" w:color="auto" w:fill="auto"/>
            <w:vAlign w:val="center"/>
          </w:tcPr>
          <w:p w14:paraId="5EAAA1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型钢</w:t>
            </w:r>
          </w:p>
        </w:tc>
        <w:tc>
          <w:tcPr>
            <w:tcW w:w="720" w:type="dxa"/>
            <w:tcBorders>
              <w:top w:val="single" w:color="000000" w:sz="4" w:space="0"/>
              <w:left w:val="nil"/>
              <w:bottom w:val="single" w:color="000000" w:sz="4" w:space="0"/>
              <w:right w:val="single" w:color="auto" w:sz="4" w:space="0"/>
            </w:tcBorders>
            <w:shd w:val="clear" w:color="auto" w:fill="auto"/>
            <w:vAlign w:val="center"/>
          </w:tcPr>
          <w:p w14:paraId="4D1861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2</w:t>
            </w:r>
          </w:p>
        </w:tc>
        <w:tc>
          <w:tcPr>
            <w:tcW w:w="1168" w:type="dxa"/>
            <w:tcBorders>
              <w:top w:val="single" w:color="000000" w:sz="4" w:space="0"/>
              <w:left w:val="nil"/>
              <w:bottom w:val="single" w:color="000000" w:sz="4" w:space="0"/>
              <w:right w:val="single" w:color="auto" w:sz="4" w:space="0"/>
            </w:tcBorders>
            <w:shd w:val="clear" w:color="auto" w:fill="auto"/>
            <w:vAlign w:val="center"/>
          </w:tcPr>
          <w:p w14:paraId="2AD91D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不锈钢栏杆</w:t>
            </w:r>
          </w:p>
        </w:tc>
        <w:tc>
          <w:tcPr>
            <w:tcW w:w="902" w:type="dxa"/>
            <w:tcBorders>
              <w:top w:val="single" w:color="000000" w:sz="4" w:space="0"/>
              <w:left w:val="nil"/>
              <w:bottom w:val="single" w:color="000000" w:sz="4" w:space="0"/>
              <w:right w:val="single" w:color="000000" w:sz="4" w:space="0"/>
            </w:tcBorders>
            <w:shd w:val="clear" w:color="auto" w:fill="auto"/>
            <w:vAlign w:val="center"/>
          </w:tcPr>
          <w:p w14:paraId="3903CE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69.6</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3C1E3F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7006B6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4EBC644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rPr>
            </w:pPr>
          </w:p>
        </w:tc>
      </w:tr>
      <w:tr w14:paraId="1FA75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334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2"/>
                <w:sz w:val="21"/>
                <w:szCs w:val="21"/>
                <w:highlight w:val="none"/>
                <w:lang w:val="en-US" w:eastAsia="zh-CN" w:bidi="ar"/>
              </w:rPr>
              <w:t>11</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7EF18F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文德桥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01381D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育新北巷跨内城河</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4363A0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0534A0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3.65</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293AC2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27.2</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045F2B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99.28</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705955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3</w:t>
            </w:r>
          </w:p>
        </w:tc>
        <w:tc>
          <w:tcPr>
            <w:tcW w:w="1335" w:type="dxa"/>
            <w:tcBorders>
              <w:top w:val="single" w:color="000000" w:sz="4" w:space="0"/>
              <w:left w:val="nil"/>
              <w:bottom w:val="single" w:color="000000" w:sz="4" w:space="0"/>
              <w:right w:val="single" w:color="auto" w:sz="4" w:space="0"/>
            </w:tcBorders>
            <w:shd w:val="clear" w:color="auto" w:fill="auto"/>
            <w:vAlign w:val="center"/>
          </w:tcPr>
          <w:p w14:paraId="67F8F2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7.5+10.5+7.5</w:t>
            </w:r>
          </w:p>
        </w:tc>
        <w:tc>
          <w:tcPr>
            <w:tcW w:w="810" w:type="dxa"/>
            <w:tcBorders>
              <w:top w:val="single" w:color="000000" w:sz="4" w:space="0"/>
              <w:left w:val="nil"/>
              <w:bottom w:val="single" w:color="000000" w:sz="4" w:space="0"/>
              <w:right w:val="single" w:color="auto" w:sz="4" w:space="0"/>
            </w:tcBorders>
            <w:shd w:val="clear" w:color="auto" w:fill="auto"/>
            <w:vAlign w:val="center"/>
          </w:tcPr>
          <w:p w14:paraId="32C86AA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1"/>
                <w:szCs w:val="21"/>
                <w:highlight w:val="none"/>
              </w:rPr>
            </w:pPr>
          </w:p>
        </w:tc>
        <w:tc>
          <w:tcPr>
            <w:tcW w:w="720" w:type="dxa"/>
            <w:tcBorders>
              <w:top w:val="single" w:color="000000" w:sz="4" w:space="0"/>
              <w:left w:val="nil"/>
              <w:bottom w:val="single" w:color="000000" w:sz="4" w:space="0"/>
              <w:right w:val="single" w:color="auto" w:sz="4" w:space="0"/>
            </w:tcBorders>
            <w:shd w:val="clear" w:color="auto" w:fill="auto"/>
            <w:vAlign w:val="center"/>
          </w:tcPr>
          <w:p w14:paraId="79B75D9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1"/>
                <w:szCs w:val="21"/>
                <w:highlight w:val="none"/>
              </w:rPr>
            </w:pPr>
          </w:p>
        </w:tc>
        <w:tc>
          <w:tcPr>
            <w:tcW w:w="1168" w:type="dxa"/>
            <w:tcBorders>
              <w:top w:val="single" w:color="000000" w:sz="4" w:space="0"/>
              <w:left w:val="nil"/>
              <w:bottom w:val="single" w:color="000000" w:sz="4" w:space="0"/>
              <w:right w:val="single" w:color="auto" w:sz="4" w:space="0"/>
            </w:tcBorders>
            <w:shd w:val="clear" w:color="auto" w:fill="auto"/>
            <w:vAlign w:val="center"/>
          </w:tcPr>
          <w:p w14:paraId="77ECC2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石材栏杆</w:t>
            </w:r>
          </w:p>
        </w:tc>
        <w:tc>
          <w:tcPr>
            <w:tcW w:w="902" w:type="dxa"/>
            <w:tcBorders>
              <w:top w:val="single" w:color="000000" w:sz="4" w:space="0"/>
              <w:left w:val="nil"/>
              <w:bottom w:val="single" w:color="000000" w:sz="4" w:space="0"/>
              <w:right w:val="single" w:color="000000" w:sz="4" w:space="0"/>
            </w:tcBorders>
            <w:shd w:val="clear" w:color="auto" w:fill="auto"/>
            <w:vAlign w:val="center"/>
          </w:tcPr>
          <w:p w14:paraId="36652B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54.4</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780D0E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0B1552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0C493BA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rPr>
            </w:pPr>
          </w:p>
        </w:tc>
      </w:tr>
      <w:tr w14:paraId="42D11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A2D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2"/>
                <w:sz w:val="21"/>
                <w:szCs w:val="21"/>
                <w:highlight w:val="none"/>
                <w:lang w:val="en-US" w:eastAsia="zh-CN" w:bidi="ar"/>
              </w:rPr>
              <w:t>12</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099FF5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世纪大道4号桥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460547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金鹏山河境西北角 世纪大道上</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23C827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13829A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49</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53D3E3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26</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07D6C8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1274</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0B5791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w:t>
            </w:r>
          </w:p>
        </w:tc>
        <w:tc>
          <w:tcPr>
            <w:tcW w:w="1335" w:type="dxa"/>
            <w:tcBorders>
              <w:top w:val="single" w:color="000000" w:sz="4" w:space="0"/>
              <w:left w:val="nil"/>
              <w:bottom w:val="single" w:color="000000" w:sz="4" w:space="0"/>
              <w:right w:val="single" w:color="auto" w:sz="4" w:space="0"/>
            </w:tcBorders>
            <w:shd w:val="clear" w:color="auto" w:fill="auto"/>
            <w:vAlign w:val="center"/>
          </w:tcPr>
          <w:p w14:paraId="0534C2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1×20</w:t>
            </w:r>
          </w:p>
        </w:tc>
        <w:tc>
          <w:tcPr>
            <w:tcW w:w="810" w:type="dxa"/>
            <w:tcBorders>
              <w:top w:val="single" w:color="000000" w:sz="4" w:space="0"/>
              <w:left w:val="nil"/>
              <w:bottom w:val="single" w:color="000000" w:sz="4" w:space="0"/>
              <w:right w:val="single" w:color="auto" w:sz="4" w:space="0"/>
            </w:tcBorders>
            <w:shd w:val="clear" w:color="auto" w:fill="auto"/>
            <w:vAlign w:val="center"/>
          </w:tcPr>
          <w:p w14:paraId="1414A3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型钢</w:t>
            </w:r>
          </w:p>
        </w:tc>
        <w:tc>
          <w:tcPr>
            <w:tcW w:w="720" w:type="dxa"/>
            <w:tcBorders>
              <w:top w:val="single" w:color="000000" w:sz="4" w:space="0"/>
              <w:left w:val="nil"/>
              <w:bottom w:val="single" w:color="000000" w:sz="4" w:space="0"/>
              <w:right w:val="single" w:color="auto" w:sz="4" w:space="0"/>
            </w:tcBorders>
            <w:shd w:val="clear" w:color="auto" w:fill="auto"/>
            <w:vAlign w:val="center"/>
          </w:tcPr>
          <w:p w14:paraId="635726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12</w:t>
            </w:r>
          </w:p>
        </w:tc>
        <w:tc>
          <w:tcPr>
            <w:tcW w:w="1168" w:type="dxa"/>
            <w:tcBorders>
              <w:top w:val="single" w:color="000000" w:sz="4" w:space="0"/>
              <w:left w:val="nil"/>
              <w:bottom w:val="single" w:color="000000" w:sz="4" w:space="0"/>
              <w:right w:val="single" w:color="auto" w:sz="4" w:space="0"/>
            </w:tcBorders>
            <w:shd w:val="clear" w:color="auto" w:fill="auto"/>
            <w:vAlign w:val="center"/>
          </w:tcPr>
          <w:p w14:paraId="68DB91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石材栏杆/防撞护栏</w:t>
            </w:r>
          </w:p>
        </w:tc>
        <w:tc>
          <w:tcPr>
            <w:tcW w:w="902" w:type="dxa"/>
            <w:tcBorders>
              <w:top w:val="single" w:color="000000" w:sz="4" w:space="0"/>
              <w:left w:val="nil"/>
              <w:bottom w:val="single" w:color="000000" w:sz="4" w:space="0"/>
              <w:right w:val="single" w:color="000000" w:sz="4" w:space="0"/>
            </w:tcBorders>
            <w:shd w:val="clear" w:color="auto" w:fill="auto"/>
            <w:vAlign w:val="center"/>
          </w:tcPr>
          <w:p w14:paraId="7EBC8C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104</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6BEF38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76B9B7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7E76BDF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rPr>
            </w:pPr>
          </w:p>
        </w:tc>
      </w:tr>
      <w:tr w14:paraId="0263D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4EB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2"/>
                <w:sz w:val="21"/>
                <w:szCs w:val="21"/>
                <w:highlight w:val="none"/>
                <w:lang w:val="en-US" w:eastAsia="zh-CN" w:bidi="ar"/>
              </w:rPr>
              <w:t>13</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4FBBCB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清流路与黄山路</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74D915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清流路与菱溪河</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1B2BBA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411100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48.6</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547CBD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34.4</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285201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1671.84</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02777E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3</w:t>
            </w:r>
          </w:p>
        </w:tc>
        <w:tc>
          <w:tcPr>
            <w:tcW w:w="1335" w:type="dxa"/>
            <w:tcBorders>
              <w:top w:val="single" w:color="000000" w:sz="4" w:space="0"/>
              <w:left w:val="nil"/>
              <w:bottom w:val="single" w:color="000000" w:sz="4" w:space="0"/>
              <w:right w:val="single" w:color="auto" w:sz="4" w:space="0"/>
            </w:tcBorders>
            <w:shd w:val="clear" w:color="auto" w:fill="auto"/>
            <w:vAlign w:val="center"/>
          </w:tcPr>
          <w:p w14:paraId="38A704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3×10</w:t>
            </w:r>
          </w:p>
        </w:tc>
        <w:tc>
          <w:tcPr>
            <w:tcW w:w="810" w:type="dxa"/>
            <w:tcBorders>
              <w:top w:val="single" w:color="000000" w:sz="4" w:space="0"/>
              <w:left w:val="nil"/>
              <w:bottom w:val="single" w:color="000000" w:sz="4" w:space="0"/>
              <w:right w:val="single" w:color="auto" w:sz="4" w:space="0"/>
            </w:tcBorders>
            <w:shd w:val="clear" w:color="auto" w:fill="auto"/>
            <w:vAlign w:val="center"/>
          </w:tcPr>
          <w:p w14:paraId="08B305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型钢</w:t>
            </w:r>
          </w:p>
        </w:tc>
        <w:tc>
          <w:tcPr>
            <w:tcW w:w="720" w:type="dxa"/>
            <w:tcBorders>
              <w:top w:val="single" w:color="000000" w:sz="4" w:space="0"/>
              <w:left w:val="nil"/>
              <w:bottom w:val="single" w:color="000000" w:sz="4" w:space="0"/>
              <w:right w:val="single" w:color="auto" w:sz="4" w:space="0"/>
            </w:tcBorders>
            <w:shd w:val="clear" w:color="auto" w:fill="auto"/>
            <w:vAlign w:val="center"/>
          </w:tcPr>
          <w:p w14:paraId="568DBB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6</w:t>
            </w:r>
          </w:p>
        </w:tc>
        <w:tc>
          <w:tcPr>
            <w:tcW w:w="1168" w:type="dxa"/>
            <w:tcBorders>
              <w:top w:val="single" w:color="000000" w:sz="4" w:space="0"/>
              <w:left w:val="nil"/>
              <w:bottom w:val="single" w:color="000000" w:sz="4" w:space="0"/>
              <w:right w:val="single" w:color="auto" w:sz="4" w:space="0"/>
            </w:tcBorders>
            <w:shd w:val="clear" w:color="auto" w:fill="auto"/>
            <w:vAlign w:val="center"/>
          </w:tcPr>
          <w:p w14:paraId="536135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石材护栏</w:t>
            </w:r>
          </w:p>
        </w:tc>
        <w:tc>
          <w:tcPr>
            <w:tcW w:w="902" w:type="dxa"/>
            <w:tcBorders>
              <w:top w:val="single" w:color="000000" w:sz="4" w:space="0"/>
              <w:left w:val="nil"/>
              <w:bottom w:val="single" w:color="000000" w:sz="4" w:space="0"/>
              <w:right w:val="single" w:color="000000" w:sz="4" w:space="0"/>
            </w:tcBorders>
            <w:shd w:val="clear" w:color="auto" w:fill="auto"/>
            <w:vAlign w:val="center"/>
          </w:tcPr>
          <w:p w14:paraId="0BA9C4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68.8</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527530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6D23AF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5334E8D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rPr>
            </w:pPr>
          </w:p>
        </w:tc>
      </w:tr>
      <w:tr w14:paraId="0FC46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1E6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2"/>
                <w:sz w:val="21"/>
                <w:szCs w:val="21"/>
                <w:highlight w:val="none"/>
                <w:lang w:val="en-US" w:eastAsia="zh-CN" w:bidi="ar"/>
              </w:rPr>
              <w:t>14</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4E04AF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世纪大道1号桥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4D7781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世纪大道与黄山路交口西</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6D2FAF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21E9CD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45.4</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2CF2CA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12</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73A717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544.8</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71C104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w:t>
            </w:r>
          </w:p>
        </w:tc>
        <w:tc>
          <w:tcPr>
            <w:tcW w:w="1335" w:type="dxa"/>
            <w:tcBorders>
              <w:top w:val="single" w:color="000000" w:sz="4" w:space="0"/>
              <w:left w:val="nil"/>
              <w:bottom w:val="single" w:color="000000" w:sz="4" w:space="0"/>
              <w:right w:val="single" w:color="auto" w:sz="4" w:space="0"/>
            </w:tcBorders>
            <w:shd w:val="clear" w:color="auto" w:fill="auto"/>
            <w:vAlign w:val="center"/>
          </w:tcPr>
          <w:p w14:paraId="65A2E7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1*10</w:t>
            </w:r>
          </w:p>
        </w:tc>
        <w:tc>
          <w:tcPr>
            <w:tcW w:w="810" w:type="dxa"/>
            <w:tcBorders>
              <w:top w:val="single" w:color="000000" w:sz="4" w:space="0"/>
              <w:left w:val="nil"/>
              <w:bottom w:val="single" w:color="000000" w:sz="4" w:space="0"/>
              <w:right w:val="single" w:color="auto" w:sz="4" w:space="0"/>
            </w:tcBorders>
            <w:shd w:val="clear" w:color="auto" w:fill="auto"/>
            <w:vAlign w:val="center"/>
          </w:tcPr>
          <w:p w14:paraId="399E28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型钢</w:t>
            </w:r>
          </w:p>
        </w:tc>
        <w:tc>
          <w:tcPr>
            <w:tcW w:w="720" w:type="dxa"/>
            <w:tcBorders>
              <w:top w:val="single" w:color="000000" w:sz="4" w:space="0"/>
              <w:left w:val="nil"/>
              <w:bottom w:val="single" w:color="000000" w:sz="4" w:space="0"/>
              <w:right w:val="single" w:color="auto" w:sz="4" w:space="0"/>
            </w:tcBorders>
            <w:shd w:val="clear" w:color="auto" w:fill="auto"/>
            <w:vAlign w:val="center"/>
          </w:tcPr>
          <w:p w14:paraId="5EB748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8</w:t>
            </w:r>
          </w:p>
        </w:tc>
        <w:tc>
          <w:tcPr>
            <w:tcW w:w="1168" w:type="dxa"/>
            <w:tcBorders>
              <w:top w:val="single" w:color="000000" w:sz="4" w:space="0"/>
              <w:left w:val="nil"/>
              <w:bottom w:val="single" w:color="000000" w:sz="4" w:space="0"/>
              <w:right w:val="single" w:color="auto" w:sz="4" w:space="0"/>
            </w:tcBorders>
            <w:shd w:val="clear" w:color="auto" w:fill="auto"/>
            <w:vAlign w:val="center"/>
          </w:tcPr>
          <w:p w14:paraId="0FB13B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不锈钢护栏/防撞护栏</w:t>
            </w:r>
          </w:p>
        </w:tc>
        <w:tc>
          <w:tcPr>
            <w:tcW w:w="902" w:type="dxa"/>
            <w:tcBorders>
              <w:top w:val="single" w:color="000000" w:sz="4" w:space="0"/>
              <w:left w:val="nil"/>
              <w:bottom w:val="single" w:color="000000" w:sz="4" w:space="0"/>
              <w:right w:val="single" w:color="000000" w:sz="4" w:space="0"/>
            </w:tcBorders>
            <w:shd w:val="clear" w:color="auto" w:fill="auto"/>
            <w:vAlign w:val="center"/>
          </w:tcPr>
          <w:p w14:paraId="181E4F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48</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68D3CF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548A09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6FF9D60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rPr>
            </w:pPr>
          </w:p>
        </w:tc>
      </w:tr>
      <w:tr w14:paraId="47AB4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DC5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2"/>
                <w:sz w:val="21"/>
                <w:szCs w:val="21"/>
                <w:highlight w:val="none"/>
                <w:lang w:val="en-US" w:eastAsia="zh-CN" w:bidi="ar"/>
              </w:rPr>
              <w:t>15</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05E157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花山路桥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233CB8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花山路与撇洪沟</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0E95F7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632A97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10.6</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41A96F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30.6</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790D41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324.36</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6DA228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3</w:t>
            </w:r>
          </w:p>
        </w:tc>
        <w:tc>
          <w:tcPr>
            <w:tcW w:w="1335" w:type="dxa"/>
            <w:tcBorders>
              <w:top w:val="single" w:color="000000" w:sz="4" w:space="0"/>
              <w:left w:val="nil"/>
              <w:bottom w:val="single" w:color="000000" w:sz="4" w:space="0"/>
              <w:right w:val="single" w:color="auto" w:sz="4" w:space="0"/>
            </w:tcBorders>
            <w:shd w:val="clear" w:color="auto" w:fill="auto"/>
            <w:vAlign w:val="center"/>
          </w:tcPr>
          <w:p w14:paraId="6A0BD7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3*8</w:t>
            </w:r>
          </w:p>
        </w:tc>
        <w:tc>
          <w:tcPr>
            <w:tcW w:w="810" w:type="dxa"/>
            <w:tcBorders>
              <w:top w:val="single" w:color="000000" w:sz="4" w:space="0"/>
              <w:left w:val="nil"/>
              <w:bottom w:val="single" w:color="000000" w:sz="4" w:space="0"/>
              <w:right w:val="single" w:color="auto" w:sz="4" w:space="0"/>
            </w:tcBorders>
            <w:shd w:val="clear" w:color="auto" w:fill="auto"/>
            <w:vAlign w:val="center"/>
          </w:tcPr>
          <w:p w14:paraId="57F047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简易断缝</w:t>
            </w:r>
          </w:p>
        </w:tc>
        <w:tc>
          <w:tcPr>
            <w:tcW w:w="720" w:type="dxa"/>
            <w:tcBorders>
              <w:top w:val="single" w:color="000000" w:sz="4" w:space="0"/>
              <w:left w:val="nil"/>
              <w:bottom w:val="single" w:color="000000" w:sz="4" w:space="0"/>
              <w:right w:val="single" w:color="auto" w:sz="4" w:space="0"/>
            </w:tcBorders>
            <w:shd w:val="clear" w:color="auto" w:fill="auto"/>
            <w:vAlign w:val="center"/>
          </w:tcPr>
          <w:p w14:paraId="36E780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4</w:t>
            </w:r>
          </w:p>
        </w:tc>
        <w:tc>
          <w:tcPr>
            <w:tcW w:w="1168" w:type="dxa"/>
            <w:tcBorders>
              <w:top w:val="single" w:color="000000" w:sz="4" w:space="0"/>
              <w:left w:val="nil"/>
              <w:bottom w:val="single" w:color="000000" w:sz="4" w:space="0"/>
              <w:right w:val="single" w:color="auto" w:sz="4" w:space="0"/>
            </w:tcBorders>
            <w:shd w:val="clear" w:color="auto" w:fill="auto"/>
            <w:vAlign w:val="center"/>
          </w:tcPr>
          <w:p w14:paraId="2048F6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石材栏杆</w:t>
            </w:r>
          </w:p>
        </w:tc>
        <w:tc>
          <w:tcPr>
            <w:tcW w:w="902" w:type="dxa"/>
            <w:tcBorders>
              <w:top w:val="single" w:color="000000" w:sz="4" w:space="0"/>
              <w:left w:val="nil"/>
              <w:bottom w:val="single" w:color="000000" w:sz="4" w:space="0"/>
              <w:right w:val="single" w:color="000000" w:sz="4" w:space="0"/>
            </w:tcBorders>
            <w:shd w:val="clear" w:color="auto" w:fill="auto"/>
            <w:vAlign w:val="center"/>
          </w:tcPr>
          <w:p w14:paraId="4EB35F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61.2</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3A6882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20BB0E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706D9B9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rPr>
            </w:pPr>
          </w:p>
        </w:tc>
      </w:tr>
      <w:tr w14:paraId="3E8F8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7AB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2"/>
                <w:sz w:val="21"/>
                <w:szCs w:val="21"/>
                <w:highlight w:val="none"/>
                <w:lang w:val="en-US" w:eastAsia="zh-CN" w:bidi="ar"/>
              </w:rPr>
              <w:t>16</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0C0790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扬子路桥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71E808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扬子路与丰收渠</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5B94CB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4E21C8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43</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7D6C12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17</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5C7118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731</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39D046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w:t>
            </w:r>
          </w:p>
        </w:tc>
        <w:tc>
          <w:tcPr>
            <w:tcW w:w="1335" w:type="dxa"/>
            <w:tcBorders>
              <w:top w:val="single" w:color="000000" w:sz="4" w:space="0"/>
              <w:left w:val="nil"/>
              <w:bottom w:val="single" w:color="000000" w:sz="4" w:space="0"/>
              <w:right w:val="single" w:color="auto" w:sz="4" w:space="0"/>
            </w:tcBorders>
            <w:shd w:val="clear" w:color="auto" w:fill="auto"/>
            <w:vAlign w:val="center"/>
          </w:tcPr>
          <w:p w14:paraId="4C6AF0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1*13</w:t>
            </w:r>
          </w:p>
        </w:tc>
        <w:tc>
          <w:tcPr>
            <w:tcW w:w="810" w:type="dxa"/>
            <w:tcBorders>
              <w:top w:val="single" w:color="000000" w:sz="4" w:space="0"/>
              <w:left w:val="nil"/>
              <w:bottom w:val="single" w:color="000000" w:sz="4" w:space="0"/>
              <w:right w:val="single" w:color="auto" w:sz="4" w:space="0"/>
            </w:tcBorders>
            <w:shd w:val="clear" w:color="auto" w:fill="auto"/>
            <w:vAlign w:val="center"/>
          </w:tcPr>
          <w:p w14:paraId="3CA196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型钢</w:t>
            </w:r>
          </w:p>
        </w:tc>
        <w:tc>
          <w:tcPr>
            <w:tcW w:w="720" w:type="dxa"/>
            <w:tcBorders>
              <w:top w:val="single" w:color="000000" w:sz="4" w:space="0"/>
              <w:left w:val="nil"/>
              <w:bottom w:val="single" w:color="000000" w:sz="4" w:space="0"/>
              <w:right w:val="single" w:color="auto" w:sz="4" w:space="0"/>
            </w:tcBorders>
            <w:shd w:val="clear" w:color="auto" w:fill="auto"/>
            <w:vAlign w:val="center"/>
          </w:tcPr>
          <w:p w14:paraId="5CB719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2</w:t>
            </w:r>
          </w:p>
        </w:tc>
        <w:tc>
          <w:tcPr>
            <w:tcW w:w="1168" w:type="dxa"/>
            <w:tcBorders>
              <w:top w:val="single" w:color="000000" w:sz="4" w:space="0"/>
              <w:left w:val="nil"/>
              <w:bottom w:val="single" w:color="000000" w:sz="4" w:space="0"/>
              <w:right w:val="single" w:color="auto" w:sz="4" w:space="0"/>
            </w:tcBorders>
            <w:shd w:val="clear" w:color="auto" w:fill="auto"/>
            <w:vAlign w:val="center"/>
          </w:tcPr>
          <w:p w14:paraId="699953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混凝土护栏</w:t>
            </w:r>
          </w:p>
        </w:tc>
        <w:tc>
          <w:tcPr>
            <w:tcW w:w="902" w:type="dxa"/>
            <w:tcBorders>
              <w:top w:val="single" w:color="000000" w:sz="4" w:space="0"/>
              <w:left w:val="nil"/>
              <w:bottom w:val="single" w:color="000000" w:sz="4" w:space="0"/>
              <w:right w:val="single" w:color="000000" w:sz="4" w:space="0"/>
            </w:tcBorders>
            <w:shd w:val="clear" w:color="auto" w:fill="auto"/>
            <w:vAlign w:val="center"/>
          </w:tcPr>
          <w:p w14:paraId="325C31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34</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77D05A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5184BB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590BFB1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rPr>
            </w:pPr>
          </w:p>
        </w:tc>
      </w:tr>
      <w:tr w14:paraId="2C176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560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2"/>
                <w:sz w:val="21"/>
                <w:szCs w:val="21"/>
                <w:highlight w:val="none"/>
                <w:lang w:val="en-US" w:eastAsia="zh-CN" w:bidi="ar"/>
              </w:rPr>
              <w:t>17</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10A1A3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永乐路桥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2239C1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永乐路与敬梓路交口北侧</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28A8D1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5D6708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50.00 </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01A8D4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26.20 </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68AB3B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1310.00 </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63F1B1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w:t>
            </w:r>
          </w:p>
        </w:tc>
        <w:tc>
          <w:tcPr>
            <w:tcW w:w="1335" w:type="dxa"/>
            <w:tcBorders>
              <w:top w:val="single" w:color="000000" w:sz="4" w:space="0"/>
              <w:left w:val="nil"/>
              <w:bottom w:val="single" w:color="000000" w:sz="4" w:space="0"/>
              <w:right w:val="single" w:color="auto" w:sz="4" w:space="0"/>
            </w:tcBorders>
            <w:shd w:val="clear" w:color="auto" w:fill="auto"/>
            <w:vAlign w:val="center"/>
          </w:tcPr>
          <w:p w14:paraId="2655D8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1*20</w:t>
            </w:r>
          </w:p>
        </w:tc>
        <w:tc>
          <w:tcPr>
            <w:tcW w:w="810" w:type="dxa"/>
            <w:tcBorders>
              <w:top w:val="single" w:color="000000" w:sz="4" w:space="0"/>
              <w:left w:val="nil"/>
              <w:bottom w:val="single" w:color="000000" w:sz="4" w:space="0"/>
              <w:right w:val="single" w:color="auto" w:sz="4" w:space="0"/>
            </w:tcBorders>
            <w:shd w:val="clear" w:color="auto" w:fill="auto"/>
            <w:vAlign w:val="center"/>
          </w:tcPr>
          <w:p w14:paraId="3FC23E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型钢</w:t>
            </w:r>
          </w:p>
        </w:tc>
        <w:tc>
          <w:tcPr>
            <w:tcW w:w="720" w:type="dxa"/>
            <w:tcBorders>
              <w:top w:val="single" w:color="000000" w:sz="4" w:space="0"/>
              <w:left w:val="nil"/>
              <w:bottom w:val="single" w:color="000000" w:sz="4" w:space="0"/>
              <w:right w:val="single" w:color="auto" w:sz="4" w:space="0"/>
            </w:tcBorders>
            <w:shd w:val="clear" w:color="auto" w:fill="auto"/>
            <w:vAlign w:val="center"/>
          </w:tcPr>
          <w:p w14:paraId="5D6811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2</w:t>
            </w:r>
          </w:p>
        </w:tc>
        <w:tc>
          <w:tcPr>
            <w:tcW w:w="1168" w:type="dxa"/>
            <w:tcBorders>
              <w:top w:val="single" w:color="000000" w:sz="4" w:space="0"/>
              <w:left w:val="nil"/>
              <w:bottom w:val="single" w:color="000000" w:sz="4" w:space="0"/>
              <w:right w:val="single" w:color="auto" w:sz="4" w:space="0"/>
            </w:tcBorders>
            <w:shd w:val="clear" w:color="auto" w:fill="auto"/>
            <w:vAlign w:val="center"/>
          </w:tcPr>
          <w:p w14:paraId="03AADC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石材栏杆</w:t>
            </w:r>
          </w:p>
        </w:tc>
        <w:tc>
          <w:tcPr>
            <w:tcW w:w="902" w:type="dxa"/>
            <w:tcBorders>
              <w:top w:val="single" w:color="000000" w:sz="4" w:space="0"/>
              <w:left w:val="nil"/>
              <w:bottom w:val="single" w:color="000000" w:sz="4" w:space="0"/>
              <w:right w:val="single" w:color="000000" w:sz="4" w:space="0"/>
            </w:tcBorders>
            <w:shd w:val="clear" w:color="auto" w:fill="auto"/>
            <w:vAlign w:val="center"/>
          </w:tcPr>
          <w:p w14:paraId="234C24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52.4</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5B4C5E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79F0E8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48BDCBC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rPr>
            </w:pPr>
          </w:p>
        </w:tc>
      </w:tr>
      <w:tr w14:paraId="09DB5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9AD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2"/>
                <w:sz w:val="21"/>
                <w:szCs w:val="21"/>
                <w:highlight w:val="none"/>
                <w:lang w:val="en-US" w:eastAsia="zh-CN" w:bidi="ar"/>
              </w:rPr>
              <w:t>18</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28A936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西涧大桥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63FCE4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丰乐大道跨内城河</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7220E8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双曲拱桥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24766B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23.80 </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15DF84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87.00 </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046F2B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2070.60 </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0133A8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3</w:t>
            </w:r>
          </w:p>
        </w:tc>
        <w:tc>
          <w:tcPr>
            <w:tcW w:w="1335" w:type="dxa"/>
            <w:tcBorders>
              <w:top w:val="single" w:color="000000" w:sz="4" w:space="0"/>
              <w:left w:val="nil"/>
              <w:bottom w:val="single" w:color="000000" w:sz="4" w:space="0"/>
              <w:right w:val="single" w:color="auto" w:sz="4" w:space="0"/>
            </w:tcBorders>
            <w:shd w:val="clear" w:color="auto" w:fill="auto"/>
            <w:vAlign w:val="center"/>
          </w:tcPr>
          <w:p w14:paraId="2FF42F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36+12+12</w:t>
            </w:r>
          </w:p>
        </w:tc>
        <w:tc>
          <w:tcPr>
            <w:tcW w:w="810" w:type="dxa"/>
            <w:tcBorders>
              <w:top w:val="single" w:color="000000" w:sz="4" w:space="0"/>
              <w:left w:val="nil"/>
              <w:bottom w:val="single" w:color="000000" w:sz="4" w:space="0"/>
              <w:right w:val="single" w:color="auto" w:sz="4" w:space="0"/>
            </w:tcBorders>
            <w:shd w:val="clear" w:color="auto" w:fill="auto"/>
            <w:vAlign w:val="center"/>
          </w:tcPr>
          <w:p w14:paraId="6335DB0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1"/>
                <w:szCs w:val="21"/>
                <w:highlight w:val="none"/>
              </w:rPr>
            </w:pPr>
          </w:p>
        </w:tc>
        <w:tc>
          <w:tcPr>
            <w:tcW w:w="720" w:type="dxa"/>
            <w:tcBorders>
              <w:top w:val="single" w:color="000000" w:sz="4" w:space="0"/>
              <w:left w:val="nil"/>
              <w:bottom w:val="single" w:color="000000" w:sz="4" w:space="0"/>
              <w:right w:val="single" w:color="auto" w:sz="4" w:space="0"/>
            </w:tcBorders>
            <w:shd w:val="clear" w:color="auto" w:fill="auto"/>
            <w:vAlign w:val="center"/>
          </w:tcPr>
          <w:p w14:paraId="659DD29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1"/>
                <w:szCs w:val="21"/>
                <w:highlight w:val="none"/>
              </w:rPr>
            </w:pPr>
          </w:p>
        </w:tc>
        <w:tc>
          <w:tcPr>
            <w:tcW w:w="1168" w:type="dxa"/>
            <w:tcBorders>
              <w:top w:val="single" w:color="000000" w:sz="4" w:space="0"/>
              <w:left w:val="nil"/>
              <w:bottom w:val="single" w:color="000000" w:sz="4" w:space="0"/>
              <w:right w:val="single" w:color="auto" w:sz="4" w:space="0"/>
            </w:tcBorders>
            <w:shd w:val="clear" w:color="auto" w:fill="auto"/>
            <w:vAlign w:val="center"/>
          </w:tcPr>
          <w:p w14:paraId="160EF3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不锈钢栏杆</w:t>
            </w:r>
          </w:p>
        </w:tc>
        <w:tc>
          <w:tcPr>
            <w:tcW w:w="902" w:type="dxa"/>
            <w:tcBorders>
              <w:top w:val="single" w:color="000000" w:sz="4" w:space="0"/>
              <w:left w:val="nil"/>
              <w:bottom w:val="single" w:color="000000" w:sz="4" w:space="0"/>
              <w:right w:val="single" w:color="000000" w:sz="4" w:space="0"/>
            </w:tcBorders>
            <w:shd w:val="clear" w:color="auto" w:fill="auto"/>
            <w:vAlign w:val="center"/>
          </w:tcPr>
          <w:p w14:paraId="2D36BB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174</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35A78A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10498A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5B4BE06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rPr>
            </w:pPr>
          </w:p>
        </w:tc>
      </w:tr>
      <w:tr w14:paraId="22B45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703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2"/>
                <w:sz w:val="21"/>
                <w:szCs w:val="21"/>
                <w:highlight w:val="none"/>
                <w:lang w:val="en-US" w:eastAsia="zh-CN" w:bidi="ar"/>
              </w:rPr>
              <w:t>19</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2F5DF1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永乐路龙蟠河桥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20EE95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永乐路跨龙蟠河</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6C4D43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刚架拱桥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4CD704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7.00 </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2073FE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38.80 </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4C3A00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271.60 </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49D144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w:t>
            </w:r>
          </w:p>
        </w:tc>
        <w:tc>
          <w:tcPr>
            <w:tcW w:w="1335" w:type="dxa"/>
            <w:tcBorders>
              <w:top w:val="single" w:color="000000" w:sz="4" w:space="0"/>
              <w:left w:val="nil"/>
              <w:bottom w:val="single" w:color="000000" w:sz="4" w:space="0"/>
              <w:right w:val="single" w:color="auto" w:sz="4" w:space="0"/>
            </w:tcBorders>
            <w:shd w:val="clear" w:color="auto" w:fill="auto"/>
            <w:vAlign w:val="center"/>
          </w:tcPr>
          <w:p w14:paraId="747C4D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1*29</w:t>
            </w:r>
          </w:p>
        </w:tc>
        <w:tc>
          <w:tcPr>
            <w:tcW w:w="810" w:type="dxa"/>
            <w:tcBorders>
              <w:top w:val="single" w:color="000000" w:sz="4" w:space="0"/>
              <w:left w:val="nil"/>
              <w:bottom w:val="single" w:color="000000" w:sz="4" w:space="0"/>
              <w:right w:val="single" w:color="auto" w:sz="4" w:space="0"/>
            </w:tcBorders>
            <w:shd w:val="clear" w:color="auto" w:fill="auto"/>
            <w:vAlign w:val="center"/>
          </w:tcPr>
          <w:p w14:paraId="4D5153B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1"/>
                <w:szCs w:val="21"/>
                <w:highlight w:val="none"/>
              </w:rPr>
            </w:pPr>
          </w:p>
        </w:tc>
        <w:tc>
          <w:tcPr>
            <w:tcW w:w="720" w:type="dxa"/>
            <w:tcBorders>
              <w:top w:val="single" w:color="000000" w:sz="4" w:space="0"/>
              <w:left w:val="nil"/>
              <w:bottom w:val="single" w:color="000000" w:sz="4" w:space="0"/>
              <w:right w:val="single" w:color="auto" w:sz="4" w:space="0"/>
            </w:tcBorders>
            <w:shd w:val="clear" w:color="auto" w:fill="auto"/>
            <w:vAlign w:val="center"/>
          </w:tcPr>
          <w:p w14:paraId="4B1C5A3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1"/>
                <w:szCs w:val="21"/>
                <w:highlight w:val="none"/>
              </w:rPr>
            </w:pPr>
          </w:p>
        </w:tc>
        <w:tc>
          <w:tcPr>
            <w:tcW w:w="1168" w:type="dxa"/>
            <w:tcBorders>
              <w:top w:val="single" w:color="000000" w:sz="4" w:space="0"/>
              <w:left w:val="nil"/>
              <w:bottom w:val="single" w:color="000000" w:sz="4" w:space="0"/>
              <w:right w:val="single" w:color="auto" w:sz="4" w:space="0"/>
            </w:tcBorders>
            <w:shd w:val="clear" w:color="auto" w:fill="auto"/>
            <w:vAlign w:val="center"/>
          </w:tcPr>
          <w:p w14:paraId="0DA71D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不锈钢栏杆</w:t>
            </w:r>
          </w:p>
        </w:tc>
        <w:tc>
          <w:tcPr>
            <w:tcW w:w="902" w:type="dxa"/>
            <w:tcBorders>
              <w:top w:val="single" w:color="000000" w:sz="4" w:space="0"/>
              <w:left w:val="nil"/>
              <w:bottom w:val="single" w:color="000000" w:sz="4" w:space="0"/>
              <w:right w:val="single" w:color="000000" w:sz="4" w:space="0"/>
            </w:tcBorders>
            <w:shd w:val="clear" w:color="auto" w:fill="auto"/>
            <w:vAlign w:val="center"/>
          </w:tcPr>
          <w:p w14:paraId="72EE57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77.6</w:t>
            </w:r>
          </w:p>
        </w:tc>
        <w:tc>
          <w:tcPr>
            <w:tcW w:w="750" w:type="dxa"/>
            <w:tcBorders>
              <w:top w:val="single" w:color="000000" w:sz="4" w:space="0"/>
              <w:left w:val="nil"/>
              <w:bottom w:val="single" w:color="000000" w:sz="4" w:space="0"/>
              <w:right w:val="single" w:color="000000" w:sz="4" w:space="0"/>
            </w:tcBorders>
            <w:shd w:val="clear" w:color="auto" w:fill="auto"/>
            <w:vAlign w:val="center"/>
          </w:tcPr>
          <w:p w14:paraId="56DB6C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IV类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172EF2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6A92D0C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rPr>
            </w:pPr>
          </w:p>
        </w:tc>
      </w:tr>
      <w:tr w14:paraId="61482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D7B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2"/>
                <w:sz w:val="21"/>
                <w:szCs w:val="21"/>
                <w:highlight w:val="none"/>
                <w:lang w:val="en-US" w:eastAsia="zh-CN" w:bidi="ar"/>
              </w:rPr>
              <w:t>20</w:t>
            </w:r>
          </w:p>
        </w:tc>
        <w:tc>
          <w:tcPr>
            <w:tcW w:w="1301" w:type="dxa"/>
            <w:tcBorders>
              <w:top w:val="single" w:color="000000" w:sz="4" w:space="0"/>
              <w:left w:val="nil"/>
              <w:bottom w:val="single" w:color="000000" w:sz="4" w:space="0"/>
              <w:right w:val="single" w:color="000000" w:sz="4" w:space="0"/>
            </w:tcBorders>
            <w:shd w:val="clear" w:color="auto" w:fill="auto"/>
            <w:vAlign w:val="center"/>
          </w:tcPr>
          <w:p w14:paraId="1B8165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西方寺路桥</w:t>
            </w:r>
          </w:p>
        </w:tc>
        <w:tc>
          <w:tcPr>
            <w:tcW w:w="1500" w:type="dxa"/>
            <w:tcBorders>
              <w:top w:val="single" w:color="000000" w:sz="4" w:space="0"/>
              <w:left w:val="nil"/>
              <w:bottom w:val="single" w:color="000000" w:sz="4" w:space="0"/>
              <w:right w:val="single" w:color="000000" w:sz="4" w:space="0"/>
            </w:tcBorders>
            <w:shd w:val="clear" w:color="auto" w:fill="auto"/>
            <w:vAlign w:val="center"/>
          </w:tcPr>
          <w:p w14:paraId="660D8B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老年公寓西北扬子大道上</w:t>
            </w:r>
          </w:p>
        </w:tc>
        <w:tc>
          <w:tcPr>
            <w:tcW w:w="872" w:type="dxa"/>
            <w:tcBorders>
              <w:top w:val="single" w:color="000000" w:sz="4" w:space="0"/>
              <w:left w:val="nil"/>
              <w:bottom w:val="single" w:color="000000" w:sz="4" w:space="0"/>
              <w:right w:val="single" w:color="000000" w:sz="4" w:space="0"/>
            </w:tcBorders>
            <w:shd w:val="clear" w:color="auto" w:fill="auto"/>
            <w:vAlign w:val="center"/>
          </w:tcPr>
          <w:p w14:paraId="590EF7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870" w:type="dxa"/>
            <w:tcBorders>
              <w:top w:val="single" w:color="000000" w:sz="4" w:space="0"/>
              <w:left w:val="nil"/>
              <w:bottom w:val="single" w:color="000000" w:sz="4" w:space="0"/>
              <w:right w:val="single" w:color="000000" w:sz="4" w:space="0"/>
            </w:tcBorders>
            <w:shd w:val="clear" w:color="auto" w:fill="auto"/>
            <w:vAlign w:val="center"/>
          </w:tcPr>
          <w:p w14:paraId="0D91AE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25.50 </w:t>
            </w:r>
          </w:p>
        </w:tc>
        <w:tc>
          <w:tcPr>
            <w:tcW w:w="885" w:type="dxa"/>
            <w:tcBorders>
              <w:top w:val="single" w:color="000000" w:sz="4" w:space="0"/>
              <w:left w:val="nil"/>
              <w:bottom w:val="single" w:color="000000" w:sz="4" w:space="0"/>
              <w:right w:val="single" w:color="000000" w:sz="4" w:space="0"/>
            </w:tcBorders>
            <w:shd w:val="clear" w:color="auto" w:fill="auto"/>
            <w:vAlign w:val="center"/>
          </w:tcPr>
          <w:p w14:paraId="044922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39.00 </w:t>
            </w:r>
          </w:p>
        </w:tc>
        <w:tc>
          <w:tcPr>
            <w:tcW w:w="975" w:type="dxa"/>
            <w:tcBorders>
              <w:top w:val="single" w:color="000000" w:sz="4" w:space="0"/>
              <w:left w:val="nil"/>
              <w:bottom w:val="single" w:color="000000" w:sz="4" w:space="0"/>
              <w:right w:val="single" w:color="000000" w:sz="4" w:space="0"/>
            </w:tcBorders>
            <w:shd w:val="clear" w:color="auto" w:fill="auto"/>
            <w:vAlign w:val="center"/>
          </w:tcPr>
          <w:p w14:paraId="7338CA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994.50 </w:t>
            </w:r>
          </w:p>
        </w:tc>
        <w:tc>
          <w:tcPr>
            <w:tcW w:w="735" w:type="dxa"/>
            <w:tcBorders>
              <w:top w:val="single" w:color="000000" w:sz="4" w:space="0"/>
              <w:left w:val="nil"/>
              <w:bottom w:val="single" w:color="000000" w:sz="4" w:space="0"/>
              <w:right w:val="single" w:color="auto" w:sz="4" w:space="0"/>
            </w:tcBorders>
            <w:shd w:val="clear" w:color="auto" w:fill="auto"/>
            <w:vAlign w:val="center"/>
          </w:tcPr>
          <w:p w14:paraId="584E90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3</w:t>
            </w:r>
          </w:p>
        </w:tc>
        <w:tc>
          <w:tcPr>
            <w:tcW w:w="1335" w:type="dxa"/>
            <w:tcBorders>
              <w:top w:val="single" w:color="000000" w:sz="4" w:space="0"/>
              <w:left w:val="nil"/>
              <w:bottom w:val="single" w:color="000000" w:sz="4" w:space="0"/>
              <w:right w:val="single" w:color="auto" w:sz="4" w:space="0"/>
            </w:tcBorders>
            <w:shd w:val="clear" w:color="auto" w:fill="auto"/>
            <w:vAlign w:val="center"/>
          </w:tcPr>
          <w:p w14:paraId="119270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3*13</w:t>
            </w:r>
          </w:p>
        </w:tc>
        <w:tc>
          <w:tcPr>
            <w:tcW w:w="810" w:type="dxa"/>
            <w:tcBorders>
              <w:top w:val="single" w:color="000000" w:sz="4" w:space="0"/>
              <w:left w:val="nil"/>
              <w:bottom w:val="single" w:color="000000" w:sz="4" w:space="0"/>
              <w:right w:val="single" w:color="auto" w:sz="4" w:space="0"/>
            </w:tcBorders>
            <w:shd w:val="clear" w:color="auto" w:fill="auto"/>
            <w:vAlign w:val="center"/>
          </w:tcPr>
          <w:p w14:paraId="717B9BD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1"/>
                <w:szCs w:val="21"/>
                <w:highlight w:val="none"/>
              </w:rPr>
            </w:pPr>
          </w:p>
        </w:tc>
        <w:tc>
          <w:tcPr>
            <w:tcW w:w="720" w:type="dxa"/>
            <w:tcBorders>
              <w:top w:val="single" w:color="000000" w:sz="4" w:space="0"/>
              <w:left w:val="nil"/>
              <w:bottom w:val="single" w:color="000000" w:sz="4" w:space="0"/>
              <w:right w:val="single" w:color="auto" w:sz="4" w:space="0"/>
            </w:tcBorders>
            <w:shd w:val="clear" w:color="auto" w:fill="auto"/>
            <w:vAlign w:val="center"/>
          </w:tcPr>
          <w:p w14:paraId="2AB13BF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1"/>
                <w:szCs w:val="21"/>
                <w:highlight w:val="none"/>
              </w:rPr>
            </w:pPr>
          </w:p>
        </w:tc>
        <w:tc>
          <w:tcPr>
            <w:tcW w:w="1168" w:type="dxa"/>
            <w:tcBorders>
              <w:top w:val="single" w:color="000000" w:sz="4" w:space="0"/>
              <w:left w:val="nil"/>
              <w:bottom w:val="single" w:color="000000" w:sz="4" w:space="0"/>
              <w:right w:val="single" w:color="auto" w:sz="4" w:space="0"/>
            </w:tcBorders>
            <w:shd w:val="clear" w:color="auto" w:fill="auto"/>
            <w:vAlign w:val="center"/>
          </w:tcPr>
          <w:p w14:paraId="419460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花岗岩</w:t>
            </w:r>
          </w:p>
        </w:tc>
        <w:tc>
          <w:tcPr>
            <w:tcW w:w="902" w:type="dxa"/>
            <w:tcBorders>
              <w:top w:val="single" w:color="000000" w:sz="4" w:space="0"/>
              <w:left w:val="nil"/>
              <w:bottom w:val="single" w:color="000000" w:sz="4" w:space="0"/>
              <w:right w:val="single" w:color="000000" w:sz="4" w:space="0"/>
            </w:tcBorders>
            <w:shd w:val="clear" w:color="auto" w:fill="auto"/>
            <w:vAlign w:val="center"/>
          </w:tcPr>
          <w:p w14:paraId="09BDF44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1"/>
                <w:szCs w:val="21"/>
                <w:highlight w:val="none"/>
              </w:rPr>
            </w:pPr>
          </w:p>
        </w:tc>
        <w:tc>
          <w:tcPr>
            <w:tcW w:w="750" w:type="dxa"/>
            <w:tcBorders>
              <w:top w:val="single" w:color="000000" w:sz="4" w:space="0"/>
              <w:left w:val="nil"/>
              <w:bottom w:val="single" w:color="000000" w:sz="4" w:space="0"/>
              <w:right w:val="single" w:color="000000" w:sz="4" w:space="0"/>
            </w:tcBorders>
            <w:shd w:val="clear" w:color="auto" w:fill="auto"/>
            <w:vAlign w:val="center"/>
          </w:tcPr>
          <w:p w14:paraId="7D0019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0733DA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60" w:type="dxa"/>
            <w:tcBorders>
              <w:top w:val="single" w:color="000000" w:sz="4" w:space="0"/>
              <w:left w:val="nil"/>
              <w:bottom w:val="single" w:color="000000" w:sz="4" w:space="0"/>
              <w:right w:val="single" w:color="000000" w:sz="4" w:space="0"/>
            </w:tcBorders>
            <w:shd w:val="clear" w:color="auto" w:fill="auto"/>
            <w:vAlign w:val="center"/>
          </w:tcPr>
          <w:p w14:paraId="0976AE4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18"/>
                <w:szCs w:val="18"/>
                <w:highlight w:val="none"/>
              </w:rPr>
            </w:pPr>
          </w:p>
        </w:tc>
      </w:tr>
    </w:tbl>
    <w:p w14:paraId="3BA02F1C">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备注：清流路跨清流河桥概况</w:t>
      </w:r>
    </w:p>
    <w:p w14:paraId="4E364158">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1.桥梁概况</w:t>
      </w:r>
    </w:p>
    <w:p w14:paraId="39DA6F58">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清流河大桥跨越清流河，西接清流高架，东接清流路与菱溪路交叉口。桥轴线与河道交角为83°，常水位水面宽度约60m。为适应清流河综合治理后两岸的景观要求，清流河大桥桥型确定为(30+120+30)m飞燕式拱桥，边中跨比为0.25。主拱肋、边拱肋横桥向内倾9°。</w:t>
      </w:r>
    </w:p>
    <w:p w14:paraId="39580B15">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桥梁起点桩号为K1+291.704，终点桩号位K1+501.704，总长210m。桥宽46m，其中两侧各为2.5m、3m宽的非机动车道和人行道，中间为30m宽的车行道。</w:t>
      </w:r>
    </w:p>
    <w:p w14:paraId="59975213">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主跨跨径120米，两侧边跨为上承式钢筋混凝土悬臂半拱；通过锚固于两侧边拱端部横梁上的系杆使结构形成为自锚体系拱桥。吊杆横梁、肋间横梁与桥面板纵桥向设置支座。立柱与横梁设置支座，柱上横梁与桥面系固结。主拱上设置19对吊杆，吊杆纵向间距为5m，吊杆横桥向水平夹角为81°。吊杆上端锚固于拱肋上弦管锚箱处，下端锚固于吊杆横梁梁底内。吊杆内设磁通量传感器以便对施工过程及后期吊杆应力进行长期监测。每一拱肋设 6 束成品系杆索，单束系杆由 37 根直径 15.20 的环氧喷涂钢绞线外套 PE 层构成索体。系杆内设磁通量传感器以便对施工过程及后期系杆应力进行长期监测。主桥纵桥向设置四道伸缩缝，其中两道设置在主拱肋间横梁的顶面。另外两道伸缩缝设置于桥台交接处，型号均为D80型。</w:t>
      </w:r>
    </w:p>
    <w:p w14:paraId="2B6C9792">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主墩及桥台基础均采用桩基础形式。</w:t>
      </w:r>
    </w:p>
    <w:p w14:paraId="2C9410F7">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2.设计标准</w:t>
      </w:r>
    </w:p>
    <w:p w14:paraId="30F14975">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 道路等级：城市Ⅰ级主干道</w:t>
      </w:r>
    </w:p>
    <w:p w14:paraId="7EDD87AB">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 设计行车速度：60km/h</w:t>
      </w:r>
    </w:p>
    <w:p w14:paraId="0FE53A00">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 道路红线控制宽度：桥面宽度为46米</w:t>
      </w:r>
    </w:p>
    <w:p w14:paraId="18737D15">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 基本车道数：按双向八车道设计，两侧设非机动车道、人行道</w:t>
      </w:r>
    </w:p>
    <w:p w14:paraId="568D4B48">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 最小平曲线半径：本桥位于直线上</w:t>
      </w:r>
    </w:p>
    <w:p w14:paraId="6809F439">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 最大纵坡：2.49%</w:t>
      </w:r>
    </w:p>
    <w:p w14:paraId="3FF54252">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7）桥面设计纵坡 0.3％，桥面设计横坡：机动车道、非机动车道采用2.0%坡；人行道及系杆箱采用 1%坡。</w:t>
      </w:r>
    </w:p>
    <w:p w14:paraId="7717A049">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 设计荷载：公路Ⅰ级</w:t>
      </w:r>
    </w:p>
    <w:p w14:paraId="1C7F5061">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 设计洪水频率：1/100</w:t>
      </w:r>
    </w:p>
    <w:p w14:paraId="7D361D8B">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10)地震峰值加速度值为 0.05g</w:t>
      </w:r>
    </w:p>
    <w:p w14:paraId="1FC4B87E">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3.总体设计</w:t>
      </w:r>
    </w:p>
    <w:p w14:paraId="6C61DBA2">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（1）平面设计：</w:t>
      </w:r>
    </w:p>
    <w:p w14:paraId="5F79474B">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主桥位于直线上</w:t>
      </w:r>
    </w:p>
    <w:p w14:paraId="0FE4E35C">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（2）纵断面设计：</w:t>
      </w:r>
    </w:p>
    <w:p w14:paraId="69CABD01">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主桥纵坡为 0.3%，竖曲线半径为 9000m。</w:t>
      </w:r>
    </w:p>
    <w:p w14:paraId="564DE506">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（3）横断面设计：</w:t>
      </w:r>
    </w:p>
    <w:p w14:paraId="63D358A1">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主桥标准断面为：2.5m（人行道）+3.0m（非机动车道）+2.5m（拱肋保区） +14.75m（机动车道）+0.5m（双黄线）+14.75m（机动车道）+2.5m（拱肋保护区）+3.0m（非机动车道）+2.5m（人行道），全宽46m。</w:t>
      </w:r>
    </w:p>
    <w:p w14:paraId="551F9EB9">
      <w:pPr>
        <w:pStyle w:val="2"/>
        <w:rPr>
          <w:rFonts w:hint="default"/>
          <w:color w:val="auto"/>
          <w:highlight w:val="none"/>
          <w:lang w:val="en-US"/>
        </w:rPr>
      </w:pPr>
      <w:r>
        <w:rPr>
          <w:rFonts w:hint="eastAsia" w:ascii="宋体" w:hAnsi="宋体" w:eastAsia="宋体" w:cs="宋体"/>
          <w:color w:val="auto"/>
          <w:kern w:val="2"/>
          <w:sz w:val="24"/>
          <w:szCs w:val="24"/>
          <w:highlight w:val="none"/>
          <w:lang w:val="en-US" w:eastAsia="zh-CN" w:bidi="ar"/>
        </w:rPr>
        <w:t xml:space="preserve">    清流路跨清流河桥必须进行动力特性及重要部位的内力静载实验。</w:t>
      </w:r>
    </w:p>
    <w:p w14:paraId="5B4CF178">
      <w:pPr>
        <w:keepNext w:val="0"/>
        <w:keepLines w:val="0"/>
        <w:widowControl w:val="0"/>
        <w:suppressLineNumbers w:val="0"/>
        <w:spacing w:before="0" w:beforeAutospacing="0" w:after="0" w:afterAutospacing="0" w:line="360" w:lineRule="auto"/>
        <w:ind w:left="0" w:right="0" w:firstLine="435"/>
        <w:jc w:val="center"/>
        <w:rPr>
          <w:rFonts w:ascii="Times New Roman" w:hAnsi="Times New Roman" w:cs="Times New Roman"/>
          <w:color w:val="auto"/>
          <w:kern w:val="2"/>
          <w:sz w:val="24"/>
          <w:szCs w:val="24"/>
          <w:highlight w:val="none"/>
        </w:rPr>
      </w:pPr>
      <w:r>
        <w:rPr>
          <w:rFonts w:ascii="@仿宋_GB2312" w:hAnsi="@仿宋_GB2312" w:eastAsia="@仿宋_GB2312" w:cs="@仿宋_GB2312"/>
          <w:color w:val="auto"/>
          <w:kern w:val="2"/>
          <w:sz w:val="21"/>
          <w:szCs w:val="21"/>
          <w:highlight w:val="none"/>
          <w:lang w:val="en-US" w:eastAsia="zh-CN" w:bidi="ar"/>
        </w:rPr>
        <w:drawing>
          <wp:inline distT="0" distB="0" distL="114300" distR="114300">
            <wp:extent cx="6705600" cy="4686300"/>
            <wp:effectExtent l="0" t="0" r="0" b="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11"/>
                    <a:stretch>
                      <a:fillRect/>
                    </a:stretch>
                  </pic:blipFill>
                  <pic:spPr>
                    <a:xfrm>
                      <a:off x="0" y="0"/>
                      <a:ext cx="6705600" cy="4686300"/>
                    </a:xfrm>
                    <a:prstGeom prst="rect">
                      <a:avLst/>
                    </a:prstGeom>
                    <a:noFill/>
                    <a:ln w="9525">
                      <a:noFill/>
                    </a:ln>
                  </pic:spPr>
                </pic:pic>
              </a:graphicData>
            </a:graphic>
          </wp:inline>
        </w:drawing>
      </w:r>
      <w:r>
        <w:rPr>
          <w:rFonts w:ascii="Times New Roman" w:hAnsi="Times New Roman" w:eastAsia="@仿宋_GB2312" w:cs="Times New Roman"/>
          <w:color w:val="auto"/>
          <w:kern w:val="2"/>
          <w:sz w:val="24"/>
          <w:szCs w:val="24"/>
          <w:highlight w:val="none"/>
          <w:lang w:val="en-US" w:eastAsia="zh-CN" w:bidi="ar"/>
        </w:rPr>
        <w:t xml:space="preserve"> </w:t>
      </w:r>
    </w:p>
    <w:p w14:paraId="469DFFAD">
      <w:pPr>
        <w:keepNext w:val="0"/>
        <w:keepLines w:val="0"/>
        <w:widowControl w:val="0"/>
        <w:suppressLineNumbers w:val="0"/>
        <w:spacing w:before="0" w:beforeAutospacing="0" w:after="0" w:afterAutospacing="0" w:line="360" w:lineRule="auto"/>
        <w:ind w:left="0" w:right="0" w:firstLine="435"/>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桥梁平面图</w:t>
      </w:r>
    </w:p>
    <w:p w14:paraId="0F4FF614">
      <w:pPr>
        <w:keepNext w:val="0"/>
        <w:keepLines w:val="0"/>
        <w:widowControl w:val="0"/>
        <w:suppressLineNumbers w:val="0"/>
        <w:spacing w:before="0" w:beforeAutospacing="0" w:after="0" w:afterAutospacing="0" w:line="360" w:lineRule="auto"/>
        <w:ind w:left="0" w:right="0" w:firstLine="435"/>
        <w:jc w:val="center"/>
        <w:rPr>
          <w:rFonts w:hint="eastAsia" w:ascii="宋体" w:hAnsi="宋体" w:eastAsia="宋体" w:cs="宋体"/>
          <w:color w:val="auto"/>
          <w:kern w:val="2"/>
          <w:sz w:val="24"/>
          <w:szCs w:val="24"/>
          <w:highlight w:val="none"/>
        </w:rPr>
      </w:pPr>
      <w:r>
        <w:rPr>
          <w:rFonts w:ascii="@仿宋_GB2312" w:hAnsi="@仿宋_GB2312" w:eastAsia="@仿宋_GB2312" w:cs="@仿宋_GB2312"/>
          <w:color w:val="auto"/>
          <w:kern w:val="2"/>
          <w:sz w:val="21"/>
          <w:szCs w:val="21"/>
          <w:highlight w:val="none"/>
          <w:lang w:val="en-US" w:eastAsia="zh-CN" w:bidi="ar"/>
        </w:rPr>
        <w:drawing>
          <wp:inline distT="0" distB="0" distL="114300" distR="114300">
            <wp:extent cx="6696075" cy="4667250"/>
            <wp:effectExtent l="0" t="0" r="9525" b="0"/>
            <wp:docPr id="5"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7"/>
                    <pic:cNvPicPr>
                      <a:picLocks noChangeAspect="1"/>
                    </pic:cNvPicPr>
                  </pic:nvPicPr>
                  <pic:blipFill>
                    <a:blip r:embed="rId12"/>
                    <a:stretch>
                      <a:fillRect/>
                    </a:stretch>
                  </pic:blipFill>
                  <pic:spPr>
                    <a:xfrm>
                      <a:off x="0" y="0"/>
                      <a:ext cx="6696075" cy="4667250"/>
                    </a:xfrm>
                    <a:prstGeom prst="rect">
                      <a:avLst/>
                    </a:prstGeom>
                    <a:noFill/>
                    <a:ln w="9525">
                      <a:noFill/>
                    </a:ln>
                  </pic:spPr>
                </pic:pic>
              </a:graphicData>
            </a:graphic>
          </wp:inline>
        </w:drawing>
      </w:r>
      <w:r>
        <w:rPr>
          <w:rFonts w:hint="eastAsia" w:ascii="宋体" w:hAnsi="宋体" w:eastAsia="宋体" w:cs="宋体"/>
          <w:color w:val="auto"/>
          <w:kern w:val="2"/>
          <w:sz w:val="24"/>
          <w:szCs w:val="24"/>
          <w:highlight w:val="none"/>
          <w:lang w:val="en-US" w:eastAsia="zh-CN" w:bidi="ar"/>
        </w:rPr>
        <w:t xml:space="preserve"> </w:t>
      </w:r>
    </w:p>
    <w:p w14:paraId="02E74C55">
      <w:pPr>
        <w:keepNext w:val="0"/>
        <w:keepLines w:val="0"/>
        <w:widowControl w:val="0"/>
        <w:suppressLineNumbers w:val="0"/>
        <w:spacing w:before="0" w:beforeAutospacing="0" w:after="0" w:afterAutospacing="0" w:line="360" w:lineRule="auto"/>
        <w:ind w:left="0" w:right="0" w:firstLine="435"/>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桥梁立面图</w:t>
      </w:r>
    </w:p>
    <w:p w14:paraId="1ED941F8">
      <w:pPr>
        <w:keepNext w:val="0"/>
        <w:keepLines w:val="0"/>
        <w:widowControl w:val="0"/>
        <w:suppressLineNumbers w:val="0"/>
        <w:spacing w:before="0" w:beforeAutospacing="0" w:after="0" w:afterAutospacing="0" w:line="360" w:lineRule="auto"/>
        <w:ind w:left="0" w:right="0" w:firstLine="435"/>
        <w:jc w:val="center"/>
        <w:rPr>
          <w:rFonts w:hint="eastAsia" w:ascii="宋体" w:hAnsi="宋体" w:eastAsia="宋体" w:cs="宋体"/>
          <w:color w:val="auto"/>
          <w:kern w:val="2"/>
          <w:sz w:val="24"/>
          <w:szCs w:val="24"/>
          <w:highlight w:val="none"/>
        </w:rPr>
      </w:pPr>
      <w:r>
        <w:rPr>
          <w:rFonts w:ascii="@仿宋_GB2312" w:hAnsi="@仿宋_GB2312" w:eastAsia="@仿宋_GB2312" w:cs="@仿宋_GB2312"/>
          <w:color w:val="auto"/>
          <w:kern w:val="2"/>
          <w:sz w:val="21"/>
          <w:szCs w:val="21"/>
          <w:highlight w:val="none"/>
          <w:lang w:val="en-US" w:eastAsia="zh-CN" w:bidi="ar"/>
        </w:rPr>
        <w:drawing>
          <wp:inline distT="0" distB="0" distL="114300" distR="114300">
            <wp:extent cx="8858250" cy="3467100"/>
            <wp:effectExtent l="0" t="0" r="0" b="0"/>
            <wp:docPr id="6" name="图片 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8"/>
                    <pic:cNvPicPr>
                      <a:picLocks noChangeAspect="1"/>
                    </pic:cNvPicPr>
                  </pic:nvPicPr>
                  <pic:blipFill>
                    <a:blip r:embed="rId13"/>
                    <a:stretch>
                      <a:fillRect/>
                    </a:stretch>
                  </pic:blipFill>
                  <pic:spPr>
                    <a:xfrm>
                      <a:off x="0" y="0"/>
                      <a:ext cx="8858250" cy="3467100"/>
                    </a:xfrm>
                    <a:prstGeom prst="rect">
                      <a:avLst/>
                    </a:prstGeom>
                    <a:noFill/>
                    <a:ln w="9525">
                      <a:noFill/>
                    </a:ln>
                  </pic:spPr>
                </pic:pic>
              </a:graphicData>
            </a:graphic>
          </wp:inline>
        </w:drawing>
      </w:r>
    </w:p>
    <w:p w14:paraId="1784B525">
      <w:pPr>
        <w:keepNext w:val="0"/>
        <w:keepLines w:val="0"/>
        <w:widowControl w:val="0"/>
        <w:suppressLineNumbers w:val="0"/>
        <w:spacing w:before="0" w:beforeAutospacing="0" w:after="0" w:afterAutospacing="0" w:line="360" w:lineRule="auto"/>
        <w:ind w:left="0" w:right="0" w:firstLine="435"/>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桥梁立面照</w:t>
      </w:r>
    </w:p>
    <w:p w14:paraId="2CB5498D">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6146EF02">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1.1.2 97座桥梁的常规定期检测，桥梁名称及相关情况如下：</w:t>
      </w:r>
    </w:p>
    <w:tbl>
      <w:tblPr>
        <w:tblStyle w:val="23"/>
        <w:tblW w:w="1505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8"/>
        <w:gridCol w:w="3010"/>
        <w:gridCol w:w="2865"/>
        <w:gridCol w:w="1425"/>
        <w:gridCol w:w="1200"/>
        <w:gridCol w:w="1488"/>
        <w:gridCol w:w="1200"/>
        <w:gridCol w:w="1200"/>
        <w:gridCol w:w="1176"/>
        <w:gridCol w:w="795"/>
      </w:tblGrid>
      <w:tr w14:paraId="0AD60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6"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123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序号</w:t>
            </w:r>
          </w:p>
        </w:tc>
        <w:tc>
          <w:tcPr>
            <w:tcW w:w="3010" w:type="dxa"/>
            <w:tcBorders>
              <w:top w:val="single" w:color="000000" w:sz="4" w:space="0"/>
              <w:left w:val="nil"/>
              <w:bottom w:val="single" w:color="000000" w:sz="4" w:space="0"/>
              <w:right w:val="single" w:color="000000" w:sz="4" w:space="0"/>
            </w:tcBorders>
            <w:shd w:val="clear" w:color="auto" w:fill="auto"/>
            <w:noWrap/>
            <w:vAlign w:val="center"/>
          </w:tcPr>
          <w:p w14:paraId="75954A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桥名</w:t>
            </w:r>
          </w:p>
        </w:tc>
        <w:tc>
          <w:tcPr>
            <w:tcW w:w="2865" w:type="dxa"/>
            <w:tcBorders>
              <w:top w:val="single" w:color="000000" w:sz="4" w:space="0"/>
              <w:left w:val="nil"/>
              <w:bottom w:val="single" w:color="000000" w:sz="4" w:space="0"/>
              <w:right w:val="single" w:color="000000" w:sz="4" w:space="0"/>
            </w:tcBorders>
            <w:shd w:val="clear" w:color="auto" w:fill="auto"/>
            <w:noWrap/>
            <w:vAlign w:val="center"/>
          </w:tcPr>
          <w:p w14:paraId="588CC0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位置</w:t>
            </w:r>
          </w:p>
        </w:tc>
        <w:tc>
          <w:tcPr>
            <w:tcW w:w="1425" w:type="dxa"/>
            <w:tcBorders>
              <w:top w:val="single" w:color="000000" w:sz="4" w:space="0"/>
              <w:left w:val="nil"/>
              <w:bottom w:val="single" w:color="000000" w:sz="4" w:space="0"/>
              <w:right w:val="single" w:color="000000" w:sz="4" w:space="0"/>
            </w:tcBorders>
            <w:shd w:val="clear" w:color="auto" w:fill="auto"/>
            <w:noWrap/>
            <w:vAlign w:val="center"/>
          </w:tcPr>
          <w:p w14:paraId="5C66CE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2"/>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结构类型</w:t>
            </w:r>
          </w:p>
        </w:tc>
        <w:tc>
          <w:tcPr>
            <w:tcW w:w="1200" w:type="dxa"/>
            <w:tcBorders>
              <w:top w:val="single" w:color="000000" w:sz="4" w:space="0"/>
              <w:left w:val="nil"/>
              <w:bottom w:val="single" w:color="000000" w:sz="4" w:space="0"/>
              <w:right w:val="single" w:color="000000" w:sz="4" w:space="0"/>
            </w:tcBorders>
            <w:shd w:val="clear" w:color="auto" w:fill="auto"/>
            <w:noWrap/>
            <w:vAlign w:val="center"/>
          </w:tcPr>
          <w:p w14:paraId="163E17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2"/>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桥梁宽(m)</w:t>
            </w:r>
          </w:p>
        </w:tc>
        <w:tc>
          <w:tcPr>
            <w:tcW w:w="1488" w:type="dxa"/>
            <w:tcBorders>
              <w:top w:val="single" w:color="000000" w:sz="4" w:space="0"/>
              <w:left w:val="nil"/>
              <w:bottom w:val="single" w:color="000000" w:sz="4" w:space="0"/>
              <w:right w:val="single" w:color="000000" w:sz="4" w:space="0"/>
            </w:tcBorders>
            <w:shd w:val="clear" w:color="auto" w:fill="auto"/>
            <w:noWrap/>
            <w:vAlign w:val="center"/>
          </w:tcPr>
          <w:p w14:paraId="397A0E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2"/>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桥梁总长(m)</w:t>
            </w:r>
          </w:p>
        </w:tc>
        <w:tc>
          <w:tcPr>
            <w:tcW w:w="1200" w:type="dxa"/>
            <w:tcBorders>
              <w:top w:val="single" w:color="000000" w:sz="4" w:space="0"/>
              <w:left w:val="nil"/>
              <w:bottom w:val="single" w:color="000000" w:sz="4" w:space="0"/>
              <w:right w:val="single" w:color="000000" w:sz="4" w:space="0"/>
            </w:tcBorders>
            <w:shd w:val="clear" w:color="auto" w:fill="auto"/>
            <w:noWrap/>
            <w:vAlign w:val="center"/>
          </w:tcPr>
          <w:p w14:paraId="04871D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面积(㎡)</w:t>
            </w:r>
          </w:p>
        </w:tc>
        <w:tc>
          <w:tcPr>
            <w:tcW w:w="1200" w:type="dxa"/>
            <w:tcBorders>
              <w:top w:val="single" w:color="000000" w:sz="4" w:space="0"/>
              <w:left w:val="nil"/>
              <w:bottom w:val="single" w:color="000000" w:sz="4" w:space="0"/>
              <w:right w:val="single" w:color="000000" w:sz="4" w:space="0"/>
            </w:tcBorders>
            <w:shd w:val="clear" w:color="auto" w:fill="auto"/>
            <w:noWrap/>
            <w:vAlign w:val="center"/>
          </w:tcPr>
          <w:p w14:paraId="0BB01C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2"/>
                <w:sz w:val="21"/>
                <w:szCs w:val="21"/>
                <w:highlight w:val="none"/>
              </w:rPr>
            </w:pPr>
            <w:r>
              <w:rPr>
                <w:rFonts w:hint="eastAsia" w:ascii="宋体" w:hAnsi="宋体" w:eastAsia="宋体" w:cs="宋体"/>
                <w:b/>
                <w:bCs/>
                <w:i w:val="0"/>
                <w:iCs w:val="0"/>
                <w:color w:val="auto"/>
                <w:kern w:val="0"/>
                <w:sz w:val="21"/>
                <w:szCs w:val="21"/>
                <w:highlight w:val="none"/>
                <w:lang w:val="en-US" w:eastAsia="zh-CN" w:bidi="ar"/>
              </w:rPr>
              <w:t>养护等级</w:t>
            </w:r>
          </w:p>
        </w:tc>
        <w:tc>
          <w:tcPr>
            <w:tcW w:w="1176" w:type="dxa"/>
            <w:tcBorders>
              <w:top w:val="single" w:color="000000" w:sz="4" w:space="0"/>
              <w:left w:val="nil"/>
              <w:bottom w:val="single" w:color="000000" w:sz="4" w:space="0"/>
              <w:right w:val="single" w:color="000000" w:sz="4" w:space="0"/>
            </w:tcBorders>
            <w:shd w:val="clear" w:color="auto" w:fill="auto"/>
            <w:noWrap/>
            <w:vAlign w:val="center"/>
          </w:tcPr>
          <w:p w14:paraId="207A382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桥梁规模</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3DBD72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备注</w:t>
            </w:r>
          </w:p>
        </w:tc>
      </w:tr>
      <w:tr w14:paraId="46395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BA0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3CE5291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清流高架跨清流河桥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1E8E890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清流路跨清流河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301327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拱桥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62EBC0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46.00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0875F9B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210.00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2C2E7B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9660.00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7CF717A">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2E04F2F4">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大桥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44378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6EC32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05A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2</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4F6A3B7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清流路高架桥跨京沪铁路桥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61DC943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清流路跨铁路</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4E8EAC8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连续梁桥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860813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22.50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029E66E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746.60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3490F7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16798.50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BA90837">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10F51C7E">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大桥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254AD4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5A426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780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3</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44FFF97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古马路桥（永济桥）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032C745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古马路与西涧路交口东侧</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5BB9BE6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2B14A6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13.00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76010DD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205.80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AE9CE3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2675.40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51C3EC4">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1C00CF2C">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大桥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36ECBF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2CE05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751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4</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381C703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北关桥（曾用名：S311线滁定路新跑洪桥）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CAE805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西涧北路跨城西水库北泄洪渠</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5C93468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A98180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19.90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3C6A905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105.60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F0898C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2101.44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819F613">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07DD5132">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大桥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386E6D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78356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18B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5</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6344C83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世纪大道跨清流河桥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D61B5E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世纪大道跨清流河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5D15CF3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E6A6C6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37.90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2D0AB32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205.30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C253C6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7780.87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AAA4D5B">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0AE60FA6">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大桥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5A07E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08BEC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E50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6</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6E7CEBB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世纪大道跨铁路桥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5706FE3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世纪大道跨铁路</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5F56C4F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420903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38.00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740A622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380.00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366A73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14440.00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0F7A6A9">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443959CE">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大桥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03356E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23230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3AA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7</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4D1FADB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会峰路跨铁路桥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102005E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会峰路跨铁路</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481C14C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758B66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38.00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3FD5047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554.40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C95138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21067.20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1124141">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6006AB4A">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大桥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4268E3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5BC70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3F0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8</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3AD9241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洪武路上跨滁马高速立交桥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38FBD1F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洪武路上跨滁马高速</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402E9BB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9D5D97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44.00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5F6926E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126.00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E5494A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5544.00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6360585">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2F5DD98F">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大桥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AE0DC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43AEB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92B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9</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3F63FD3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会峰路跨清流河桥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7FF8291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会峰路跨清流河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15E81D7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连续梁桥+简支梁桥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11A42E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38.00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7D43754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434.45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298AE1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16509.10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8C163B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44AECB24">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大桥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0E4D0D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7F022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96A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10</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36F35C4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西大街桥(永丰桥)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47A6628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西大街跨北湖</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7CB1AB0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拱桥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521B93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24.00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24714C2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144.70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C4E02D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3472.80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BB5A4A1">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49D7E825">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大桥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7DF06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50879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139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11</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51488F4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东阳桥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44468E4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定远路跨南湖</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3C2BB79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拱桥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88748E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7A1EC73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105.00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865125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2100.00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BD8328F">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357AEF35">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大桥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19BDC7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02F2D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4B3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12</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2F03EF6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东大街桥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1A63758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东大街跨北湖</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CFAA29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拱桥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94AFF1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24.00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6E42BFC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145.00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DD56E9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3480.00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0CE709C">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2CCF2E52">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大桥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0ABE70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2D7C5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8B9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13</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06F1931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老清流路桥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3F2779C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清流路跨清流河桥北边</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756A334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桁架桥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029216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11.6</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59B4832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144.10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BBF2B2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1671.56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6EF17E9">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210CAAA1">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大桥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248CEC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6D193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D36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14</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3846ABF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宝山桥（曾用名：宝山路跨清流河桥）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757B131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宝山路跨清流河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459F5C9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桁架桥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960CB4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7F8576B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342.00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D0C254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10260.00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03E565B">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50306029">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大桥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4B9B19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29F13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A64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15</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2710A5C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桑梓路桥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1FC885F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敬梓路与桑梓路交口南</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CAB078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涵洞</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5B84F5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36.00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4FC3DA6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16.00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AEB4E7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576.00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49982C3">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355CEE8B">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涵洞</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756CA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576D4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33F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16</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1619ACB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敬梓路理想创业园桥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7DAE891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理想创业路西</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007AC82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涵洞</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064FE6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50.00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03D423D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16.00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C0E316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800.00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8A0A3EA">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3743B8C0">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涵洞</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0743BE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1B8F0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4DD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17</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6C7EF03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明光路跨线桥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0BCA9F8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明光路跨京沪铁路、清流河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5E8227A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连续梁桥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9AB8CD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32.50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64DE5C1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1145.00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8E9103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37212.50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751B934">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07AF8471">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特大桥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1428A5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44494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50A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18</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7C295EC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遵阳街立交桥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39F4D58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遵阳街下穿铁路</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7F51DCE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下穿桥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80ED6A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19.00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0D62134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27EF14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570.00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69ED27C">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V类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78421914">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下穿</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2E7878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4264B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4B0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19</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0DA2D48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清流路立交桥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633C411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清流路下穿京沪铁路</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102BF4E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下穿桥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156738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19.00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2411607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370.00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D45345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7030.00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B5CC89E">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V类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1005E505">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下穿</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21E42B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170D5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0AA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20</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08E67EF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宝山隧道（曾用名：紫薇路下穿桥）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0DFC4A2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紫薇路跨京沪铁路</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66F7EBF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下穿桥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67AA9E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23E9C9D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608.00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4B1ABA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18240.00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BB08577">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V类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29C3CBFE">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下穿</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6B9449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31191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0EC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21</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76F0E2C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栀子花王隧道（曾用名：龙蟠大道下穿京沪铁路）</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4A97C6E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龙蟠大道与京沪铁路交口</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6924A68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下穿桥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92CD62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52.00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049B5A6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69.00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8B0DDF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3588.00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931C7B6">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664F3FA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下穿</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2152AB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536F9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85B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22</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6F53639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上海路桥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7B5F555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上海路跨丰收渠</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4C4ECAB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0F81B7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49.50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162AF9D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31.40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F844D7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1554.30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4526797">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607FFFDC">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0D930F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422E8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DC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23</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6E592B6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学院路桥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A27FE5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西涧路与学院路交口</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AF0B8B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B1B250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83.50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24CD942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26.80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076E56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2237.80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491375A">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33187D70">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689333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4006E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AAB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24</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3D59F20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创业南路二号桥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3AAC86A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创业南路李郢闸站处</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4FC983E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835ACF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23.60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16B6E53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19.30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1B61AF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455.48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A70DAC9">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72C392D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0C10DB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7A054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5A2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25</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305A35A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创业南路一号桥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3660A7D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创业南路教堂处</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07879D7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5AF640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24.90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0AEEA90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10.80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6579B9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268.92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86A55BC">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5BF6E219">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4FEAD1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1AB60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8A4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26</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3CBDCBD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永阳路桥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1EA3FA3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永阳路与扬州路交口东侧</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3290165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ED2839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60.00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7797900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19.50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1DFC80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1170.00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E62C12C">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1ACE19A6">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D77D0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28462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7CE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27</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5E52F06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纬四路桥（清流路桥）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13A9557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清流路与丰收渠</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1526F03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509D76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50.00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7C755A7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31.40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E72576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1570.00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EF00C1E">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592D9859">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427EB0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18CDF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D51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28</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0551F3C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坦克一桥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32C129C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--在军事管理区内--</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30D70EE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801C78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8.00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7B05211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7.20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A6AD6E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57.60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B3CD761">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03DBCC21">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355986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50404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65C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29</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2375474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紫薇路二桥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33B65BE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盛世华庭熙园南侧</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2AA3F4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1428A9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42.00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50D607E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16.10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777F96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676.20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7AAD91F">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4A90F34C">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2DAD91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13725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217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30</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4F4F656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世纪大道2号桥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7069F41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世纪大道与拖秋岭路交口</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4D2B567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C5E269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50.60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7EDAA39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21.40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DC8665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1082.84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A00A6D9">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5D24EA4B">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646C27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697E0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666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31</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6DA202F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世纪大道3号桥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4F03605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世纪大道与雷桥路交口西</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6D6C6A8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6747FB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50.60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6F8CD3F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21.40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694416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1082.84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20677C3">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53B2594B">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7895A6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31134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890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32</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3953487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陈桥一村桥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49B5007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滁州学院内部路跨撇洪沟</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6F0DCAD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9FBE1B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20.60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2B90814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30.20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010A8E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622.12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8ACF187">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4801F22A">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12B8DF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542B6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E7E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33</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2C6F0E1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陈桥二村桥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3E006BB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会峰路跨撇洪沟</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70567C1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9E86C8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50.00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29B4647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23.00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C0CDBD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1150.00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BB27A7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52723111">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3B8985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3DE1D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1B5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34</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2A99DC7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陈桥四村桥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351B380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长乐路与西涧路交口西南</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84749C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31E801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11.10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1A25BE2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31.00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FCC418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344.10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88D5322">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1F17DD4E">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6485ED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5358D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A5D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35</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2CE77BF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醉翁路桥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08B587E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醉翁路与虹桥路交口东侧</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55813E3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3F1FA5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50.00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0C6CEC0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17.80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8E5E5A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890.00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3E74E8A">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5B2B9C35">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643125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5402B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E45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36</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54D61DB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坦克二桥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5A177CB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--在军事管理区内--</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5DF348E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944DF5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7F8FC0C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7.20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68D4C2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72.00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00CB91A">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409B0824">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6844D7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6DAE6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490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37</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1FA3511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花园路桥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4F6AE6D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花园路与西涧路交口西侧</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081713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74F658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11.20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686F196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27.20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BBC5C1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304.64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7A3FD98">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52007AF8">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79E316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24230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86F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38</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4E650AD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经三路桥（南京路桥）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65DF29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南京路与丰收渠</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7100AE0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B50C4C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37.50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28E7EDD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36.00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7BB474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1350.00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1456A59">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71DC69A8">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015AB3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39036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D96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39</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6FFC414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中学路桥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7559F7B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中学路与菱溪路河交口</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5B972CA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50A8E4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20.50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21D2869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34.80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88167A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713.40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D6EDB43">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584F47A1">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6CAC38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383BF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FE1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40</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7EEABB5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文德桥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21CBB0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育新北巷跨内城河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6FE4BE5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6867D8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3.65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52244E2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27.20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ED4EF2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99.28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7AE26E2">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026D0684">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2B1CC3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3A6B9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364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41</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53D7A0F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世纪大道4号桥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3AAE030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金鹏山河境西北角 世纪大道上</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3E2B612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278330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49.00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603DC76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26.00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6614AD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1274.00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1DF0FC6">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1A335F45">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4D56E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54390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D48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42</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6F77031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清流路与黄山路</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77E808D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清流路与菱溪河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550F348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4F4D80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48.60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7437BFD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34.40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2B4F23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1671.84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4E290D0">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7EF14501">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4BD6A4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354B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E0C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43</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03EBD47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世纪大道1号桥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67ED24B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世纪大道与黄山路交口西</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50C21F2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8B46D8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45.40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2347A20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12.00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73986D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544.80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F3CDB75">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256051D5">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1D821E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5D354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3FA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44</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499984C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花山路桥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8FB543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花山路与撇洪沟</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0E328CB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008361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10.60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4247A57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30.60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32860C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324.36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B65A121">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71051DB4">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65FA12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411A5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E5D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45</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17F227C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扬子路桥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17DDD69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扬子路与丰收渠</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518283F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1BA28D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43.00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36CC848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17.00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0E18CA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731.00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5CA1A2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4C933CC0">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1DE567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7E164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4C5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46</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4B138D4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花园路与儒林路桥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6A929F7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花园路跨城西干渠</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43EAE49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41C0CC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49.20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27324D4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16.50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5247AB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811.80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A57B318">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525AF286">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7D674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2234E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360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47</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2C05744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九江路与南京路桥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58C05C3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九江路跨丰收渠</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1412456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F867FF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36.60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16A5C8A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34.80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183658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1273.68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DA5FB9F">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0F053262">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0E61B1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0BFF8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672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48</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352FE90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九江路与黄山路桥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6675191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九江路跨菱溪河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0668F61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3A3CB3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36.70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551FEDE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34.80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6B6685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1277.16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9D3F90F">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4B7DDC05">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23868E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53315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A1B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49</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329413C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黄山路与九江路桥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7D29C93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黄山路跨菱溪河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7FD4103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EB33E0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36.90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58AFC42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35.00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4B4426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1291.50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2ACFD94">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2D3795E8">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2AF38D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45FAD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752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50</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3285B4E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黄山路与扬子路桥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18A9A6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黄山路跨丰收渠</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6187165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A1CDC6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35.60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649B7DC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28.20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F9A5CD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1003.92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0C05CE3">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2378B90A">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6F0C2A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633A6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D54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51</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1A79F85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天龙池桥（曾用名：紫薇北路桥）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31BBC7E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紫薇路跨内城河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1DBFBC0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连续梁桥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5A35D0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623CC06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61.20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B59A9D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1836.00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B8E34B6">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1514FFB9">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7066A6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3CC19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369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52</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3D36FD5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南谯南路一号桥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40F6849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南谯南路与龙兴路辅道交口南</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72858B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086847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67.00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2FEC04D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35.70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F99267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2391.90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44CA9A2">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40A67C9C">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15D1D5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3B556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CF8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53</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0559F39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南谯南路二号桥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E1DB4A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南谯南路与恒丰路交口南</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5F7D1C6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AE4053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65.00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479A65D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35.80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0E53C6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2327.00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AF7C56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5D9ABE2C">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0849C4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65A29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99A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54</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6B0F108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滁州火车站广场人行天桥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155725E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火车站广场处</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372CC84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04B27C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3.60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2422DE1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24.90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AD5EA8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89.64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3C8B350">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142E54C1">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小桥（人行天桥）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778DB9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7EDB1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25F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55</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78E91FA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双龙桥（曾用名：南谯南路桥（跨龙蟠河））</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322312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南谯路与龙蟠河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15C5BCC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65BA4F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60.00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6D65B34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37.00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215CD1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2220.00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B33E782">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4B48BC69">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0242AE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0A55F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980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56</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2EA893F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保生桥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19139EC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南谯路与南湖/护城河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184BC0A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拱桥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E61232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51.20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6FAFA7B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60.00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B98C35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3072.00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E01ACEB">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6D6CF99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2ABDB0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1F554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082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57</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2719403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览山桥（曾用名：西涧路跨龙蟠河桥）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0A7F2D8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西涧路跨龙蟠河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5C543D2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连续梁桥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89D609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50.50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2152953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75.00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CBD7CE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3787.50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D4E715A">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4FEDD14A">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31CB6F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6C943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83A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58</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60A4D81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南大桥（通济桥）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655EA55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南谯路与内城河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0063288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拱桥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C585F8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41.00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2620FF2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52.50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023392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2152.50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739F9A9">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459B71C8">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35AE4E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27CE8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517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59</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171AB6F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西涧大桥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024D5E2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丰乐大道跨内城河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62F873F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双曲拱桥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73C16B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23.80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4DAF61D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87.00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4869F3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2070.60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6C60AF0">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5D5ACB39">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0B99A6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7F814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EA5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60</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32BE96B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闻莺桥（曾用名：永乐路龙蟠河桥）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074DA0E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永乐路跨龙蟠河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635F2A8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刚架拱桥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D18140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7.00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06D01EE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38.80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B12800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271.60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718AA9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IV类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35A1CEC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11B1F4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49520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239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61</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38E6A65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驿道桥（曾用名：凤阳路龙蟠河桥）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7D81643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凤阳路跨龙蟠河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64B96A2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9332FC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50.60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3DC631C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39.00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ECA169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1973.40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03306D0">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3C96B204">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2F6992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3F7A8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86D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62</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69C7961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陡岗桥（曾用名：全椒路龙蟠河桥）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628436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全椒路跨龙蟠河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0B953E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379165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44.10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0D634AC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37.00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44E733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1631.70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8EF20B1">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61BD9378">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75C717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77EE2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58D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63</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31765BE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蟠龙桥（曾用名：丰乐南路龙蟠河桥）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1D42158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丰乐南路跨龙蟠河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7EBE2C4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7E9F52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50.00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0BDE096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44.60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EF3965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2230.00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097492B">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26CD7093">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1DE73F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527F3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21D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64</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23444A6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书香桥（曾用名：中都大道桥）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00C511E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中都大道跨龙蟠路</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4BA3396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E8FE9A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60.00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3E15A39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37.00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72C3A9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2220.00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0B48C34">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40F8646C">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2139B3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794C2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38D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65</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4947DC6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古胜桥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7C4CB77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丰乐大道跨南湖</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4A5CF1A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拱桥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38C581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24.70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1855CBD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54.00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097B4E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1333.80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FA1E85C">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2F837E68">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65FE7B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0354A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FB7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66</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176383F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双郢桥（曾用名：儒林路桥）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79B069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阳明路跨龙蟠河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587248D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344EA0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24.20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4791C54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44.60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726E24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1079.32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F38A524">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3E77793E">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46DA3D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180E0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A29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67</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446BC86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上庄桥（曾用名：紫薇南路桥）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10F78A7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紫薇路跨龙蟠河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0B7BC5A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3D7C4B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44.80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161FB23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44.20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5242CE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1980.16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915CC04">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50C8CCE9">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7308DF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00AE5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042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68</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6B80432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拱极门桥（曾用名：南谯北路桥）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757B54F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南桥北路跨北湖桥</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5C0D570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拱桥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45D7AC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24.00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6CD6CD2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160.20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4FDEBA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3844.80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7E8CEF3">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7CBD0DDA">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766D29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0C814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A00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69</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1AE9210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知行桥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046C191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滁州学院内部路与西涧路交口</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58C33A4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连续梁桥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2EE1E5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47.00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50D632B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64.30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D29F0A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3022.10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32DEABF">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4526B5D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1D0B37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34128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9C9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70</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2D60388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明德桥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5BB3239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会峰路与西涧路交口</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C4C15E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4AA2EF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130.50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0B0583F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40.80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0380F9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5324.40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A29EB2E">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55AF4528">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3A5F14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7AA14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473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71</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0E7A4A6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野渡桥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63307BA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西涧北路跨城西水库南泄洪渠</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6481DB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连续梁桥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D6CE3A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21BE9A8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94.20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39975E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2826.00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E6ADFA5">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67784E89">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65F8D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434D9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043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72</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1A4C694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永乐路桥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52D845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永乐路与敬梓路交口北侧</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30E54DE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A76A71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50.00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1D08B66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26.20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3D137F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1310.00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CD06B38">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4459F8B4">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679F95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0A02B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216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73</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3E9899A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新大桥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6A62819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明光路桥北侧</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0EC15E2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空腹式板拱桥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AA207D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11.60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2C9E2C6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102.00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472CB8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1183.20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5F285C2">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30307168">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19C7F5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3CA0B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953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74</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7392953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迴龙桥（曾用名：金陵路桥）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445730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金陵路跨龙蟠河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8B78FD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20DFD6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60.30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6BA1515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35.20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490D43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2122.56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E32FAD7">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1CD31DC5">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021C38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1A4D9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B16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75</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1A40F0D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苏拢坝泄洪渠桥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32927FE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龙蟠河苏拢坝处</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0DB6AF7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885A65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8.00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01337B3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85.50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D56698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684.00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2A89B95">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1D38C03C">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7A9A18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48183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39B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76</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757A751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五川桥（曾用名：五孔桥）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1367276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老五孔桥</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78E5002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拱桥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332567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6.70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47F443B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137.50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2D3A4D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921.25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EEE0ACC">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09D08558">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2240DC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2B428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C50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77</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7486019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孟公桥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7CEF463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孟公巷跨内城河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CC2DF0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双曲拱桥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1CF9CF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3.90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69BAA6E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40.00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961366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156.00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5D22671">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78899D87">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792C02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2CDE1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27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78</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5F634AE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西方寺路桥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790E79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老年公寓西北扬子大道上</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5DF3DA5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AFDDED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25.50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1652833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39.00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D99FDD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994.50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E410B77">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0A12EF41">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D7F7F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35632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56A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79</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2F18196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南谯南路三号桥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45B661E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南谯南路与明湖大道北</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154C5BB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41E594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65.00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7BB4743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25.40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CF2392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1651.00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E654A44">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040E6BEF">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39CFE3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274A6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006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80</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675CE30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崇礼桥（曾用名：南谯南路与龙兴河桥）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7E28BBE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南谯南路与龙兴河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6F2435B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梁拱组合桥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B9E6E9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58.00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2BE85CF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105.08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CF82A5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6094.64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03C988B">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1243BC3F">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83239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5439A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720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81</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773DB58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梅圃桥（曾用名：全椒路与龙兴河桥）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7730FC3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全椒路与龙兴河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64F7EC1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梁拱组合桥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146C9F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51.00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66C8878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100.00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3591F1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5100.00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2AB5425">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3FC32365">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0AD5D5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70858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677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82</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600D926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西方寺桥（曾用名：新五孔桥）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6B51B38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遵阳街桥</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5E0DE84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连续梁桥+简支梁桥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71F295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8.00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6A69C1C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220.00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332085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1760.00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3949527">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5B3526F2">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7D701C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4A1A4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FEB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83</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0B110E6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昌盛路桥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7ABF16A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昌盛路K0+823.794~K0+963.704</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0C7A1CC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拉杆拱桥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024AA1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50.00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6406690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146.04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007B38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7302.00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A6CE3EB">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6007F921">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355FB6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2F9F5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2EC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84</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7D8AC31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腰坝桥（曾用名：新安江路桥）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627318F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新安江路与菱溪水渠</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3ABBE2E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3ABEEA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36.00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1BE848D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35.00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F19333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1260.00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5263C93">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79317B24">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32EFB3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7A3A0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375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85</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46042BE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菱溪路立交桥（曾用名：菱溪路跨世纪大道桥）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0F36BBA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菱溪路与世纪大道交口上方</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7EB7DB9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连续梁桥+简支梁桥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4B57AF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26.50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6C2412B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748.10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75BDE0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19824.65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AA8366E">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4B96695A">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6525F3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329DB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BD8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86</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0071FE6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腰铺人行天桥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473942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丰乐大道与京沪高铁南侧</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4EAF965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连续梁桥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BB46A1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4.40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6C95FAE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60.00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8584EA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264.00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AEE252C">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5DF28AD3">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中桥（人行天桥）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CDAF7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4AF1D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EFB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87</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10BC215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范郢人行天桥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693975F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第一污水处理厂南</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2524612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608E35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2.10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7DB4DFD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103.00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D18F3F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216.30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940CB64">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23220A9F">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中桥（人行天桥）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7C0E5D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63A93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D88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88</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62EC938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万达人行天桥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73D0A89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万达广场</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48CBBE1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E87EF3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3.60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55C804E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40.20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F93418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144.72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FFF4450">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197BB9D2">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中桥（人行天桥）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775F31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0208B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A44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89</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698BBD4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创业南路跨龙蟠河桥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28015F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创业路跨龙蟠河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483B3C9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连续梁桥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7C73DC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23.00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6A64872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315.00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C669DC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7245.00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B66E70D">
            <w:pPr>
              <w:keepNext w:val="0"/>
              <w:keepLines w:val="0"/>
              <w:widowControl w:val="0"/>
              <w:suppressLineNumbers w:val="0"/>
              <w:spacing w:before="0" w:beforeAutospacing="0" w:after="0" w:afterAutospacing="0"/>
              <w:ind w:left="0" w:right="0"/>
              <w:jc w:val="both"/>
              <w:rPr>
                <w:rFonts w:hint="eastAsia" w:ascii="宋体" w:hAnsi="宋体" w:eastAsia="宋体" w:cs="宋体"/>
                <w:i w:val="0"/>
                <w:iCs w:val="0"/>
                <w:color w:val="auto"/>
                <w:kern w:val="2"/>
                <w:sz w:val="21"/>
                <w:szCs w:val="21"/>
                <w:highlight w:val="none"/>
              </w:rPr>
            </w:pP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43DB38A9">
            <w:pPr>
              <w:keepNext w:val="0"/>
              <w:keepLines w:val="0"/>
              <w:widowControl w:val="0"/>
              <w:suppressLineNumbers w:val="0"/>
              <w:spacing w:before="0" w:beforeAutospacing="0" w:after="0" w:afterAutospacing="0"/>
              <w:ind w:left="0" w:right="0"/>
              <w:jc w:val="both"/>
              <w:rPr>
                <w:rFonts w:hint="eastAsia" w:ascii="宋体" w:hAnsi="宋体" w:eastAsia="宋体" w:cs="宋体"/>
                <w:i w:val="0"/>
                <w:iCs w:val="0"/>
                <w:color w:val="auto"/>
                <w:kern w:val="2"/>
                <w:sz w:val="21"/>
                <w:szCs w:val="21"/>
                <w:highlight w:val="none"/>
              </w:rPr>
            </w:pP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44051E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4BAE9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74A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90</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724E2E8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清琅大桥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C84ED2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西涧路跨清流河</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5E25909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斜拉桥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2E7E9F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1"/>
                <w:szCs w:val="21"/>
                <w:highlight w:val="none"/>
              </w:rPr>
            </w:pP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2AB1B6F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1"/>
                <w:szCs w:val="21"/>
                <w:highlight w:val="none"/>
              </w:rPr>
            </w:pP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F1CCFF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1"/>
                <w:szCs w:val="21"/>
                <w:highlight w:val="none"/>
              </w:rPr>
            </w:pP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E03D66B">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5551197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大桥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6F4E14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7C2B3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D3B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91</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33320F8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龙兴路下穿南谯路</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11C0B30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龙兴路与南谯路交口</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6016822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下穿桥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646316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35.00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62A2484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553.00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251DAB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19355.00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6D6F040">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64C61D76">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下穿</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7F4C85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10289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185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92</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6966668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龙兴路下穿丰乐大道</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4AC9FADD">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龙兴路与丰乐大道交口</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6A3786A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下穿桥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D8EDC7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35.00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0D73C3B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654.00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0B409B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22890.00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C424DE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2742237A">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下穿</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3384B7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50C97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402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93</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008F4B1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龙兴路下穿滁州大道</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1157CB5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龙兴路与滁州大道交口</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056B1114">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下穿桥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503643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35.90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6D7A8F2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554.00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16FC683">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19888.60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2F4DAE6">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17AA9218">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下穿</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48A309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3E808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AF3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94</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0BDE595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龙兴路1号桥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068786F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龙兴路与全椒路交口西侧</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5052C4D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7F04284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60.00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70204C9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36.00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A8E453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2160.00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68FE6DC5">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6A03902B">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61993C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6BCCA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84E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95</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3C6C813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龙兴路2号桥</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2BA5DFE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龙兴路与仁义路交口西侧</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08350CCC">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简支梁桥</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33C156F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60.00 </w:t>
            </w: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7DED34B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36.00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50567F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2160.00 </w:t>
            </w: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44D0E7D">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5F02CAB4">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小桥</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74C92C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354F7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CE9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96</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59D57207">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紫薇路1号人行道下穿</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7FFD5EB6">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紫薇路垃圾站附近</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7F4B360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1"/>
                <w:szCs w:val="21"/>
                <w:highlight w:val="none"/>
              </w:rPr>
            </w:pP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5D4C34F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1"/>
                <w:szCs w:val="21"/>
                <w:highlight w:val="none"/>
              </w:rPr>
            </w:pP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5E85ACF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1"/>
                <w:szCs w:val="21"/>
                <w:highlight w:val="none"/>
              </w:rPr>
            </w:pP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6D5BB8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1"/>
                <w:szCs w:val="21"/>
                <w:highlight w:val="none"/>
              </w:rPr>
            </w:pP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0CC6D037">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35698ABE">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下穿</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5B932F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r w14:paraId="40518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672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rPr>
            </w:pPr>
            <w:r>
              <w:rPr>
                <w:rFonts w:hint="eastAsia" w:ascii="宋体" w:hAnsi="宋体" w:eastAsia="宋体" w:cs="宋体"/>
                <w:i w:val="0"/>
                <w:iCs w:val="0"/>
                <w:color w:val="auto"/>
                <w:kern w:val="0"/>
                <w:sz w:val="21"/>
                <w:szCs w:val="21"/>
                <w:highlight w:val="none"/>
                <w:lang w:val="en-US" w:eastAsia="zh-CN" w:bidi="ar"/>
              </w:rPr>
              <w:t>97</w:t>
            </w:r>
          </w:p>
        </w:tc>
        <w:tc>
          <w:tcPr>
            <w:tcW w:w="3010" w:type="dxa"/>
            <w:tcBorders>
              <w:top w:val="single" w:color="000000" w:sz="4" w:space="0"/>
              <w:left w:val="nil"/>
              <w:bottom w:val="single" w:color="000000" w:sz="4" w:space="0"/>
              <w:right w:val="single" w:color="000000" w:sz="4" w:space="0"/>
            </w:tcBorders>
            <w:shd w:val="clear" w:color="auto" w:fill="auto"/>
            <w:noWrap/>
            <w:vAlign w:val="bottom"/>
          </w:tcPr>
          <w:p w14:paraId="2DB95C4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紫薇路2号人行道下穿</w:t>
            </w:r>
          </w:p>
        </w:tc>
        <w:tc>
          <w:tcPr>
            <w:tcW w:w="2865" w:type="dxa"/>
            <w:tcBorders>
              <w:top w:val="single" w:color="000000" w:sz="4" w:space="0"/>
              <w:left w:val="nil"/>
              <w:bottom w:val="single" w:color="000000" w:sz="4" w:space="0"/>
              <w:right w:val="single" w:color="000000" w:sz="4" w:space="0"/>
            </w:tcBorders>
            <w:shd w:val="clear" w:color="auto" w:fill="auto"/>
            <w:noWrap/>
            <w:vAlign w:val="bottom"/>
          </w:tcPr>
          <w:p w14:paraId="528CFC6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紫薇路与南谯路交口西</w:t>
            </w:r>
          </w:p>
        </w:tc>
        <w:tc>
          <w:tcPr>
            <w:tcW w:w="1425" w:type="dxa"/>
            <w:tcBorders>
              <w:top w:val="single" w:color="000000" w:sz="4" w:space="0"/>
              <w:left w:val="nil"/>
              <w:bottom w:val="single" w:color="000000" w:sz="4" w:space="0"/>
              <w:right w:val="single" w:color="000000" w:sz="4" w:space="0"/>
            </w:tcBorders>
            <w:shd w:val="clear" w:color="auto" w:fill="auto"/>
            <w:noWrap/>
            <w:vAlign w:val="bottom"/>
          </w:tcPr>
          <w:p w14:paraId="05874C3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1"/>
                <w:szCs w:val="21"/>
                <w:highlight w:val="none"/>
              </w:rPr>
            </w:pP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201DE7A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1"/>
                <w:szCs w:val="21"/>
                <w:highlight w:val="none"/>
              </w:rPr>
            </w:pPr>
          </w:p>
        </w:tc>
        <w:tc>
          <w:tcPr>
            <w:tcW w:w="1488" w:type="dxa"/>
            <w:tcBorders>
              <w:top w:val="single" w:color="000000" w:sz="4" w:space="0"/>
              <w:left w:val="nil"/>
              <w:bottom w:val="single" w:color="000000" w:sz="4" w:space="0"/>
              <w:right w:val="single" w:color="000000" w:sz="4" w:space="0"/>
            </w:tcBorders>
            <w:shd w:val="clear" w:color="auto" w:fill="auto"/>
            <w:noWrap/>
            <w:vAlign w:val="bottom"/>
          </w:tcPr>
          <w:p w14:paraId="643D1E4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1"/>
                <w:szCs w:val="21"/>
                <w:highlight w:val="none"/>
              </w:rPr>
            </w:pP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4B10EA2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kern w:val="2"/>
                <w:sz w:val="21"/>
                <w:szCs w:val="21"/>
                <w:highlight w:val="none"/>
              </w:rPr>
            </w:pPr>
          </w:p>
        </w:tc>
        <w:tc>
          <w:tcPr>
            <w:tcW w:w="1200" w:type="dxa"/>
            <w:tcBorders>
              <w:top w:val="single" w:color="000000" w:sz="4" w:space="0"/>
              <w:left w:val="nil"/>
              <w:bottom w:val="single" w:color="000000" w:sz="4" w:space="0"/>
              <w:right w:val="single" w:color="000000" w:sz="4" w:space="0"/>
            </w:tcBorders>
            <w:shd w:val="clear" w:color="auto" w:fill="auto"/>
            <w:noWrap/>
            <w:vAlign w:val="bottom"/>
          </w:tcPr>
          <w:p w14:paraId="17B59362">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III类</w:t>
            </w:r>
          </w:p>
        </w:tc>
        <w:tc>
          <w:tcPr>
            <w:tcW w:w="1176" w:type="dxa"/>
            <w:tcBorders>
              <w:top w:val="single" w:color="000000" w:sz="4" w:space="0"/>
              <w:left w:val="nil"/>
              <w:bottom w:val="single" w:color="000000" w:sz="4" w:space="0"/>
              <w:right w:val="single" w:color="000000" w:sz="4" w:space="0"/>
            </w:tcBorders>
            <w:shd w:val="clear" w:color="auto" w:fill="auto"/>
            <w:noWrap/>
            <w:vAlign w:val="bottom"/>
          </w:tcPr>
          <w:p w14:paraId="7C53C3D8">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auto"/>
                <w:kern w:val="2"/>
                <w:sz w:val="21"/>
                <w:szCs w:val="21"/>
                <w:highlight w:val="none"/>
              </w:rPr>
            </w:pPr>
            <w:r>
              <w:rPr>
                <w:rFonts w:hint="eastAsia" w:ascii="宋体" w:hAnsi="宋体" w:eastAsia="宋体" w:cs="宋体"/>
                <w:i w:val="0"/>
                <w:iCs w:val="0"/>
                <w:color w:val="auto"/>
                <w:kern w:val="0"/>
                <w:sz w:val="21"/>
                <w:szCs w:val="21"/>
                <w:highlight w:val="none"/>
                <w:lang w:val="en-US" w:eastAsia="zh-CN" w:bidi="ar"/>
              </w:rPr>
              <w:t>下穿</w:t>
            </w:r>
          </w:p>
        </w:tc>
        <w:tc>
          <w:tcPr>
            <w:tcW w:w="795" w:type="dxa"/>
            <w:tcBorders>
              <w:top w:val="single" w:color="000000" w:sz="4" w:space="0"/>
              <w:left w:val="nil"/>
              <w:bottom w:val="single" w:color="000000" w:sz="4" w:space="0"/>
              <w:right w:val="single" w:color="000000" w:sz="4" w:space="0"/>
            </w:tcBorders>
            <w:shd w:val="clear" w:color="auto" w:fill="auto"/>
            <w:noWrap/>
            <w:vAlign w:val="center"/>
          </w:tcPr>
          <w:p w14:paraId="427324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rPr>
            </w:pPr>
          </w:p>
        </w:tc>
      </w:tr>
    </w:tbl>
    <w:p w14:paraId="75EAC20E">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078153E0">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1.2 本项目采用的桥梁检测技术标准与规范</w:t>
      </w:r>
    </w:p>
    <w:p w14:paraId="732F0B47">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1)本项目的桥梁检测过程、检测数据采集、处理和检测结果、报告等必须要符合并执行国家、行业现行有效的标准、规范。</w:t>
      </w:r>
    </w:p>
    <w:p w14:paraId="2B5E9771">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2)在桥梁检测过程中，如果国家、行业及有关部门颁布了新的技术标准或规范，则应采用新的标准或规范进行检测。</w:t>
      </w:r>
    </w:p>
    <w:p w14:paraId="679595B7">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3)中标人在桥梁检测工作中必须使用中华人民共和国《工程建设标准强制性条文》和下述标准、规范（可能使用但不限于下述标准或规范）：</w:t>
      </w:r>
    </w:p>
    <w:tbl>
      <w:tblPr>
        <w:tblStyle w:val="23"/>
        <w:tblW w:w="0" w:type="auto"/>
        <w:tblInd w:w="52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121"/>
        <w:gridCol w:w="5817"/>
      </w:tblGrid>
      <w:tr w14:paraId="1B2B5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8" w:hRule="atLeast"/>
        </w:trPr>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91CCD">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 (JTG 5120-2021)</w:t>
            </w:r>
          </w:p>
        </w:tc>
        <w:tc>
          <w:tcPr>
            <w:tcW w:w="5817" w:type="dxa"/>
            <w:tcBorders>
              <w:top w:val="single" w:color="000000" w:sz="4" w:space="0"/>
              <w:left w:val="nil"/>
              <w:bottom w:val="single" w:color="000000" w:sz="4" w:space="0"/>
              <w:right w:val="single" w:color="000000" w:sz="4" w:space="0"/>
            </w:tcBorders>
            <w:shd w:val="clear" w:color="auto" w:fill="auto"/>
            <w:vAlign w:val="center"/>
          </w:tcPr>
          <w:p w14:paraId="399944AB">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《公路桥涵养护规范》</w:t>
            </w:r>
          </w:p>
        </w:tc>
      </w:tr>
      <w:tr w14:paraId="0BD9C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4" w:hRule="atLeast"/>
        </w:trPr>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29CBD">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 (JTG B01-2014)</w:t>
            </w:r>
          </w:p>
        </w:tc>
        <w:tc>
          <w:tcPr>
            <w:tcW w:w="5817" w:type="dxa"/>
            <w:tcBorders>
              <w:top w:val="single" w:color="000000" w:sz="4" w:space="0"/>
              <w:left w:val="nil"/>
              <w:bottom w:val="single" w:color="000000" w:sz="4" w:space="0"/>
              <w:right w:val="single" w:color="000000" w:sz="4" w:space="0"/>
            </w:tcBorders>
            <w:shd w:val="clear" w:color="auto" w:fill="auto"/>
            <w:vAlign w:val="center"/>
          </w:tcPr>
          <w:p w14:paraId="7AD7B5E0">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《公路工程技术标准》</w:t>
            </w:r>
          </w:p>
        </w:tc>
      </w:tr>
      <w:tr w14:paraId="5DE04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21FC9">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 (JTG/T 5190-2019)</w:t>
            </w:r>
          </w:p>
        </w:tc>
        <w:tc>
          <w:tcPr>
            <w:tcW w:w="5817" w:type="dxa"/>
            <w:tcBorders>
              <w:top w:val="single" w:color="000000" w:sz="4" w:space="0"/>
              <w:left w:val="nil"/>
              <w:bottom w:val="single" w:color="000000" w:sz="4" w:space="0"/>
              <w:right w:val="single" w:color="000000" w:sz="4" w:space="0"/>
            </w:tcBorders>
            <w:shd w:val="clear" w:color="auto" w:fill="auto"/>
            <w:vAlign w:val="center"/>
          </w:tcPr>
          <w:p w14:paraId="1BAFBF38">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《农村公路养护技术规范》</w:t>
            </w:r>
          </w:p>
        </w:tc>
      </w:tr>
      <w:tr w14:paraId="0CE47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1" w:hRule="atLeast"/>
        </w:trPr>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1DCC3">
            <w:pPr>
              <w:keepNext w:val="0"/>
              <w:keepLines w:val="0"/>
              <w:widowControl w:val="0"/>
              <w:numPr>
                <w:ilvl w:val="0"/>
                <w:numId w:val="4"/>
              </w:numPr>
              <w:suppressLineNumbers w:val="0"/>
              <w:spacing w:before="0" w:beforeAutospacing="0" w:after="0" w:afterAutospacing="0" w:line="440" w:lineRule="exact"/>
              <w:ind w:left="0" w:leftChars="0" w:right="0" w:rightChars="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(JTG D60-2015)</w:t>
            </w:r>
          </w:p>
        </w:tc>
        <w:tc>
          <w:tcPr>
            <w:tcW w:w="5817" w:type="dxa"/>
            <w:tcBorders>
              <w:top w:val="single" w:color="000000" w:sz="4" w:space="0"/>
              <w:left w:val="nil"/>
              <w:bottom w:val="single" w:color="000000" w:sz="4" w:space="0"/>
              <w:right w:val="single" w:color="000000" w:sz="4" w:space="0"/>
            </w:tcBorders>
            <w:shd w:val="clear" w:color="auto" w:fill="auto"/>
            <w:vAlign w:val="center"/>
          </w:tcPr>
          <w:p w14:paraId="5757D864">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《公路桥涵设计通用规范》</w:t>
            </w:r>
          </w:p>
        </w:tc>
      </w:tr>
      <w:tr w14:paraId="1CECF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B7CEA">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 (</w:t>
            </w:r>
            <w:r>
              <w:rPr>
                <w:rFonts w:hint="eastAsia" w:ascii="宋体" w:hAnsi="宋体" w:eastAsia="宋体" w:cs="宋体"/>
                <w:color w:val="auto"/>
                <w:kern w:val="2"/>
                <w:sz w:val="21"/>
                <w:szCs w:val="21"/>
                <w:highlight w:val="none"/>
                <w:u w:val="none"/>
              </w:rPr>
              <w:t>JTG 3362-2018</w:t>
            </w:r>
            <w:r>
              <w:rPr>
                <w:rFonts w:hint="eastAsia" w:ascii="宋体" w:hAnsi="宋体" w:eastAsia="宋体" w:cs="宋体"/>
                <w:color w:val="auto"/>
                <w:kern w:val="2"/>
                <w:sz w:val="21"/>
                <w:szCs w:val="21"/>
                <w:highlight w:val="none"/>
                <w:lang w:val="en-US" w:eastAsia="zh-CN" w:bidi="ar"/>
              </w:rPr>
              <w:t>)</w:t>
            </w:r>
          </w:p>
        </w:tc>
        <w:tc>
          <w:tcPr>
            <w:tcW w:w="5817" w:type="dxa"/>
            <w:tcBorders>
              <w:top w:val="single" w:color="000000" w:sz="4" w:space="0"/>
              <w:left w:val="nil"/>
              <w:bottom w:val="single" w:color="000000" w:sz="4" w:space="0"/>
              <w:right w:val="single" w:color="000000" w:sz="4" w:space="0"/>
            </w:tcBorders>
            <w:shd w:val="clear" w:color="auto" w:fill="auto"/>
            <w:vAlign w:val="center"/>
          </w:tcPr>
          <w:p w14:paraId="467563CC">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《公路钢筋混凝土及预应力混凝土桥涵设计规范》</w:t>
            </w:r>
          </w:p>
        </w:tc>
      </w:tr>
      <w:tr w14:paraId="304F2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 w:hRule="atLeast"/>
        </w:trPr>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3D7DB">
            <w:pPr>
              <w:keepNext w:val="0"/>
              <w:keepLines w:val="0"/>
              <w:widowControl w:val="0"/>
              <w:numPr>
                <w:ilvl w:val="0"/>
                <w:numId w:val="4"/>
              </w:numPr>
              <w:suppressLineNumbers w:val="0"/>
              <w:spacing w:before="0" w:beforeAutospacing="0" w:after="0" w:afterAutospacing="0" w:line="440" w:lineRule="exact"/>
              <w:ind w:left="0" w:leftChars="0" w:right="0" w:rightChars="0" w:firstLine="0" w:firstLineChars="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(JTG D61-2005)</w:t>
            </w:r>
          </w:p>
        </w:tc>
        <w:tc>
          <w:tcPr>
            <w:tcW w:w="5817" w:type="dxa"/>
            <w:tcBorders>
              <w:top w:val="single" w:color="000000" w:sz="4" w:space="0"/>
              <w:left w:val="nil"/>
              <w:bottom w:val="single" w:color="000000" w:sz="4" w:space="0"/>
              <w:right w:val="single" w:color="000000" w:sz="4" w:space="0"/>
            </w:tcBorders>
            <w:shd w:val="clear" w:color="auto" w:fill="auto"/>
            <w:vAlign w:val="center"/>
          </w:tcPr>
          <w:p w14:paraId="6432256A">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《公路圬工桥涵设计规范》</w:t>
            </w:r>
          </w:p>
        </w:tc>
      </w:tr>
      <w:tr w14:paraId="4C74A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30451">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7. (JTG/T 3650-2020)</w:t>
            </w:r>
          </w:p>
        </w:tc>
        <w:tc>
          <w:tcPr>
            <w:tcW w:w="5817" w:type="dxa"/>
            <w:tcBorders>
              <w:top w:val="single" w:color="000000" w:sz="4" w:space="0"/>
              <w:left w:val="nil"/>
              <w:bottom w:val="single" w:color="000000" w:sz="4" w:space="0"/>
              <w:right w:val="single" w:color="000000" w:sz="4" w:space="0"/>
            </w:tcBorders>
            <w:shd w:val="clear" w:color="auto" w:fill="auto"/>
            <w:vAlign w:val="center"/>
          </w:tcPr>
          <w:p w14:paraId="269E5B1F">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《公路桥涵施工技术规范》</w:t>
            </w:r>
          </w:p>
        </w:tc>
      </w:tr>
      <w:tr w14:paraId="3A6AE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7" w:hRule="atLeast"/>
        </w:trPr>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BD4F0">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8. (JT/T 4-2019)</w:t>
            </w:r>
          </w:p>
        </w:tc>
        <w:tc>
          <w:tcPr>
            <w:tcW w:w="5817" w:type="dxa"/>
            <w:tcBorders>
              <w:top w:val="single" w:color="000000" w:sz="4" w:space="0"/>
              <w:left w:val="nil"/>
              <w:bottom w:val="single" w:color="000000" w:sz="4" w:space="0"/>
              <w:right w:val="single" w:color="000000" w:sz="4" w:space="0"/>
            </w:tcBorders>
            <w:shd w:val="clear" w:color="auto" w:fill="auto"/>
            <w:vAlign w:val="center"/>
          </w:tcPr>
          <w:p w14:paraId="555F0150">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《公路桥梁板式橡胶支座》</w:t>
            </w:r>
          </w:p>
        </w:tc>
      </w:tr>
      <w:tr w14:paraId="40677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trPr>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4201A">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9. (JT/T 327-2016)</w:t>
            </w:r>
          </w:p>
        </w:tc>
        <w:tc>
          <w:tcPr>
            <w:tcW w:w="5817" w:type="dxa"/>
            <w:tcBorders>
              <w:top w:val="single" w:color="000000" w:sz="4" w:space="0"/>
              <w:left w:val="nil"/>
              <w:bottom w:val="single" w:color="000000" w:sz="4" w:space="0"/>
              <w:right w:val="single" w:color="000000" w:sz="4" w:space="0"/>
            </w:tcBorders>
            <w:shd w:val="clear" w:color="auto" w:fill="auto"/>
            <w:vAlign w:val="center"/>
          </w:tcPr>
          <w:p w14:paraId="52DFFF72">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《公路桥梁伸缩装置通用技术条件》</w:t>
            </w:r>
          </w:p>
        </w:tc>
      </w:tr>
      <w:tr w14:paraId="7AD33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E15FA">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10. (JT/T 985-2015)</w:t>
            </w:r>
          </w:p>
        </w:tc>
        <w:tc>
          <w:tcPr>
            <w:tcW w:w="5817" w:type="dxa"/>
            <w:tcBorders>
              <w:top w:val="single" w:color="000000" w:sz="4" w:space="0"/>
              <w:left w:val="nil"/>
              <w:bottom w:val="single" w:color="000000" w:sz="4" w:space="0"/>
              <w:right w:val="single" w:color="000000" w:sz="4" w:space="0"/>
            </w:tcBorders>
            <w:shd w:val="clear" w:color="auto" w:fill="auto"/>
            <w:vAlign w:val="center"/>
          </w:tcPr>
          <w:p w14:paraId="129AB195">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《公路桥涵用耐久混凝土》</w:t>
            </w:r>
          </w:p>
        </w:tc>
      </w:tr>
      <w:tr w14:paraId="0945F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368C1">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11. (JTG 3363-2019)</w:t>
            </w:r>
          </w:p>
        </w:tc>
        <w:tc>
          <w:tcPr>
            <w:tcW w:w="5817" w:type="dxa"/>
            <w:tcBorders>
              <w:top w:val="single" w:color="000000" w:sz="4" w:space="0"/>
              <w:left w:val="nil"/>
              <w:bottom w:val="single" w:color="000000" w:sz="4" w:space="0"/>
              <w:right w:val="single" w:color="000000" w:sz="4" w:space="0"/>
            </w:tcBorders>
            <w:shd w:val="clear" w:color="auto" w:fill="auto"/>
            <w:vAlign w:val="center"/>
          </w:tcPr>
          <w:p w14:paraId="7439B3FA">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《公路桥涵地基与基础设计规范》</w:t>
            </w:r>
          </w:p>
        </w:tc>
      </w:tr>
      <w:tr w14:paraId="1DBFE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A67E6">
            <w:pPr>
              <w:keepNext w:val="0"/>
              <w:keepLines w:val="0"/>
              <w:widowControl w:val="0"/>
              <w:numPr>
                <w:ilvl w:val="0"/>
                <w:numId w:val="5"/>
              </w:numPr>
              <w:suppressLineNumbers w:val="0"/>
              <w:spacing w:before="0" w:beforeAutospacing="0" w:after="0" w:afterAutospacing="0" w:line="440" w:lineRule="exact"/>
              <w:ind w:left="0" w:leftChars="0" w:right="0" w:rightChars="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(JTG H30-2015)</w:t>
            </w:r>
          </w:p>
        </w:tc>
        <w:tc>
          <w:tcPr>
            <w:tcW w:w="5817" w:type="dxa"/>
            <w:tcBorders>
              <w:top w:val="single" w:color="000000" w:sz="4" w:space="0"/>
              <w:left w:val="nil"/>
              <w:bottom w:val="single" w:color="000000" w:sz="4" w:space="0"/>
              <w:right w:val="single" w:color="000000" w:sz="4" w:space="0"/>
            </w:tcBorders>
            <w:shd w:val="clear" w:color="auto" w:fill="auto"/>
            <w:vAlign w:val="center"/>
          </w:tcPr>
          <w:p w14:paraId="146DDB34">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《公路养护安全作业规程》</w:t>
            </w:r>
          </w:p>
        </w:tc>
      </w:tr>
      <w:tr w14:paraId="13325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 w:hRule="atLeast"/>
        </w:trPr>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681F6">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13. (JTG/T J21-2011)</w:t>
            </w:r>
          </w:p>
        </w:tc>
        <w:tc>
          <w:tcPr>
            <w:tcW w:w="5817" w:type="dxa"/>
            <w:tcBorders>
              <w:top w:val="single" w:color="000000" w:sz="4" w:space="0"/>
              <w:left w:val="nil"/>
              <w:bottom w:val="single" w:color="000000" w:sz="4" w:space="0"/>
              <w:right w:val="single" w:color="000000" w:sz="4" w:space="0"/>
            </w:tcBorders>
            <w:shd w:val="clear" w:color="auto" w:fill="auto"/>
            <w:vAlign w:val="center"/>
          </w:tcPr>
          <w:p w14:paraId="2D936B21">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《公路桥梁承载能力检测评定规程》</w:t>
            </w:r>
          </w:p>
        </w:tc>
      </w:tr>
      <w:tr w14:paraId="50E6E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 w:hRule="atLeast"/>
        </w:trPr>
        <w:tc>
          <w:tcPr>
            <w:tcW w:w="31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3C77A">
            <w:pPr>
              <w:keepNext w:val="0"/>
              <w:keepLines w:val="0"/>
              <w:widowControl w:val="0"/>
              <w:numPr>
                <w:ilvl w:val="0"/>
                <w:numId w:val="6"/>
              </w:numPr>
              <w:suppressLineNumbers w:val="0"/>
              <w:spacing w:before="0" w:beforeAutospacing="0" w:after="0" w:afterAutospacing="0" w:line="440" w:lineRule="exact"/>
              <w:ind w:left="0" w:leftChars="0" w:right="0" w:rightChars="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(CJJ 99-2017)</w:t>
            </w:r>
          </w:p>
        </w:tc>
        <w:tc>
          <w:tcPr>
            <w:tcW w:w="5817" w:type="dxa"/>
            <w:tcBorders>
              <w:top w:val="single" w:color="000000" w:sz="4" w:space="0"/>
              <w:left w:val="nil"/>
              <w:bottom w:val="single" w:color="000000" w:sz="4" w:space="0"/>
              <w:right w:val="single" w:color="000000" w:sz="4" w:space="0"/>
            </w:tcBorders>
            <w:shd w:val="clear" w:color="auto" w:fill="auto"/>
            <w:vAlign w:val="center"/>
          </w:tcPr>
          <w:p w14:paraId="5F71C6A8">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《城市桥梁养护技术标准》</w:t>
            </w:r>
          </w:p>
        </w:tc>
      </w:tr>
    </w:tbl>
    <w:p w14:paraId="1AA815C8">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4)中标人在桥梁检测工作中使用或参考上述标准、规范以外的技术标准、规范时，应征得采购人或采购人指定代表人的同意。</w:t>
      </w:r>
    </w:p>
    <w:p w14:paraId="2CED37E2">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1.3 桥梁定期检测内容：</w:t>
      </w:r>
    </w:p>
    <w:p w14:paraId="5DB21EE5">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①结构质量检查：对所有桥梁的结构历史和现状进行调查，对结构尺寸复核，检测桥梁结构各构件、材料以及当前使用状态下存在的缺陷、病害，并进行有效的描述，分析原因。②桥梁检测应包括下列内容（但不限于）：桥头引道、桥跨结构及其部件检测、桥梁几何尺寸检测、外观破损检测、支座情况检测、桥面系检测、附属设施现状检测；材料强度检测、裂缝检测、钢筋锈蚀状况检测、钢筋保护层厚度检测等。③结构承载力检算分析：根据桥梁检测结果，按实测桥梁结构的工作状态进行结构检算，以确定桥梁的承载能力和安全使用性能。④结构荷载试验：根据检测的实际情况，通过建模检算对必要的桥梁进行动、静载试验，检验其承载能力和安全使用性能。⑤对桥梁桥面系、上部结构、下部结构和全桥进行构件技术状况评定。⑥结构承载能力评定：结合结构质量检查、结构检算和荷载试验评估桥梁承载能力，对桥梁技术状况进行综合评定。⑦承载力试验结果不满足的桥梁：在加固改善之前，应给出确保桥梁使用安全的限载、限速或封闭交通的措施、监测结构变化状况方法的建议。⑧检测后，需要与往年的检测结论进行对比和分析，进一步分析确认桥梁的健康状态。</w:t>
      </w:r>
    </w:p>
    <w:p w14:paraId="79DBDB11">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1.4</w:t>
      </w:r>
      <w:r>
        <w:rPr>
          <w:rFonts w:hint="eastAsia" w:ascii="宋体" w:hAnsi="宋体" w:eastAsia="宋体" w:cs="宋体"/>
          <w:b/>
          <w:bCs/>
          <w:color w:val="auto"/>
          <w:kern w:val="2"/>
          <w:sz w:val="24"/>
          <w:szCs w:val="24"/>
          <w:highlight w:val="none"/>
          <w:lang w:val="en-US" w:eastAsia="zh-CN" w:bidi="ar"/>
        </w:rPr>
        <w:tab/>
      </w:r>
      <w:r>
        <w:rPr>
          <w:rFonts w:hint="eastAsia" w:ascii="宋体" w:hAnsi="宋体" w:eastAsia="宋体" w:cs="宋体"/>
          <w:b/>
          <w:bCs/>
          <w:color w:val="auto"/>
          <w:kern w:val="2"/>
          <w:sz w:val="24"/>
          <w:szCs w:val="24"/>
          <w:highlight w:val="none"/>
          <w:lang w:val="en-US" w:eastAsia="zh-CN" w:bidi="ar"/>
        </w:rPr>
        <w:t>本项目服务期：一年（包含检测报告完成并通过专家评审）。</w:t>
      </w:r>
    </w:p>
    <w:p w14:paraId="3881218F">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1.5</w:t>
      </w:r>
      <w:r>
        <w:rPr>
          <w:rFonts w:hint="eastAsia" w:ascii="宋体" w:hAnsi="宋体" w:eastAsia="宋体" w:cs="宋体"/>
          <w:b/>
          <w:bCs/>
          <w:color w:val="auto"/>
          <w:kern w:val="2"/>
          <w:sz w:val="24"/>
          <w:szCs w:val="24"/>
          <w:highlight w:val="none"/>
          <w:lang w:val="en-US" w:eastAsia="zh-CN" w:bidi="ar"/>
        </w:rPr>
        <w:tab/>
      </w:r>
      <w:r>
        <w:rPr>
          <w:rFonts w:hint="eastAsia" w:ascii="宋体" w:hAnsi="宋体" w:eastAsia="宋体" w:cs="宋体"/>
          <w:b/>
          <w:bCs/>
          <w:color w:val="auto"/>
          <w:kern w:val="2"/>
          <w:sz w:val="24"/>
          <w:szCs w:val="24"/>
          <w:highlight w:val="none"/>
          <w:lang w:val="en-US" w:eastAsia="zh-CN" w:bidi="ar"/>
        </w:rPr>
        <w:t>供应商的报价应含完成本项目检测所需的人工费、材料费、机械费、税金、规费及桥梁检测费用、资料整理、评审费用、招标代理服务费、桥检车费、国家对中标单位征收的各种税费及完成本项目所需其他所有费用；供应商应按照采购人提供的招标文件等内容，依据国家规定的收费标准，结合企业自身情况和市场行情分析各项费用，确定项目检测投标总报价，投标报价今后将不作任何调整。采购人不再为此次招标项目的完成支付任何费用。</w:t>
      </w:r>
    </w:p>
    <w:p w14:paraId="2242FF22">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1.6</w:t>
      </w:r>
      <w:r>
        <w:rPr>
          <w:rFonts w:hint="eastAsia" w:ascii="宋体" w:hAnsi="宋体" w:eastAsia="宋体" w:cs="宋体"/>
          <w:color w:val="auto"/>
          <w:kern w:val="2"/>
          <w:sz w:val="24"/>
          <w:szCs w:val="24"/>
          <w:highlight w:val="none"/>
          <w:lang w:val="en-US" w:eastAsia="zh-CN" w:bidi="ar"/>
        </w:rPr>
        <w:tab/>
      </w:r>
      <w:r>
        <w:rPr>
          <w:rFonts w:hint="eastAsia" w:ascii="宋体" w:hAnsi="宋体" w:eastAsia="宋体" w:cs="宋体"/>
          <w:color w:val="auto"/>
          <w:kern w:val="2"/>
          <w:sz w:val="24"/>
          <w:szCs w:val="24"/>
          <w:highlight w:val="none"/>
          <w:lang w:val="en-US" w:eastAsia="zh-CN" w:bidi="ar"/>
        </w:rPr>
        <w:t>供应商应充分考虑工程数量、现场情况、交通、天气等因素，结合自身实际情况进行报价。</w:t>
      </w:r>
    </w:p>
    <w:p w14:paraId="52278735">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1)本项目所使用的材料、机械设备、车辆等均由供应商自行配备；</w:t>
      </w:r>
    </w:p>
    <w:p w14:paraId="489E72C1">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2)本项目已考虑因项目变化和项目单价调整而导致检测费用的调整。</w:t>
      </w:r>
    </w:p>
    <w:p w14:paraId="0F56BBCD">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1.7</w:t>
      </w:r>
      <w:r>
        <w:rPr>
          <w:rFonts w:hint="eastAsia" w:ascii="宋体" w:hAnsi="宋体" w:eastAsia="宋体" w:cs="宋体"/>
          <w:color w:val="auto"/>
          <w:kern w:val="2"/>
          <w:sz w:val="24"/>
          <w:szCs w:val="24"/>
          <w:highlight w:val="none"/>
          <w:lang w:val="en-US" w:eastAsia="zh-CN" w:bidi="ar"/>
        </w:rPr>
        <w:tab/>
      </w:r>
      <w:r>
        <w:rPr>
          <w:rFonts w:hint="eastAsia" w:ascii="宋体" w:hAnsi="宋体" w:eastAsia="宋体" w:cs="宋体"/>
          <w:color w:val="auto"/>
          <w:kern w:val="2"/>
          <w:sz w:val="24"/>
          <w:szCs w:val="24"/>
          <w:highlight w:val="none"/>
          <w:lang w:val="en-US" w:eastAsia="zh-CN" w:bidi="ar"/>
        </w:rPr>
        <w:t>采购人有权在签订合同时对项目方案作适当调整或修改。</w:t>
      </w:r>
    </w:p>
    <w:p w14:paraId="1C43BC38">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1.8</w:t>
      </w:r>
      <w:r>
        <w:rPr>
          <w:rFonts w:hint="eastAsia" w:ascii="宋体" w:hAnsi="宋体" w:eastAsia="宋体" w:cs="宋体"/>
          <w:color w:val="auto"/>
          <w:kern w:val="2"/>
          <w:sz w:val="24"/>
          <w:szCs w:val="24"/>
          <w:highlight w:val="none"/>
          <w:lang w:val="en-US" w:eastAsia="zh-CN" w:bidi="ar"/>
        </w:rPr>
        <w:tab/>
      </w:r>
      <w:r>
        <w:rPr>
          <w:rFonts w:hint="eastAsia" w:ascii="宋体" w:hAnsi="宋体" w:eastAsia="宋体" w:cs="宋体"/>
          <w:color w:val="auto"/>
          <w:kern w:val="2"/>
          <w:sz w:val="24"/>
          <w:szCs w:val="24"/>
          <w:highlight w:val="none"/>
          <w:lang w:val="en-US" w:eastAsia="zh-CN" w:bidi="ar"/>
        </w:rPr>
        <w:t>供应商中标后不得再以任何方式转包或分包本项目。</w:t>
      </w:r>
    </w:p>
    <w:p w14:paraId="144287AA">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1.9检测项目必须执行国家、行业现行有效的标准和规范。</w:t>
      </w:r>
    </w:p>
    <w:p w14:paraId="3386A67B">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1.10供应商必须具有科学的质量管理体系，在检测实施方案中应描述各阶段的质量保证标准及措施。</w:t>
      </w:r>
    </w:p>
    <w:p w14:paraId="6E0ADFEF">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1.11供应商必须对本项目投入满足检测需求的试验检测人员，所投入的试验检测人员必须持有交通部或建设部颁发的桥梁检测资格证书（资格证书要在有效期内）和专业的技术知识及检测经验。</w:t>
      </w:r>
    </w:p>
    <w:p w14:paraId="0A54A62C">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1.12供应商应配备足够的检测仪器设备，检测仪器设备必须在检定/校准有效期内。</w:t>
      </w:r>
    </w:p>
    <w:p w14:paraId="12E2DE88">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1.13检测过程要求：</w:t>
      </w:r>
    </w:p>
    <w:p w14:paraId="09172E7D">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1)检测工作人员要熟悉并严格按照试验检测规程和方法，做好试验检测工作，同时做好原始数据记录；</w:t>
      </w:r>
    </w:p>
    <w:p w14:paraId="76223E73">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2)各试验检测工作校核者应掌握试验检测规程和技术，检查数据与原始记录符合，事实符合，严格按照规范进行； </w:t>
      </w:r>
    </w:p>
    <w:p w14:paraId="1B7007AA">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3)审核者保证程序合法，审核有效。</w:t>
      </w:r>
    </w:p>
    <w:p w14:paraId="59D73C50">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1.14本项目的检测质量不符合要求或质量不合格者，采购人有权要求中标人停工和返工，返工费用由中标人承担，工期不予顺延。</w:t>
      </w:r>
    </w:p>
    <w:p w14:paraId="1DCBD7C5">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1.15本项目中根据检测结果，需要做动静载试验的，所需费用包含在投标报价中；清流路跨清流河桥本次必须做动静载试验，费用也包含在投标报价中。请各潜在投标人综合考虑风险，谨慎报价。</w:t>
      </w:r>
    </w:p>
    <w:p w14:paraId="4F58F74E">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2．检测报告要求</w:t>
      </w:r>
    </w:p>
    <w:p w14:paraId="5DD91AB2">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1）检测目的、检测内容、检测依据、概述检测的一般情况，包括桥梁的基本情况、检测的组织时间、背景和工作过程等；</w:t>
      </w:r>
    </w:p>
    <w:p w14:paraId="6A102547">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2）桥梁正面照片、立面照片；</w:t>
      </w:r>
    </w:p>
    <w:p w14:paraId="31C52573">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3）桥梁检测数据表；</w:t>
      </w:r>
    </w:p>
    <w:p w14:paraId="1A1C8FAC">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4）完善城市桥梁资料卡（CJJ99-2017附录B）；</w:t>
      </w:r>
    </w:p>
    <w:p w14:paraId="0AFDC561">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5）缺损和病害的部位应附数码照片及说明，缺损和病害状况的描述采用专业术语，说明缺损和病害的部位、类型、性质、范围、数量和程度等；分析缺损和病害的成因；</w:t>
      </w:r>
    </w:p>
    <w:p w14:paraId="52351A7B">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6）技术状况构件评定表；</w:t>
      </w:r>
    </w:p>
    <w:p w14:paraId="09FE1280">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7）对存在缺损和病害的部位给出明确的结论和养护对策及相关维修、加固建议；对存在重大安全隐患的桥梁给出明确的结论和建议；</w:t>
      </w:r>
    </w:p>
    <w:p w14:paraId="24618B51">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对桥梁技术状况进行综合评估：桥面系、上部结构、下部结构和全桥评估。应采用先分部位再综合的方法评估。对于做动、静载试验的桥梁明确承载能力；未做动、静载试验的桥梁根据检测实际情况，科学地给出建议限载吨位；</w:t>
      </w:r>
    </w:p>
    <w:p w14:paraId="05D56AE6">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9）应将每座桥梁的检测报告单独装订成册，一式六份。</w:t>
      </w:r>
    </w:p>
    <w:p w14:paraId="1A6839C1">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3．工程项目管理</w:t>
      </w:r>
    </w:p>
    <w:p w14:paraId="275BDA79">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3.1</w:t>
      </w:r>
      <w:r>
        <w:rPr>
          <w:rFonts w:hint="eastAsia" w:ascii="宋体" w:hAnsi="宋体" w:eastAsia="宋体" w:cs="宋体"/>
          <w:color w:val="auto"/>
          <w:kern w:val="2"/>
          <w:sz w:val="24"/>
          <w:szCs w:val="24"/>
          <w:highlight w:val="none"/>
          <w:lang w:val="en-US" w:eastAsia="zh-CN" w:bidi="ar"/>
        </w:rPr>
        <w:tab/>
      </w:r>
      <w:r>
        <w:rPr>
          <w:rFonts w:hint="eastAsia" w:ascii="宋体" w:hAnsi="宋体" w:eastAsia="宋体" w:cs="宋体"/>
          <w:color w:val="auto"/>
          <w:kern w:val="2"/>
          <w:sz w:val="24"/>
          <w:szCs w:val="24"/>
          <w:highlight w:val="none"/>
          <w:lang w:val="en-US" w:eastAsia="zh-CN" w:bidi="ar"/>
        </w:rPr>
        <w:t>中标人必须严格按照已经确认的实施方案组织实施，并接受采购人的监管。</w:t>
      </w:r>
    </w:p>
    <w:p w14:paraId="70AADC71">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3.2</w:t>
      </w:r>
      <w:r>
        <w:rPr>
          <w:rFonts w:hint="eastAsia" w:ascii="宋体" w:hAnsi="宋体" w:eastAsia="宋体" w:cs="宋体"/>
          <w:color w:val="auto"/>
          <w:kern w:val="2"/>
          <w:sz w:val="24"/>
          <w:szCs w:val="24"/>
          <w:highlight w:val="none"/>
          <w:lang w:val="en-US" w:eastAsia="zh-CN" w:bidi="ar"/>
        </w:rPr>
        <w:tab/>
      </w:r>
      <w:r>
        <w:rPr>
          <w:rFonts w:hint="eastAsia" w:ascii="宋体" w:hAnsi="宋体" w:eastAsia="宋体" w:cs="宋体"/>
          <w:color w:val="auto"/>
          <w:kern w:val="2"/>
          <w:sz w:val="24"/>
          <w:szCs w:val="24"/>
          <w:highlight w:val="none"/>
          <w:lang w:val="en-US" w:eastAsia="zh-CN" w:bidi="ar"/>
        </w:rPr>
        <w:t>在投标文件中承诺并经选定的项目负责人及检测人员，在工程实施过程中应依时到场，未经采购人同意，中标人不得擅自调换和撤离。</w:t>
      </w:r>
    </w:p>
    <w:p w14:paraId="23D7E4DA">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3.3</w:t>
      </w:r>
      <w:r>
        <w:rPr>
          <w:rFonts w:hint="eastAsia" w:ascii="宋体" w:hAnsi="宋体" w:eastAsia="宋体" w:cs="宋体"/>
          <w:color w:val="auto"/>
          <w:kern w:val="2"/>
          <w:sz w:val="24"/>
          <w:szCs w:val="24"/>
          <w:highlight w:val="none"/>
          <w:lang w:val="en-US" w:eastAsia="zh-CN" w:bidi="ar"/>
        </w:rPr>
        <w:tab/>
      </w:r>
      <w:r>
        <w:rPr>
          <w:rFonts w:hint="eastAsia" w:ascii="宋体" w:hAnsi="宋体" w:eastAsia="宋体" w:cs="宋体"/>
          <w:color w:val="auto"/>
          <w:kern w:val="2"/>
          <w:sz w:val="24"/>
          <w:szCs w:val="24"/>
          <w:highlight w:val="none"/>
          <w:lang w:val="en-US" w:eastAsia="zh-CN" w:bidi="ar"/>
        </w:rPr>
        <w:t>中标人在工程进行期间，须严格遵守当地政府职能部门的各项规章制度，由于管理不善，导致政府职能部门的罚款和停工整改，其所发生的费用与损失由中标人自行承担，且采购人保留暂缓支付工程款的权利。</w:t>
      </w:r>
    </w:p>
    <w:p w14:paraId="194F368E">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4．荷载试验报告要求</w:t>
      </w:r>
    </w:p>
    <w:p w14:paraId="63DBC238">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4.1报告内容：</w:t>
      </w:r>
    </w:p>
    <w:p w14:paraId="349C433B">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1)试验概况；</w:t>
      </w:r>
    </w:p>
    <w:p w14:paraId="4BBAA1C2">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2）试验依据；</w:t>
      </w:r>
    </w:p>
    <w:p w14:paraId="08E33EB4">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3）试验规划；</w:t>
      </w:r>
    </w:p>
    <w:p w14:paraId="72A696D9">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4）试验方案设计；</w:t>
      </w:r>
    </w:p>
    <w:p w14:paraId="0ED5C0C8">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5）试验准备工作；</w:t>
      </w:r>
    </w:p>
    <w:p w14:paraId="06270F8A">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6）试验过程（附相关试验过程照片、工况表等）；</w:t>
      </w:r>
    </w:p>
    <w:p w14:paraId="14F54CEC">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7）试验结果与分析（应对每个工况的结果进行分析）；</w:t>
      </w:r>
    </w:p>
    <w:p w14:paraId="2DAD6D3E">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8）试验结论（明确桥梁承载能力）。</w:t>
      </w:r>
    </w:p>
    <w:p w14:paraId="0AA60BF1">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以上报告的内容，可根据实际情况增加，但不应减少。</w:t>
      </w:r>
    </w:p>
    <w:p w14:paraId="63FCBA60">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4.2动、静载试验报告应单独装订成册，一式六份。</w:t>
      </w:r>
    </w:p>
    <w:p w14:paraId="133BA96B">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5.工程结算</w:t>
      </w:r>
    </w:p>
    <w:p w14:paraId="6942924C">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5.1供应商应充分考虑采购人的要求、市场环境和生产要素的变化对工程报价的影响，除供应商要求增加或减少的工程量外，竣工结算时不因市场价格变化、人员工资福利调整以及其它政策性价格调整而调整。</w:t>
      </w:r>
    </w:p>
    <w:p w14:paraId="0EE0087A">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6.其他要求</w:t>
      </w:r>
    </w:p>
    <w:p w14:paraId="3BAD7AFB">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6.1检测单位负责做好检测期间的安全工作，因检测单位安全措施不规范引起的安全事故，由检测单位承担相关责任及经济损失。</w:t>
      </w:r>
    </w:p>
    <w:p w14:paraId="12BEDAE7">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6.2检测单位每个月至少一次常规巡检，提供纸质和电子版报告，报告内的照片要体现当月巡检的日期、时间，巡检报告及每年定检结果须录入桥梁信息管理系统。不能按要求提供巡检报告的，处以500元/次违约金。</w:t>
      </w:r>
    </w:p>
    <w:p w14:paraId="2D651014">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6.3在检测服务期内，其他单位或人员发现桥梁存在重大安全隐患，检测单位未发现的，每次处违约金500元。</w:t>
      </w:r>
    </w:p>
    <w:p w14:paraId="3768A641">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6.4在服务期内，因突发情况，个别桥梁需进行紧急检测评估时，检测单位需配合采购人无条件开展工作，此部分费用含在投标报价中。</w:t>
      </w:r>
    </w:p>
    <w:p w14:paraId="241A9EC2">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6.5服务期内，上级对采购人进行相关检查时，检测单位需按采购人要求提供资料，配合工作。</w:t>
      </w:r>
    </w:p>
    <w:p w14:paraId="5EE7A993">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6.6检测单位不服从或不配合采购人工作安排的，处以1000元/次违约金。</w:t>
      </w:r>
    </w:p>
    <w:p w14:paraId="21DB6C46">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6.7检测报告结果须经过专家评审，未通过评审的，不予支付服务费用。</w:t>
      </w:r>
    </w:p>
    <w:p w14:paraId="11F2736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0"/>
          <w:sz w:val="24"/>
          <w:szCs w:val="24"/>
          <w:highlight w:val="none"/>
          <w:lang w:val="en-US" w:eastAsia="zh-CN" w:bidi="ar"/>
        </w:rPr>
      </w:pPr>
    </w:p>
    <w:p w14:paraId="4266B46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default" w:ascii="宋体" w:hAnsi="宋体" w:eastAsia="宋体" w:cs="宋体"/>
          <w:color w:val="auto"/>
          <w:kern w:val="0"/>
          <w:sz w:val="24"/>
          <w:szCs w:val="24"/>
          <w:highlight w:val="none"/>
          <w:lang w:val="en-US" w:eastAsia="zh-CN" w:bidi="ar"/>
        </w:rPr>
      </w:pPr>
    </w:p>
    <w:p w14:paraId="798A1D0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color w:val="auto"/>
          <w:kern w:val="0"/>
          <w:sz w:val="24"/>
          <w:szCs w:val="24"/>
          <w:highlight w:val="none"/>
          <w:lang w:val="en-US" w:eastAsia="zh-CN" w:bidi="ar"/>
        </w:rPr>
      </w:pPr>
    </w:p>
    <w:p w14:paraId="5EBE6A61">
      <w:pPr>
        <w:keepNext w:val="0"/>
        <w:keepLines w:val="0"/>
        <w:pageBreakBefore/>
        <w:widowControl w:val="0"/>
        <w:suppressLineNumbers w:val="0"/>
        <w:spacing w:before="0" w:beforeAutospacing="0" w:after="0" w:afterAutospacing="0" w:line="312" w:lineRule="auto"/>
        <w:ind w:left="0" w:right="0"/>
        <w:jc w:val="both"/>
        <w:rPr>
          <w:rFonts w:hint="eastAsia" w:ascii="黑体" w:hAnsi="宋体" w:eastAsia="黑体" w:cs="黑体"/>
          <w:b/>
          <w:bCs w:val="0"/>
          <w:color w:val="auto"/>
          <w:kern w:val="2"/>
          <w:sz w:val="32"/>
          <w:szCs w:val="32"/>
          <w:highlight w:val="none"/>
          <w:lang w:val="en-US" w:eastAsia="zh-CN" w:bidi="ar"/>
        </w:rPr>
        <w:sectPr>
          <w:pgSz w:w="16838" w:h="11906" w:orient="landscape"/>
          <w:pgMar w:top="1803" w:right="1440" w:bottom="1803" w:left="1440" w:header="851" w:footer="992" w:gutter="0"/>
          <w:pgNumType w:fmt="decimal"/>
          <w:cols w:space="0" w:num="1"/>
          <w:rtlGutter w:val="0"/>
          <w:docGrid w:type="lines" w:linePitch="319" w:charSpace="0"/>
        </w:sectPr>
      </w:pPr>
    </w:p>
    <w:p w14:paraId="0CA9B09F">
      <w:pPr>
        <w:keepNext w:val="0"/>
        <w:keepLines w:val="0"/>
        <w:pageBreakBefore/>
        <w:widowControl w:val="0"/>
        <w:suppressLineNumbers w:val="0"/>
        <w:spacing w:before="0" w:beforeAutospacing="0" w:after="0" w:afterAutospacing="0" w:line="312" w:lineRule="auto"/>
        <w:ind w:left="0" w:right="0"/>
        <w:jc w:val="both"/>
        <w:rPr>
          <w:rFonts w:hint="eastAsia" w:ascii="黑体" w:hAnsi="Calibri" w:eastAsia="黑体" w:cs="黑体"/>
          <w:b/>
          <w:bCs w:val="0"/>
          <w:color w:val="auto"/>
          <w:kern w:val="2"/>
          <w:sz w:val="32"/>
          <w:szCs w:val="32"/>
          <w:highlight w:val="none"/>
        </w:rPr>
      </w:pPr>
      <w:r>
        <w:rPr>
          <w:rFonts w:hint="eastAsia" w:ascii="黑体" w:hAnsi="宋体" w:eastAsia="黑体" w:cs="黑体"/>
          <w:b/>
          <w:bCs w:val="0"/>
          <w:color w:val="auto"/>
          <w:kern w:val="2"/>
          <w:sz w:val="32"/>
          <w:szCs w:val="32"/>
          <w:highlight w:val="none"/>
          <w:lang w:val="en-US" w:eastAsia="zh-CN" w:bidi="ar"/>
        </w:rPr>
        <w:t>附件</w:t>
      </w:r>
    </w:p>
    <w:p w14:paraId="4FDAEF16">
      <w:pPr>
        <w:keepNext w:val="0"/>
        <w:keepLines w:val="0"/>
        <w:widowControl w:val="0"/>
        <w:suppressLineNumbers w:val="0"/>
        <w:spacing w:before="156" w:beforeLines="50" w:beforeAutospacing="0" w:after="156" w:afterLines="50" w:afterAutospacing="0" w:line="312" w:lineRule="auto"/>
        <w:ind w:left="0" w:right="0"/>
        <w:jc w:val="center"/>
        <w:rPr>
          <w:rFonts w:hint="eastAsia" w:ascii="黑体" w:hAnsi="宋体" w:eastAsia="黑体" w:cs="宋体"/>
          <w:b/>
          <w:bCs w:val="0"/>
          <w:color w:val="auto"/>
          <w:kern w:val="2"/>
          <w:sz w:val="32"/>
          <w:szCs w:val="32"/>
          <w:highlight w:val="none"/>
        </w:rPr>
      </w:pPr>
      <w:r>
        <w:rPr>
          <w:rFonts w:hint="eastAsia" w:ascii="黑体" w:hAnsi="宋体" w:eastAsia="黑体" w:cs="黑体"/>
          <w:b/>
          <w:bCs w:val="0"/>
          <w:color w:val="auto"/>
          <w:kern w:val="2"/>
          <w:sz w:val="32"/>
          <w:szCs w:val="32"/>
          <w:highlight w:val="none"/>
          <w:lang w:val="en-US" w:eastAsia="zh-CN" w:bidi="ar"/>
        </w:rPr>
        <w:t>《第三方检测管理办法》（修订）</w:t>
      </w:r>
    </w:p>
    <w:p w14:paraId="3E41E2B1">
      <w:pPr>
        <w:keepNext w:val="0"/>
        <w:keepLines w:val="0"/>
        <w:widowControl w:val="0"/>
        <w:suppressLineNumbers w:val="0"/>
        <w:spacing w:before="0" w:beforeAutospacing="0" w:after="0" w:afterAutospacing="0" w:line="288"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lang w:val="en-US" w:eastAsia="zh-CN" w:bidi="ar"/>
        </w:rPr>
        <w:t>第一章 总则</w:t>
      </w:r>
    </w:p>
    <w:p w14:paraId="5987EF0D">
      <w:pPr>
        <w:keepNext w:val="0"/>
        <w:keepLines w:val="0"/>
        <w:widowControl w:val="0"/>
        <w:suppressLineNumbers w:val="0"/>
        <w:spacing w:before="0" w:beforeAutospacing="0" w:after="0" w:afterAutospacing="0" w:line="288"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第一条</w:t>
      </w:r>
      <w:r>
        <w:rPr>
          <w:rFonts w:hint="eastAsia" w:ascii="宋体" w:hAnsi="宋体" w:eastAsia="宋体" w:cs="宋体"/>
          <w:bCs/>
          <w:color w:val="auto"/>
          <w:kern w:val="2"/>
          <w:sz w:val="21"/>
          <w:szCs w:val="21"/>
          <w:highlight w:val="none"/>
          <w:lang w:val="en-US" w:eastAsia="zh-CN" w:bidi="ar"/>
        </w:rPr>
        <w:t xml:space="preserve"> 为进一步强化工程质量管理，规范工程质量检测行为，依据工程施工和验收标准，修订《关于滁州市重点工程建设管理处第三方检测管理办法》（试行）。</w:t>
      </w:r>
    </w:p>
    <w:p w14:paraId="73B9EE2C">
      <w:pPr>
        <w:keepNext w:val="0"/>
        <w:keepLines w:val="0"/>
        <w:widowControl w:val="0"/>
        <w:suppressLineNumbers w:val="0"/>
        <w:spacing w:before="0" w:beforeAutospacing="0" w:after="0" w:afterAutospacing="0" w:line="288"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第二条</w:t>
      </w:r>
      <w:r>
        <w:rPr>
          <w:rFonts w:hint="eastAsia" w:ascii="宋体" w:hAnsi="宋体" w:eastAsia="宋体" w:cs="宋体"/>
          <w:bCs/>
          <w:color w:val="auto"/>
          <w:kern w:val="2"/>
          <w:sz w:val="21"/>
          <w:szCs w:val="21"/>
          <w:highlight w:val="none"/>
          <w:lang w:val="en-US" w:eastAsia="zh-CN" w:bidi="ar"/>
        </w:rPr>
        <w:t xml:space="preserve"> 本规定所指建设工程第三方检测（以下简称第三方检测），系指受市重点处委托的工程质量检测机构（以下简称检测机构），依据国家有关法律、法规和工程建设强制性标准，对建设工程实体以及用于建设工程的原材料、构配件、中间产品、设备的质量安全、使用功能等进行的见证抽样检测、现场见证检测。</w:t>
      </w:r>
    </w:p>
    <w:p w14:paraId="6EEF7389">
      <w:pPr>
        <w:keepNext w:val="0"/>
        <w:keepLines w:val="0"/>
        <w:widowControl w:val="0"/>
        <w:suppressLineNumbers w:val="0"/>
        <w:spacing w:before="0" w:beforeAutospacing="0" w:after="0" w:afterAutospacing="0" w:line="288"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第三条 </w:t>
      </w:r>
      <w:r>
        <w:rPr>
          <w:rFonts w:hint="eastAsia" w:ascii="宋体" w:hAnsi="宋体" w:eastAsia="宋体" w:cs="宋体"/>
          <w:bCs/>
          <w:color w:val="auto"/>
          <w:kern w:val="2"/>
          <w:sz w:val="21"/>
          <w:szCs w:val="21"/>
          <w:highlight w:val="none"/>
          <w:lang w:val="en-US" w:eastAsia="zh-CN" w:bidi="ar"/>
        </w:rPr>
        <w:t>第三方检测活动应遵循科学、公正、准确、及时的原则，按照“建设单位委托、监理单位见证、施工单位取样、检测机构试验检测”的方式开展检测活动，各责任单位须建立检测台账，健全检测档案。</w:t>
      </w:r>
    </w:p>
    <w:p w14:paraId="056DEFBB">
      <w:pPr>
        <w:keepNext w:val="0"/>
        <w:keepLines w:val="0"/>
        <w:widowControl w:val="0"/>
        <w:suppressLineNumbers w:val="0"/>
        <w:spacing w:before="0" w:beforeAutospacing="0" w:after="0" w:afterAutospacing="0" w:line="288"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lang w:val="en-US" w:eastAsia="zh-CN" w:bidi="ar"/>
        </w:rPr>
        <w:t>第二章 检测机构和检测费用的确定</w:t>
      </w:r>
    </w:p>
    <w:p w14:paraId="4D60A88E">
      <w:pPr>
        <w:keepNext w:val="0"/>
        <w:keepLines w:val="0"/>
        <w:widowControl w:val="0"/>
        <w:suppressLineNumbers w:val="0"/>
        <w:spacing w:before="0" w:beforeAutospacing="0" w:after="0" w:afterAutospacing="0" w:line="288"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第四条</w:t>
      </w:r>
      <w:r>
        <w:rPr>
          <w:rFonts w:hint="eastAsia" w:ascii="宋体" w:hAnsi="宋体" w:eastAsia="宋体" w:cs="宋体"/>
          <w:bCs/>
          <w:color w:val="auto"/>
          <w:kern w:val="2"/>
          <w:sz w:val="21"/>
          <w:szCs w:val="21"/>
          <w:highlight w:val="none"/>
          <w:lang w:val="en-US" w:eastAsia="zh-CN" w:bidi="ar"/>
        </w:rPr>
        <w:t xml:space="preserve"> 市重点处通过公开招标确定具有相应质量检测资质的检测机构，建立第三方检测机构备选库，由计划科随机抽取的方式确定具体项目第三方检测单位，已被委托在项目中承担自检、平行检测等影响第三方检测公正性的检测机构，需主动回避。</w:t>
      </w:r>
    </w:p>
    <w:p w14:paraId="40AED3F8">
      <w:pPr>
        <w:keepNext w:val="0"/>
        <w:keepLines w:val="0"/>
        <w:widowControl w:val="0"/>
        <w:suppressLineNumbers w:val="0"/>
        <w:spacing w:before="0" w:beforeAutospacing="0" w:after="0" w:afterAutospacing="0" w:line="288"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第五条 </w:t>
      </w:r>
      <w:r>
        <w:rPr>
          <w:rFonts w:hint="eastAsia" w:ascii="宋体" w:hAnsi="宋体" w:eastAsia="宋体" w:cs="宋体"/>
          <w:bCs/>
          <w:color w:val="auto"/>
          <w:kern w:val="2"/>
          <w:sz w:val="21"/>
          <w:szCs w:val="21"/>
          <w:highlight w:val="none"/>
          <w:lang w:val="en-US" w:eastAsia="zh-CN" w:bidi="ar"/>
        </w:rPr>
        <w:t>市重点处有权在备选库中择优选择项目检测机构，对检测机构在项目所在地试验室实地考察，并现场进行试验操作考核。</w:t>
      </w:r>
    </w:p>
    <w:p w14:paraId="4A083AB5">
      <w:pPr>
        <w:keepNext w:val="0"/>
        <w:keepLines w:val="0"/>
        <w:widowControl w:val="0"/>
        <w:suppressLineNumbers w:val="0"/>
        <w:spacing w:before="0" w:beforeAutospacing="0" w:after="0" w:afterAutospacing="0" w:line="288"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第六条 </w:t>
      </w:r>
      <w:r>
        <w:rPr>
          <w:rFonts w:hint="eastAsia" w:ascii="宋体" w:hAnsi="宋体" w:eastAsia="宋体" w:cs="宋体"/>
          <w:bCs/>
          <w:color w:val="auto"/>
          <w:kern w:val="2"/>
          <w:sz w:val="21"/>
          <w:szCs w:val="21"/>
          <w:highlight w:val="none"/>
          <w:lang w:val="en-US" w:eastAsia="zh-CN" w:bidi="ar"/>
        </w:rPr>
        <w:t>检测费用由市财政资金或专项资金保障。检测服务费以《市重点处工程质量检测收费清单》为基准, 若本项目检测内容在《市重点处工程质量检测收费清单》上没有涉及到，则以皖价服〔2013〕137 号文件《安徽省物价局住房和城乡建设厅关于重新公布建设工程质量检测收费标准的通知》、皖价服函[2013]29 号《安徽省物价局关于重新核定交通建设工程试验检测收费标准的函》、皖价服{2013}28号《省物价局关于降低建筑消防设施检测收费标准的通知》为补充基准，标准已下浮的不再下浮；以上收费标准中均未涉及到的其他检测项目，实行市场调节价，委托双方协商定价。</w:t>
      </w:r>
    </w:p>
    <w:p w14:paraId="7D34E551">
      <w:pPr>
        <w:keepNext w:val="0"/>
        <w:keepLines w:val="0"/>
        <w:widowControl w:val="0"/>
        <w:suppressLineNumbers w:val="0"/>
        <w:spacing w:before="0" w:beforeAutospacing="0" w:after="0" w:afterAutospacing="0" w:line="288"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lang w:val="en-US" w:eastAsia="zh-CN" w:bidi="ar"/>
        </w:rPr>
        <w:t>第三章 工作职责</w:t>
      </w:r>
    </w:p>
    <w:p w14:paraId="64A62549">
      <w:pPr>
        <w:keepNext w:val="0"/>
        <w:keepLines w:val="0"/>
        <w:widowControl w:val="0"/>
        <w:suppressLineNumbers w:val="0"/>
        <w:spacing w:before="0" w:beforeAutospacing="0" w:after="0" w:afterAutospacing="0" w:line="288"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第七条 </w:t>
      </w:r>
      <w:r>
        <w:rPr>
          <w:rFonts w:hint="eastAsia" w:ascii="宋体" w:hAnsi="宋体" w:eastAsia="宋体" w:cs="宋体"/>
          <w:bCs/>
          <w:color w:val="auto"/>
          <w:kern w:val="2"/>
          <w:sz w:val="21"/>
          <w:szCs w:val="21"/>
          <w:highlight w:val="none"/>
          <w:lang w:val="en-US" w:eastAsia="zh-CN" w:bidi="ar"/>
        </w:rPr>
        <w:t>市重点处与检测机构签订质量检测服务协议，按照招标文件及服务协议，向检测机构提供相关的工程资料，负责检测工作计量、检测费用拨付和审计决算等，并对质量检测进行监督管理，考核检测机构履约情况。</w:t>
      </w:r>
    </w:p>
    <w:p w14:paraId="00426A1E">
      <w:pPr>
        <w:keepNext w:val="0"/>
        <w:keepLines w:val="0"/>
        <w:widowControl w:val="0"/>
        <w:suppressLineNumbers w:val="0"/>
        <w:spacing w:before="0" w:beforeAutospacing="0" w:after="0" w:afterAutospacing="0" w:line="288"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第八条</w:t>
      </w:r>
      <w:r>
        <w:rPr>
          <w:rFonts w:hint="eastAsia" w:ascii="宋体" w:hAnsi="宋体" w:eastAsia="宋体" w:cs="宋体"/>
          <w:bCs/>
          <w:color w:val="auto"/>
          <w:kern w:val="2"/>
          <w:sz w:val="21"/>
          <w:szCs w:val="21"/>
          <w:highlight w:val="none"/>
          <w:lang w:val="en-US" w:eastAsia="zh-CN" w:bidi="ar"/>
        </w:rPr>
        <w:t xml:space="preserve"> 施工单位应在不影响第三方检测前，书面向监理单位提请报验报检，按规定取样、制样，取样数量和方法符合相应规范、标准和设计要求，送检的样品要代表母体；按规定在现场设置养护室，样品的留置、养护符合相应规范、标准的规定，不得委托预拌混凝土生产企业代做、代养、代送混凝土试件；钢筋、砌体等材料应从用于工程实体中抽样检验。对样品的真实性、符合性负责。</w:t>
      </w:r>
    </w:p>
    <w:p w14:paraId="2B632D78">
      <w:pPr>
        <w:keepNext w:val="0"/>
        <w:keepLines w:val="0"/>
        <w:widowControl w:val="0"/>
        <w:suppressLineNumbers w:val="0"/>
        <w:spacing w:before="0" w:beforeAutospacing="0" w:after="0" w:afterAutospacing="0" w:line="288"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第九条 </w:t>
      </w:r>
      <w:r>
        <w:rPr>
          <w:rFonts w:hint="eastAsia" w:ascii="宋体" w:hAnsi="宋体" w:eastAsia="宋体" w:cs="宋体"/>
          <w:bCs/>
          <w:color w:val="auto"/>
          <w:kern w:val="2"/>
          <w:sz w:val="21"/>
          <w:szCs w:val="21"/>
          <w:highlight w:val="none"/>
          <w:lang w:val="en-US" w:eastAsia="zh-CN" w:bidi="ar"/>
        </w:rPr>
        <w:t>监理单位依据相关规定核审检测单位的《第三方检测实施方案》；协调第三方检测过程中的各项工作；对取样、送样及现场检测时实施见证；见证施工单位在取样、制样、养护、送检过程中真实性；对检测结论不合格的按规定进行处置。</w:t>
      </w:r>
    </w:p>
    <w:p w14:paraId="6587C634">
      <w:pPr>
        <w:keepNext w:val="0"/>
        <w:keepLines w:val="0"/>
        <w:widowControl w:val="0"/>
        <w:suppressLineNumbers w:val="0"/>
        <w:spacing w:before="0" w:beforeAutospacing="0" w:after="0" w:afterAutospacing="0" w:line="288"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第十条 </w:t>
      </w:r>
      <w:r>
        <w:rPr>
          <w:rFonts w:hint="eastAsia" w:ascii="宋体" w:hAnsi="宋体" w:eastAsia="宋体" w:cs="宋体"/>
          <w:bCs/>
          <w:color w:val="auto"/>
          <w:kern w:val="2"/>
          <w:sz w:val="21"/>
          <w:szCs w:val="21"/>
          <w:highlight w:val="none"/>
          <w:lang w:val="en-US" w:eastAsia="zh-CN" w:bidi="ar"/>
        </w:rPr>
        <w:t>检测机构应在项目所在地建立并维持与项目相适应的检测机构，及时出具检测报告，通过技术手段全程留痕，杜绝伪造检测数据，按规定要求留置检测试样。监督指导施工单位取样工作，遵守市重点处相关工程管理制度，按要求参加工程调度会和验收等，配合市重点处开展相关检查活动。</w:t>
      </w:r>
    </w:p>
    <w:p w14:paraId="49105BBE">
      <w:pPr>
        <w:keepNext w:val="0"/>
        <w:keepLines w:val="0"/>
        <w:widowControl w:val="0"/>
        <w:suppressLineNumbers w:val="0"/>
        <w:spacing w:before="0" w:beforeAutospacing="0" w:after="0" w:afterAutospacing="0" w:line="288"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lang w:val="en-US" w:eastAsia="zh-CN" w:bidi="ar"/>
        </w:rPr>
        <w:t>第四章 相关要求</w:t>
      </w:r>
    </w:p>
    <w:p w14:paraId="56893251">
      <w:pPr>
        <w:keepNext w:val="0"/>
        <w:keepLines w:val="0"/>
        <w:widowControl w:val="0"/>
        <w:suppressLineNumbers w:val="0"/>
        <w:spacing w:before="0" w:beforeAutospacing="0" w:after="0" w:afterAutospacing="0" w:line="288"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第十一条</w:t>
      </w:r>
      <w:r>
        <w:rPr>
          <w:rFonts w:hint="eastAsia" w:ascii="宋体" w:hAnsi="宋体" w:eastAsia="宋体" w:cs="宋体"/>
          <w:bCs/>
          <w:color w:val="auto"/>
          <w:kern w:val="2"/>
          <w:sz w:val="21"/>
          <w:szCs w:val="21"/>
          <w:highlight w:val="none"/>
          <w:lang w:val="en-US" w:eastAsia="zh-CN" w:bidi="ar"/>
        </w:rPr>
        <w:t xml:space="preserve"> 工程开工前，工程科室向检测机构提供必要的设计、施工、勘探等资料，检测机构结合具体项目特点5日内编制《第三方检测实施方案》及预算报审，并按审批后的方案和预算进行检测,方案需包括工序验收、竣工验收等必要抽检内容。超出检测资质业务范围内的检测项目，可委托具有相应资质的检测机构承担；特殊项目检测内容和比例超出上述规定的，须报分管领导审批；费用按合同核算。</w:t>
      </w:r>
    </w:p>
    <w:p w14:paraId="28B20A7A">
      <w:pPr>
        <w:keepNext w:val="0"/>
        <w:keepLines w:val="0"/>
        <w:widowControl w:val="0"/>
        <w:suppressLineNumbers w:val="0"/>
        <w:spacing w:before="0" w:beforeAutospacing="0" w:after="0" w:afterAutospacing="0" w:line="288"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第十二条</w:t>
      </w:r>
      <w:r>
        <w:rPr>
          <w:rFonts w:hint="eastAsia" w:ascii="宋体" w:hAnsi="宋体" w:eastAsia="宋体" w:cs="宋体"/>
          <w:bCs/>
          <w:color w:val="auto"/>
          <w:kern w:val="2"/>
          <w:sz w:val="21"/>
          <w:szCs w:val="21"/>
          <w:highlight w:val="none"/>
          <w:lang w:val="en-US" w:eastAsia="zh-CN" w:bidi="ar"/>
        </w:rPr>
        <w:t xml:space="preserve"> 《第三方检测实施方案》由工程科室组织参建单位、处相关科室审核，形成书面意见，两日内完成审核并报分管领导审批。检测机构负责对参建各方进行第三方检测交底。</w:t>
      </w:r>
    </w:p>
    <w:p w14:paraId="735F0A3D">
      <w:pPr>
        <w:keepNext w:val="0"/>
        <w:keepLines w:val="0"/>
        <w:widowControl w:val="0"/>
        <w:suppressLineNumbers w:val="0"/>
        <w:spacing w:before="0" w:beforeAutospacing="0" w:after="0" w:afterAutospacing="0" w:line="288"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第十三条</w:t>
      </w:r>
      <w:r>
        <w:rPr>
          <w:rFonts w:hint="eastAsia" w:ascii="宋体" w:hAnsi="宋体" w:eastAsia="宋体" w:cs="宋体"/>
          <w:bCs/>
          <w:color w:val="auto"/>
          <w:kern w:val="2"/>
          <w:sz w:val="21"/>
          <w:szCs w:val="21"/>
          <w:highlight w:val="none"/>
          <w:lang w:val="en-US" w:eastAsia="zh-CN" w:bidi="ar"/>
        </w:rPr>
        <w:t xml:space="preserve"> 项目业主代表、总监指定取样位置，检测机构监督指导现场取样工作，见证取样、送检工作由见证人员与取样人员负责。对需要封样的样品，由监理单位在现场封样并保管。不符合见证取样要求的，不得进行检测。因客观条件限制而影响随机抽样的，应在检测报告中作详细说明。</w:t>
      </w:r>
    </w:p>
    <w:p w14:paraId="6F14A903">
      <w:pPr>
        <w:keepNext w:val="0"/>
        <w:keepLines w:val="0"/>
        <w:widowControl w:val="0"/>
        <w:suppressLineNumbers w:val="0"/>
        <w:spacing w:before="0" w:beforeAutospacing="0" w:after="0" w:afterAutospacing="0" w:line="288"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第十四条 </w:t>
      </w:r>
      <w:r>
        <w:rPr>
          <w:rFonts w:hint="eastAsia" w:ascii="宋体" w:hAnsi="宋体" w:eastAsia="宋体" w:cs="宋体"/>
          <w:bCs/>
          <w:color w:val="auto"/>
          <w:kern w:val="2"/>
          <w:sz w:val="21"/>
          <w:szCs w:val="21"/>
          <w:highlight w:val="none"/>
          <w:lang w:val="en-US" w:eastAsia="zh-CN" w:bidi="ar"/>
        </w:rPr>
        <w:t>检测机构须配备不少于一名具备职业资格的项目检测负责人跟踪施工进度，按照检测方案及时开展检测。需现场见证取样检测的，应两小时内且不应超过取样检测有效时间抵达现场组织检测。检测结束两小时内反馈检测结果，两日内提供检测报告一式六份，对检测结果负责。</w:t>
      </w:r>
    </w:p>
    <w:p w14:paraId="0131A15E">
      <w:pPr>
        <w:keepNext w:val="0"/>
        <w:keepLines w:val="0"/>
        <w:widowControl w:val="0"/>
        <w:suppressLineNumbers w:val="0"/>
        <w:spacing w:before="0" w:beforeAutospacing="0" w:after="0" w:afterAutospacing="0" w:line="288"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第十五条 </w:t>
      </w:r>
      <w:r>
        <w:rPr>
          <w:rFonts w:hint="eastAsia" w:ascii="宋体" w:hAnsi="宋体" w:eastAsia="宋体" w:cs="宋体"/>
          <w:bCs/>
          <w:color w:val="auto"/>
          <w:kern w:val="2"/>
          <w:sz w:val="21"/>
          <w:szCs w:val="21"/>
          <w:highlight w:val="none"/>
          <w:lang w:val="en-US" w:eastAsia="zh-CN" w:bidi="ar"/>
        </w:rPr>
        <w:t>当检测发现不合格数据和结果时，检测机构须于一小时内报（可以通过微信或电话，后补齐纸质资料）工程科、工程监管科，附详细检测数据分析内容，同时提请迅速补样复检。经复检仍不合格的，由工程科室会同相关科室、参建单位制定处理方案。施工单位负责按方案限期整改，经第三方检测合格后重新提请报验报审，监理、业主代表审核作为请款依据。整改期间造成的经济损失和工期延误等违约责任由施工单位承担。工程监管科跟踪不合格事项处理。</w:t>
      </w:r>
    </w:p>
    <w:p w14:paraId="7849CFAB">
      <w:pPr>
        <w:keepNext w:val="0"/>
        <w:keepLines w:val="0"/>
        <w:widowControl w:val="0"/>
        <w:suppressLineNumbers w:val="0"/>
        <w:spacing w:before="0" w:beforeAutospacing="0" w:after="0" w:afterAutospacing="0" w:line="288"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第十六条 </w:t>
      </w:r>
      <w:r>
        <w:rPr>
          <w:rFonts w:hint="eastAsia" w:ascii="宋体" w:hAnsi="宋体" w:eastAsia="宋体" w:cs="宋体"/>
          <w:bCs/>
          <w:color w:val="auto"/>
          <w:kern w:val="2"/>
          <w:sz w:val="21"/>
          <w:szCs w:val="21"/>
          <w:highlight w:val="none"/>
          <w:lang w:val="en-US" w:eastAsia="zh-CN" w:bidi="ar"/>
        </w:rPr>
        <w:t>不合格处理过程、结果由监理单位形成书面材料及时报工程科室、工程监管科。对检测不合格的检测费用由总监理工程师收集汇总报工程科室，费用由施工单位于工程竣工后十日内支付。检测机构应单独建立不合格检测台账。委托单、原始记录、检测报告应按年度统一编号，不得随意抽撤、涂改。</w:t>
      </w:r>
    </w:p>
    <w:p w14:paraId="221D3710">
      <w:pPr>
        <w:keepNext w:val="0"/>
        <w:keepLines w:val="0"/>
        <w:widowControl w:val="0"/>
        <w:suppressLineNumbers w:val="0"/>
        <w:spacing w:before="0" w:beforeAutospacing="0" w:after="0" w:afterAutospacing="0" w:line="288"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第十七条 </w:t>
      </w:r>
      <w:r>
        <w:rPr>
          <w:rFonts w:hint="eastAsia" w:ascii="宋体" w:hAnsi="宋体" w:eastAsia="宋体" w:cs="宋体"/>
          <w:bCs/>
          <w:color w:val="auto"/>
          <w:kern w:val="2"/>
          <w:sz w:val="21"/>
          <w:szCs w:val="21"/>
          <w:highlight w:val="none"/>
          <w:lang w:val="en-US" w:eastAsia="zh-CN" w:bidi="ar"/>
        </w:rPr>
        <w:t>检测机构每月底将检测工作以月报形式汇总，包括检测概况、检测成果、异常数据闭合等。在下月五日前将检测月报，附检测项目汇总表、检测报告清单目录、不合格检测项目表等送总监审核后，报工程科、工程监管科。在项目竣工后五日内，报送第三方检测工作总结至工程科室。</w:t>
      </w:r>
    </w:p>
    <w:p w14:paraId="2EBCBE75">
      <w:pPr>
        <w:keepNext w:val="0"/>
        <w:keepLines w:val="0"/>
        <w:widowControl w:val="0"/>
        <w:suppressLineNumbers w:val="0"/>
        <w:spacing w:before="0" w:beforeAutospacing="0" w:after="0" w:afterAutospacing="0" w:line="288"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第十八条</w:t>
      </w:r>
      <w:r>
        <w:rPr>
          <w:rFonts w:hint="eastAsia" w:ascii="宋体" w:hAnsi="宋体" w:eastAsia="宋体" w:cs="宋体"/>
          <w:bCs/>
          <w:color w:val="auto"/>
          <w:kern w:val="2"/>
          <w:sz w:val="21"/>
          <w:szCs w:val="21"/>
          <w:highlight w:val="none"/>
          <w:lang w:val="en-US" w:eastAsia="zh-CN" w:bidi="ar"/>
        </w:rPr>
        <w:t xml:space="preserve"> 在合同执行期内和合同终止后，未经工程科室书面同意，不得泄露与所检工程有关的信息。</w:t>
      </w:r>
    </w:p>
    <w:p w14:paraId="1CB7EAB2">
      <w:pPr>
        <w:keepNext w:val="0"/>
        <w:keepLines w:val="0"/>
        <w:widowControl w:val="0"/>
        <w:suppressLineNumbers w:val="0"/>
        <w:spacing w:before="0" w:beforeAutospacing="0" w:after="0" w:afterAutospacing="0" w:line="288"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lang w:val="en-US" w:eastAsia="zh-CN" w:bidi="ar"/>
        </w:rPr>
        <w:t xml:space="preserve">第五章  处罚 </w:t>
      </w:r>
    </w:p>
    <w:p w14:paraId="75C1F2D6">
      <w:pPr>
        <w:keepNext w:val="0"/>
        <w:keepLines w:val="0"/>
        <w:widowControl w:val="0"/>
        <w:suppressLineNumbers w:val="0"/>
        <w:spacing w:before="0" w:beforeAutospacing="0" w:after="0" w:afterAutospacing="0" w:line="288"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第十九条 </w:t>
      </w:r>
      <w:r>
        <w:rPr>
          <w:rFonts w:hint="eastAsia" w:ascii="宋体" w:hAnsi="宋体" w:eastAsia="宋体" w:cs="宋体"/>
          <w:bCs/>
          <w:color w:val="auto"/>
          <w:kern w:val="2"/>
          <w:sz w:val="21"/>
          <w:szCs w:val="21"/>
          <w:highlight w:val="none"/>
          <w:lang w:val="en-US" w:eastAsia="zh-CN" w:bidi="ar"/>
        </w:rPr>
        <w:t>施工单位未按规定取样的，支付违约金5000-10000元/次；中途擅自变更取样人员的，要求支付违约金2000元/人次。</w:t>
      </w:r>
    </w:p>
    <w:p w14:paraId="142DA985">
      <w:pPr>
        <w:keepNext w:val="0"/>
        <w:keepLines w:val="0"/>
        <w:widowControl w:val="0"/>
        <w:suppressLineNumbers w:val="0"/>
        <w:spacing w:before="0" w:beforeAutospacing="0" w:after="0" w:afterAutospacing="0" w:line="288"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lang w:val="en-US" w:eastAsia="zh-CN" w:bidi="ar"/>
        </w:rPr>
        <w:t>监理单位未按规定要求履行见证职责的，支付违约金5000元/次：中途擅自变更见证人员的，要求支付违约金2000元/人次。</w:t>
      </w:r>
    </w:p>
    <w:p w14:paraId="50AAD4A7">
      <w:pPr>
        <w:keepNext w:val="0"/>
        <w:keepLines w:val="0"/>
        <w:widowControl w:val="0"/>
        <w:suppressLineNumbers w:val="0"/>
        <w:spacing w:before="0" w:beforeAutospacing="0" w:after="0" w:afterAutospacing="0" w:line="288"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第二十条</w:t>
      </w:r>
      <w:r>
        <w:rPr>
          <w:rFonts w:hint="eastAsia" w:ascii="宋体" w:hAnsi="宋体" w:eastAsia="宋体" w:cs="宋体"/>
          <w:bCs/>
          <w:color w:val="auto"/>
          <w:kern w:val="2"/>
          <w:sz w:val="21"/>
          <w:szCs w:val="21"/>
          <w:highlight w:val="none"/>
          <w:lang w:val="en-US" w:eastAsia="zh-CN" w:bidi="ar"/>
        </w:rPr>
        <w:t xml:space="preserve"> 施工单位自检合格，第三方检测或飞行检测不合格的，责令施工单位整改，并视情节，给予施工单位2000-50000元/次违约处罚；对监理单位视情节，给予2000-20000元/次违约处罚。（合同相应处罚条款）</w:t>
      </w:r>
    </w:p>
    <w:p w14:paraId="3559139A">
      <w:pPr>
        <w:keepNext w:val="0"/>
        <w:keepLines w:val="0"/>
        <w:widowControl w:val="0"/>
        <w:suppressLineNumbers w:val="0"/>
        <w:spacing w:before="0" w:beforeAutospacing="0" w:after="0" w:afterAutospacing="0" w:line="288"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第二十一条</w:t>
      </w:r>
      <w:r>
        <w:rPr>
          <w:rFonts w:hint="eastAsia" w:ascii="宋体" w:hAnsi="宋体" w:eastAsia="宋体" w:cs="宋体"/>
          <w:bCs/>
          <w:color w:val="auto"/>
          <w:kern w:val="2"/>
          <w:sz w:val="21"/>
          <w:szCs w:val="21"/>
          <w:highlight w:val="none"/>
          <w:lang w:val="en-US" w:eastAsia="zh-CN" w:bidi="ar"/>
        </w:rPr>
        <w:t xml:space="preserve"> 检测机构应保证人员的稳定，中途更换该项目检测负责人、主要检测人员，应书面申请经业主方同意，擅自变更处罚2000-5000元/人次违约金，发现检测单位使用不符合条件检测人员三次以上（含三次）的，没收履约保证金，市重点处有权单方解除合同。</w:t>
      </w:r>
    </w:p>
    <w:p w14:paraId="79AA282D">
      <w:pPr>
        <w:keepNext w:val="0"/>
        <w:keepLines w:val="0"/>
        <w:widowControl w:val="0"/>
        <w:suppressLineNumbers w:val="0"/>
        <w:spacing w:before="0" w:beforeAutospacing="0" w:after="0" w:afterAutospacing="0" w:line="288"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第二十二条</w:t>
      </w:r>
      <w:r>
        <w:rPr>
          <w:rFonts w:hint="eastAsia" w:ascii="宋体" w:hAnsi="宋体" w:eastAsia="宋体" w:cs="宋体"/>
          <w:bCs/>
          <w:color w:val="auto"/>
          <w:kern w:val="2"/>
          <w:sz w:val="21"/>
          <w:szCs w:val="21"/>
          <w:highlight w:val="none"/>
          <w:lang w:val="en-US" w:eastAsia="zh-CN" w:bidi="ar"/>
        </w:rPr>
        <w:t xml:space="preserve"> 检测机构未按合同及时开展检测、不及时上报检测报告、检测月报、项目检测工作总结的，给予检测机构2000元/次违约违约；未按规定上报检测结论不合格事项的，给予5000元/次违约处罚。</w:t>
      </w:r>
    </w:p>
    <w:p w14:paraId="0A5C722B">
      <w:pPr>
        <w:keepNext w:val="0"/>
        <w:keepLines w:val="0"/>
        <w:widowControl w:val="0"/>
        <w:suppressLineNumbers w:val="0"/>
        <w:spacing w:before="0" w:beforeAutospacing="0" w:after="0" w:afterAutospacing="0" w:line="288"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第二十三条</w:t>
      </w:r>
      <w:r>
        <w:rPr>
          <w:rFonts w:hint="eastAsia" w:ascii="宋体" w:hAnsi="宋体" w:eastAsia="宋体" w:cs="宋体"/>
          <w:bCs/>
          <w:color w:val="auto"/>
          <w:kern w:val="2"/>
          <w:sz w:val="21"/>
          <w:szCs w:val="21"/>
          <w:highlight w:val="none"/>
          <w:lang w:val="en-US" w:eastAsia="zh-CN" w:bidi="ar"/>
        </w:rPr>
        <w:t xml:space="preserve"> 检测报告中没有明确结论，取样位置标注不清、信息填写不全或因检测人员和设备等原因造成检测成果错误或存在瑕疵的，给予1000元/次违约处罚。</w:t>
      </w:r>
    </w:p>
    <w:p w14:paraId="3DD74FAB">
      <w:pPr>
        <w:keepNext w:val="0"/>
        <w:keepLines w:val="0"/>
        <w:widowControl w:val="0"/>
        <w:suppressLineNumbers w:val="0"/>
        <w:spacing w:before="0" w:beforeAutospacing="0" w:after="0" w:afterAutospacing="0" w:line="288"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第二十四条 </w:t>
      </w:r>
      <w:r>
        <w:rPr>
          <w:rFonts w:hint="eastAsia" w:ascii="宋体" w:hAnsi="宋体" w:eastAsia="宋体" w:cs="宋体"/>
          <w:bCs/>
          <w:color w:val="auto"/>
          <w:kern w:val="2"/>
          <w:sz w:val="21"/>
          <w:szCs w:val="21"/>
          <w:highlight w:val="none"/>
          <w:lang w:val="en-US" w:eastAsia="zh-CN" w:bidi="ar"/>
        </w:rPr>
        <w:t>检测机构未经检测出具检测报告的、更改检测报告中数据、结论等实质性内容的、与监理单位、施工单位相互串通在取样、制样、养护、送检和试验过程中弄虚作假，出具虚假检测报告的，扣除该项目全部检测费用，履约保证金不予退还,支付违约金3万元/次;给他方造成损失的，依法承担赔偿责任；构成犯罪的，依法追究刑事责任。市重点处有权解除合同，提请市住建局和市公管局等行政主管部门，对失信行为进行联合惩戒。三年内限制参与市重点处项目投标。</w:t>
      </w:r>
    </w:p>
    <w:p w14:paraId="5C3E76E1">
      <w:pPr>
        <w:keepNext w:val="0"/>
        <w:keepLines w:val="0"/>
        <w:widowControl w:val="0"/>
        <w:suppressLineNumbers w:val="0"/>
        <w:spacing w:before="0" w:beforeAutospacing="0" w:after="0" w:afterAutospacing="0" w:line="288"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第二十五条</w:t>
      </w:r>
      <w:r>
        <w:rPr>
          <w:rFonts w:hint="eastAsia" w:ascii="宋体" w:hAnsi="宋体" w:eastAsia="宋体" w:cs="宋体"/>
          <w:bCs/>
          <w:color w:val="auto"/>
          <w:kern w:val="2"/>
          <w:sz w:val="21"/>
          <w:szCs w:val="21"/>
          <w:highlight w:val="none"/>
          <w:lang w:val="en-US" w:eastAsia="zh-CN" w:bidi="ar"/>
        </w:rPr>
        <w:t xml:space="preserve"> 本规定自发布之日起执行。滁重〔2018〕60号《关于滁州市重点工程建设管理处第三方检测管理办法（试行）》废止。</w:t>
      </w:r>
    </w:p>
    <w:p w14:paraId="5BFC7BA5">
      <w:pPr>
        <w:keepNext w:val="0"/>
        <w:keepLines w:val="0"/>
        <w:widowControl w:val="0"/>
        <w:suppressLineNumbers w:val="0"/>
        <w:spacing w:before="0" w:beforeAutospacing="0" w:after="0" w:afterAutospacing="0" w:line="312"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lang w:val="en-US" w:eastAsia="zh-CN" w:bidi="ar"/>
        </w:rPr>
        <w:t>附件：《市重点处工程质量检测收费清单》</w:t>
      </w:r>
    </w:p>
    <w:p w14:paraId="62DB3223">
      <w:pPr>
        <w:pStyle w:val="12"/>
        <w:widowControl/>
        <w:spacing w:before="0" w:beforeAutospacing="1" w:line="312" w:lineRule="auto"/>
        <w:ind w:leftChars="200" w:right="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xml:space="preserve"> </w:t>
      </w:r>
    </w:p>
    <w:p w14:paraId="1F9BF67B">
      <w:pPr>
        <w:pStyle w:val="12"/>
        <w:widowControl/>
        <w:wordWrap w:val="0"/>
        <w:spacing w:before="0" w:beforeAutospacing="1" w:line="312" w:lineRule="auto"/>
        <w:ind w:leftChars="200" w:right="0"/>
        <w:jc w:val="righ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xml:space="preserve">滁州市重点工程建设管理处    </w:t>
      </w:r>
    </w:p>
    <w:p w14:paraId="5053E235">
      <w:pPr>
        <w:pStyle w:val="18"/>
        <w:keepNext w:val="0"/>
        <w:keepLines w:val="0"/>
        <w:widowControl w:val="0"/>
        <w:suppressLineNumbers w:val="0"/>
        <w:spacing w:before="0" w:beforeAutospacing="1" w:after="120" w:afterAutospacing="0" w:line="312" w:lineRule="auto"/>
        <w:ind w:left="420" w:leftChars="200" w:right="0" w:firstLine="420" w:firstLineChars="200"/>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2"/>
          <w:sz w:val="21"/>
          <w:szCs w:val="21"/>
          <w:highlight w:val="none"/>
          <w:lang w:val="en-US" w:eastAsia="zh-CN" w:bidi="ar"/>
        </w:rPr>
        <w:t xml:space="preserve">                                                         </w:t>
      </w:r>
      <w:r>
        <w:rPr>
          <w:rFonts w:hint="default" w:ascii="Times New Roman" w:hAnsi="Times New Roman" w:eastAsia="宋体" w:cs="Times New Roman"/>
          <w:color w:val="auto"/>
          <w:kern w:val="2"/>
          <w:sz w:val="21"/>
          <w:szCs w:val="21"/>
          <w:highlight w:val="none"/>
          <w:lang w:val="en-US" w:eastAsia="zh-CN" w:bidi="ar"/>
        </w:rPr>
        <w:t>2020</w:t>
      </w:r>
      <w:r>
        <w:rPr>
          <w:rFonts w:hint="eastAsia" w:ascii="宋体" w:hAnsi="宋体" w:eastAsia="宋体" w:cs="宋体"/>
          <w:color w:val="auto"/>
          <w:kern w:val="2"/>
          <w:sz w:val="21"/>
          <w:szCs w:val="21"/>
          <w:highlight w:val="none"/>
          <w:lang w:val="en-US" w:eastAsia="zh-CN" w:bidi="ar"/>
        </w:rPr>
        <w:t>年</w:t>
      </w:r>
      <w:r>
        <w:rPr>
          <w:rFonts w:hint="default" w:ascii="Times New Roman" w:hAnsi="Times New Roman" w:eastAsia="宋体" w:cs="Times New Roman"/>
          <w:color w:val="auto"/>
          <w:kern w:val="2"/>
          <w:sz w:val="21"/>
          <w:szCs w:val="21"/>
          <w:highlight w:val="none"/>
          <w:lang w:val="en-US" w:eastAsia="zh-CN" w:bidi="ar"/>
        </w:rPr>
        <w:t>8</w:t>
      </w:r>
      <w:r>
        <w:rPr>
          <w:rFonts w:hint="eastAsia" w:ascii="宋体" w:hAnsi="宋体" w:eastAsia="宋体" w:cs="宋体"/>
          <w:color w:val="auto"/>
          <w:kern w:val="2"/>
          <w:sz w:val="21"/>
          <w:szCs w:val="21"/>
          <w:highlight w:val="none"/>
          <w:lang w:val="en-US" w:eastAsia="zh-CN" w:bidi="ar"/>
        </w:rPr>
        <w:t>月</w:t>
      </w:r>
      <w:r>
        <w:rPr>
          <w:rFonts w:hint="default" w:ascii="Times New Roman" w:hAnsi="Times New Roman" w:eastAsia="宋体" w:cs="Times New Roman"/>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val="en-US" w:eastAsia="zh-CN" w:bidi="ar"/>
        </w:rPr>
        <w:t>日</w:t>
      </w:r>
    </w:p>
    <w:p w14:paraId="4096BC38">
      <w:pPr>
        <w:widowControl/>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bookmarkEnd w:id="37"/>
    <w:p w14:paraId="6C268B73">
      <w:pPr>
        <w:spacing w:line="360" w:lineRule="auto"/>
        <w:jc w:val="center"/>
        <w:outlineLvl w:val="0"/>
        <w:rPr>
          <w:rFonts w:asciiTheme="minorEastAsia" w:hAnsiTheme="minorEastAsia" w:eastAsiaTheme="minorEastAsia"/>
          <w:b/>
          <w:color w:val="auto"/>
          <w:sz w:val="28"/>
          <w:highlight w:val="none"/>
        </w:rPr>
      </w:pPr>
      <w:bookmarkStart w:id="41" w:name="_Toc13555"/>
      <w:r>
        <w:rPr>
          <w:rFonts w:hint="eastAsia" w:asciiTheme="minorEastAsia" w:hAnsiTheme="minorEastAsia" w:eastAsiaTheme="minorEastAsia"/>
          <w:b/>
          <w:color w:val="auto"/>
          <w:sz w:val="28"/>
          <w:highlight w:val="none"/>
        </w:rPr>
        <w:t>第六章  投标文件格式</w:t>
      </w:r>
      <w:bookmarkEnd w:id="41"/>
    </w:p>
    <w:p w14:paraId="1805DC94">
      <w:pPr>
        <w:spacing w:line="900" w:lineRule="exact"/>
        <w:jc w:val="center"/>
        <w:rPr>
          <w:rFonts w:asciiTheme="minorEastAsia" w:hAnsiTheme="minorEastAsia" w:eastAsiaTheme="minorEastAsia"/>
          <w:b/>
          <w:color w:val="auto"/>
          <w:sz w:val="72"/>
          <w:highlight w:val="none"/>
        </w:rPr>
      </w:pPr>
    </w:p>
    <w:p w14:paraId="5BC55A86">
      <w:pPr>
        <w:spacing w:line="900" w:lineRule="exact"/>
        <w:jc w:val="center"/>
        <w:outlineLvl w:val="1"/>
        <w:rPr>
          <w:rFonts w:asciiTheme="minorEastAsia" w:hAnsiTheme="minorEastAsia" w:eastAsiaTheme="minorEastAsia"/>
          <w:b/>
          <w:color w:val="auto"/>
          <w:sz w:val="72"/>
          <w:highlight w:val="none"/>
        </w:rPr>
      </w:pPr>
      <w:bookmarkStart w:id="42" w:name="_Toc5119"/>
      <w:r>
        <w:rPr>
          <w:rFonts w:hint="eastAsia" w:asciiTheme="minorEastAsia" w:hAnsiTheme="minorEastAsia" w:eastAsiaTheme="minorEastAsia"/>
          <w:b/>
          <w:color w:val="auto"/>
          <w:sz w:val="72"/>
          <w:highlight w:val="none"/>
        </w:rPr>
        <w:t>投</w:t>
      </w:r>
      <w:bookmarkEnd w:id="42"/>
    </w:p>
    <w:p w14:paraId="5BADADAD">
      <w:pPr>
        <w:spacing w:line="900" w:lineRule="exact"/>
        <w:jc w:val="center"/>
        <w:rPr>
          <w:rFonts w:asciiTheme="minorEastAsia" w:hAnsiTheme="minorEastAsia" w:eastAsiaTheme="minorEastAsia"/>
          <w:b/>
          <w:color w:val="auto"/>
          <w:sz w:val="72"/>
          <w:highlight w:val="none"/>
        </w:rPr>
      </w:pPr>
    </w:p>
    <w:p w14:paraId="08A17F2E">
      <w:pPr>
        <w:spacing w:line="900" w:lineRule="exact"/>
        <w:jc w:val="center"/>
        <w:outlineLvl w:val="1"/>
        <w:rPr>
          <w:rFonts w:asciiTheme="minorEastAsia" w:hAnsiTheme="minorEastAsia" w:eastAsiaTheme="minorEastAsia"/>
          <w:b/>
          <w:color w:val="auto"/>
          <w:sz w:val="72"/>
          <w:highlight w:val="none"/>
        </w:rPr>
      </w:pPr>
      <w:bookmarkStart w:id="43" w:name="_Toc4782"/>
      <w:r>
        <w:rPr>
          <w:rFonts w:hint="eastAsia" w:asciiTheme="minorEastAsia" w:hAnsiTheme="minorEastAsia" w:eastAsiaTheme="minorEastAsia"/>
          <w:b/>
          <w:color w:val="auto"/>
          <w:sz w:val="72"/>
          <w:highlight w:val="none"/>
        </w:rPr>
        <w:t>标</w:t>
      </w:r>
      <w:bookmarkEnd w:id="43"/>
    </w:p>
    <w:p w14:paraId="03FE7FF0">
      <w:pPr>
        <w:spacing w:line="900" w:lineRule="exact"/>
        <w:jc w:val="center"/>
        <w:rPr>
          <w:rFonts w:asciiTheme="minorEastAsia" w:hAnsiTheme="minorEastAsia" w:eastAsiaTheme="minorEastAsia"/>
          <w:b/>
          <w:color w:val="auto"/>
          <w:sz w:val="72"/>
          <w:highlight w:val="none"/>
        </w:rPr>
      </w:pPr>
    </w:p>
    <w:p w14:paraId="4FE96AFA">
      <w:pPr>
        <w:spacing w:line="900" w:lineRule="exact"/>
        <w:jc w:val="center"/>
        <w:outlineLvl w:val="1"/>
        <w:rPr>
          <w:rFonts w:asciiTheme="minorEastAsia" w:hAnsiTheme="minorEastAsia" w:eastAsiaTheme="minorEastAsia"/>
          <w:b/>
          <w:color w:val="auto"/>
          <w:sz w:val="72"/>
          <w:highlight w:val="none"/>
        </w:rPr>
      </w:pPr>
      <w:bookmarkStart w:id="44" w:name="_Toc19607"/>
      <w:r>
        <w:rPr>
          <w:rFonts w:hint="eastAsia" w:asciiTheme="minorEastAsia" w:hAnsiTheme="minorEastAsia" w:eastAsiaTheme="minorEastAsia"/>
          <w:b/>
          <w:color w:val="auto"/>
          <w:sz w:val="72"/>
          <w:highlight w:val="none"/>
        </w:rPr>
        <w:t>文</w:t>
      </w:r>
      <w:bookmarkEnd w:id="44"/>
    </w:p>
    <w:p w14:paraId="04629B3C">
      <w:pPr>
        <w:spacing w:line="900" w:lineRule="exact"/>
        <w:jc w:val="center"/>
        <w:rPr>
          <w:rFonts w:asciiTheme="minorEastAsia" w:hAnsiTheme="minorEastAsia" w:eastAsiaTheme="minorEastAsia"/>
          <w:b/>
          <w:color w:val="auto"/>
          <w:sz w:val="72"/>
          <w:highlight w:val="none"/>
        </w:rPr>
      </w:pPr>
    </w:p>
    <w:p w14:paraId="719ABBEE">
      <w:pPr>
        <w:jc w:val="center"/>
        <w:outlineLvl w:val="1"/>
        <w:rPr>
          <w:rFonts w:asciiTheme="minorEastAsia" w:hAnsiTheme="minorEastAsia" w:eastAsiaTheme="minorEastAsia"/>
          <w:b/>
          <w:color w:val="auto"/>
          <w:sz w:val="72"/>
          <w:highlight w:val="none"/>
        </w:rPr>
      </w:pPr>
      <w:bookmarkStart w:id="45" w:name="_Toc8365"/>
      <w:r>
        <w:rPr>
          <w:rFonts w:hint="eastAsia" w:asciiTheme="minorEastAsia" w:hAnsiTheme="minorEastAsia" w:eastAsiaTheme="minorEastAsia"/>
          <w:b/>
          <w:color w:val="auto"/>
          <w:sz w:val="72"/>
          <w:highlight w:val="none"/>
        </w:rPr>
        <w:t>件</w:t>
      </w:r>
      <w:bookmarkEnd w:id="45"/>
    </w:p>
    <w:p w14:paraId="16D4B949">
      <w:pPr>
        <w:spacing w:after="156" w:afterLines="50"/>
        <w:jc w:val="center"/>
        <w:rPr>
          <w:rFonts w:asciiTheme="minorEastAsia" w:hAnsiTheme="minorEastAsia" w:eastAsiaTheme="minorEastAsia"/>
          <w:b/>
          <w:color w:val="auto"/>
          <w:sz w:val="72"/>
          <w:highlight w:val="none"/>
        </w:rPr>
      </w:pPr>
    </w:p>
    <w:p w14:paraId="1C0B5EA1">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center"/>
        <w:textAlignment w:val="auto"/>
        <w:outlineLvl w:val="1"/>
        <w:rPr>
          <w:rFonts w:hint="default" w:ascii="宋体" w:hAnsi="宋体" w:eastAsia="宋体"/>
          <w:color w:val="auto"/>
          <w:sz w:val="24"/>
          <w:szCs w:val="18"/>
          <w:highlight w:val="none"/>
          <w:lang w:val="en-US" w:eastAsia="zh-CN"/>
        </w:rPr>
      </w:pPr>
    </w:p>
    <w:p w14:paraId="4D82C058">
      <w:pPr>
        <w:spacing w:before="156" w:beforeLines="50" w:after="156" w:afterLines="50"/>
        <w:jc w:val="center"/>
        <w:outlineLvl w:val="9"/>
        <w:rPr>
          <w:rFonts w:asciiTheme="minorEastAsia" w:hAnsiTheme="minorEastAsia" w:eastAsiaTheme="minorEastAsia"/>
          <w:b/>
          <w:color w:val="auto"/>
          <w:sz w:val="32"/>
          <w:szCs w:val="32"/>
          <w:highlight w:val="none"/>
        </w:rPr>
      </w:pPr>
    </w:p>
    <w:p w14:paraId="46DABB03">
      <w:pPr>
        <w:spacing w:after="156" w:afterLines="50" w:line="500" w:lineRule="exact"/>
        <w:jc w:val="center"/>
        <w:rPr>
          <w:rFonts w:asciiTheme="minorEastAsia" w:hAnsiTheme="minorEastAsia" w:eastAsiaTheme="minorEastAsia"/>
          <w:b/>
          <w:color w:val="auto"/>
          <w:sz w:val="28"/>
          <w:szCs w:val="28"/>
          <w:highlight w:val="none"/>
        </w:rPr>
      </w:pPr>
    </w:p>
    <w:p w14:paraId="246043F8">
      <w:pPr>
        <w:tabs>
          <w:tab w:val="left" w:pos="2410"/>
        </w:tabs>
        <w:autoSpaceDE w:val="0"/>
        <w:autoSpaceDN w:val="0"/>
        <w:adjustRightInd w:val="0"/>
        <w:snapToGrid w:val="0"/>
        <w:spacing w:line="360" w:lineRule="auto"/>
        <w:ind w:firstLine="1928" w:firstLineChars="600"/>
        <w:jc w:val="both"/>
        <w:outlineLvl w:val="9"/>
        <w:rPr>
          <w:rFonts w:hint="default" w:ascii="宋体" w:hAnsi="宋体" w:eastAsia="宋体"/>
          <w:b/>
          <w:color w:val="auto"/>
          <w:spacing w:val="20"/>
          <w:kern w:val="0"/>
          <w:sz w:val="32"/>
          <w:szCs w:val="32"/>
          <w:highlight w:val="none"/>
          <w:lang w:val="en-US" w:eastAsia="zh-CN"/>
        </w:rPr>
      </w:pPr>
      <w:r>
        <w:rPr>
          <w:rFonts w:hint="eastAsia" w:asciiTheme="minorEastAsia" w:hAnsiTheme="minorEastAsia" w:eastAsiaTheme="minorEastAsia"/>
          <w:b/>
          <w:color w:val="auto"/>
          <w:sz w:val="32"/>
          <w:highlight w:val="none"/>
        </w:rPr>
        <w:t>项目名称：</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p>
    <w:p w14:paraId="2D15B3EF">
      <w:pPr>
        <w:tabs>
          <w:tab w:val="left" w:pos="2410"/>
        </w:tabs>
        <w:autoSpaceDE w:val="0"/>
        <w:autoSpaceDN w:val="0"/>
        <w:adjustRightInd w:val="0"/>
        <w:snapToGrid w:val="0"/>
        <w:spacing w:line="360" w:lineRule="auto"/>
        <w:ind w:firstLine="1928" w:firstLineChars="600"/>
        <w:jc w:val="both"/>
        <w:outlineLvl w:val="9"/>
        <w:rPr>
          <w:rFonts w:hint="eastAsia" w:asciiTheme="minorEastAsia" w:hAnsiTheme="minorEastAsia" w:eastAsiaTheme="minorEastAsia"/>
          <w:b/>
          <w:color w:val="auto"/>
          <w:sz w:val="32"/>
          <w:highlight w:val="none"/>
          <w:u w:val="single"/>
        </w:rPr>
      </w:pPr>
      <w:r>
        <w:rPr>
          <w:rFonts w:hint="eastAsia" w:asciiTheme="minorEastAsia" w:hAnsiTheme="minorEastAsia" w:eastAsiaTheme="minorEastAsia"/>
          <w:b/>
          <w:color w:val="auto"/>
          <w:sz w:val="32"/>
          <w:highlight w:val="none"/>
        </w:rPr>
        <w:t>项目编号：</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p>
    <w:p w14:paraId="0A6D0992">
      <w:pPr>
        <w:tabs>
          <w:tab w:val="left" w:pos="2410"/>
        </w:tabs>
        <w:autoSpaceDE w:val="0"/>
        <w:autoSpaceDN w:val="0"/>
        <w:adjustRightInd w:val="0"/>
        <w:snapToGrid w:val="0"/>
        <w:spacing w:line="360" w:lineRule="auto"/>
        <w:ind w:firstLine="1928" w:firstLineChars="600"/>
        <w:jc w:val="both"/>
        <w:outlineLvl w:val="9"/>
        <w:rPr>
          <w:rFonts w:asciiTheme="minorEastAsia" w:hAnsiTheme="minorEastAsia" w:eastAsiaTheme="minorEastAsia"/>
          <w:b/>
          <w:color w:val="auto"/>
          <w:sz w:val="32"/>
          <w:highlight w:val="none"/>
          <w:u w:val="single"/>
        </w:rPr>
      </w:pPr>
      <w:r>
        <w:rPr>
          <w:rFonts w:hint="eastAsia" w:asciiTheme="minorEastAsia" w:hAnsiTheme="minorEastAsia" w:eastAsiaTheme="minorEastAsia"/>
          <w:b/>
          <w:color w:val="auto"/>
          <w:sz w:val="32"/>
          <w:highlight w:val="none"/>
          <w:lang w:val="en-US" w:eastAsia="zh-CN"/>
        </w:rPr>
        <w:t xml:space="preserve">投 </w:t>
      </w:r>
      <w:r>
        <w:rPr>
          <w:rFonts w:hint="eastAsia" w:asciiTheme="minorEastAsia" w:hAnsiTheme="minorEastAsia" w:eastAsiaTheme="minorEastAsia"/>
          <w:b/>
          <w:color w:val="auto"/>
          <w:sz w:val="32"/>
          <w:highlight w:val="none"/>
        </w:rPr>
        <w:t>标</w:t>
      </w:r>
      <w:r>
        <w:rPr>
          <w:rFonts w:hint="eastAsia" w:asciiTheme="minorEastAsia" w:hAnsiTheme="minorEastAsia" w:eastAsiaTheme="minorEastAsia"/>
          <w:b/>
          <w:color w:val="auto"/>
          <w:sz w:val="32"/>
          <w:highlight w:val="none"/>
          <w:lang w:val="en-US" w:eastAsia="zh-CN"/>
        </w:rPr>
        <w:t xml:space="preserve"> </w:t>
      </w:r>
      <w:r>
        <w:rPr>
          <w:rFonts w:hint="eastAsia" w:asciiTheme="minorEastAsia" w:hAnsiTheme="minorEastAsia" w:eastAsiaTheme="minorEastAsia"/>
          <w:b/>
          <w:color w:val="auto"/>
          <w:sz w:val="32"/>
          <w:highlight w:val="none"/>
        </w:rPr>
        <w:t>人：</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p>
    <w:p w14:paraId="781C62AF">
      <w:pPr>
        <w:spacing w:after="156" w:afterLines="50" w:line="500" w:lineRule="exact"/>
        <w:jc w:val="center"/>
        <w:outlineLvl w:val="1"/>
        <w:rPr>
          <w:rFonts w:asciiTheme="minorEastAsia" w:hAnsiTheme="minorEastAsia" w:eastAsiaTheme="minorEastAsia"/>
          <w:b/>
          <w:color w:val="auto"/>
          <w:sz w:val="32"/>
          <w:highlight w:val="none"/>
        </w:rPr>
      </w:pPr>
      <w:r>
        <w:rPr>
          <w:rFonts w:hint="eastAsia" w:asciiTheme="minorEastAsia" w:hAnsiTheme="minorEastAsia" w:eastAsiaTheme="minorEastAsia"/>
          <w:b/>
          <w:color w:val="auto"/>
          <w:sz w:val="32"/>
          <w:highlight w:val="none"/>
          <w:u w:val="single"/>
        </w:rPr>
        <w:t xml:space="preserve">  </w:t>
      </w:r>
      <w:bookmarkStart w:id="46" w:name="_Toc19687"/>
      <w:bookmarkStart w:id="47" w:name="_Toc8037"/>
      <w:r>
        <w:rPr>
          <w:rFonts w:hint="eastAsia" w:asciiTheme="minorEastAsia" w:hAnsiTheme="minorEastAsia" w:eastAsiaTheme="minorEastAsia"/>
          <w:b/>
          <w:color w:val="auto"/>
          <w:sz w:val="32"/>
          <w:highlight w:val="none"/>
        </w:rPr>
        <w:t>年</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rPr>
        <w:t>月</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rPr>
        <w:t>日</w:t>
      </w:r>
      <w:bookmarkEnd w:id="46"/>
      <w:bookmarkEnd w:id="47"/>
    </w:p>
    <w:p w14:paraId="12483F97">
      <w:pPr>
        <w:widowControl/>
        <w:jc w:val="left"/>
        <w:rPr>
          <w:rFonts w:asciiTheme="minorEastAsia" w:hAnsiTheme="minorEastAsia" w:eastAsiaTheme="minorEastAsia"/>
          <w:b/>
          <w:color w:val="auto"/>
          <w:sz w:val="28"/>
          <w:highlight w:val="none"/>
        </w:rPr>
      </w:pPr>
      <w:r>
        <w:rPr>
          <w:rFonts w:asciiTheme="minorEastAsia" w:hAnsiTheme="minorEastAsia" w:eastAsiaTheme="minorEastAsia"/>
          <w:b/>
          <w:color w:val="auto"/>
          <w:sz w:val="28"/>
          <w:highlight w:val="none"/>
        </w:rPr>
        <w:br w:type="page"/>
      </w:r>
    </w:p>
    <w:p w14:paraId="5E61BF5B">
      <w:pPr>
        <w:spacing w:line="360" w:lineRule="auto"/>
        <w:jc w:val="center"/>
        <w:outlineLvl w:val="1"/>
        <w:rPr>
          <w:rFonts w:asciiTheme="minorEastAsia" w:hAnsiTheme="minorEastAsia" w:eastAsiaTheme="minorEastAsia"/>
          <w:b/>
          <w:color w:val="auto"/>
          <w:sz w:val="24"/>
          <w:highlight w:val="none"/>
        </w:rPr>
      </w:pPr>
      <w:bookmarkStart w:id="48" w:name="_Toc17986"/>
      <w:bookmarkStart w:id="49" w:name="_Toc28960"/>
      <w:r>
        <w:rPr>
          <w:rFonts w:hint="eastAsia" w:asciiTheme="minorEastAsia" w:hAnsiTheme="minorEastAsia" w:eastAsiaTheme="minorEastAsia"/>
          <w:b/>
          <w:color w:val="auto"/>
          <w:sz w:val="24"/>
          <w:highlight w:val="none"/>
        </w:rPr>
        <w:t>一、开标一览表</w:t>
      </w:r>
      <w:bookmarkEnd w:id="48"/>
      <w:bookmarkEnd w:id="49"/>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3"/>
        <w:gridCol w:w="6213"/>
      </w:tblGrid>
      <w:tr w14:paraId="3E89E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1352" w:type="pct"/>
            <w:tcBorders>
              <w:top w:val="single" w:color="auto" w:sz="4" w:space="0"/>
              <w:bottom w:val="single" w:color="auto" w:sz="4" w:space="0"/>
              <w:right w:val="single" w:color="auto" w:sz="4" w:space="0"/>
            </w:tcBorders>
            <w:vAlign w:val="center"/>
          </w:tcPr>
          <w:p w14:paraId="11DE0BAA">
            <w:pPr>
              <w:keepNext w:val="0"/>
              <w:keepLines w:val="0"/>
              <w:widowControl/>
              <w:suppressLineNumbers w:val="0"/>
              <w:spacing w:before="0" w:beforeAutospacing="0" w:after="0" w:afterAutospacing="0" w:line="360" w:lineRule="exact"/>
              <w:ind w:left="0" w:right="0"/>
              <w:jc w:val="center"/>
              <w:rPr>
                <w:rFonts w:hint="default" w:asciiTheme="minorEastAsia" w:hAnsiTheme="minorEastAsia" w:eastAsiaTheme="minorEastAsia"/>
                <w:b/>
                <w:color w:val="auto"/>
                <w:sz w:val="24"/>
                <w:szCs w:val="20"/>
                <w:highlight w:val="none"/>
              </w:rPr>
            </w:pPr>
            <w:r>
              <w:rPr>
                <w:rFonts w:hint="eastAsia" w:asciiTheme="minorEastAsia" w:hAnsiTheme="minorEastAsia" w:eastAsiaTheme="minorEastAsia"/>
                <w:b/>
                <w:color w:val="auto"/>
                <w:sz w:val="24"/>
                <w:szCs w:val="20"/>
                <w:highlight w:val="none"/>
              </w:rPr>
              <w:t>项目名称</w:t>
            </w:r>
          </w:p>
        </w:tc>
        <w:tc>
          <w:tcPr>
            <w:tcW w:w="3648" w:type="pct"/>
            <w:tcBorders>
              <w:top w:val="single" w:color="auto" w:sz="4" w:space="0"/>
              <w:bottom w:val="single" w:color="auto" w:sz="4" w:space="0"/>
              <w:right w:val="single" w:color="auto" w:sz="4" w:space="0"/>
            </w:tcBorders>
            <w:vAlign w:val="center"/>
          </w:tcPr>
          <w:p w14:paraId="344AC148">
            <w:pPr>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bCs/>
                <w:color w:val="auto"/>
                <w:sz w:val="24"/>
                <w:szCs w:val="20"/>
                <w:highlight w:val="none"/>
                <w:u w:val="single"/>
              </w:rPr>
            </w:pPr>
          </w:p>
        </w:tc>
      </w:tr>
      <w:tr w14:paraId="6A99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2" w:type="pct"/>
            <w:tcBorders>
              <w:top w:val="nil"/>
            </w:tcBorders>
            <w:vAlign w:val="center"/>
          </w:tcPr>
          <w:p w14:paraId="21EAE7B5">
            <w:pPr>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b/>
                <w:color w:val="auto"/>
                <w:sz w:val="24"/>
                <w:szCs w:val="20"/>
                <w:highlight w:val="none"/>
              </w:rPr>
            </w:pPr>
            <w:r>
              <w:rPr>
                <w:rFonts w:hint="eastAsia" w:asciiTheme="minorEastAsia" w:hAnsiTheme="minorEastAsia" w:eastAsiaTheme="minorEastAsia"/>
                <w:b/>
                <w:color w:val="auto"/>
                <w:sz w:val="24"/>
                <w:szCs w:val="20"/>
                <w:highlight w:val="none"/>
              </w:rPr>
              <w:t>投标人全称</w:t>
            </w:r>
          </w:p>
        </w:tc>
        <w:tc>
          <w:tcPr>
            <w:tcW w:w="3648" w:type="pct"/>
            <w:tcBorders>
              <w:top w:val="nil"/>
            </w:tcBorders>
            <w:vAlign w:val="center"/>
          </w:tcPr>
          <w:p w14:paraId="40DB4310">
            <w:pPr>
              <w:keepNext w:val="0"/>
              <w:keepLines w:val="0"/>
              <w:suppressLineNumbers w:val="0"/>
              <w:spacing w:before="0" w:beforeAutospacing="0" w:after="0" w:afterAutospacing="0" w:line="360" w:lineRule="auto"/>
              <w:ind w:left="0" w:right="0"/>
              <w:rPr>
                <w:rFonts w:hint="default" w:asciiTheme="minorEastAsia" w:hAnsiTheme="minorEastAsia" w:eastAsiaTheme="minorEastAsia"/>
                <w:color w:val="auto"/>
                <w:sz w:val="24"/>
                <w:szCs w:val="20"/>
                <w:highlight w:val="none"/>
              </w:rPr>
            </w:pPr>
          </w:p>
        </w:tc>
      </w:tr>
      <w:tr w14:paraId="12170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2" w:type="pct"/>
            <w:tcBorders>
              <w:top w:val="nil"/>
            </w:tcBorders>
            <w:vAlign w:val="center"/>
          </w:tcPr>
          <w:p w14:paraId="785493F5">
            <w:pPr>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b/>
                <w:color w:val="auto"/>
                <w:sz w:val="24"/>
                <w:szCs w:val="20"/>
                <w:highlight w:val="none"/>
              </w:rPr>
            </w:pPr>
            <w:r>
              <w:rPr>
                <w:rFonts w:hint="eastAsia" w:asciiTheme="minorEastAsia" w:hAnsiTheme="minorEastAsia" w:eastAsiaTheme="minorEastAsia"/>
                <w:b/>
                <w:color w:val="auto"/>
                <w:sz w:val="24"/>
                <w:szCs w:val="20"/>
                <w:highlight w:val="none"/>
              </w:rPr>
              <w:t>投标范围</w:t>
            </w:r>
          </w:p>
        </w:tc>
        <w:tc>
          <w:tcPr>
            <w:tcW w:w="3648" w:type="pct"/>
            <w:tcBorders>
              <w:top w:val="nil"/>
            </w:tcBorders>
            <w:vAlign w:val="center"/>
          </w:tcPr>
          <w:p w14:paraId="5CD5FEEC">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textAlignment w:val="auto"/>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8"/>
                <w:highlight w:val="none"/>
              </w:rPr>
              <w:t>全部</w:t>
            </w:r>
          </w:p>
        </w:tc>
      </w:tr>
      <w:tr w14:paraId="4B898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2" w:type="pct"/>
            <w:tcBorders>
              <w:top w:val="nil"/>
            </w:tcBorders>
            <w:vAlign w:val="center"/>
          </w:tcPr>
          <w:p w14:paraId="3032CB5C">
            <w:pPr>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b/>
                <w:color w:val="auto"/>
                <w:sz w:val="24"/>
                <w:szCs w:val="20"/>
                <w:highlight w:val="none"/>
              </w:rPr>
            </w:pPr>
            <w:r>
              <w:rPr>
                <w:rFonts w:hint="eastAsia" w:asciiTheme="minorEastAsia" w:hAnsiTheme="minorEastAsia" w:eastAsiaTheme="minorEastAsia"/>
                <w:b/>
                <w:color w:val="auto"/>
                <w:sz w:val="24"/>
                <w:szCs w:val="20"/>
                <w:highlight w:val="none"/>
              </w:rPr>
              <w:t>投标报价</w:t>
            </w:r>
          </w:p>
        </w:tc>
        <w:tc>
          <w:tcPr>
            <w:tcW w:w="3648" w:type="pct"/>
            <w:tcBorders>
              <w:top w:val="nil"/>
            </w:tcBorders>
            <w:vAlign w:val="center"/>
          </w:tcPr>
          <w:p w14:paraId="4550390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jc w:val="left"/>
              <w:textAlignment w:val="auto"/>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大写：</w:t>
            </w:r>
            <w:r>
              <w:rPr>
                <w:rFonts w:hint="eastAsia" w:ascii="宋体" w:hAnsi="宋体" w:eastAsia="宋体" w:cs="宋体"/>
                <w:bCs/>
                <w:color w:val="auto"/>
                <w:sz w:val="24"/>
                <w:szCs w:val="24"/>
                <w:highlight w:val="none"/>
                <w:u w:val="single"/>
              </w:rPr>
              <w:t xml:space="preserve">                     </w:t>
            </w:r>
          </w:p>
          <w:p w14:paraId="1D2C1A3F">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670"/>
              <w:textAlignment w:val="auto"/>
              <w:rPr>
                <w:rFonts w:hint="default" w:asciiTheme="minorEastAsia" w:hAnsiTheme="minorEastAsia" w:eastAsiaTheme="minorEastAsia"/>
                <w:color w:val="auto"/>
                <w:sz w:val="24"/>
                <w:szCs w:val="20"/>
                <w:highlight w:val="none"/>
              </w:rPr>
            </w:pPr>
            <w:r>
              <w:rPr>
                <w:rFonts w:hint="eastAsia" w:ascii="宋体" w:hAnsi="宋体" w:eastAsia="宋体" w:cs="宋体"/>
                <w:bCs/>
                <w:color w:val="auto"/>
                <w:sz w:val="24"/>
                <w:szCs w:val="24"/>
                <w:highlight w:val="none"/>
              </w:rPr>
              <w:t>小写：</w:t>
            </w:r>
            <w:r>
              <w:rPr>
                <w:rFonts w:hint="eastAsia" w:ascii="宋体" w:hAnsi="宋体" w:eastAsia="宋体" w:cs="宋体"/>
                <w:bCs/>
                <w:color w:val="auto"/>
                <w:sz w:val="24"/>
                <w:szCs w:val="24"/>
                <w:highlight w:val="none"/>
                <w:u w:val="single"/>
              </w:rPr>
              <w:t xml:space="preserve">                     </w:t>
            </w:r>
          </w:p>
        </w:tc>
      </w:tr>
      <w:tr w14:paraId="2F6E7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0" w:hRule="atLeast"/>
          <w:jc w:val="center"/>
        </w:trPr>
        <w:tc>
          <w:tcPr>
            <w:tcW w:w="1352" w:type="pct"/>
            <w:tcBorders>
              <w:top w:val="nil"/>
            </w:tcBorders>
            <w:vAlign w:val="center"/>
          </w:tcPr>
          <w:p w14:paraId="0D8B2EC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b/>
                <w:color w:val="auto"/>
                <w:sz w:val="24"/>
                <w:szCs w:val="20"/>
                <w:highlight w:val="none"/>
              </w:rPr>
            </w:pPr>
            <w:r>
              <w:rPr>
                <w:rFonts w:hint="eastAsia" w:asciiTheme="minorEastAsia" w:hAnsiTheme="minorEastAsia" w:eastAsiaTheme="minorEastAsia"/>
                <w:b/>
                <w:color w:val="auto"/>
                <w:sz w:val="24"/>
                <w:szCs w:val="20"/>
                <w:highlight w:val="none"/>
              </w:rPr>
              <w:t>其他</w:t>
            </w:r>
          </w:p>
        </w:tc>
        <w:tc>
          <w:tcPr>
            <w:tcW w:w="3648" w:type="pct"/>
            <w:tcBorders>
              <w:top w:val="nil"/>
            </w:tcBorders>
            <w:vAlign w:val="center"/>
          </w:tcPr>
          <w:p w14:paraId="742D1705">
            <w:pPr>
              <w:keepNext w:val="0"/>
              <w:keepLines w:val="0"/>
              <w:suppressLineNumbers w:val="0"/>
              <w:spacing w:before="0" w:beforeAutospacing="0" w:after="0" w:afterAutospacing="0" w:line="360" w:lineRule="auto"/>
              <w:ind w:left="0" w:right="0"/>
              <w:jc w:val="left"/>
              <w:rPr>
                <w:rFonts w:hint="default" w:asciiTheme="minorEastAsia" w:hAnsiTheme="minorEastAsia" w:eastAsiaTheme="minorEastAsia"/>
                <w:color w:val="auto"/>
                <w:sz w:val="24"/>
                <w:szCs w:val="28"/>
                <w:highlight w:val="none"/>
              </w:rPr>
            </w:pPr>
          </w:p>
        </w:tc>
      </w:tr>
    </w:tbl>
    <w:p w14:paraId="429FC54E">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投标人电子签章：</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2AEA4A5A">
      <w:pPr>
        <w:tabs>
          <w:tab w:val="left" w:pos="630"/>
        </w:tabs>
        <w:spacing w:line="360" w:lineRule="auto"/>
        <w:ind w:firstLine="4800" w:firstLineChars="2000"/>
        <w:rPr>
          <w:rFonts w:asciiTheme="minorEastAsia" w:hAnsiTheme="minorEastAsia" w:eastAsiaTheme="minorEastAsia"/>
          <w:color w:val="auto"/>
          <w:sz w:val="24"/>
          <w:highlight w:val="none"/>
        </w:rPr>
      </w:pPr>
      <w:r>
        <w:rPr>
          <w:rFonts w:hint="eastAsia" w:ascii="宋体" w:hAnsi="宋体" w:eastAsia="宋体"/>
          <w:color w:val="auto"/>
          <w:sz w:val="24"/>
          <w:highlight w:val="none"/>
        </w:rPr>
        <w:t xml:space="preserve">日     </w:t>
      </w:r>
      <w:r>
        <w:rPr>
          <w:rFonts w:ascii="宋体" w:hAnsi="宋体" w:eastAsia="宋体"/>
          <w:color w:val="auto"/>
          <w:sz w:val="24"/>
          <w:highlight w:val="none"/>
        </w:rPr>
        <w:t xml:space="preserve">    </w:t>
      </w:r>
      <w:r>
        <w:rPr>
          <w:rFonts w:hint="eastAsia" w:ascii="宋体" w:hAnsi="宋体" w:eastAsia="宋体"/>
          <w:color w:val="auto"/>
          <w:sz w:val="24"/>
          <w:highlight w:val="none"/>
        </w:rPr>
        <w:t xml:space="preserve"> 期：</w:t>
      </w:r>
      <w:r>
        <w:rPr>
          <w:rFonts w:hint="eastAsia" w:ascii="宋体" w:hAnsi="宋体" w:eastAsia="宋体"/>
          <w:color w:val="auto"/>
          <w:sz w:val="24"/>
          <w:highlight w:val="none"/>
          <w:u w:val="single"/>
        </w:rPr>
        <w:t xml:space="preserve">             </w:t>
      </w:r>
    </w:p>
    <w:p w14:paraId="5B70480F">
      <w:pPr>
        <w:spacing w:line="360" w:lineRule="auto"/>
        <w:rPr>
          <w:rFonts w:hint="eastAsia" w:asciiTheme="minorEastAsia" w:hAnsiTheme="minorEastAsia" w:eastAsiaTheme="minorEastAsia"/>
          <w:b/>
          <w:color w:val="auto"/>
          <w:sz w:val="24"/>
          <w:highlight w:val="none"/>
          <w:lang w:eastAsia="zh-CN"/>
        </w:rPr>
      </w:pPr>
      <w:r>
        <w:rPr>
          <w:rFonts w:hint="eastAsia" w:asciiTheme="minorEastAsia" w:hAnsiTheme="minorEastAsia" w:eastAsiaTheme="minorEastAsia"/>
          <w:b/>
          <w:color w:val="auto"/>
          <w:sz w:val="24"/>
          <w:highlight w:val="none"/>
          <w:lang w:eastAsia="zh-CN"/>
        </w:rPr>
        <w:t>注：</w:t>
      </w:r>
    </w:p>
    <w:p w14:paraId="5CA1D64A">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此表用于开标唱标之用。</w:t>
      </w:r>
    </w:p>
    <w:p w14:paraId="244CC935">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表中投标报价即为优惠后报价，并作为评审及定标依据。任何有选择或有条件的投标报价，或者表中某一包别填写多个报价，均为无效报价。</w:t>
      </w:r>
    </w:p>
    <w:p w14:paraId="3BB94E6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.表中大写金额与小写金额不一致的，以大写金额为准。</w:t>
      </w:r>
      <w:r>
        <w:rPr>
          <w:rFonts w:asciiTheme="minorEastAsia" w:hAnsiTheme="minorEastAsia" w:eastAsiaTheme="minorEastAsia"/>
          <w:color w:val="auto"/>
          <w:sz w:val="24"/>
          <w:highlight w:val="none"/>
        </w:rPr>
        <w:br w:type="page"/>
      </w:r>
    </w:p>
    <w:p w14:paraId="523EEEEE">
      <w:pPr>
        <w:spacing w:line="360" w:lineRule="auto"/>
        <w:jc w:val="center"/>
        <w:outlineLvl w:val="1"/>
        <w:rPr>
          <w:rFonts w:asciiTheme="minorEastAsia" w:hAnsiTheme="minorEastAsia" w:eastAsiaTheme="minorEastAsia"/>
          <w:b/>
          <w:color w:val="auto"/>
          <w:sz w:val="24"/>
          <w:highlight w:val="none"/>
        </w:rPr>
      </w:pPr>
      <w:bookmarkStart w:id="50" w:name="_Toc6120"/>
      <w:bookmarkStart w:id="51" w:name="_Toc6441"/>
      <w:r>
        <w:rPr>
          <w:rFonts w:hint="eastAsia" w:asciiTheme="minorEastAsia" w:hAnsiTheme="minorEastAsia" w:eastAsiaTheme="minorEastAsia"/>
          <w:b/>
          <w:color w:val="auto"/>
          <w:sz w:val="24"/>
          <w:highlight w:val="none"/>
        </w:rPr>
        <w:t>二、投标函</w:t>
      </w:r>
      <w:bookmarkEnd w:id="50"/>
      <w:bookmarkEnd w:id="51"/>
    </w:p>
    <w:p w14:paraId="08341FC8">
      <w:pPr>
        <w:pStyle w:val="11"/>
        <w:spacing w:line="360" w:lineRule="auto"/>
        <w:rPr>
          <w:rFonts w:hint="eastAsia" w:ascii="宋体" w:hAnsi="宋体" w:eastAsia="宋体"/>
          <w:color w:val="auto"/>
          <w:sz w:val="24"/>
          <w:highlight w:val="none"/>
          <w:u w:val="single"/>
          <w:lang w:eastAsia="zh-CN"/>
        </w:rPr>
      </w:pPr>
      <w:r>
        <w:rPr>
          <w:rFonts w:hint="eastAsia" w:ascii="宋体" w:hAnsi="宋体"/>
          <w:color w:val="auto"/>
          <w:sz w:val="24"/>
          <w:highlight w:val="none"/>
        </w:rPr>
        <w:t>致：</w:t>
      </w:r>
      <w:r>
        <w:rPr>
          <w:rFonts w:hint="eastAsia" w:ascii="宋体" w:hAnsi="宋体"/>
          <w:color w:val="auto"/>
          <w:sz w:val="24"/>
          <w:highlight w:val="none"/>
          <w:u w:val="single"/>
          <w:lang w:eastAsia="zh-CN"/>
        </w:rPr>
        <w:t>采购人</w:t>
      </w:r>
    </w:p>
    <w:p w14:paraId="03847A2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根据贵方的招标公告和投标邀请，我方兹宣布同意如下：</w:t>
      </w:r>
    </w:p>
    <w:p w14:paraId="286086B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rPr>
        <w:t>.</w:t>
      </w:r>
      <w:r>
        <w:rPr>
          <w:rFonts w:hint="eastAsia" w:ascii="宋体" w:hAnsi="宋体" w:eastAsia="宋体" w:cs="宋体"/>
          <w:color w:val="auto"/>
          <w:sz w:val="24"/>
          <w:szCs w:val="24"/>
          <w:highlight w:val="none"/>
        </w:rPr>
        <w:t>我方根据招标文件的规定，严格履行合同的责任和义务,并保证于买方要求的日期内完成，并通过买方验收。</w:t>
      </w:r>
    </w:p>
    <w:p w14:paraId="06985B4A">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.我方已详细审核全部招标文件，包括招标文件</w:t>
      </w:r>
      <w:r>
        <w:rPr>
          <w:rFonts w:hint="eastAsia" w:asciiTheme="minorEastAsia" w:hAnsiTheme="minorEastAsia" w:eastAsiaTheme="minorEastAsia"/>
          <w:color w:val="auto"/>
          <w:sz w:val="24"/>
          <w:highlight w:val="none"/>
          <w:lang w:val="en-US" w:eastAsia="zh-CN"/>
        </w:rPr>
        <w:t>附件及更正公告（如有）</w:t>
      </w:r>
      <w:r>
        <w:rPr>
          <w:rFonts w:hint="eastAsia" w:asciiTheme="minorEastAsia" w:hAnsiTheme="minorEastAsia" w:eastAsiaTheme="minorEastAsia"/>
          <w:color w:val="auto"/>
          <w:sz w:val="24"/>
          <w:highlight w:val="none"/>
        </w:rPr>
        <w:t>，我方正式认可并遵守本次招标文件，并对招标文件各项条款、规定及要求均无异议。</w:t>
      </w:r>
    </w:p>
    <w:p w14:paraId="4B71E1C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.我方同意从招标文件规定的开标日期起遵循本招标文件，并在招标文件规定的投标有效期之前均具有约束力。</w:t>
      </w:r>
    </w:p>
    <w:p w14:paraId="2BB73E2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我方声明投标文件所提供的一切资料均真实无误、及时、有效，企业运营正常。由于我方提供资料不实而造成的责任和后果由我方承担。我方同意按照贵方提出的要求，提供与投标有关的任何证据、数据或资料。</w:t>
      </w:r>
    </w:p>
    <w:p w14:paraId="546D630F">
      <w:pPr>
        <w:spacing w:line="360" w:lineRule="auto"/>
        <w:ind w:firstLine="4800" w:firstLineChars="2000"/>
        <w:rPr>
          <w:rFonts w:ascii="宋体" w:hAnsi="宋体" w:eastAsia="宋体"/>
          <w:color w:val="auto"/>
          <w:sz w:val="24"/>
          <w:highlight w:val="none"/>
        </w:rPr>
      </w:pPr>
    </w:p>
    <w:p w14:paraId="0F640EFD">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投标人电子签章：</w:t>
      </w:r>
      <w:r>
        <w:rPr>
          <w:rFonts w:hint="eastAsia" w:ascii="宋体" w:hAnsi="宋体" w:eastAsia="宋体"/>
          <w:color w:val="auto"/>
          <w:sz w:val="24"/>
          <w:highlight w:val="none"/>
          <w:u w:val="single"/>
        </w:rPr>
        <w:t xml:space="preserve">             </w:t>
      </w:r>
    </w:p>
    <w:p w14:paraId="0131A2C1">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日          期：</w:t>
      </w:r>
      <w:r>
        <w:rPr>
          <w:rFonts w:hint="eastAsia" w:ascii="宋体" w:hAnsi="宋体" w:eastAsia="宋体"/>
          <w:color w:val="auto"/>
          <w:sz w:val="24"/>
          <w:highlight w:val="none"/>
          <w:u w:val="single"/>
        </w:rPr>
        <w:t xml:space="preserve">             </w:t>
      </w:r>
    </w:p>
    <w:p w14:paraId="48320737">
      <w:pPr>
        <w:widowControl/>
        <w:jc w:val="left"/>
        <w:rPr>
          <w:rFonts w:ascii="宋体" w:hAnsi="宋体" w:eastAsia="宋体"/>
          <w:color w:val="auto"/>
          <w:sz w:val="24"/>
          <w:highlight w:val="none"/>
          <w:u w:val="single"/>
        </w:rPr>
      </w:pPr>
      <w:r>
        <w:rPr>
          <w:rFonts w:ascii="宋体" w:hAnsi="宋体" w:eastAsia="宋体"/>
          <w:color w:val="auto"/>
          <w:sz w:val="24"/>
          <w:highlight w:val="none"/>
          <w:u w:val="single"/>
        </w:rPr>
        <w:br w:type="page"/>
      </w:r>
    </w:p>
    <w:p w14:paraId="79D003C7">
      <w:pPr>
        <w:spacing w:line="360" w:lineRule="auto"/>
        <w:jc w:val="center"/>
        <w:outlineLvl w:val="1"/>
        <w:rPr>
          <w:rFonts w:hint="eastAsia" w:asciiTheme="minorEastAsia" w:hAnsiTheme="minorEastAsia" w:eastAsiaTheme="minorEastAsia"/>
          <w:b/>
          <w:color w:val="auto"/>
          <w:sz w:val="24"/>
          <w:highlight w:val="none"/>
        </w:rPr>
      </w:pPr>
      <w:bookmarkStart w:id="52" w:name="_Toc18881"/>
      <w:r>
        <w:rPr>
          <w:rFonts w:hint="eastAsia" w:asciiTheme="minorEastAsia" w:hAnsiTheme="minorEastAsia" w:eastAsiaTheme="minorEastAsia"/>
          <w:b/>
          <w:color w:val="auto"/>
          <w:sz w:val="24"/>
          <w:highlight w:val="none"/>
          <w:lang w:val="en-US" w:eastAsia="zh-CN"/>
        </w:rPr>
        <w:t>三．投标人资格声明书</w:t>
      </w:r>
      <w:bookmarkEnd w:id="52"/>
      <w:r>
        <w:rPr>
          <w:rFonts w:hint="eastAsia" w:asciiTheme="minorEastAsia" w:hAnsiTheme="minorEastAsia" w:eastAsiaTheme="minorEastAsia"/>
          <w:b/>
          <w:color w:val="auto"/>
          <w:sz w:val="24"/>
          <w:highlight w:val="none"/>
          <w:lang w:val="en-US" w:eastAsia="zh-CN"/>
        </w:rPr>
        <w:t xml:space="preserve"> </w:t>
      </w:r>
    </w:p>
    <w:p w14:paraId="147553B1">
      <w:pPr>
        <w:pStyle w:val="11"/>
        <w:spacing w:line="360" w:lineRule="auto"/>
        <w:rPr>
          <w:rFonts w:hint="eastAsia" w:eastAsia="宋体" w:asciiTheme="minorEastAsia" w:hAnsiTheme="minorEastAsia" w:cstheme="minorEastAsia"/>
          <w:color w:val="auto"/>
          <w:sz w:val="24"/>
          <w:szCs w:val="24"/>
          <w:highlight w:val="none"/>
          <w:lang w:eastAsia="zh-CN"/>
        </w:rPr>
      </w:pPr>
      <w:r>
        <w:rPr>
          <w:rFonts w:hint="eastAsia" w:ascii="宋体" w:hAnsi="宋体"/>
          <w:color w:val="auto"/>
          <w:sz w:val="24"/>
          <w:highlight w:val="none"/>
        </w:rPr>
        <w:t>致：</w:t>
      </w:r>
      <w:r>
        <w:rPr>
          <w:rFonts w:hint="eastAsia" w:ascii="宋体" w:hAnsi="宋体"/>
          <w:color w:val="auto"/>
          <w:sz w:val="24"/>
          <w:highlight w:val="none"/>
          <w:u w:val="single"/>
          <w:lang w:eastAsia="zh-CN"/>
        </w:rPr>
        <w:t>采购人</w:t>
      </w:r>
    </w:p>
    <w:p w14:paraId="33412DC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在参与本次项目投标中，我单位承诺：</w:t>
      </w:r>
    </w:p>
    <w:p w14:paraId="0857B45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（一）具有良好的商业信誉和健全的财务会计制度；</w:t>
      </w:r>
    </w:p>
    <w:p w14:paraId="0DAE614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（二）具有履行合同所必需的设备和专业技术能力；</w:t>
      </w:r>
    </w:p>
    <w:p w14:paraId="329FEDE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（三）有依法缴纳税收和社会保障资金的良好记录；</w:t>
      </w:r>
    </w:p>
    <w:p w14:paraId="14AA61A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6A498A0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5B8B794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（六）我单位不存在为采购项目提供整体设计、规范编制或者项目管理、监理、检测等服务后，再参加该采购项目的其他采购活动的情形（单一来源采购项目除外）；</w:t>
      </w:r>
    </w:p>
    <w:p w14:paraId="0932703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（七）与我单位存在单位负责人为同一人或者存在直接控股、管理关系的其他法人单位信息如下（如有，不论其是否参加同一合同项下的政府采购活动均须填写）：</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8"/>
        <w:gridCol w:w="2839"/>
        <w:gridCol w:w="2839"/>
      </w:tblGrid>
      <w:tr w14:paraId="44C1D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32CF23D">
            <w:pPr>
              <w:keepNext w:val="0"/>
              <w:keepLines w:val="0"/>
              <w:pageBreakBefore w:val="0"/>
              <w:widowControl/>
              <w:suppressLineNumbers w:val="0"/>
              <w:kinsoku/>
              <w:wordWrap/>
              <w:overflowPunct/>
              <w:topLinePunct w:val="0"/>
              <w:autoSpaceDE/>
              <w:autoSpaceDN/>
              <w:bidi w:val="0"/>
              <w:adjustRightInd/>
              <w:snapToGrid/>
              <w:spacing w:before="0" w:beforeLines="50" w:beforeAutospacing="0" w:after="10" w:afterAutospacing="0" w:line="240" w:lineRule="auto"/>
              <w:ind w:left="0" w:right="0"/>
              <w:jc w:val="center"/>
              <w:textAlignment w:val="auto"/>
              <w:rPr>
                <w:rFonts w:hint="eastAsia" w:asciiTheme="minorEastAsia" w:hAnsiTheme="minorEastAsia" w:eastAsiaTheme="minorEastAsia" w:cstheme="minorEastAsia"/>
                <w:color w:val="auto"/>
                <w:kern w:val="0"/>
                <w:sz w:val="24"/>
                <w:szCs w:val="24"/>
                <w:highlight w:val="none"/>
                <w:vertAlign w:val="baseli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序号</w:t>
            </w:r>
          </w:p>
        </w:tc>
        <w:tc>
          <w:tcPr>
            <w:tcW w:w="2841" w:type="dxa"/>
          </w:tcPr>
          <w:p w14:paraId="4091412D">
            <w:pPr>
              <w:pStyle w:val="2"/>
              <w:keepNext w:val="0"/>
              <w:keepLines w:val="0"/>
              <w:pageBreakBefore w:val="0"/>
              <w:suppressLineNumbers w:val="0"/>
              <w:kinsoku/>
              <w:wordWrap/>
              <w:overflowPunct/>
              <w:topLinePunct w:val="0"/>
              <w:autoSpaceDE/>
              <w:autoSpaceDN/>
              <w:bidi w:val="0"/>
              <w:adjustRightInd/>
              <w:snapToGrid/>
              <w:spacing w:before="0" w:beforeLines="50" w:beforeAutospacing="0" w:after="10" w:afterAutospacing="0" w:line="240" w:lineRule="auto"/>
              <w:ind w:left="0" w:right="0"/>
              <w:jc w:val="center"/>
              <w:textAlignment w:val="auto"/>
              <w:rPr>
                <w:rFonts w:hint="eastAsia" w:asciiTheme="minorEastAsia" w:hAnsiTheme="minorEastAsia" w:eastAsiaTheme="minorEastAsia" w:cstheme="minorEastAsia"/>
                <w:color w:val="auto"/>
                <w:kern w:val="0"/>
                <w:sz w:val="24"/>
                <w:szCs w:val="24"/>
                <w:highlight w:val="none"/>
                <w:vertAlign w:val="baseli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单位名称</w:t>
            </w:r>
          </w:p>
        </w:tc>
        <w:tc>
          <w:tcPr>
            <w:tcW w:w="2841" w:type="dxa"/>
          </w:tcPr>
          <w:p w14:paraId="0062B4BA">
            <w:pPr>
              <w:pStyle w:val="2"/>
              <w:keepNext w:val="0"/>
              <w:keepLines w:val="0"/>
              <w:pageBreakBefore w:val="0"/>
              <w:suppressLineNumbers w:val="0"/>
              <w:kinsoku/>
              <w:wordWrap/>
              <w:overflowPunct/>
              <w:topLinePunct w:val="0"/>
              <w:autoSpaceDE/>
              <w:autoSpaceDN/>
              <w:bidi w:val="0"/>
              <w:adjustRightInd/>
              <w:snapToGrid/>
              <w:spacing w:before="0" w:beforeLines="50" w:beforeAutospacing="0" w:after="10" w:afterAutospacing="0" w:line="240" w:lineRule="auto"/>
              <w:ind w:left="0" w:right="0"/>
              <w:jc w:val="center"/>
              <w:textAlignment w:val="auto"/>
              <w:rPr>
                <w:rFonts w:hint="eastAsia" w:asciiTheme="minorEastAsia" w:hAnsiTheme="minorEastAsia" w:eastAsiaTheme="minorEastAsia" w:cstheme="minorEastAsia"/>
                <w:color w:val="auto"/>
                <w:kern w:val="0"/>
                <w:sz w:val="24"/>
                <w:szCs w:val="24"/>
                <w:highlight w:val="none"/>
                <w:vertAlign w:val="baseli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相互关系</w:t>
            </w:r>
          </w:p>
        </w:tc>
      </w:tr>
      <w:tr w14:paraId="7883C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40C2CAFE">
            <w:pPr>
              <w:pStyle w:val="2"/>
              <w:keepNext w:val="0"/>
              <w:keepLines w:val="0"/>
              <w:pageBreakBefore w:val="0"/>
              <w:suppressLineNumbers w:val="0"/>
              <w:kinsoku/>
              <w:wordWrap/>
              <w:overflowPunct/>
              <w:topLinePunct w:val="0"/>
              <w:autoSpaceDE/>
              <w:autoSpaceDN/>
              <w:bidi w:val="0"/>
              <w:adjustRightInd/>
              <w:snapToGrid/>
              <w:spacing w:before="0" w:beforeLines="50" w:beforeAutospacing="0" w:after="10" w:afterAutospacing="0" w:line="240" w:lineRule="auto"/>
              <w:ind w:left="0" w:right="0"/>
              <w:jc w:val="center"/>
              <w:textAlignment w:val="auto"/>
              <w:rPr>
                <w:rFonts w:hint="default" w:asciiTheme="minorEastAsia" w:hAnsiTheme="minorEastAsia" w:eastAsiaTheme="minorEastAsia" w:cstheme="minorEastAsia"/>
                <w:color w:val="auto"/>
                <w:kern w:val="0"/>
                <w:sz w:val="24"/>
                <w:szCs w:val="24"/>
                <w:highlight w:val="none"/>
                <w:vertAlign w:val="baseline"/>
                <w:lang w:val="en-US" w:eastAsia="zh-CN" w:bidi="ar"/>
              </w:rPr>
            </w:pPr>
            <w:r>
              <w:rPr>
                <w:rFonts w:hint="eastAsia" w:asciiTheme="minorEastAsia" w:hAnsiTheme="minorEastAsia" w:eastAsiaTheme="minorEastAsia" w:cstheme="minorEastAsia"/>
                <w:color w:val="auto"/>
                <w:kern w:val="0"/>
                <w:sz w:val="24"/>
                <w:szCs w:val="24"/>
                <w:highlight w:val="none"/>
                <w:vertAlign w:val="baseline"/>
                <w:lang w:val="en-US" w:eastAsia="zh-CN" w:bidi="ar"/>
              </w:rPr>
              <w:t>1</w:t>
            </w:r>
          </w:p>
        </w:tc>
        <w:tc>
          <w:tcPr>
            <w:tcW w:w="2841" w:type="dxa"/>
          </w:tcPr>
          <w:p w14:paraId="44BF4A3E">
            <w:pPr>
              <w:pStyle w:val="2"/>
              <w:keepNext w:val="0"/>
              <w:keepLines w:val="0"/>
              <w:pageBreakBefore w:val="0"/>
              <w:suppressLineNumbers w:val="0"/>
              <w:kinsoku/>
              <w:wordWrap/>
              <w:overflowPunct/>
              <w:topLinePunct w:val="0"/>
              <w:autoSpaceDE/>
              <w:autoSpaceDN/>
              <w:bidi w:val="0"/>
              <w:adjustRightInd/>
              <w:snapToGrid/>
              <w:spacing w:before="0" w:beforeLines="50" w:beforeAutospacing="0" w:after="10" w:afterAutospacing="0" w:line="240" w:lineRule="auto"/>
              <w:ind w:left="0" w:right="0"/>
              <w:jc w:val="center"/>
              <w:textAlignment w:val="auto"/>
              <w:rPr>
                <w:rFonts w:hint="eastAsia" w:asciiTheme="minorEastAsia" w:hAnsiTheme="minorEastAsia" w:eastAsiaTheme="minorEastAsia" w:cstheme="minorEastAsia"/>
                <w:color w:val="auto"/>
                <w:kern w:val="0"/>
                <w:sz w:val="24"/>
                <w:szCs w:val="24"/>
                <w:highlight w:val="none"/>
                <w:vertAlign w:val="baseline"/>
                <w:lang w:val="en-US" w:eastAsia="zh-CN" w:bidi="ar"/>
              </w:rPr>
            </w:pPr>
          </w:p>
        </w:tc>
        <w:tc>
          <w:tcPr>
            <w:tcW w:w="2841" w:type="dxa"/>
          </w:tcPr>
          <w:p w14:paraId="6CF0AA87">
            <w:pPr>
              <w:pStyle w:val="2"/>
              <w:keepNext w:val="0"/>
              <w:keepLines w:val="0"/>
              <w:pageBreakBefore w:val="0"/>
              <w:suppressLineNumbers w:val="0"/>
              <w:kinsoku/>
              <w:wordWrap/>
              <w:overflowPunct/>
              <w:topLinePunct w:val="0"/>
              <w:autoSpaceDE/>
              <w:autoSpaceDN/>
              <w:bidi w:val="0"/>
              <w:adjustRightInd/>
              <w:snapToGrid/>
              <w:spacing w:before="0" w:beforeLines="50" w:beforeAutospacing="0" w:after="10" w:afterAutospacing="0" w:line="240" w:lineRule="auto"/>
              <w:ind w:left="0" w:right="0"/>
              <w:jc w:val="center"/>
              <w:textAlignment w:val="auto"/>
              <w:rPr>
                <w:rFonts w:hint="eastAsia" w:asciiTheme="minorEastAsia" w:hAnsiTheme="minorEastAsia" w:eastAsiaTheme="minorEastAsia" w:cstheme="minorEastAsia"/>
                <w:color w:val="auto"/>
                <w:kern w:val="0"/>
                <w:sz w:val="24"/>
                <w:szCs w:val="24"/>
                <w:highlight w:val="none"/>
                <w:vertAlign w:val="baseline"/>
                <w:lang w:val="en-US" w:eastAsia="zh-CN" w:bidi="ar"/>
              </w:rPr>
            </w:pPr>
          </w:p>
        </w:tc>
      </w:tr>
      <w:tr w14:paraId="13E23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47235AA9">
            <w:pPr>
              <w:pStyle w:val="2"/>
              <w:keepNext w:val="0"/>
              <w:keepLines w:val="0"/>
              <w:pageBreakBefore w:val="0"/>
              <w:suppressLineNumbers w:val="0"/>
              <w:kinsoku/>
              <w:wordWrap/>
              <w:overflowPunct/>
              <w:topLinePunct w:val="0"/>
              <w:autoSpaceDE/>
              <w:autoSpaceDN/>
              <w:bidi w:val="0"/>
              <w:adjustRightInd/>
              <w:snapToGrid/>
              <w:spacing w:before="0" w:beforeLines="50" w:beforeAutospacing="0" w:after="10" w:afterAutospacing="0" w:line="240" w:lineRule="auto"/>
              <w:ind w:left="0" w:right="0"/>
              <w:jc w:val="center"/>
              <w:textAlignment w:val="auto"/>
              <w:rPr>
                <w:rFonts w:hint="default" w:asciiTheme="minorEastAsia" w:hAnsiTheme="minorEastAsia" w:eastAsiaTheme="minorEastAsia" w:cstheme="minorEastAsia"/>
                <w:color w:val="auto"/>
                <w:kern w:val="0"/>
                <w:sz w:val="24"/>
                <w:szCs w:val="24"/>
                <w:highlight w:val="none"/>
                <w:vertAlign w:val="baseline"/>
                <w:lang w:val="en-US" w:eastAsia="zh-CN" w:bidi="ar"/>
              </w:rPr>
            </w:pPr>
            <w:r>
              <w:rPr>
                <w:rFonts w:hint="eastAsia" w:asciiTheme="minorEastAsia" w:hAnsiTheme="minorEastAsia" w:eastAsiaTheme="minorEastAsia" w:cstheme="minorEastAsia"/>
                <w:color w:val="auto"/>
                <w:kern w:val="0"/>
                <w:sz w:val="24"/>
                <w:szCs w:val="24"/>
                <w:highlight w:val="none"/>
                <w:vertAlign w:val="baseline"/>
                <w:lang w:val="en-US" w:eastAsia="zh-CN" w:bidi="ar"/>
              </w:rPr>
              <w:t>2</w:t>
            </w:r>
          </w:p>
        </w:tc>
        <w:tc>
          <w:tcPr>
            <w:tcW w:w="2841" w:type="dxa"/>
          </w:tcPr>
          <w:p w14:paraId="547B2E16">
            <w:pPr>
              <w:pStyle w:val="2"/>
              <w:keepNext w:val="0"/>
              <w:keepLines w:val="0"/>
              <w:pageBreakBefore w:val="0"/>
              <w:suppressLineNumbers w:val="0"/>
              <w:kinsoku/>
              <w:wordWrap/>
              <w:overflowPunct/>
              <w:topLinePunct w:val="0"/>
              <w:autoSpaceDE/>
              <w:autoSpaceDN/>
              <w:bidi w:val="0"/>
              <w:adjustRightInd/>
              <w:snapToGrid/>
              <w:spacing w:before="0" w:beforeLines="50" w:beforeAutospacing="0" w:after="10" w:afterAutospacing="0" w:line="240" w:lineRule="auto"/>
              <w:ind w:left="0" w:right="0"/>
              <w:jc w:val="center"/>
              <w:textAlignment w:val="auto"/>
              <w:rPr>
                <w:rFonts w:hint="eastAsia" w:asciiTheme="minorEastAsia" w:hAnsiTheme="minorEastAsia" w:eastAsiaTheme="minorEastAsia" w:cstheme="minorEastAsia"/>
                <w:color w:val="auto"/>
                <w:kern w:val="0"/>
                <w:sz w:val="24"/>
                <w:szCs w:val="24"/>
                <w:highlight w:val="none"/>
                <w:vertAlign w:val="baseline"/>
                <w:lang w:val="en-US" w:eastAsia="zh-CN" w:bidi="ar"/>
              </w:rPr>
            </w:pPr>
          </w:p>
        </w:tc>
        <w:tc>
          <w:tcPr>
            <w:tcW w:w="2841" w:type="dxa"/>
          </w:tcPr>
          <w:p w14:paraId="211D578A">
            <w:pPr>
              <w:pStyle w:val="2"/>
              <w:keepNext w:val="0"/>
              <w:keepLines w:val="0"/>
              <w:pageBreakBefore w:val="0"/>
              <w:suppressLineNumbers w:val="0"/>
              <w:kinsoku/>
              <w:wordWrap/>
              <w:overflowPunct/>
              <w:topLinePunct w:val="0"/>
              <w:autoSpaceDE/>
              <w:autoSpaceDN/>
              <w:bidi w:val="0"/>
              <w:adjustRightInd/>
              <w:snapToGrid/>
              <w:spacing w:before="0" w:beforeLines="50" w:beforeAutospacing="0" w:after="10" w:afterAutospacing="0" w:line="240" w:lineRule="auto"/>
              <w:ind w:left="0" w:right="0"/>
              <w:jc w:val="center"/>
              <w:textAlignment w:val="auto"/>
              <w:rPr>
                <w:rFonts w:hint="eastAsia" w:asciiTheme="minorEastAsia" w:hAnsiTheme="minorEastAsia" w:eastAsiaTheme="minorEastAsia" w:cstheme="minorEastAsia"/>
                <w:color w:val="auto"/>
                <w:kern w:val="0"/>
                <w:sz w:val="24"/>
                <w:szCs w:val="24"/>
                <w:highlight w:val="none"/>
                <w:vertAlign w:val="baseline"/>
                <w:lang w:val="en-US" w:eastAsia="zh-CN" w:bidi="ar"/>
              </w:rPr>
            </w:pPr>
          </w:p>
        </w:tc>
      </w:tr>
    </w:tbl>
    <w:p w14:paraId="215FC49A">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本单位对</w:t>
      </w:r>
      <w:r>
        <w:rPr>
          <w:rFonts w:hint="eastAsia" w:asciiTheme="minorEastAsia" w:hAnsiTheme="minorEastAsia" w:eastAsiaTheme="minorEastAsia"/>
          <w:color w:val="auto"/>
          <w:sz w:val="24"/>
          <w:highlight w:val="none"/>
        </w:rPr>
        <w:t>上述</w:t>
      </w:r>
      <w:r>
        <w:rPr>
          <w:rFonts w:hint="eastAsia" w:ascii="宋体" w:hAnsi="宋体" w:eastAsia="宋体"/>
          <w:color w:val="auto"/>
          <w:sz w:val="24"/>
          <w:highlight w:val="none"/>
        </w:rPr>
        <w:t>声明的真实性负责。如有虚假，将依法承担相应责任。</w:t>
      </w:r>
    </w:p>
    <w:p w14:paraId="5B6D47C1">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投标人电子签章：</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66C42DD7">
      <w:pPr>
        <w:tabs>
          <w:tab w:val="left" w:pos="630"/>
        </w:tabs>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 xml:space="preserve">日     </w:t>
      </w:r>
      <w:r>
        <w:rPr>
          <w:rFonts w:ascii="宋体" w:hAnsi="宋体" w:eastAsia="宋体"/>
          <w:color w:val="auto"/>
          <w:sz w:val="24"/>
          <w:highlight w:val="none"/>
        </w:rPr>
        <w:t xml:space="preserve">    </w:t>
      </w:r>
      <w:r>
        <w:rPr>
          <w:rFonts w:hint="eastAsia" w:ascii="宋体" w:hAnsi="宋体" w:eastAsia="宋体"/>
          <w:color w:val="auto"/>
          <w:sz w:val="24"/>
          <w:highlight w:val="none"/>
        </w:rPr>
        <w:t xml:space="preserve"> 期：</w:t>
      </w:r>
      <w:r>
        <w:rPr>
          <w:rFonts w:hint="eastAsia" w:ascii="宋体" w:hAnsi="宋体" w:eastAsia="宋体"/>
          <w:color w:val="auto"/>
          <w:sz w:val="24"/>
          <w:highlight w:val="none"/>
          <w:u w:val="single"/>
        </w:rPr>
        <w:t xml:space="preserve">             </w:t>
      </w:r>
    </w:p>
    <w:p w14:paraId="1A0267D0">
      <w:pPr>
        <w:rPr>
          <w:rFonts w:hint="eastAsia" w:asciiTheme="minorEastAsia" w:hAnsiTheme="minorEastAsia" w:eastAsiaTheme="minorEastAsia"/>
          <w:b/>
          <w:color w:val="auto"/>
          <w:sz w:val="24"/>
          <w:highlight w:val="none"/>
        </w:rPr>
      </w:pPr>
      <w:bookmarkStart w:id="53" w:name="_Toc11607"/>
      <w:r>
        <w:rPr>
          <w:rFonts w:hint="eastAsia" w:asciiTheme="minorEastAsia" w:hAnsiTheme="minorEastAsia" w:eastAsiaTheme="minorEastAsia"/>
          <w:b/>
          <w:color w:val="auto"/>
          <w:sz w:val="24"/>
          <w:highlight w:val="none"/>
        </w:rPr>
        <w:br w:type="page"/>
      </w:r>
    </w:p>
    <w:p w14:paraId="77124575">
      <w:pPr>
        <w:spacing w:line="360" w:lineRule="auto"/>
        <w:jc w:val="center"/>
        <w:outlineLvl w:val="1"/>
        <w:rPr>
          <w:rFonts w:asciiTheme="minorEastAsia" w:hAnsiTheme="minorEastAsia" w:eastAsiaTheme="minorEastAsia"/>
          <w:b/>
          <w:color w:val="auto"/>
          <w:sz w:val="24"/>
          <w:highlight w:val="none"/>
        </w:rPr>
      </w:pPr>
      <w:bookmarkStart w:id="54" w:name="_Toc24583"/>
      <w:r>
        <w:rPr>
          <w:rFonts w:hint="eastAsia" w:asciiTheme="minorEastAsia" w:hAnsiTheme="minorEastAsia" w:eastAsiaTheme="minorEastAsia"/>
          <w:b/>
          <w:color w:val="auto"/>
          <w:sz w:val="24"/>
          <w:highlight w:val="none"/>
        </w:rPr>
        <w:t>四、授权书</w:t>
      </w:r>
      <w:bookmarkEnd w:id="53"/>
      <w:bookmarkEnd w:id="54"/>
    </w:p>
    <w:p w14:paraId="25A01C9F">
      <w:pPr>
        <w:pStyle w:val="10"/>
        <w:snapToGrid w:val="0"/>
        <w:spacing w:line="360" w:lineRule="auto"/>
        <w:ind w:firstLine="480" w:firstLineChars="200"/>
        <w:jc w:val="left"/>
        <w:rPr>
          <w:rFonts w:hAnsi="宋体" w:eastAsia="宋体"/>
          <w:color w:val="auto"/>
          <w:sz w:val="24"/>
          <w:szCs w:val="28"/>
          <w:highlight w:val="none"/>
        </w:rPr>
      </w:pPr>
    </w:p>
    <w:p w14:paraId="1988109F">
      <w:pPr>
        <w:spacing w:line="360" w:lineRule="auto"/>
        <w:ind w:firstLine="435"/>
        <w:rPr>
          <w:rFonts w:hAnsi="宋体" w:eastAsia="宋体"/>
          <w:color w:val="auto"/>
          <w:sz w:val="24"/>
          <w:szCs w:val="28"/>
          <w:highlight w:val="none"/>
        </w:rPr>
      </w:pPr>
      <w:r>
        <w:rPr>
          <w:rFonts w:hint="eastAsia" w:hAnsi="宋体" w:eastAsia="宋体"/>
          <w:color w:val="auto"/>
          <w:sz w:val="24"/>
          <w:szCs w:val="28"/>
          <w:highlight w:val="none"/>
        </w:rPr>
        <w:t>本</w:t>
      </w:r>
      <w:r>
        <w:rPr>
          <w:rFonts w:hint="eastAsia" w:asciiTheme="minorEastAsia" w:hAnsiTheme="minorEastAsia" w:eastAsiaTheme="minorEastAsia"/>
          <w:color w:val="auto"/>
          <w:sz w:val="24"/>
          <w:highlight w:val="none"/>
        </w:rPr>
        <w:t>授权</w:t>
      </w:r>
      <w:r>
        <w:rPr>
          <w:rFonts w:hint="eastAsia" w:hAnsi="宋体" w:eastAsia="宋体"/>
          <w:color w:val="auto"/>
          <w:sz w:val="24"/>
          <w:szCs w:val="28"/>
          <w:highlight w:val="none"/>
        </w:rPr>
        <w:t>书声明：</w:t>
      </w:r>
      <w:r>
        <w:rPr>
          <w:rFonts w:hint="eastAsia" w:hAnsi="宋体" w:eastAsia="宋体"/>
          <w:color w:val="auto"/>
          <w:sz w:val="24"/>
          <w:szCs w:val="28"/>
          <w:highlight w:val="none"/>
          <w:u w:val="single"/>
        </w:rPr>
        <w:t xml:space="preserve">           </w:t>
      </w:r>
      <w:r>
        <w:rPr>
          <w:rFonts w:hint="eastAsia" w:hAnsi="宋体" w:eastAsia="宋体"/>
          <w:color w:val="auto"/>
          <w:sz w:val="24"/>
          <w:szCs w:val="28"/>
          <w:highlight w:val="none"/>
        </w:rPr>
        <w:t>（投标人名称）授权</w:t>
      </w:r>
      <w:r>
        <w:rPr>
          <w:rFonts w:hint="eastAsia" w:hAnsi="宋体" w:eastAsia="宋体"/>
          <w:color w:val="auto"/>
          <w:sz w:val="24"/>
          <w:szCs w:val="28"/>
          <w:highlight w:val="none"/>
          <w:u w:val="single"/>
        </w:rPr>
        <w:t xml:space="preserve">       </w:t>
      </w:r>
      <w:r>
        <w:rPr>
          <w:rFonts w:hint="eastAsia" w:hAnsi="宋体" w:eastAsia="宋体"/>
          <w:color w:val="auto"/>
          <w:sz w:val="24"/>
          <w:szCs w:val="28"/>
          <w:highlight w:val="none"/>
        </w:rPr>
        <w:t>（投标人授权代表姓名）代表我方参加本项目</w:t>
      </w:r>
      <w:r>
        <w:rPr>
          <w:rFonts w:hint="eastAsia" w:hAnsi="宋体" w:eastAsia="宋体"/>
          <w:bCs/>
          <w:color w:val="auto"/>
          <w:sz w:val="24"/>
          <w:szCs w:val="28"/>
          <w:highlight w:val="none"/>
        </w:rPr>
        <w:t>采购活动</w:t>
      </w:r>
      <w:r>
        <w:rPr>
          <w:rFonts w:hint="eastAsia" w:hAnsi="宋体" w:eastAsia="宋体"/>
          <w:color w:val="auto"/>
          <w:sz w:val="24"/>
          <w:szCs w:val="28"/>
          <w:highlight w:val="none"/>
        </w:rPr>
        <w:t>，全权代表我方处理投标过程的一切事宜，包括但不限于：投标、参与开标、谈判、签约等。投标人授权代表在投标过程中所签署的一切文件和处理与之有关的一切事务，我方均予以认可并对此承担责任。投标人授权代表无转委托权。特此授权。</w:t>
      </w:r>
    </w:p>
    <w:p w14:paraId="0B35BC39">
      <w:pPr>
        <w:spacing w:line="360" w:lineRule="auto"/>
        <w:ind w:firstLine="435"/>
        <w:rPr>
          <w:rFonts w:hAnsi="宋体" w:eastAsia="宋体"/>
          <w:color w:val="auto"/>
          <w:sz w:val="24"/>
          <w:szCs w:val="28"/>
          <w:highlight w:val="none"/>
        </w:rPr>
      </w:pPr>
      <w:r>
        <w:rPr>
          <w:rFonts w:hint="eastAsia" w:hAnsi="宋体" w:eastAsia="宋体"/>
          <w:color w:val="auto"/>
          <w:sz w:val="24"/>
          <w:szCs w:val="28"/>
          <w:highlight w:val="none"/>
        </w:rPr>
        <w:t>本授权书自出具之日起生效。</w:t>
      </w:r>
    </w:p>
    <w:p w14:paraId="03C39742">
      <w:pPr>
        <w:spacing w:line="360" w:lineRule="auto"/>
        <w:ind w:firstLine="435"/>
        <w:rPr>
          <w:rFonts w:hAnsi="宋体" w:eastAsia="宋体"/>
          <w:color w:val="auto"/>
          <w:sz w:val="24"/>
          <w:highlight w:val="none"/>
        </w:rPr>
      </w:pPr>
      <w:r>
        <w:rPr>
          <w:rFonts w:hint="eastAsia" w:hAnsi="宋体" w:eastAsia="宋体"/>
          <w:color w:val="auto"/>
          <w:sz w:val="24"/>
          <w:szCs w:val="28"/>
          <w:highlight w:val="none"/>
        </w:rPr>
        <w:t>授权</w:t>
      </w:r>
      <w:r>
        <w:rPr>
          <w:rFonts w:hint="eastAsia" w:asciiTheme="minorEastAsia" w:hAnsiTheme="minorEastAsia" w:eastAsiaTheme="minorEastAsia"/>
          <w:color w:val="auto"/>
          <w:sz w:val="24"/>
          <w:highlight w:val="none"/>
        </w:rPr>
        <w:t>代表</w:t>
      </w:r>
      <w:r>
        <w:rPr>
          <w:rFonts w:hint="eastAsia" w:hAnsi="宋体" w:eastAsia="宋体"/>
          <w:color w:val="auto"/>
          <w:sz w:val="24"/>
          <w:highlight w:val="none"/>
        </w:rPr>
        <w:t>身份证明扫描件：</w:t>
      </w:r>
    </w:p>
    <w:p w14:paraId="517212C8">
      <w:pPr>
        <w:spacing w:line="360" w:lineRule="auto"/>
        <w:ind w:firstLine="435"/>
        <w:rPr>
          <w:rFonts w:asciiTheme="minorEastAsia" w:hAnsiTheme="minorEastAsia" w:eastAsiaTheme="minorEastAsia"/>
          <w:color w:val="auto"/>
          <w:sz w:val="24"/>
          <w:highlight w:val="none"/>
        </w:rPr>
      </w:pPr>
    </w:p>
    <w:p w14:paraId="652FB6D9">
      <w:pPr>
        <w:spacing w:line="360" w:lineRule="auto"/>
        <w:ind w:firstLine="435"/>
        <w:rPr>
          <w:rFonts w:asciiTheme="minorEastAsia" w:hAnsiTheme="minorEastAsia" w:eastAsiaTheme="minorEastAsia"/>
          <w:color w:val="auto"/>
          <w:sz w:val="24"/>
          <w:highlight w:val="none"/>
        </w:rPr>
      </w:pPr>
    </w:p>
    <w:p w14:paraId="7C17EE87">
      <w:pPr>
        <w:spacing w:line="360" w:lineRule="auto"/>
        <w:ind w:firstLine="435"/>
        <w:rPr>
          <w:rFonts w:asciiTheme="minorEastAsia" w:hAnsiTheme="minorEastAsia" w:eastAsiaTheme="minorEastAsia"/>
          <w:color w:val="auto"/>
          <w:sz w:val="24"/>
          <w:highlight w:val="none"/>
        </w:rPr>
      </w:pPr>
    </w:p>
    <w:p w14:paraId="0E9CAB9A">
      <w:pPr>
        <w:spacing w:line="360" w:lineRule="auto"/>
        <w:ind w:firstLine="435"/>
        <w:rPr>
          <w:rFonts w:hAnsi="宋体" w:eastAsia="宋体"/>
          <w:color w:val="auto"/>
          <w:sz w:val="24"/>
          <w:szCs w:val="28"/>
          <w:highlight w:val="none"/>
          <w:u w:val="single"/>
          <w:lang w:val="zh-CN"/>
        </w:rPr>
      </w:pPr>
      <w:r>
        <w:rPr>
          <w:rFonts w:hint="eastAsia" w:hAnsi="宋体" w:eastAsia="宋体"/>
          <w:color w:val="auto"/>
          <w:sz w:val="24"/>
          <w:szCs w:val="28"/>
          <w:highlight w:val="none"/>
        </w:rPr>
        <w:t>授权代表联系方式：</w:t>
      </w:r>
      <w:r>
        <w:rPr>
          <w:rFonts w:hint="eastAsia" w:hAnsi="宋体" w:eastAsia="宋体"/>
          <w:color w:val="auto"/>
          <w:sz w:val="24"/>
          <w:szCs w:val="28"/>
          <w:highlight w:val="none"/>
          <w:u w:val="single"/>
        </w:rPr>
        <w:t xml:space="preserve">          （请填写手机号码）</w:t>
      </w:r>
    </w:p>
    <w:p w14:paraId="4EFE600C">
      <w:pPr>
        <w:spacing w:line="360" w:lineRule="auto"/>
        <w:ind w:firstLine="435"/>
        <w:rPr>
          <w:rFonts w:hAnsi="宋体" w:eastAsia="宋体"/>
          <w:color w:val="auto"/>
          <w:sz w:val="24"/>
          <w:szCs w:val="28"/>
          <w:highlight w:val="none"/>
          <w:lang w:val="zh-CN"/>
        </w:rPr>
      </w:pPr>
    </w:p>
    <w:p w14:paraId="6D0B0D1C">
      <w:pPr>
        <w:spacing w:line="360" w:lineRule="auto"/>
        <w:ind w:firstLine="435"/>
        <w:rPr>
          <w:rFonts w:ascii="宋体" w:hAnsi="宋体" w:eastAsia="宋体"/>
          <w:color w:val="auto"/>
          <w:sz w:val="24"/>
          <w:szCs w:val="28"/>
          <w:highlight w:val="none"/>
        </w:rPr>
      </w:pPr>
      <w:r>
        <w:rPr>
          <w:rFonts w:hint="eastAsia" w:asciiTheme="minorEastAsia" w:hAnsiTheme="minorEastAsia" w:eastAsiaTheme="minorEastAsia"/>
          <w:color w:val="auto"/>
          <w:sz w:val="24"/>
          <w:highlight w:val="none"/>
        </w:rPr>
        <w:t>特此</w:t>
      </w:r>
      <w:r>
        <w:rPr>
          <w:rFonts w:hint="eastAsia" w:ascii="宋体" w:hAnsi="宋体" w:eastAsia="宋体"/>
          <w:color w:val="auto"/>
          <w:sz w:val="24"/>
          <w:szCs w:val="28"/>
          <w:highlight w:val="none"/>
        </w:rPr>
        <w:t>声明。</w:t>
      </w:r>
    </w:p>
    <w:p w14:paraId="74E4F9F7">
      <w:pPr>
        <w:spacing w:line="360" w:lineRule="auto"/>
        <w:rPr>
          <w:rFonts w:ascii="宋体" w:hAnsi="宋体" w:eastAsia="宋体"/>
          <w:color w:val="auto"/>
          <w:sz w:val="24"/>
          <w:szCs w:val="28"/>
          <w:highlight w:val="none"/>
        </w:rPr>
      </w:pPr>
    </w:p>
    <w:p w14:paraId="3286E2F4">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投标人电子签章：</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17B2B5AA">
      <w:pPr>
        <w:tabs>
          <w:tab w:val="left" w:pos="630"/>
        </w:tabs>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 xml:space="preserve">日     </w:t>
      </w:r>
      <w:r>
        <w:rPr>
          <w:rFonts w:ascii="宋体" w:hAnsi="宋体" w:eastAsia="宋体"/>
          <w:color w:val="auto"/>
          <w:sz w:val="24"/>
          <w:highlight w:val="none"/>
        </w:rPr>
        <w:t xml:space="preserve">    </w:t>
      </w:r>
      <w:r>
        <w:rPr>
          <w:rFonts w:hint="eastAsia" w:ascii="宋体" w:hAnsi="宋体" w:eastAsia="宋体"/>
          <w:color w:val="auto"/>
          <w:sz w:val="24"/>
          <w:highlight w:val="none"/>
        </w:rPr>
        <w:t xml:space="preserve"> 期：</w:t>
      </w:r>
      <w:r>
        <w:rPr>
          <w:rFonts w:hint="eastAsia" w:ascii="宋体" w:hAnsi="宋体" w:eastAsia="宋体"/>
          <w:color w:val="auto"/>
          <w:sz w:val="24"/>
          <w:highlight w:val="none"/>
          <w:u w:val="single"/>
        </w:rPr>
        <w:t xml:space="preserve">             </w:t>
      </w:r>
    </w:p>
    <w:p w14:paraId="39560A7A">
      <w:pPr>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注：</w:t>
      </w:r>
    </w:p>
    <w:p w14:paraId="10F6105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1.本项目只允许有唯一的投标人授权代表，提供身份证明扫描件；</w:t>
      </w:r>
    </w:p>
    <w:p w14:paraId="034E302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2.法定代表人参加投标的无需提供授权书，提供身份证明扫描件。</w:t>
      </w:r>
    </w:p>
    <w:p w14:paraId="7322D930">
      <w:pPr>
        <w:widowControl/>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0E1E564E">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bookmarkStart w:id="55" w:name="_Toc32226"/>
      <w:bookmarkStart w:id="56" w:name="_Toc31027"/>
      <w:r>
        <w:rPr>
          <w:rFonts w:hint="eastAsia" w:asciiTheme="minorEastAsia" w:hAnsiTheme="minorEastAsia" w:eastAsiaTheme="minorEastAsia"/>
          <w:b/>
          <w:color w:val="auto"/>
          <w:sz w:val="24"/>
          <w:highlight w:val="none"/>
        </w:rPr>
        <w:t>五、</w:t>
      </w:r>
      <w:r>
        <w:rPr>
          <w:rFonts w:hint="eastAsia" w:ascii="宋体" w:hAnsi="宋体" w:eastAsia="宋体" w:cs="宋体"/>
          <w:b/>
          <w:bCs w:val="0"/>
          <w:color w:val="auto"/>
          <w:kern w:val="2"/>
          <w:sz w:val="24"/>
          <w:szCs w:val="24"/>
          <w:highlight w:val="none"/>
          <w:lang w:val="en-US" w:eastAsia="zh-CN" w:bidi="ar"/>
        </w:rPr>
        <w:t>诚信投标承诺书</w:t>
      </w:r>
    </w:p>
    <w:p w14:paraId="65F5BFEC">
      <w:pPr>
        <w:keepNext w:val="0"/>
        <w:keepLines w:val="0"/>
        <w:widowControl w:val="0"/>
        <w:suppressLineNumbers w:val="0"/>
        <w:spacing w:before="0" w:beforeAutospacing="0" w:after="0" w:afterAutospacing="0" w:line="50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本人以企业法定代表人的身份郑重承诺：</w:t>
      </w:r>
    </w:p>
    <w:p w14:paraId="0FF08548">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一、将遵循公开、公正和诚实信用的原则自愿参加</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项目的投标，所提供的一切材料都是真实、有效、合法的；</w:t>
      </w:r>
    </w:p>
    <w:p w14:paraId="77B2C7A6">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本单位郑重声明，根据《中华人民共和国政府采购法》及《中华人民共和国政府采购法实施条例》的规定，我公司具有良好的商业信誉和健全的财务会计制度，具有履行合同所必需的设备和专业技术能力，有依法缴纳税收和社会保障资金的良好记录；参加政府采购活动前三年内，本单位在经营活动中没有重大违法记录，没有因违法经营受到刑事处罚或者责令停产停业、吊销许可证或者执照、较大数额罚款等行政处罚。</w:t>
      </w:r>
    </w:p>
    <w:p w14:paraId="431FFA7F">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三、不出借、转让资质证书，不让他人挂靠投标，不以他人名义投标或者以其他方式弄虚作假，骗取中标；</w:t>
      </w:r>
    </w:p>
    <w:p w14:paraId="4588C418">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四、不与其他投标人相互串通投标报价，不排挤其他投标人的公平竞争、损害采购人的合法权益；</w:t>
      </w:r>
    </w:p>
    <w:p w14:paraId="013DA643">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五、不与采购人、采购代理机构或其他投标人串通投标，损害国家利益、社会公共利益或者他人的合法权益；</w:t>
      </w:r>
    </w:p>
    <w:p w14:paraId="3A6E5408">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六、 </w:t>
      </w:r>
      <w:r>
        <w:rPr>
          <w:rFonts w:hint="eastAsia" w:ascii="宋体" w:hAnsi="宋体" w:eastAsia="宋体" w:cs="宋体"/>
          <w:color w:val="auto"/>
          <w:kern w:val="2"/>
          <w:sz w:val="21"/>
          <w:szCs w:val="21"/>
          <w:highlight w:val="none"/>
          <w:u w:val="single"/>
          <w:lang w:val="en-US" w:eastAsia="zh-CN" w:bidi="ar"/>
        </w:rPr>
        <w:t xml:space="preserve">    （企业名称）</w:t>
      </w:r>
      <w:r>
        <w:rPr>
          <w:rFonts w:hint="eastAsia" w:ascii="宋体" w:hAnsi="宋体" w:eastAsia="宋体" w:cs="宋体"/>
          <w:color w:val="auto"/>
          <w:kern w:val="2"/>
          <w:sz w:val="21"/>
          <w:szCs w:val="21"/>
          <w:highlight w:val="none"/>
          <w:lang w:val="en-US" w:eastAsia="zh-CN" w:bidi="ar"/>
        </w:rPr>
        <w:t>或</w:t>
      </w:r>
      <w:r>
        <w:rPr>
          <w:rFonts w:hint="eastAsia" w:ascii="宋体" w:hAnsi="宋体" w:eastAsia="宋体" w:cs="宋体"/>
          <w:color w:val="auto"/>
          <w:kern w:val="2"/>
          <w:sz w:val="21"/>
          <w:szCs w:val="21"/>
          <w:highlight w:val="none"/>
          <w:u w:val="single"/>
          <w:lang w:val="en-US" w:eastAsia="zh-CN" w:bidi="ar"/>
        </w:rPr>
        <w:t xml:space="preserve">     （企业名称）</w:t>
      </w:r>
      <w:r>
        <w:rPr>
          <w:rFonts w:hint="eastAsia" w:ascii="宋体" w:hAnsi="宋体" w:eastAsia="宋体" w:cs="宋体"/>
          <w:color w:val="auto"/>
          <w:kern w:val="2"/>
          <w:sz w:val="21"/>
          <w:szCs w:val="21"/>
          <w:highlight w:val="none"/>
          <w:lang w:val="en-US" w:eastAsia="zh-CN" w:bidi="ar"/>
        </w:rPr>
        <w:t>法定代表人或拟派项目经理（负责人）没有下列情形：①被列入“信用中国”网站“失信被执行人”的；②被列入“信用中国”网站“重大税收违法失信主体”的；③被列入“信用中国”网站 “严重失信主体名单”的；④在“信用中国”网站上披露的仍在公示期的严重失信行为(具体行为类别及判定依据见“信用中国”查询的严重失信行为类别及判定依据)的。⑤被列入国家企业信用信息公示系统网站“经营异常名录”或者“严重违法失信名单”的。⑥被列入中国政府采购网站“政府采购严重违法失信行为信息记录”的。⑦前三年有行贿犯罪行为的单位和个人。（若采购文件对投标人所属分公司、办事处等分支机构有上述1-7项信誉要求，在此一并承诺我公司所属分公司、办事处等分支机构没有上述1-7项情形）</w:t>
      </w:r>
    </w:p>
    <w:p w14:paraId="6B753514">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七、我公司没有下列情形：被滁州市县两级公管部门记入不良行为记录且在披露期内。</w:t>
      </w:r>
    </w:p>
    <w:p w14:paraId="7B1F882F">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八、严格遵守开标现场纪律，服从监管人员管理；</w:t>
      </w:r>
    </w:p>
    <w:p w14:paraId="133B1BAA">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九、保证中标后不转包，若有分包征得招标人同意；</w:t>
      </w:r>
    </w:p>
    <w:p w14:paraId="38740E18">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十、保证中标之后，按照投标文件要求提供相关后续服务；</w:t>
      </w:r>
    </w:p>
    <w:p w14:paraId="51E73C18">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十一、保证企业及所属相关人员在本次投标中无行贿等犯罪行为；</w:t>
      </w:r>
    </w:p>
    <w:p w14:paraId="5CB0F2B1">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十二、如在投标过程和公示期间发生投诉行为，保证按照相关规定要求进行。投诉内容符合要求，投诉材料加盖企业公章或由法定代表人授权委托人签字，并附有关身份证明复印件。不恶意投诉，对本公司提供的投诉线索的真实性负责，否则愿接受有关部门的处罚。</w:t>
      </w:r>
    </w:p>
    <w:p w14:paraId="67692103">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以上内容我已仔细阅读，本公司若有违反承诺内容的行为，自愿接受取消投标或者中标资格、中标无效、记入不良行为记录等有关处理，愿意承担法律责任，给采购人造成损失的，依法承担赔偿责任。</w:t>
      </w:r>
    </w:p>
    <w:p w14:paraId="0449D33E">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14:paraId="2500B83B">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开户银行：                       基本账户：</w:t>
      </w:r>
    </w:p>
    <w:p w14:paraId="7AE47E89">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投标单位（签章）：               法定代表人（签章）：</w:t>
      </w:r>
    </w:p>
    <w:p w14:paraId="0C583EF4">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14:paraId="08150439">
      <w:pPr>
        <w:keepNext w:val="0"/>
        <w:keepLines w:val="0"/>
        <w:widowControl w:val="0"/>
        <w:suppressLineNumbers w:val="0"/>
        <w:spacing w:before="0" w:beforeAutospacing="0" w:after="0" w:afterAutospacing="0" w:line="560" w:lineRule="exact"/>
        <w:ind w:left="0" w:right="0"/>
        <w:jc w:val="right"/>
        <w:rPr>
          <w:rFonts w:hint="eastAsia" w:ascii="仿宋_GB2312" w:hAnsi="@仿宋_GB2312" w:eastAsia="仿宋_GB2312" w:cs="仿宋_GB2312"/>
          <w:color w:val="auto"/>
          <w:kern w:val="2"/>
          <w:sz w:val="32"/>
          <w:szCs w:val="32"/>
          <w:highlight w:val="none"/>
        </w:rPr>
      </w:pPr>
      <w:r>
        <w:rPr>
          <w:rFonts w:hint="eastAsia" w:ascii="宋体" w:hAnsi="宋体" w:eastAsia="宋体" w:cs="宋体"/>
          <w:color w:val="auto"/>
          <w:kern w:val="2"/>
          <w:sz w:val="21"/>
          <w:szCs w:val="21"/>
          <w:highlight w:val="none"/>
          <w:lang w:val="en-US" w:eastAsia="zh-CN" w:bidi="ar"/>
        </w:rPr>
        <w:t>日期：</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年 </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月 </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日</w:t>
      </w:r>
    </w:p>
    <w:p w14:paraId="6DC9F018">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bidi="ar"/>
        </w:rPr>
        <w:t xml:space="preserve"> </w:t>
      </w:r>
    </w:p>
    <w:p w14:paraId="545A7E93">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p>
    <w:p w14:paraId="10F54FB4">
      <w:pPr>
        <w:spacing w:line="360" w:lineRule="auto"/>
        <w:jc w:val="center"/>
        <w:outlineLvl w:val="1"/>
        <w:rPr>
          <w:rFonts w:hint="eastAsia" w:asciiTheme="minorEastAsia" w:hAnsiTheme="minorEastAsia" w:eastAsiaTheme="minorEastAsia"/>
          <w:b/>
          <w:color w:val="auto"/>
          <w:sz w:val="24"/>
          <w:highlight w:val="none"/>
        </w:rPr>
      </w:pPr>
    </w:p>
    <w:p w14:paraId="70CAAB93">
      <w:pPr>
        <w:spacing w:line="360" w:lineRule="auto"/>
        <w:jc w:val="center"/>
        <w:outlineLvl w:val="1"/>
        <w:rPr>
          <w:rFonts w:hint="eastAsia" w:asciiTheme="minorEastAsia" w:hAnsiTheme="minorEastAsia" w:eastAsiaTheme="minorEastAsia"/>
          <w:b/>
          <w:color w:val="auto"/>
          <w:sz w:val="24"/>
          <w:highlight w:val="none"/>
        </w:rPr>
      </w:pPr>
    </w:p>
    <w:p w14:paraId="54FFCAD4">
      <w:pPr>
        <w:spacing w:line="360" w:lineRule="auto"/>
        <w:jc w:val="center"/>
        <w:outlineLvl w:val="1"/>
        <w:rPr>
          <w:rFonts w:hint="eastAsia" w:asciiTheme="minorEastAsia" w:hAnsiTheme="minorEastAsia" w:eastAsiaTheme="minorEastAsia"/>
          <w:b/>
          <w:color w:val="auto"/>
          <w:sz w:val="24"/>
          <w:highlight w:val="none"/>
        </w:rPr>
      </w:pPr>
    </w:p>
    <w:p w14:paraId="40FAE1F3">
      <w:pPr>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br w:type="page"/>
      </w:r>
    </w:p>
    <w:p w14:paraId="04414799">
      <w:pPr>
        <w:spacing w:line="360" w:lineRule="auto"/>
        <w:jc w:val="center"/>
        <w:outlineLvl w:val="1"/>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六、</w:t>
      </w:r>
      <w:r>
        <w:rPr>
          <w:rFonts w:hint="eastAsia" w:asciiTheme="minorEastAsia" w:hAnsiTheme="minorEastAsia" w:eastAsiaTheme="minorEastAsia"/>
          <w:b/>
          <w:color w:val="auto"/>
          <w:sz w:val="24"/>
          <w:highlight w:val="none"/>
        </w:rPr>
        <w:t>投标分项报价表</w:t>
      </w:r>
      <w:bookmarkEnd w:id="55"/>
      <w:bookmarkEnd w:id="56"/>
    </w:p>
    <w:p w14:paraId="13B7C54D">
      <w:pPr>
        <w:spacing w:line="360" w:lineRule="auto"/>
        <w:ind w:firstLine="435"/>
        <w:jc w:val="center"/>
        <w:rPr>
          <w:rFonts w:asciiTheme="minorEastAsia" w:hAnsiTheme="minorEastAsia" w:eastAsiaTheme="minorEastAsia"/>
          <w:b/>
          <w:color w:val="auto"/>
          <w:sz w:val="24"/>
          <w:highlight w:val="none"/>
        </w:rPr>
      </w:pPr>
      <w:r>
        <w:rPr>
          <w:rFonts w:hint="eastAsia" w:asciiTheme="minorEastAsia" w:hAnsiTheme="minorEastAsia" w:eastAsiaTheme="minorEastAsia"/>
          <w:i/>
          <w:color w:val="auto"/>
          <w:sz w:val="24"/>
          <w:highlight w:val="none"/>
        </w:rPr>
        <w:t>（仅供参考，投标人可自行制作格式）</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3107"/>
        <w:gridCol w:w="1356"/>
        <w:gridCol w:w="1696"/>
        <w:gridCol w:w="1567"/>
      </w:tblGrid>
      <w:tr w14:paraId="6B068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464" w:type="pct"/>
            <w:vAlign w:val="center"/>
          </w:tcPr>
          <w:p w14:paraId="3208DA36">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0"/>
                <w:highlight w:val="none"/>
              </w:rPr>
            </w:pPr>
            <w:r>
              <w:rPr>
                <w:rFonts w:hint="eastAsia" w:asciiTheme="minorEastAsia" w:hAnsiTheme="minorEastAsia" w:eastAsiaTheme="minorEastAsia"/>
                <w:b/>
                <w:color w:val="auto"/>
                <w:sz w:val="24"/>
                <w:szCs w:val="20"/>
                <w:highlight w:val="none"/>
              </w:rPr>
              <w:t>序号</w:t>
            </w:r>
          </w:p>
        </w:tc>
        <w:tc>
          <w:tcPr>
            <w:tcW w:w="1824" w:type="pct"/>
            <w:vAlign w:val="center"/>
          </w:tcPr>
          <w:p w14:paraId="623040B5">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0"/>
                <w:highlight w:val="none"/>
              </w:rPr>
            </w:pPr>
            <w:r>
              <w:rPr>
                <w:rFonts w:hint="eastAsia" w:asciiTheme="minorEastAsia" w:hAnsiTheme="minorEastAsia" w:eastAsiaTheme="minorEastAsia"/>
                <w:b/>
                <w:color w:val="auto"/>
                <w:sz w:val="24"/>
                <w:szCs w:val="20"/>
                <w:highlight w:val="none"/>
              </w:rPr>
              <w:t>服务内容</w:t>
            </w:r>
          </w:p>
        </w:tc>
        <w:tc>
          <w:tcPr>
            <w:tcW w:w="796" w:type="pct"/>
            <w:vAlign w:val="center"/>
          </w:tcPr>
          <w:p w14:paraId="3E7EB6E7">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0"/>
                <w:highlight w:val="none"/>
              </w:rPr>
            </w:pPr>
            <w:r>
              <w:rPr>
                <w:rFonts w:hint="eastAsia" w:asciiTheme="minorEastAsia" w:hAnsiTheme="minorEastAsia" w:eastAsiaTheme="minorEastAsia"/>
                <w:b/>
                <w:color w:val="auto"/>
                <w:sz w:val="24"/>
                <w:szCs w:val="20"/>
                <w:highlight w:val="none"/>
              </w:rPr>
              <w:t>项</w:t>
            </w:r>
          </w:p>
        </w:tc>
        <w:tc>
          <w:tcPr>
            <w:tcW w:w="995" w:type="pct"/>
            <w:vAlign w:val="center"/>
          </w:tcPr>
          <w:p w14:paraId="38EAD555">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0"/>
                <w:highlight w:val="none"/>
              </w:rPr>
            </w:pPr>
            <w:r>
              <w:rPr>
                <w:rFonts w:hint="eastAsia" w:asciiTheme="minorEastAsia" w:hAnsiTheme="minorEastAsia" w:eastAsiaTheme="minorEastAsia"/>
                <w:b/>
                <w:color w:val="auto"/>
                <w:sz w:val="24"/>
                <w:szCs w:val="20"/>
                <w:highlight w:val="none"/>
              </w:rPr>
              <w:t>单价</w:t>
            </w:r>
          </w:p>
        </w:tc>
        <w:tc>
          <w:tcPr>
            <w:tcW w:w="920" w:type="pct"/>
            <w:vAlign w:val="center"/>
          </w:tcPr>
          <w:p w14:paraId="054A4ACD">
            <w:pPr>
              <w:keepNext w:val="0"/>
              <w:keepLines w:val="0"/>
              <w:suppressLineNumbers w:val="0"/>
              <w:spacing w:before="0" w:beforeAutospacing="0" w:after="0" w:afterAutospacing="0"/>
              <w:ind w:left="0" w:right="0"/>
              <w:jc w:val="center"/>
              <w:rPr>
                <w:rFonts w:hint="default" w:asciiTheme="minorEastAsia" w:hAnsiTheme="minorEastAsia" w:eastAsiaTheme="minorEastAsia"/>
                <w:b/>
                <w:color w:val="auto"/>
                <w:sz w:val="24"/>
                <w:szCs w:val="20"/>
                <w:highlight w:val="none"/>
              </w:rPr>
            </w:pPr>
            <w:r>
              <w:rPr>
                <w:rFonts w:hint="eastAsia" w:asciiTheme="minorEastAsia" w:hAnsiTheme="minorEastAsia" w:eastAsiaTheme="minorEastAsia"/>
                <w:b/>
                <w:color w:val="auto"/>
                <w:sz w:val="24"/>
                <w:szCs w:val="20"/>
                <w:highlight w:val="none"/>
              </w:rPr>
              <w:t>小计金额（元）</w:t>
            </w:r>
          </w:p>
        </w:tc>
      </w:tr>
      <w:tr w14:paraId="2E301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4" w:type="pct"/>
            <w:tcBorders>
              <w:bottom w:val="single" w:color="auto" w:sz="4" w:space="0"/>
            </w:tcBorders>
            <w:vAlign w:val="center"/>
          </w:tcPr>
          <w:p w14:paraId="5044D1F4">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1</w:t>
            </w:r>
          </w:p>
        </w:tc>
        <w:tc>
          <w:tcPr>
            <w:tcW w:w="1824" w:type="pct"/>
            <w:vAlign w:val="center"/>
          </w:tcPr>
          <w:p w14:paraId="7AE9CD34">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796" w:type="pct"/>
            <w:vAlign w:val="center"/>
          </w:tcPr>
          <w:p w14:paraId="0DFC5E0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995" w:type="pct"/>
            <w:vAlign w:val="center"/>
          </w:tcPr>
          <w:p w14:paraId="09C4A3AE">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920" w:type="pct"/>
            <w:vAlign w:val="center"/>
          </w:tcPr>
          <w:p w14:paraId="682E27B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r>
      <w:tr w14:paraId="18E7B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4" w:type="pct"/>
            <w:vAlign w:val="center"/>
          </w:tcPr>
          <w:p w14:paraId="69ECBE34">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2</w:t>
            </w:r>
          </w:p>
        </w:tc>
        <w:tc>
          <w:tcPr>
            <w:tcW w:w="1824" w:type="pct"/>
            <w:vAlign w:val="center"/>
          </w:tcPr>
          <w:p w14:paraId="1A50A87F">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796" w:type="pct"/>
            <w:vAlign w:val="center"/>
          </w:tcPr>
          <w:p w14:paraId="16828C8E">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995" w:type="pct"/>
            <w:vAlign w:val="center"/>
          </w:tcPr>
          <w:p w14:paraId="372F9D03">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920" w:type="pct"/>
            <w:vAlign w:val="center"/>
          </w:tcPr>
          <w:p w14:paraId="36E6D664">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r>
      <w:tr w14:paraId="2BDC4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4" w:type="pct"/>
            <w:vAlign w:val="center"/>
          </w:tcPr>
          <w:p w14:paraId="348019DB">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3</w:t>
            </w:r>
          </w:p>
        </w:tc>
        <w:tc>
          <w:tcPr>
            <w:tcW w:w="1824" w:type="pct"/>
            <w:vAlign w:val="center"/>
          </w:tcPr>
          <w:p w14:paraId="002ABD53">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796" w:type="pct"/>
            <w:vAlign w:val="center"/>
          </w:tcPr>
          <w:p w14:paraId="427DA6B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995" w:type="pct"/>
            <w:vAlign w:val="center"/>
          </w:tcPr>
          <w:p w14:paraId="2305FDA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920" w:type="pct"/>
            <w:vAlign w:val="center"/>
          </w:tcPr>
          <w:p w14:paraId="1ED999F9">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r>
      <w:tr w14:paraId="5E160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4" w:type="pct"/>
            <w:vAlign w:val="center"/>
          </w:tcPr>
          <w:p w14:paraId="6972310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r>
              <w:rPr>
                <w:rFonts w:hint="default" w:asciiTheme="minorEastAsia" w:hAnsiTheme="minorEastAsia" w:eastAsiaTheme="minorEastAsia"/>
                <w:color w:val="auto"/>
                <w:sz w:val="24"/>
                <w:szCs w:val="20"/>
                <w:highlight w:val="none"/>
              </w:rPr>
              <w:t>…</w:t>
            </w:r>
          </w:p>
        </w:tc>
        <w:tc>
          <w:tcPr>
            <w:tcW w:w="1824" w:type="pct"/>
            <w:vAlign w:val="center"/>
          </w:tcPr>
          <w:p w14:paraId="5557691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796" w:type="pct"/>
            <w:vAlign w:val="center"/>
          </w:tcPr>
          <w:p w14:paraId="10EC88B7">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995" w:type="pct"/>
            <w:vAlign w:val="center"/>
          </w:tcPr>
          <w:p w14:paraId="073AE179">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920" w:type="pct"/>
            <w:vAlign w:val="center"/>
          </w:tcPr>
          <w:p w14:paraId="6D8C02CF">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r>
      <w:tr w14:paraId="7F971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4" w:type="pct"/>
            <w:vAlign w:val="center"/>
          </w:tcPr>
          <w:p w14:paraId="1416058E">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1824" w:type="pct"/>
            <w:vAlign w:val="center"/>
          </w:tcPr>
          <w:p w14:paraId="0D83E0EC">
            <w:pPr>
              <w:pStyle w:val="49"/>
              <w:keepNext w:val="0"/>
              <w:keepLines w:val="0"/>
              <w:suppressLineNumbers w:val="0"/>
              <w:spacing w:before="0" w:beforeAutospacing="0" w:after="0" w:afterAutospacing="0"/>
              <w:ind w:left="-108" w:right="0"/>
              <w:jc w:val="center"/>
              <w:rPr>
                <w:rFonts w:hint="default" w:asciiTheme="minorEastAsia" w:hAnsiTheme="minorEastAsia" w:eastAsiaTheme="minorEastAsia"/>
                <w:color w:val="auto"/>
                <w:szCs w:val="20"/>
                <w:highlight w:val="none"/>
              </w:rPr>
            </w:pPr>
            <w:r>
              <w:rPr>
                <w:rFonts w:hint="eastAsia" w:asciiTheme="minorEastAsia" w:hAnsiTheme="minorEastAsia" w:eastAsiaTheme="minorEastAsia"/>
                <w:color w:val="auto"/>
                <w:szCs w:val="20"/>
                <w:highlight w:val="none"/>
              </w:rPr>
              <w:t>其他费用</w:t>
            </w:r>
          </w:p>
        </w:tc>
        <w:tc>
          <w:tcPr>
            <w:tcW w:w="796" w:type="pct"/>
            <w:vAlign w:val="center"/>
          </w:tcPr>
          <w:p w14:paraId="715638D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995" w:type="pct"/>
            <w:vAlign w:val="center"/>
          </w:tcPr>
          <w:p w14:paraId="44180DB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920" w:type="pct"/>
            <w:vAlign w:val="center"/>
          </w:tcPr>
          <w:p w14:paraId="4924BD55">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r>
      <w:tr w14:paraId="1F7E6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4" w:type="pct"/>
            <w:vAlign w:val="center"/>
          </w:tcPr>
          <w:p w14:paraId="6C05D0E4">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1824" w:type="pct"/>
            <w:vAlign w:val="center"/>
          </w:tcPr>
          <w:p w14:paraId="269576DB">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r>
              <w:rPr>
                <w:rFonts w:hint="default" w:asciiTheme="minorEastAsia" w:hAnsiTheme="minorEastAsia" w:eastAsiaTheme="minorEastAsia"/>
                <w:color w:val="auto"/>
                <w:sz w:val="24"/>
                <w:szCs w:val="20"/>
                <w:highlight w:val="none"/>
              </w:rPr>
              <w:t>……</w:t>
            </w:r>
          </w:p>
        </w:tc>
        <w:tc>
          <w:tcPr>
            <w:tcW w:w="796" w:type="pct"/>
            <w:vAlign w:val="center"/>
          </w:tcPr>
          <w:p w14:paraId="4D0FF0B3">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995" w:type="pct"/>
            <w:vAlign w:val="center"/>
          </w:tcPr>
          <w:p w14:paraId="2DCAE397">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920" w:type="pct"/>
            <w:vAlign w:val="center"/>
          </w:tcPr>
          <w:p w14:paraId="5B3DFF99">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r>
      <w:tr w14:paraId="619D7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080" w:type="pct"/>
            <w:gridSpan w:val="4"/>
            <w:vAlign w:val="center"/>
          </w:tcPr>
          <w:p w14:paraId="2BBFCD83">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b/>
                <w:color w:val="auto"/>
                <w:sz w:val="24"/>
                <w:szCs w:val="20"/>
                <w:highlight w:val="none"/>
              </w:rPr>
              <w:t>合计金额（元）</w:t>
            </w:r>
          </w:p>
        </w:tc>
        <w:tc>
          <w:tcPr>
            <w:tcW w:w="920" w:type="pct"/>
            <w:vAlign w:val="center"/>
          </w:tcPr>
          <w:p w14:paraId="43F09313">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r>
    </w:tbl>
    <w:p w14:paraId="002E5684">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投标人电子签章：</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105A6A5C">
      <w:pPr>
        <w:tabs>
          <w:tab w:val="left" w:pos="630"/>
        </w:tabs>
        <w:spacing w:line="360" w:lineRule="auto"/>
        <w:ind w:firstLine="4800" w:firstLineChars="2000"/>
        <w:rPr>
          <w:rFonts w:asciiTheme="minorEastAsia" w:hAnsiTheme="minorEastAsia" w:eastAsiaTheme="minorEastAsia"/>
          <w:b/>
          <w:bCs/>
          <w:color w:val="auto"/>
          <w:sz w:val="24"/>
          <w:szCs w:val="28"/>
          <w:highlight w:val="none"/>
        </w:rPr>
      </w:pPr>
      <w:r>
        <w:rPr>
          <w:rFonts w:hint="eastAsia" w:ascii="宋体" w:hAnsi="宋体" w:eastAsia="宋体"/>
          <w:color w:val="auto"/>
          <w:sz w:val="24"/>
          <w:highlight w:val="none"/>
        </w:rPr>
        <w:t xml:space="preserve">日     </w:t>
      </w:r>
      <w:r>
        <w:rPr>
          <w:rFonts w:ascii="宋体" w:hAnsi="宋体" w:eastAsia="宋体"/>
          <w:color w:val="auto"/>
          <w:sz w:val="24"/>
          <w:highlight w:val="none"/>
        </w:rPr>
        <w:t xml:space="preserve">    </w:t>
      </w:r>
      <w:r>
        <w:rPr>
          <w:rFonts w:hint="eastAsia" w:ascii="宋体" w:hAnsi="宋体" w:eastAsia="宋体"/>
          <w:color w:val="auto"/>
          <w:sz w:val="24"/>
          <w:highlight w:val="none"/>
        </w:rPr>
        <w:t xml:space="preserve"> 期：</w:t>
      </w:r>
      <w:r>
        <w:rPr>
          <w:rFonts w:hint="eastAsia" w:ascii="宋体" w:hAnsi="宋体" w:eastAsia="宋体"/>
          <w:color w:val="auto"/>
          <w:sz w:val="24"/>
          <w:highlight w:val="none"/>
          <w:u w:val="single"/>
        </w:rPr>
        <w:t xml:space="preserve">             </w:t>
      </w:r>
    </w:p>
    <w:p w14:paraId="1B901DBB">
      <w:pPr>
        <w:adjustRightInd w:val="0"/>
        <w:snapToGrid w:val="0"/>
        <w:spacing w:line="360" w:lineRule="auto"/>
        <w:rPr>
          <w:rFonts w:hint="eastAsia" w:asciiTheme="minorEastAsia" w:hAnsiTheme="minorEastAsia" w:eastAsiaTheme="minorEastAsia"/>
          <w:b/>
          <w:bCs/>
          <w:color w:val="auto"/>
          <w:sz w:val="24"/>
          <w:szCs w:val="28"/>
          <w:highlight w:val="none"/>
          <w:lang w:eastAsia="zh-CN"/>
        </w:rPr>
      </w:pPr>
      <w:r>
        <w:rPr>
          <w:rFonts w:hint="eastAsia" w:asciiTheme="minorEastAsia" w:hAnsiTheme="minorEastAsia" w:eastAsiaTheme="minorEastAsia"/>
          <w:b/>
          <w:bCs/>
          <w:color w:val="auto"/>
          <w:sz w:val="24"/>
          <w:szCs w:val="28"/>
          <w:highlight w:val="none"/>
          <w:lang w:eastAsia="zh-CN"/>
        </w:rPr>
        <w:t>注：</w:t>
      </w:r>
    </w:p>
    <w:p w14:paraId="373584AB">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所列服务为对应本项目需求的全部服务内容。如有漏项或缺项，投标人承担全部责任。</w:t>
      </w:r>
    </w:p>
    <w:p w14:paraId="260FA3AD">
      <w:pPr>
        <w:pStyle w:val="2"/>
        <w:rPr>
          <w:rFonts w:hint="eastAsia" w:asciiTheme="minorEastAsia" w:hAnsiTheme="minorEastAsia" w:eastAsiaTheme="minorEastAsia"/>
          <w:color w:val="auto"/>
          <w:sz w:val="24"/>
          <w:highlight w:val="none"/>
        </w:rPr>
      </w:pPr>
    </w:p>
    <w:p w14:paraId="28E11727">
      <w:pPr>
        <w:rPr>
          <w:rFonts w:hint="eastAsia" w:asciiTheme="minorEastAsia" w:hAnsiTheme="minorEastAsia" w:eastAsiaTheme="minorEastAsia"/>
          <w:b/>
          <w:color w:val="auto"/>
          <w:sz w:val="24"/>
          <w:highlight w:val="none"/>
        </w:rPr>
      </w:pPr>
      <w:bookmarkStart w:id="57" w:name="_Toc20329"/>
      <w:r>
        <w:rPr>
          <w:rFonts w:hint="eastAsia" w:asciiTheme="minorEastAsia" w:hAnsiTheme="minorEastAsia" w:eastAsiaTheme="minorEastAsia"/>
          <w:b/>
          <w:color w:val="auto"/>
          <w:sz w:val="24"/>
          <w:highlight w:val="none"/>
        </w:rPr>
        <w:br w:type="page"/>
      </w:r>
    </w:p>
    <w:p w14:paraId="68E3593A">
      <w:pPr>
        <w:spacing w:line="360" w:lineRule="auto"/>
        <w:jc w:val="center"/>
        <w:outlineLvl w:val="1"/>
        <w:rPr>
          <w:rFonts w:hint="default" w:asciiTheme="minorEastAsia" w:hAnsiTheme="minorEastAsia" w:eastAsiaTheme="minorEastAsia"/>
          <w:b/>
          <w:color w:val="auto"/>
          <w:sz w:val="24"/>
          <w:highlight w:val="none"/>
          <w:lang w:val="en-US" w:eastAsia="zh-CN"/>
        </w:rPr>
      </w:pPr>
      <w:bookmarkStart w:id="58" w:name="_Toc15209"/>
      <w:r>
        <w:rPr>
          <w:rFonts w:hint="eastAsia" w:asciiTheme="minorEastAsia" w:hAnsiTheme="minorEastAsia" w:eastAsiaTheme="minorEastAsia"/>
          <w:b/>
          <w:color w:val="auto"/>
          <w:sz w:val="24"/>
          <w:highlight w:val="none"/>
          <w:lang w:val="en-US" w:eastAsia="zh-CN"/>
        </w:rPr>
        <w:t>七</w:t>
      </w:r>
      <w:r>
        <w:rPr>
          <w:rFonts w:hint="eastAsia" w:asciiTheme="minorEastAsia" w:hAnsiTheme="minorEastAsia" w:eastAsiaTheme="minorEastAsia"/>
          <w:b/>
          <w:color w:val="auto"/>
          <w:sz w:val="24"/>
          <w:highlight w:val="none"/>
        </w:rPr>
        <w:t>、投标响应表</w:t>
      </w:r>
      <w:bookmarkEnd w:id="57"/>
      <w:bookmarkEnd w:id="58"/>
    </w:p>
    <w:p w14:paraId="1BE9B853">
      <w:pPr>
        <w:spacing w:line="360" w:lineRule="auto"/>
        <w:ind w:firstLine="435"/>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6</w:t>
      </w:r>
      <w:r>
        <w:rPr>
          <w:rFonts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rPr>
        <w:t>商务响应表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915"/>
        <w:gridCol w:w="2496"/>
        <w:gridCol w:w="2573"/>
        <w:gridCol w:w="810"/>
      </w:tblGrid>
      <w:tr w14:paraId="0694D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24" w:type="pct"/>
            <w:vAlign w:val="center"/>
          </w:tcPr>
          <w:p w14:paraId="4FDAABB1">
            <w:pPr>
              <w:pStyle w:val="10"/>
              <w:keepNext w:val="0"/>
              <w:keepLines w:val="0"/>
              <w:suppressLineNumbers w:val="0"/>
              <w:spacing w:before="0" w:beforeAutospacing="0" w:after="0" w:afterAutospacing="0"/>
              <w:ind w:left="0" w:right="0"/>
              <w:jc w:val="center"/>
              <w:rPr>
                <w:rFonts w:hint="default" w:cs="Wingdings" w:asciiTheme="minorEastAsia" w:hAnsiTheme="minorEastAsia"/>
                <w:b/>
                <w:color w:val="auto"/>
                <w:sz w:val="24"/>
                <w:highlight w:val="none"/>
              </w:rPr>
            </w:pPr>
            <w:r>
              <w:rPr>
                <w:rFonts w:hint="eastAsia" w:cs="Wingdings" w:asciiTheme="minorEastAsia" w:hAnsiTheme="minorEastAsia"/>
                <w:b/>
                <w:color w:val="auto"/>
                <w:sz w:val="24"/>
                <w:highlight w:val="none"/>
              </w:rPr>
              <w:t>序号</w:t>
            </w:r>
          </w:p>
        </w:tc>
        <w:tc>
          <w:tcPr>
            <w:tcW w:w="1124" w:type="pct"/>
            <w:vAlign w:val="center"/>
          </w:tcPr>
          <w:p w14:paraId="0AFA12BD">
            <w:pPr>
              <w:pStyle w:val="10"/>
              <w:keepNext w:val="0"/>
              <w:keepLines w:val="0"/>
              <w:suppressLineNumbers w:val="0"/>
              <w:spacing w:before="0" w:beforeAutospacing="0" w:after="0" w:afterAutospacing="0"/>
              <w:ind w:left="0" w:right="0"/>
              <w:jc w:val="center"/>
              <w:rPr>
                <w:rFonts w:hint="default" w:cs="Wingdings" w:asciiTheme="minorEastAsia" w:hAnsiTheme="minorEastAsia"/>
                <w:b/>
                <w:color w:val="auto"/>
                <w:sz w:val="24"/>
                <w:highlight w:val="none"/>
              </w:rPr>
            </w:pPr>
            <w:r>
              <w:rPr>
                <w:rFonts w:hint="eastAsia" w:asciiTheme="minorEastAsia" w:hAnsiTheme="minorEastAsia"/>
                <w:b/>
                <w:bCs/>
                <w:color w:val="auto"/>
                <w:sz w:val="24"/>
                <w:szCs w:val="24"/>
                <w:highlight w:val="none"/>
              </w:rPr>
              <w:t>商务条款</w:t>
            </w:r>
          </w:p>
        </w:tc>
        <w:tc>
          <w:tcPr>
            <w:tcW w:w="1465" w:type="pct"/>
            <w:vAlign w:val="center"/>
          </w:tcPr>
          <w:p w14:paraId="3443C2AE">
            <w:pPr>
              <w:pStyle w:val="10"/>
              <w:keepNext w:val="0"/>
              <w:keepLines w:val="0"/>
              <w:suppressLineNumbers w:val="0"/>
              <w:spacing w:before="0" w:beforeAutospacing="0" w:after="0" w:afterAutospacing="0"/>
              <w:ind w:left="0" w:right="0"/>
              <w:jc w:val="center"/>
              <w:rPr>
                <w:rFonts w:hint="default" w:cs="Wingdings" w:asciiTheme="minorEastAsia" w:hAnsiTheme="minorEastAsia"/>
                <w:b/>
                <w:color w:val="auto"/>
                <w:sz w:val="24"/>
                <w:highlight w:val="none"/>
              </w:rPr>
            </w:pPr>
            <w:r>
              <w:rPr>
                <w:rFonts w:hint="eastAsia" w:cs="Wingdings" w:asciiTheme="minorEastAsia" w:hAnsiTheme="minorEastAsia"/>
                <w:b/>
                <w:color w:val="auto"/>
                <w:sz w:val="24"/>
                <w:highlight w:val="none"/>
              </w:rPr>
              <w:t>招标文件要求</w:t>
            </w:r>
          </w:p>
        </w:tc>
        <w:tc>
          <w:tcPr>
            <w:tcW w:w="1510" w:type="pct"/>
            <w:vAlign w:val="center"/>
          </w:tcPr>
          <w:p w14:paraId="363DC759">
            <w:pPr>
              <w:pStyle w:val="10"/>
              <w:keepNext w:val="0"/>
              <w:keepLines w:val="0"/>
              <w:suppressLineNumbers w:val="0"/>
              <w:spacing w:before="0" w:beforeAutospacing="0" w:after="0" w:afterAutospacing="0"/>
              <w:ind w:left="0" w:right="0"/>
              <w:jc w:val="center"/>
              <w:rPr>
                <w:rFonts w:hint="default" w:cs="Wingdings" w:asciiTheme="minorEastAsia" w:hAnsiTheme="minorEastAsia"/>
                <w:b/>
                <w:color w:val="auto"/>
                <w:sz w:val="24"/>
                <w:highlight w:val="none"/>
              </w:rPr>
            </w:pPr>
            <w:r>
              <w:rPr>
                <w:rFonts w:hint="eastAsia" w:cs="Wingdings" w:asciiTheme="minorEastAsia" w:hAnsiTheme="minorEastAsia"/>
                <w:b/>
                <w:color w:val="auto"/>
                <w:sz w:val="24"/>
                <w:highlight w:val="none"/>
              </w:rPr>
              <w:t>投标人承诺</w:t>
            </w:r>
          </w:p>
        </w:tc>
        <w:tc>
          <w:tcPr>
            <w:tcW w:w="475" w:type="pct"/>
            <w:vAlign w:val="center"/>
          </w:tcPr>
          <w:p w14:paraId="36C0D9F7">
            <w:pPr>
              <w:pStyle w:val="10"/>
              <w:keepNext w:val="0"/>
              <w:keepLines w:val="0"/>
              <w:suppressLineNumbers w:val="0"/>
              <w:spacing w:before="0" w:beforeAutospacing="0" w:after="0" w:afterAutospacing="0"/>
              <w:ind w:left="0" w:right="0"/>
              <w:jc w:val="center"/>
              <w:rPr>
                <w:rFonts w:hint="default" w:cs="Wingdings" w:asciiTheme="minorEastAsia" w:hAnsiTheme="minorEastAsia"/>
                <w:b/>
                <w:color w:val="auto"/>
                <w:sz w:val="24"/>
                <w:highlight w:val="none"/>
              </w:rPr>
            </w:pPr>
            <w:r>
              <w:rPr>
                <w:rFonts w:hint="eastAsia" w:cs="Wingdings" w:asciiTheme="minorEastAsia" w:hAnsiTheme="minorEastAsia"/>
                <w:b/>
                <w:color w:val="auto"/>
                <w:sz w:val="24"/>
                <w:highlight w:val="none"/>
              </w:rPr>
              <w:t>偏离说明</w:t>
            </w:r>
          </w:p>
        </w:tc>
      </w:tr>
      <w:tr w14:paraId="1605A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vAlign w:val="center"/>
          </w:tcPr>
          <w:p w14:paraId="7539B61B">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r>
              <w:rPr>
                <w:rFonts w:hint="default" w:asciiTheme="minorEastAsia" w:hAnsiTheme="minorEastAsia" w:eastAsiaTheme="minorEastAsia"/>
                <w:color w:val="auto"/>
                <w:sz w:val="24"/>
                <w:szCs w:val="20"/>
                <w:highlight w:val="none"/>
              </w:rPr>
              <w:t>1</w:t>
            </w:r>
          </w:p>
        </w:tc>
        <w:tc>
          <w:tcPr>
            <w:tcW w:w="1124" w:type="pct"/>
            <w:vAlign w:val="center"/>
          </w:tcPr>
          <w:p w14:paraId="3371D4C7">
            <w:pPr>
              <w:keepNext w:val="0"/>
              <w:keepLines w:val="0"/>
              <w:suppressLineNumbers w:val="0"/>
              <w:spacing w:before="0" w:beforeAutospacing="0" w:after="0" w:afterAutospacing="0"/>
              <w:ind w:left="0" w:right="0"/>
              <w:jc w:val="center"/>
              <w:rPr>
                <w:rFonts w:hint="default" w:ascii="宋体" w:hAnsi="宋体" w:eastAsia="宋体"/>
                <w:color w:val="auto"/>
                <w:sz w:val="24"/>
                <w:szCs w:val="20"/>
                <w:highlight w:val="none"/>
              </w:rPr>
            </w:pPr>
            <w:r>
              <w:rPr>
                <w:rFonts w:hint="default" w:asciiTheme="minorEastAsia" w:hAnsiTheme="minorEastAsia" w:eastAsiaTheme="minorEastAsia"/>
                <w:color w:val="auto"/>
                <w:sz w:val="24"/>
                <w:szCs w:val="20"/>
                <w:highlight w:val="none"/>
              </w:rPr>
              <w:t>付款方式</w:t>
            </w:r>
          </w:p>
        </w:tc>
        <w:tc>
          <w:tcPr>
            <w:tcW w:w="1465" w:type="pct"/>
            <w:vAlign w:val="center"/>
          </w:tcPr>
          <w:p w14:paraId="68EC4CE0">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1510" w:type="pct"/>
            <w:vAlign w:val="center"/>
          </w:tcPr>
          <w:p w14:paraId="7E70714E">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475" w:type="pct"/>
            <w:vAlign w:val="center"/>
          </w:tcPr>
          <w:p w14:paraId="5E987554">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r>
      <w:tr w14:paraId="619A5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vAlign w:val="center"/>
          </w:tcPr>
          <w:p w14:paraId="5624F7B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2</w:t>
            </w:r>
          </w:p>
        </w:tc>
        <w:tc>
          <w:tcPr>
            <w:tcW w:w="1124" w:type="pct"/>
            <w:vAlign w:val="center"/>
          </w:tcPr>
          <w:p w14:paraId="72E58DBC">
            <w:pPr>
              <w:keepNext w:val="0"/>
              <w:keepLines w:val="0"/>
              <w:suppressLineNumbers w:val="0"/>
              <w:spacing w:before="0" w:beforeAutospacing="0" w:after="0" w:afterAutospacing="0"/>
              <w:ind w:left="0" w:right="0"/>
              <w:jc w:val="center"/>
              <w:rPr>
                <w:rFonts w:hint="default" w:ascii="宋体" w:hAnsi="宋体" w:eastAsia="宋体"/>
                <w:color w:val="auto"/>
                <w:sz w:val="24"/>
                <w:szCs w:val="20"/>
                <w:highlight w:val="none"/>
              </w:rPr>
            </w:pPr>
            <w:r>
              <w:rPr>
                <w:rFonts w:hint="eastAsia" w:ascii="宋体" w:hAnsi="宋体" w:eastAsia="宋体"/>
                <w:color w:val="auto"/>
                <w:sz w:val="24"/>
                <w:szCs w:val="20"/>
                <w:highlight w:val="none"/>
              </w:rPr>
              <w:t>服务地点</w:t>
            </w:r>
          </w:p>
        </w:tc>
        <w:tc>
          <w:tcPr>
            <w:tcW w:w="1465" w:type="pct"/>
            <w:vAlign w:val="center"/>
          </w:tcPr>
          <w:p w14:paraId="5DF29CE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1510" w:type="pct"/>
            <w:vAlign w:val="center"/>
          </w:tcPr>
          <w:p w14:paraId="38BB8A7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475" w:type="pct"/>
            <w:vAlign w:val="center"/>
          </w:tcPr>
          <w:p w14:paraId="5AEE8B66">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r>
      <w:tr w14:paraId="4265E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vAlign w:val="center"/>
          </w:tcPr>
          <w:p w14:paraId="0ECC4A46">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3</w:t>
            </w:r>
          </w:p>
        </w:tc>
        <w:tc>
          <w:tcPr>
            <w:tcW w:w="1124" w:type="pct"/>
            <w:vAlign w:val="center"/>
          </w:tcPr>
          <w:p w14:paraId="557F476D">
            <w:pPr>
              <w:keepNext w:val="0"/>
              <w:keepLines w:val="0"/>
              <w:suppressLineNumbers w:val="0"/>
              <w:spacing w:before="0" w:beforeAutospacing="0" w:after="0" w:afterAutospacing="0"/>
              <w:ind w:left="0" w:right="0"/>
              <w:jc w:val="center"/>
              <w:rPr>
                <w:rFonts w:hint="default" w:ascii="宋体" w:hAnsi="宋体" w:eastAsia="宋体"/>
                <w:color w:val="auto"/>
                <w:sz w:val="24"/>
                <w:szCs w:val="20"/>
                <w:highlight w:val="none"/>
              </w:rPr>
            </w:pPr>
            <w:r>
              <w:rPr>
                <w:rFonts w:hint="eastAsia" w:ascii="宋体" w:hAnsi="宋体" w:eastAsia="宋体"/>
                <w:color w:val="auto"/>
                <w:sz w:val="24"/>
                <w:szCs w:val="20"/>
                <w:highlight w:val="none"/>
              </w:rPr>
              <w:t>服务期限</w:t>
            </w:r>
          </w:p>
        </w:tc>
        <w:tc>
          <w:tcPr>
            <w:tcW w:w="1465" w:type="pct"/>
            <w:vAlign w:val="center"/>
          </w:tcPr>
          <w:p w14:paraId="1E298E34">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1510" w:type="pct"/>
            <w:vAlign w:val="center"/>
          </w:tcPr>
          <w:p w14:paraId="0684C886">
            <w:pPr>
              <w:pStyle w:val="49"/>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0"/>
                <w:highlight w:val="none"/>
              </w:rPr>
            </w:pPr>
          </w:p>
        </w:tc>
        <w:tc>
          <w:tcPr>
            <w:tcW w:w="475" w:type="pct"/>
            <w:vAlign w:val="center"/>
          </w:tcPr>
          <w:p w14:paraId="5189EC22">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r>
      <w:tr w14:paraId="550E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vAlign w:val="center"/>
          </w:tcPr>
          <w:p w14:paraId="2B209D1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w:t>
            </w:r>
          </w:p>
        </w:tc>
        <w:tc>
          <w:tcPr>
            <w:tcW w:w="1124" w:type="pct"/>
            <w:vAlign w:val="center"/>
          </w:tcPr>
          <w:p w14:paraId="69A25BD7">
            <w:pPr>
              <w:keepNext w:val="0"/>
              <w:keepLines w:val="0"/>
              <w:suppressLineNumbers w:val="0"/>
              <w:spacing w:before="0" w:beforeAutospacing="0" w:after="0" w:afterAutospacing="0"/>
              <w:ind w:left="0" w:right="0"/>
              <w:jc w:val="center"/>
              <w:rPr>
                <w:rFonts w:hint="default" w:ascii="宋体" w:hAnsi="宋体" w:eastAsia="宋体"/>
                <w:color w:val="auto"/>
                <w:sz w:val="24"/>
                <w:szCs w:val="20"/>
                <w:highlight w:val="none"/>
              </w:rPr>
            </w:pPr>
          </w:p>
        </w:tc>
        <w:tc>
          <w:tcPr>
            <w:tcW w:w="1465" w:type="pct"/>
            <w:vAlign w:val="center"/>
          </w:tcPr>
          <w:p w14:paraId="002556C4">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1510" w:type="pct"/>
            <w:vAlign w:val="center"/>
          </w:tcPr>
          <w:p w14:paraId="5CC6BA08">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c>
          <w:tcPr>
            <w:tcW w:w="475" w:type="pct"/>
            <w:vAlign w:val="center"/>
          </w:tcPr>
          <w:p w14:paraId="0C7A31A7">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 w:val="24"/>
                <w:szCs w:val="20"/>
                <w:highlight w:val="none"/>
              </w:rPr>
            </w:pPr>
          </w:p>
        </w:tc>
      </w:tr>
    </w:tbl>
    <w:p w14:paraId="17033538">
      <w:pPr>
        <w:tabs>
          <w:tab w:val="left" w:pos="630"/>
        </w:tabs>
        <w:spacing w:line="360" w:lineRule="auto"/>
        <w:ind w:firstLine="4800" w:firstLineChars="2000"/>
        <w:rPr>
          <w:rFonts w:ascii="宋体" w:hAnsi="宋体" w:eastAsia="宋体"/>
          <w:color w:val="auto"/>
          <w:sz w:val="24"/>
          <w:highlight w:val="none"/>
          <w:u w:val="single"/>
        </w:rPr>
      </w:pPr>
    </w:p>
    <w:p w14:paraId="28F95C02">
      <w:pPr>
        <w:pStyle w:val="11"/>
        <w:spacing w:line="360" w:lineRule="auto"/>
        <w:rPr>
          <w:rFonts w:asciiTheme="minorEastAsia" w:hAnsiTheme="minorEastAsia" w:eastAsiaTheme="minorEastAsia"/>
          <w:b w:val="0"/>
          <w:color w:val="auto"/>
          <w:sz w:val="24"/>
          <w:highlight w:val="none"/>
        </w:rPr>
      </w:pPr>
      <w:r>
        <w:rPr>
          <w:rFonts w:asciiTheme="minorEastAsia" w:hAnsiTheme="minorEastAsia" w:eastAsiaTheme="minorEastAsia"/>
          <w:b w:val="0"/>
          <w:color w:val="auto"/>
          <w:sz w:val="24"/>
          <w:highlight w:val="none"/>
        </w:rPr>
        <w:br w:type="page"/>
      </w:r>
    </w:p>
    <w:p w14:paraId="3C810E87">
      <w:pPr>
        <w:spacing w:line="360" w:lineRule="auto"/>
        <w:jc w:val="center"/>
        <w:outlineLvl w:val="1"/>
        <w:rPr>
          <w:rFonts w:hint="eastAsia" w:asciiTheme="minorEastAsia" w:hAnsiTheme="minorEastAsia" w:eastAsiaTheme="minorEastAsia"/>
          <w:b/>
          <w:color w:val="auto"/>
          <w:sz w:val="24"/>
          <w:highlight w:val="none"/>
          <w:lang w:val="en-US" w:eastAsia="zh-CN"/>
        </w:rPr>
      </w:pPr>
      <w:bookmarkStart w:id="59" w:name="_Toc23068"/>
      <w:r>
        <w:rPr>
          <w:rFonts w:hint="eastAsia" w:asciiTheme="minorEastAsia" w:hAnsiTheme="minorEastAsia" w:eastAsiaTheme="minorEastAsia"/>
          <w:b/>
          <w:color w:val="auto"/>
          <w:sz w:val="24"/>
          <w:highlight w:val="none"/>
          <w:lang w:val="en-US" w:eastAsia="zh-CN"/>
        </w:rPr>
        <w:t>八、中小企业声明函</w:t>
      </w:r>
      <w:bookmarkEnd w:id="59"/>
    </w:p>
    <w:p w14:paraId="51E52D9E">
      <w:pPr>
        <w:pStyle w:val="2"/>
        <w:jc w:val="center"/>
        <w:rPr>
          <w:rFonts w:hint="eastAsia" w:ascii="宋体" w:hAnsi="宋体" w:eastAsia="宋体"/>
          <w:b w:val="0"/>
          <w:i/>
          <w:color w:val="auto"/>
          <w:sz w:val="24"/>
          <w:highlight w:val="none"/>
          <w:lang w:val="en-US" w:eastAsia="zh-CN"/>
        </w:rPr>
      </w:pPr>
      <w:r>
        <w:rPr>
          <w:rFonts w:hint="eastAsia" w:ascii="宋体" w:hAnsi="宋体" w:eastAsia="宋体"/>
          <w:b w:val="0"/>
          <w:i/>
          <w:color w:val="auto"/>
          <w:sz w:val="24"/>
          <w:highlight w:val="none"/>
          <w:lang w:val="en-US" w:eastAsia="zh-CN"/>
        </w:rPr>
        <w:t>（</w:t>
      </w:r>
      <w:r>
        <w:rPr>
          <w:rFonts w:hint="eastAsia" w:ascii="宋体" w:hAnsi="宋体" w:eastAsia="宋体"/>
          <w:b w:val="0"/>
          <w:i/>
          <w:color w:val="auto"/>
          <w:sz w:val="24"/>
          <w:highlight w:val="none"/>
          <w:lang w:val="zh-CN" w:eastAsia="zh-CN"/>
        </w:rPr>
        <w:t>非中小企业投标</w:t>
      </w:r>
      <w:r>
        <w:rPr>
          <w:rFonts w:hint="eastAsia" w:ascii="宋体" w:hAnsi="宋体" w:eastAsia="宋体"/>
          <w:b w:val="0"/>
          <w:i/>
          <w:color w:val="auto"/>
          <w:sz w:val="24"/>
          <w:highlight w:val="none"/>
          <w:lang w:val="en-US" w:eastAsia="zh-CN"/>
        </w:rPr>
        <w:t>，不需此件，请删去“中小企业声明函”）</w:t>
      </w:r>
    </w:p>
    <w:p w14:paraId="1BA89A25">
      <w:pPr>
        <w:rPr>
          <w:rFonts w:asciiTheme="minorEastAsia" w:hAnsiTheme="minorEastAsia" w:eastAsiaTheme="minorEastAsia"/>
          <w:color w:val="auto"/>
          <w:sz w:val="24"/>
          <w:szCs w:val="24"/>
          <w:highlight w:val="none"/>
        </w:rPr>
      </w:pPr>
    </w:p>
    <w:p w14:paraId="6805B171">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本公司（联合体）郑重声明，根据《政府采购促进中小企业发展管理办法》（财库﹝2020﹞46号）的规定，本公司（联合体）参加（</w:t>
      </w:r>
      <w:r>
        <w:rPr>
          <w:rFonts w:hint="eastAsia" w:ascii="宋体" w:hAnsi="宋体" w:eastAsia="宋体"/>
          <w:color w:val="auto"/>
          <w:sz w:val="24"/>
          <w:szCs w:val="24"/>
          <w:highlight w:val="none"/>
          <w:u w:val="single"/>
          <w:lang w:val="zh-CN"/>
        </w:rPr>
        <w:t>单位</w:t>
      </w:r>
      <w:r>
        <w:rPr>
          <w:rFonts w:hint="eastAsia" w:ascii="宋体" w:hAnsi="宋体" w:eastAsia="宋体"/>
          <w:color w:val="auto"/>
          <w:sz w:val="24"/>
          <w:szCs w:val="24"/>
          <w:highlight w:val="none"/>
          <w:u w:val="single"/>
          <w:lang w:val="en-US" w:eastAsia="zh-CN"/>
        </w:rPr>
        <w:t>名称</w:t>
      </w:r>
      <w:r>
        <w:rPr>
          <w:rFonts w:hint="eastAsia" w:ascii="宋体" w:hAnsi="宋体" w:eastAsia="宋体"/>
          <w:color w:val="auto"/>
          <w:sz w:val="24"/>
          <w:szCs w:val="24"/>
          <w:highlight w:val="none"/>
          <w:lang w:val="zh-CN"/>
        </w:rPr>
        <w:t>）的（</w:t>
      </w:r>
      <w:r>
        <w:rPr>
          <w:rFonts w:hint="eastAsia" w:ascii="宋体" w:hAnsi="宋体" w:eastAsia="宋体"/>
          <w:color w:val="auto"/>
          <w:sz w:val="24"/>
          <w:szCs w:val="24"/>
          <w:highlight w:val="none"/>
          <w:u w:val="single"/>
          <w:lang w:val="zh-CN"/>
        </w:rPr>
        <w:t>项目</w:t>
      </w:r>
      <w:r>
        <w:rPr>
          <w:rFonts w:hint="eastAsia" w:ascii="宋体" w:hAnsi="宋体" w:eastAsia="宋体"/>
          <w:color w:val="auto"/>
          <w:sz w:val="24"/>
          <w:szCs w:val="24"/>
          <w:highlight w:val="none"/>
          <w:u w:val="single"/>
          <w:lang w:val="en-US" w:eastAsia="zh-CN"/>
        </w:rPr>
        <w:t>名称</w:t>
      </w:r>
      <w:r>
        <w:rPr>
          <w:rFonts w:hint="eastAsia" w:ascii="宋体" w:hAnsi="宋体" w:eastAsia="宋体"/>
          <w:color w:val="auto"/>
          <w:sz w:val="24"/>
          <w:szCs w:val="24"/>
          <w:highlight w:val="none"/>
          <w:lang w:val="zh-CN"/>
        </w:rPr>
        <w:t xml:space="preserve">）采购活动，服务全部由符合政策要求的中小企业承接。相关企业（含联合体中的中小企业、签订分包意向协议的中小企业）的具体情况如下： </w:t>
      </w:r>
    </w:p>
    <w:p w14:paraId="12CB304F">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1.</w:t>
      </w:r>
      <w:r>
        <w:rPr>
          <w:rFonts w:hint="eastAsia" w:ascii="宋体" w:hAnsi="宋体" w:eastAsia="宋体"/>
          <w:color w:val="auto"/>
          <w:sz w:val="24"/>
          <w:szCs w:val="24"/>
          <w:highlight w:val="none"/>
          <w:u w:val="single"/>
          <w:lang w:val="zh-CN"/>
        </w:rPr>
        <w:t xml:space="preserve"> （标的名称） </w:t>
      </w:r>
      <w:r>
        <w:rPr>
          <w:rFonts w:hint="eastAsia" w:ascii="宋体" w:hAnsi="宋体" w:eastAsia="宋体"/>
          <w:color w:val="auto"/>
          <w:sz w:val="24"/>
          <w:szCs w:val="24"/>
          <w:highlight w:val="none"/>
          <w:lang w:val="zh-CN"/>
        </w:rPr>
        <w:t>，属于</w:t>
      </w:r>
      <w:r>
        <w:rPr>
          <w:rFonts w:hint="eastAsia" w:ascii="宋体" w:hAnsi="宋体" w:eastAsia="宋体"/>
          <w:color w:val="auto"/>
          <w:sz w:val="24"/>
          <w:szCs w:val="24"/>
          <w:highlight w:val="none"/>
          <w:u w:val="single"/>
          <w:lang w:val="zh-CN"/>
        </w:rPr>
        <w:t>（采购文件中明确的所属行业）</w:t>
      </w:r>
      <w:r>
        <w:rPr>
          <w:rFonts w:hint="eastAsia" w:ascii="宋体" w:hAnsi="宋体" w:eastAsia="宋体"/>
          <w:color w:val="auto"/>
          <w:sz w:val="24"/>
          <w:szCs w:val="24"/>
          <w:highlight w:val="none"/>
          <w:lang w:val="zh-CN"/>
        </w:rPr>
        <w:t>行业；承接企业为</w:t>
      </w:r>
      <w:r>
        <w:rPr>
          <w:rFonts w:hint="eastAsia" w:ascii="宋体" w:hAnsi="宋体" w:eastAsia="宋体"/>
          <w:color w:val="auto"/>
          <w:sz w:val="24"/>
          <w:szCs w:val="24"/>
          <w:highlight w:val="none"/>
          <w:u w:val="single"/>
          <w:lang w:val="zh-CN"/>
        </w:rPr>
        <w:t>（企业名称）</w:t>
      </w:r>
      <w:r>
        <w:rPr>
          <w:rFonts w:hint="eastAsia" w:ascii="宋体" w:hAnsi="宋体" w:eastAsia="宋体"/>
          <w:color w:val="auto"/>
          <w:sz w:val="24"/>
          <w:szCs w:val="24"/>
          <w:highlight w:val="none"/>
          <w:lang w:val="zh-CN"/>
        </w:rPr>
        <w:t>，从业人员</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人，营业收入为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万元，资产总额为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万元，属于</w:t>
      </w:r>
      <w:r>
        <w:rPr>
          <w:rFonts w:hint="eastAsia" w:ascii="宋体" w:hAnsi="宋体" w:eastAsia="宋体"/>
          <w:color w:val="auto"/>
          <w:sz w:val="24"/>
          <w:szCs w:val="24"/>
          <w:highlight w:val="none"/>
          <w:u w:val="single"/>
          <w:lang w:val="zh-CN"/>
        </w:rPr>
        <w:t>（中型企业、小型企业、微型企业）</w:t>
      </w:r>
      <w:r>
        <w:rPr>
          <w:rFonts w:hint="eastAsia" w:ascii="宋体" w:hAnsi="宋体" w:eastAsia="宋体"/>
          <w:color w:val="auto"/>
          <w:sz w:val="24"/>
          <w:szCs w:val="24"/>
          <w:highlight w:val="none"/>
          <w:lang w:val="zh-CN"/>
        </w:rPr>
        <w:t xml:space="preserve">； </w:t>
      </w:r>
    </w:p>
    <w:p w14:paraId="3DA0D017">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2.</w:t>
      </w:r>
      <w:r>
        <w:rPr>
          <w:rFonts w:hint="eastAsia" w:ascii="宋体" w:hAnsi="宋体" w:eastAsia="宋体"/>
          <w:color w:val="auto"/>
          <w:sz w:val="24"/>
          <w:szCs w:val="24"/>
          <w:highlight w:val="none"/>
          <w:u w:val="single"/>
          <w:lang w:val="zh-CN"/>
        </w:rPr>
        <w:t xml:space="preserve"> （标的名称） </w:t>
      </w:r>
      <w:r>
        <w:rPr>
          <w:rFonts w:hint="eastAsia" w:ascii="宋体" w:hAnsi="宋体" w:eastAsia="宋体"/>
          <w:color w:val="auto"/>
          <w:sz w:val="24"/>
          <w:szCs w:val="24"/>
          <w:highlight w:val="none"/>
          <w:lang w:val="zh-CN"/>
        </w:rPr>
        <w:t>，属于</w:t>
      </w:r>
      <w:r>
        <w:rPr>
          <w:rFonts w:hint="eastAsia" w:ascii="宋体" w:hAnsi="宋体" w:eastAsia="宋体"/>
          <w:color w:val="auto"/>
          <w:sz w:val="24"/>
          <w:szCs w:val="24"/>
          <w:highlight w:val="none"/>
          <w:u w:val="single"/>
          <w:lang w:val="zh-CN"/>
        </w:rPr>
        <w:t>（采购文件中明确的所属行业）</w:t>
      </w:r>
      <w:r>
        <w:rPr>
          <w:rFonts w:hint="eastAsia" w:ascii="宋体" w:hAnsi="宋体" w:eastAsia="宋体"/>
          <w:color w:val="auto"/>
          <w:sz w:val="24"/>
          <w:szCs w:val="24"/>
          <w:highlight w:val="none"/>
          <w:lang w:val="zh-CN"/>
        </w:rPr>
        <w:t>行业；承接企业为</w:t>
      </w:r>
      <w:r>
        <w:rPr>
          <w:rFonts w:hint="eastAsia" w:ascii="宋体" w:hAnsi="宋体" w:eastAsia="宋体"/>
          <w:color w:val="auto"/>
          <w:sz w:val="24"/>
          <w:szCs w:val="24"/>
          <w:highlight w:val="none"/>
          <w:u w:val="single"/>
          <w:lang w:val="zh-CN"/>
        </w:rPr>
        <w:t>（企业名称）</w:t>
      </w:r>
      <w:r>
        <w:rPr>
          <w:rFonts w:hint="eastAsia" w:ascii="宋体" w:hAnsi="宋体" w:eastAsia="宋体"/>
          <w:color w:val="auto"/>
          <w:sz w:val="24"/>
          <w:szCs w:val="24"/>
          <w:highlight w:val="none"/>
          <w:lang w:val="zh-CN"/>
        </w:rPr>
        <w:t>，从业人员</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人，营业收入为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万元，资产总额为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万元，属于</w:t>
      </w:r>
      <w:r>
        <w:rPr>
          <w:rFonts w:hint="eastAsia" w:ascii="宋体" w:hAnsi="宋体" w:eastAsia="宋体"/>
          <w:color w:val="auto"/>
          <w:sz w:val="24"/>
          <w:szCs w:val="24"/>
          <w:highlight w:val="none"/>
          <w:u w:val="single"/>
          <w:lang w:val="zh-CN"/>
        </w:rPr>
        <w:t>（中型企业、小型企业、微型企业）</w:t>
      </w:r>
      <w:r>
        <w:rPr>
          <w:rFonts w:hint="eastAsia" w:ascii="宋体" w:hAnsi="宋体" w:eastAsia="宋体"/>
          <w:color w:val="auto"/>
          <w:sz w:val="24"/>
          <w:szCs w:val="24"/>
          <w:highlight w:val="none"/>
          <w:lang w:val="zh-CN"/>
        </w:rPr>
        <w:t xml:space="preserve">； </w:t>
      </w:r>
    </w:p>
    <w:p w14:paraId="3B346F2E">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w:t>
      </w:r>
    </w:p>
    <w:p w14:paraId="64312BCB">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以上企业，不属于大企业的分支机构，不存在控股股东为大企业的情形，也不存在与大企业的负责人为同一人的情形。</w:t>
      </w:r>
    </w:p>
    <w:p w14:paraId="50A6F5B9">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 xml:space="preserve">本企业对上述声明内容的真实性负责。如有虚假，将依法承担相应责任。 </w:t>
      </w:r>
    </w:p>
    <w:p w14:paraId="2CD3E65F">
      <w:pPr>
        <w:spacing w:line="360" w:lineRule="auto"/>
        <w:ind w:firstLine="435"/>
        <w:rPr>
          <w:rFonts w:asciiTheme="minorEastAsia" w:hAnsiTheme="minorEastAsia" w:eastAsiaTheme="minorEastAsia"/>
          <w:color w:val="auto"/>
          <w:sz w:val="24"/>
          <w:szCs w:val="24"/>
          <w:highlight w:val="none"/>
        </w:rPr>
      </w:pPr>
    </w:p>
    <w:p w14:paraId="367FFA5D">
      <w:pPr>
        <w:spacing w:line="360" w:lineRule="auto"/>
        <w:ind w:firstLine="435"/>
        <w:rPr>
          <w:rFonts w:asciiTheme="minorEastAsia" w:hAnsiTheme="minorEastAsia" w:eastAsiaTheme="minorEastAsia"/>
          <w:color w:val="auto"/>
          <w:sz w:val="24"/>
          <w:szCs w:val="24"/>
          <w:highlight w:val="none"/>
        </w:rPr>
      </w:pPr>
    </w:p>
    <w:p w14:paraId="091922BE">
      <w:pPr>
        <w:spacing w:line="360" w:lineRule="auto"/>
        <w:ind w:firstLine="4228" w:firstLineChars="1762"/>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投标人</w:t>
      </w:r>
      <w:r>
        <w:rPr>
          <w:rFonts w:asciiTheme="minorEastAsia" w:hAnsiTheme="minorEastAsia" w:eastAsiaTheme="minorEastAsia"/>
          <w:color w:val="auto"/>
          <w:sz w:val="24"/>
          <w:szCs w:val="24"/>
          <w:highlight w:val="none"/>
        </w:rPr>
        <w:t>电子签章</w:t>
      </w:r>
      <w:r>
        <w:rPr>
          <w:rFonts w:hint="eastAsia" w:asciiTheme="minorEastAsia" w:hAnsiTheme="minorEastAsia" w:eastAsiaTheme="minorEastAsia"/>
          <w:color w:val="auto"/>
          <w:sz w:val="24"/>
          <w:szCs w:val="24"/>
          <w:highlight w:val="none"/>
        </w:rPr>
        <w:t>：</w:t>
      </w:r>
      <w:r>
        <w:rPr>
          <w:rFonts w:asciiTheme="minorEastAsia" w:hAnsiTheme="minorEastAsia" w:eastAsiaTheme="minorEastAsia"/>
          <w:color w:val="auto"/>
          <w:sz w:val="24"/>
          <w:szCs w:val="24"/>
          <w:highlight w:val="none"/>
          <w:u w:val="single"/>
        </w:rPr>
        <w:t xml:space="preserve">             </w:t>
      </w:r>
    </w:p>
    <w:p w14:paraId="288D7CF4">
      <w:pPr>
        <w:tabs>
          <w:tab w:val="left" w:pos="4620"/>
        </w:tabs>
        <w:spacing w:line="360" w:lineRule="auto"/>
        <w:ind w:firstLine="4252" w:firstLineChars="1772"/>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日</w:t>
      </w:r>
      <w:r>
        <w:rPr>
          <w:rFonts w:asciiTheme="minorEastAsia" w:hAnsiTheme="minorEastAsia" w:eastAsiaTheme="minorEastAsia"/>
          <w:color w:val="auto"/>
          <w:sz w:val="24"/>
          <w:szCs w:val="24"/>
          <w:highlight w:val="none"/>
        </w:rPr>
        <w:t xml:space="preserve">      </w:t>
      </w:r>
      <w:r>
        <w:rPr>
          <w:rFonts w:hint="eastAsia" w:asciiTheme="minorEastAsia" w:hAnsiTheme="minorEastAsia" w:eastAsiaTheme="minorEastAsia"/>
          <w:color w:val="auto"/>
          <w:sz w:val="24"/>
          <w:szCs w:val="24"/>
          <w:highlight w:val="none"/>
        </w:rPr>
        <w:t xml:space="preserve">    期：</w:t>
      </w:r>
      <w:r>
        <w:rPr>
          <w:rFonts w:asciiTheme="minorEastAsia" w:hAnsiTheme="minorEastAsia" w:eastAsiaTheme="minorEastAsia"/>
          <w:color w:val="auto"/>
          <w:sz w:val="24"/>
          <w:szCs w:val="24"/>
          <w:highlight w:val="none"/>
          <w:u w:val="single"/>
        </w:rPr>
        <w:t xml:space="preserve">             </w:t>
      </w:r>
    </w:p>
    <w:p w14:paraId="61E4A94F">
      <w:pPr>
        <w:tabs>
          <w:tab w:val="left" w:pos="4620"/>
        </w:tabs>
        <w:spacing w:line="360" w:lineRule="auto"/>
        <w:jc w:val="left"/>
        <w:rPr>
          <w:rFonts w:asciiTheme="minorEastAsia" w:hAnsiTheme="minorEastAsia" w:eastAsiaTheme="minorEastAsia"/>
          <w:color w:val="auto"/>
          <w:sz w:val="24"/>
          <w:szCs w:val="24"/>
          <w:highlight w:val="none"/>
        </w:rPr>
      </w:pPr>
    </w:p>
    <w:p w14:paraId="46154EC6">
      <w:pPr>
        <w:tabs>
          <w:tab w:val="left" w:pos="4620"/>
        </w:tabs>
        <w:spacing w:line="360" w:lineRule="auto"/>
        <w:jc w:val="left"/>
        <w:rPr>
          <w:rFonts w:asciiTheme="minorEastAsia" w:hAnsiTheme="minorEastAsia" w:eastAsiaTheme="minorEastAsia"/>
          <w:color w:val="auto"/>
          <w:sz w:val="24"/>
          <w:szCs w:val="24"/>
          <w:highlight w:val="none"/>
        </w:rPr>
      </w:pPr>
    </w:p>
    <w:p w14:paraId="3B21E4CD">
      <w:pPr>
        <w:tabs>
          <w:tab w:val="left" w:pos="4620"/>
        </w:tabs>
        <w:spacing w:line="360" w:lineRule="auto"/>
        <w:jc w:val="left"/>
        <w:rPr>
          <w:rFonts w:asciiTheme="minorEastAsia" w:hAnsiTheme="minorEastAsia" w:eastAsiaTheme="minorEastAsia"/>
          <w:color w:val="auto"/>
          <w:sz w:val="24"/>
          <w:szCs w:val="24"/>
          <w:highlight w:val="none"/>
        </w:rPr>
      </w:pPr>
    </w:p>
    <w:p w14:paraId="68DCCD26">
      <w:pPr>
        <w:tabs>
          <w:tab w:val="left" w:pos="4620"/>
        </w:tabs>
        <w:spacing w:line="360" w:lineRule="auto"/>
        <w:jc w:val="left"/>
        <w:rPr>
          <w:rFonts w:asciiTheme="minorEastAsia" w:hAnsiTheme="minorEastAsia" w:eastAsiaTheme="minorEastAsia"/>
          <w:color w:val="auto"/>
          <w:sz w:val="24"/>
          <w:szCs w:val="24"/>
          <w:highlight w:val="none"/>
        </w:rPr>
      </w:pPr>
    </w:p>
    <w:p w14:paraId="1F2E7E74">
      <w:pPr>
        <w:tabs>
          <w:tab w:val="left" w:pos="4620"/>
        </w:tabs>
        <w:spacing w:line="360" w:lineRule="auto"/>
        <w:jc w:val="left"/>
        <w:outlineLvl w:val="9"/>
        <w:rPr>
          <w:rFonts w:hint="eastAsia" w:asciiTheme="minorEastAsia" w:hAnsiTheme="minorEastAsia" w:eastAsiaTheme="minorEastAsia"/>
          <w:b/>
          <w:color w:val="auto"/>
          <w:szCs w:val="24"/>
          <w:highlight w:val="none"/>
          <w:lang w:eastAsia="zh-CN"/>
        </w:rPr>
      </w:pPr>
      <w:r>
        <w:rPr>
          <w:rFonts w:hint="eastAsia" w:asciiTheme="minorEastAsia" w:hAnsiTheme="minorEastAsia" w:eastAsiaTheme="minorEastAsia"/>
          <w:b/>
          <w:color w:val="auto"/>
          <w:szCs w:val="24"/>
          <w:highlight w:val="none"/>
          <w:lang w:eastAsia="zh-CN"/>
        </w:rPr>
        <w:t>注：</w:t>
      </w:r>
    </w:p>
    <w:p w14:paraId="0203BABD">
      <w:pPr>
        <w:tabs>
          <w:tab w:val="left" w:pos="4620"/>
        </w:tabs>
        <w:spacing w:line="360" w:lineRule="auto"/>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t>1.从业人员、营业收入、资产总额填报上一年数据，无上一年数据的新成立企业可不填报。</w:t>
      </w:r>
    </w:p>
    <w:p w14:paraId="47A6FE61">
      <w:pPr>
        <w:tabs>
          <w:tab w:val="left" w:pos="4620"/>
        </w:tabs>
        <w:spacing w:line="360" w:lineRule="auto"/>
        <w:jc w:val="lef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2．投标人应根据《政府采购促进中小企业发展管理办法》（财库﹝2020﹞46号）和《关于印发中小企业划型标准规定的通知》(工信部联企业〔2011〕300号)相关规定，如实填写中小企业声明函。</w:t>
      </w:r>
      <w:r>
        <w:rPr>
          <w:rFonts w:hint="eastAsia" w:ascii="宋体" w:hAnsi="宋体" w:eastAsia="宋体" w:cs="宋体"/>
          <w:b/>
          <w:bCs/>
          <w:color w:val="auto"/>
          <w:szCs w:val="21"/>
          <w:highlight w:val="none"/>
          <w:lang w:val="zh-CN"/>
        </w:rPr>
        <w:t>如有虚假，将依法承担相应责任。</w:t>
      </w:r>
      <w:r>
        <w:rPr>
          <w:rFonts w:hint="eastAsia" w:ascii="宋体" w:hAnsi="宋体" w:eastAsia="宋体" w:cs="宋体"/>
          <w:b/>
          <w:bCs/>
          <w:color w:val="auto"/>
          <w:szCs w:val="21"/>
          <w:highlight w:val="none"/>
        </w:rPr>
        <w:t>投标人自行登录工业和信息化部官网进行中小企业规模类型自测（查询网址https://www.miit.gov.cn/）。</w:t>
      </w:r>
    </w:p>
    <w:p w14:paraId="17F68223">
      <w:pPr>
        <w:tabs>
          <w:tab w:val="left" w:pos="4620"/>
        </w:tabs>
        <w:spacing w:line="360" w:lineRule="auto"/>
        <w:jc w:val="lef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3.上述“</w:t>
      </w:r>
      <w:r>
        <w:rPr>
          <w:rFonts w:hint="eastAsia" w:ascii="宋体" w:hAnsi="宋体" w:eastAsia="宋体" w:cs="宋体"/>
          <w:b/>
          <w:bCs/>
          <w:color w:val="auto"/>
          <w:szCs w:val="21"/>
          <w:highlight w:val="none"/>
          <w:u w:val="single"/>
          <w:lang w:val="zh-CN"/>
        </w:rPr>
        <w:t>标的名称</w:t>
      </w:r>
      <w:r>
        <w:rPr>
          <w:rFonts w:hint="eastAsia" w:ascii="宋体" w:hAnsi="宋体" w:eastAsia="宋体" w:cs="宋体"/>
          <w:b/>
          <w:bCs/>
          <w:color w:val="auto"/>
          <w:szCs w:val="21"/>
          <w:highlight w:val="none"/>
        </w:rPr>
        <w:t>”，详见第三章采购需求前附表中明确的“标的名称”。</w:t>
      </w:r>
    </w:p>
    <w:p w14:paraId="72BD60AE">
      <w:pPr>
        <w:tabs>
          <w:tab w:val="left" w:pos="4620"/>
        </w:tabs>
        <w:spacing w:line="360" w:lineRule="auto"/>
        <w:jc w:val="lef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4.上述“</w:t>
      </w:r>
      <w:r>
        <w:rPr>
          <w:rFonts w:hint="eastAsia" w:ascii="宋体" w:hAnsi="宋体" w:eastAsia="宋体" w:cs="宋体"/>
          <w:b/>
          <w:bCs/>
          <w:color w:val="auto"/>
          <w:szCs w:val="21"/>
          <w:highlight w:val="none"/>
          <w:u w:val="single"/>
        </w:rPr>
        <w:t>采购文件中明确的所属行业</w:t>
      </w:r>
      <w:r>
        <w:rPr>
          <w:rFonts w:hint="eastAsia" w:ascii="宋体" w:hAnsi="宋体" w:eastAsia="宋体" w:cs="宋体"/>
          <w:b/>
          <w:bCs/>
          <w:color w:val="auto"/>
          <w:szCs w:val="21"/>
          <w:highlight w:val="none"/>
        </w:rPr>
        <w:t>”，详见第三章采购需求前附表中明确的“所属行业”。</w:t>
      </w:r>
    </w:p>
    <w:p w14:paraId="1EACE33F">
      <w:pPr>
        <w:tabs>
          <w:tab w:val="left" w:pos="4620"/>
        </w:tabs>
        <w:spacing w:line="360" w:lineRule="auto"/>
        <w:jc w:val="lef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5．填写示例：</w:t>
      </w:r>
      <w:r>
        <w:rPr>
          <w:rFonts w:hint="eastAsia" w:ascii="宋体" w:hAnsi="宋体" w:eastAsia="宋体" w:cs="宋体"/>
          <w:b/>
          <w:bCs/>
          <w:color w:val="auto"/>
          <w:szCs w:val="21"/>
          <w:highlight w:val="none"/>
          <w:u w:val="single"/>
        </w:rPr>
        <w:t>某标的名称</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u w:val="single"/>
        </w:rPr>
        <w:t>填写第三章采购需求前附表中明确的“标的名称”</w:t>
      </w:r>
      <w:r>
        <w:rPr>
          <w:rFonts w:hint="eastAsia" w:ascii="宋体" w:hAnsi="宋体" w:eastAsia="宋体" w:cs="宋体"/>
          <w:b/>
          <w:bCs/>
          <w:color w:val="auto"/>
          <w:szCs w:val="21"/>
          <w:highlight w:val="none"/>
        </w:rPr>
        <w:t>），属于</w:t>
      </w:r>
      <w:r>
        <w:rPr>
          <w:rFonts w:hint="eastAsia" w:ascii="宋体" w:hAnsi="宋体" w:eastAsia="宋体" w:cs="宋体"/>
          <w:b/>
          <w:bCs/>
          <w:color w:val="auto"/>
          <w:szCs w:val="21"/>
          <w:highlight w:val="none"/>
          <w:u w:val="single"/>
        </w:rPr>
        <w:t>（填写第三章采购需求前附表中明确的“所属行业”，如软件和信息技术服务业）</w:t>
      </w:r>
      <w:r>
        <w:rPr>
          <w:rFonts w:hint="eastAsia" w:ascii="宋体" w:hAnsi="宋体" w:eastAsia="宋体" w:cs="宋体"/>
          <w:b/>
          <w:bCs/>
          <w:color w:val="auto"/>
          <w:szCs w:val="21"/>
          <w:highlight w:val="none"/>
        </w:rPr>
        <w:t>行业；承接企业为</w:t>
      </w:r>
      <w:r>
        <w:rPr>
          <w:rFonts w:hint="eastAsia" w:ascii="宋体" w:hAnsi="宋体" w:eastAsia="宋体" w:cs="宋体"/>
          <w:b/>
          <w:bCs/>
          <w:color w:val="auto"/>
          <w:szCs w:val="21"/>
          <w:highlight w:val="none"/>
          <w:u w:val="single"/>
          <w:lang w:val="zh-CN"/>
        </w:rPr>
        <w:t>某</w:t>
      </w:r>
      <w:r>
        <w:rPr>
          <w:rFonts w:hint="eastAsia" w:ascii="宋体" w:hAnsi="宋体" w:eastAsia="宋体" w:cs="宋体"/>
          <w:b/>
          <w:bCs/>
          <w:color w:val="auto"/>
          <w:szCs w:val="21"/>
          <w:highlight w:val="none"/>
          <w:u w:val="single"/>
        </w:rPr>
        <w:t>企业</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从业人员</w:t>
      </w:r>
      <w:r>
        <w:rPr>
          <w:rFonts w:hint="eastAsia" w:ascii="宋体" w:hAnsi="宋体" w:eastAsia="宋体" w:cs="宋体"/>
          <w:b/>
          <w:bCs/>
          <w:color w:val="auto"/>
          <w:szCs w:val="21"/>
          <w:highlight w:val="none"/>
          <w:u w:val="single"/>
        </w:rPr>
        <w:t>100</w:t>
      </w:r>
      <w:r>
        <w:rPr>
          <w:rFonts w:hint="eastAsia" w:ascii="宋体" w:hAnsi="宋体" w:eastAsia="宋体" w:cs="宋体"/>
          <w:b/>
          <w:bCs/>
          <w:color w:val="auto"/>
          <w:szCs w:val="21"/>
          <w:highlight w:val="none"/>
          <w:lang w:val="zh-CN"/>
        </w:rPr>
        <w:t>人</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营业收入为</w:t>
      </w:r>
      <w:r>
        <w:rPr>
          <w:rFonts w:hint="eastAsia" w:ascii="宋体" w:hAnsi="宋体" w:eastAsia="宋体" w:cs="宋体"/>
          <w:b/>
          <w:bCs/>
          <w:color w:val="auto"/>
          <w:szCs w:val="21"/>
          <w:highlight w:val="none"/>
          <w:u w:val="single"/>
        </w:rPr>
        <w:t>10000</w:t>
      </w:r>
      <w:r>
        <w:rPr>
          <w:rFonts w:hint="eastAsia" w:ascii="宋体" w:hAnsi="宋体" w:eastAsia="宋体" w:cs="宋体"/>
          <w:b/>
          <w:bCs/>
          <w:color w:val="auto"/>
          <w:szCs w:val="21"/>
          <w:highlight w:val="none"/>
          <w:lang w:val="zh-CN"/>
        </w:rPr>
        <w:t>万元</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资产总额为</w:t>
      </w:r>
      <w:r>
        <w:rPr>
          <w:rFonts w:hint="eastAsia" w:ascii="宋体" w:hAnsi="宋体" w:eastAsia="宋体" w:cs="宋体"/>
          <w:b/>
          <w:bCs/>
          <w:color w:val="auto"/>
          <w:szCs w:val="21"/>
          <w:highlight w:val="none"/>
          <w:u w:val="single"/>
        </w:rPr>
        <w:t>5000</w:t>
      </w:r>
      <w:r>
        <w:rPr>
          <w:rFonts w:hint="eastAsia" w:ascii="宋体" w:hAnsi="宋体" w:eastAsia="宋体" w:cs="宋体"/>
          <w:b/>
          <w:bCs/>
          <w:color w:val="auto"/>
          <w:szCs w:val="21"/>
          <w:highlight w:val="none"/>
          <w:lang w:val="zh-CN"/>
        </w:rPr>
        <w:t>万元</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属于</w:t>
      </w:r>
      <w:r>
        <w:rPr>
          <w:rFonts w:hint="eastAsia" w:ascii="宋体" w:hAnsi="宋体" w:eastAsia="宋体" w:cs="宋体"/>
          <w:b/>
          <w:bCs/>
          <w:color w:val="auto"/>
          <w:szCs w:val="21"/>
          <w:highlight w:val="none"/>
        </w:rPr>
        <w:t>中</w:t>
      </w:r>
      <w:r>
        <w:rPr>
          <w:rFonts w:hint="eastAsia" w:ascii="宋体" w:hAnsi="宋体" w:eastAsia="宋体" w:cs="宋体"/>
          <w:b/>
          <w:bCs/>
          <w:color w:val="auto"/>
          <w:szCs w:val="21"/>
          <w:highlight w:val="none"/>
          <w:u w:val="single"/>
          <w:lang w:val="zh-CN"/>
        </w:rPr>
        <w:t>型</w:t>
      </w:r>
      <w:r>
        <w:rPr>
          <w:rFonts w:hint="eastAsia" w:ascii="宋体" w:hAnsi="宋体" w:eastAsia="宋体" w:cs="宋体"/>
          <w:b/>
          <w:bCs/>
          <w:color w:val="auto"/>
          <w:szCs w:val="21"/>
          <w:highlight w:val="none"/>
          <w:lang w:val="zh-CN"/>
        </w:rPr>
        <w:t>企业</w:t>
      </w:r>
      <w:r>
        <w:rPr>
          <w:rFonts w:hint="eastAsia" w:ascii="宋体" w:hAnsi="宋体" w:eastAsia="宋体" w:cs="宋体"/>
          <w:b/>
          <w:bCs/>
          <w:color w:val="auto"/>
          <w:szCs w:val="21"/>
          <w:highlight w:val="none"/>
        </w:rPr>
        <w:t>[投标人自行登录工业和信息化部官网进行中小企业规模类型自测（查询网址https://www.miit.gov.cn/）]</w:t>
      </w:r>
      <w:r>
        <w:rPr>
          <w:rFonts w:hint="eastAsia" w:ascii="宋体" w:hAnsi="宋体" w:eastAsia="宋体" w:cs="宋体"/>
          <w:b/>
          <w:bCs/>
          <w:color w:val="auto"/>
          <w:szCs w:val="21"/>
          <w:highlight w:val="none"/>
          <w:lang w:val="zh-CN"/>
        </w:rPr>
        <w:t>。</w:t>
      </w:r>
    </w:p>
    <w:p w14:paraId="06F335A6">
      <w:pPr>
        <w:pStyle w:val="2"/>
        <w:rPr>
          <w:rFonts w:hint="eastAsia" w:asciiTheme="minorEastAsia" w:hAnsiTheme="minorEastAsia" w:eastAsiaTheme="minorEastAsia"/>
          <w:b/>
          <w:bCs/>
          <w:color w:val="auto"/>
          <w:szCs w:val="24"/>
          <w:highlight w:val="none"/>
        </w:rPr>
      </w:pPr>
    </w:p>
    <w:p w14:paraId="68C63A02">
      <w:pPr>
        <w:rPr>
          <w:rFonts w:hint="eastAsia" w:asciiTheme="minorEastAsia" w:hAnsiTheme="minorEastAsia" w:eastAsiaTheme="minorEastAsia"/>
          <w:b/>
          <w:color w:val="auto"/>
          <w:sz w:val="24"/>
          <w:highlight w:val="none"/>
        </w:rPr>
      </w:pPr>
      <w:bookmarkStart w:id="60" w:name="_Toc16713"/>
      <w:r>
        <w:rPr>
          <w:rFonts w:hint="eastAsia" w:asciiTheme="minorEastAsia" w:hAnsiTheme="minorEastAsia" w:eastAsiaTheme="minorEastAsia"/>
          <w:b/>
          <w:color w:val="auto"/>
          <w:sz w:val="24"/>
          <w:highlight w:val="none"/>
        </w:rPr>
        <w:br w:type="page"/>
      </w:r>
    </w:p>
    <w:p w14:paraId="5D9445B4">
      <w:pPr>
        <w:spacing w:line="360" w:lineRule="auto"/>
        <w:jc w:val="center"/>
        <w:outlineLvl w:val="1"/>
        <w:rPr>
          <w:rFonts w:hint="eastAsia" w:asciiTheme="minorEastAsia" w:hAnsiTheme="minorEastAsia" w:eastAsiaTheme="minorEastAsia"/>
          <w:b/>
          <w:color w:val="auto"/>
          <w:sz w:val="24"/>
          <w:highlight w:val="none"/>
          <w:lang w:val="en-US" w:eastAsia="zh-CN"/>
        </w:rPr>
      </w:pPr>
      <w:bookmarkStart w:id="61" w:name="_Toc17315"/>
      <w:r>
        <w:rPr>
          <w:rFonts w:hint="eastAsia" w:asciiTheme="minorEastAsia" w:hAnsiTheme="minorEastAsia" w:eastAsiaTheme="minorEastAsia"/>
          <w:b/>
          <w:color w:val="auto"/>
          <w:sz w:val="24"/>
          <w:highlight w:val="none"/>
          <w:lang w:val="en-US" w:eastAsia="zh-CN"/>
        </w:rPr>
        <w:t>九、残疾人福利性单位声明函</w:t>
      </w:r>
      <w:bookmarkEnd w:id="60"/>
      <w:bookmarkEnd w:id="61"/>
    </w:p>
    <w:p w14:paraId="048BC671">
      <w:pPr>
        <w:pStyle w:val="2"/>
        <w:jc w:val="center"/>
        <w:rPr>
          <w:rFonts w:hint="eastAsia" w:ascii="宋体" w:hAnsi="宋体" w:eastAsia="宋体"/>
          <w:b w:val="0"/>
          <w:i/>
          <w:color w:val="auto"/>
          <w:sz w:val="24"/>
          <w:highlight w:val="none"/>
          <w:lang w:val="en-US" w:eastAsia="zh-CN"/>
        </w:rPr>
      </w:pPr>
      <w:r>
        <w:rPr>
          <w:rFonts w:hint="eastAsia" w:ascii="宋体" w:hAnsi="宋体" w:eastAsia="宋体"/>
          <w:b w:val="0"/>
          <w:i/>
          <w:color w:val="auto"/>
          <w:sz w:val="24"/>
          <w:highlight w:val="none"/>
          <w:lang w:val="en-US" w:eastAsia="zh-CN"/>
        </w:rPr>
        <w:t>（非残疾人福利性单位投标，请删去“残疾人福利性单位声明函”）</w:t>
      </w:r>
    </w:p>
    <w:p w14:paraId="163748C0">
      <w:pPr>
        <w:spacing w:line="360" w:lineRule="auto"/>
        <w:ind w:firstLine="435"/>
        <w:rPr>
          <w:rFonts w:asciiTheme="minorEastAsia" w:hAnsiTheme="minorEastAsia" w:eastAsiaTheme="minorEastAsia"/>
          <w:color w:val="auto"/>
          <w:spacing w:val="6"/>
          <w:sz w:val="24"/>
          <w:szCs w:val="24"/>
          <w:highlight w:val="none"/>
        </w:rPr>
      </w:pPr>
      <w:r>
        <w:rPr>
          <w:rFonts w:hint="eastAsia" w:asciiTheme="minorEastAsia" w:hAnsiTheme="minorEastAsia" w:eastAsiaTheme="minorEastAsia"/>
          <w:color w:val="auto"/>
          <w:spacing w:val="6"/>
          <w:sz w:val="24"/>
          <w:szCs w:val="24"/>
          <w:highlight w:val="none"/>
        </w:rPr>
        <w:t>本单位</w:t>
      </w:r>
      <w:r>
        <w:rPr>
          <w:rFonts w:hint="eastAsia" w:asciiTheme="minorEastAsia" w:hAnsiTheme="minorEastAsia" w:eastAsiaTheme="minorEastAsia"/>
          <w:color w:val="auto"/>
          <w:sz w:val="24"/>
          <w:highlight w:val="none"/>
        </w:rPr>
        <w:t>郑重</w:t>
      </w:r>
      <w:r>
        <w:rPr>
          <w:rFonts w:hint="eastAsia" w:asciiTheme="minorEastAsia" w:hAnsiTheme="minorEastAsia" w:eastAsiaTheme="minorEastAsia"/>
          <w:color w:val="auto"/>
          <w:spacing w:val="6"/>
          <w:sz w:val="24"/>
          <w:szCs w:val="24"/>
          <w:highlight w:val="none"/>
        </w:rPr>
        <w:t>声明，根据《财政部 民政部 中国残疾人联合会关于促进残疾人就业政府采购政策的通知》（财库</w:t>
      </w:r>
      <w:r>
        <w:rPr>
          <w:rFonts w:hint="eastAsia" w:asciiTheme="minorEastAsia" w:hAnsiTheme="minorEastAsia" w:eastAsiaTheme="minorEastAsia"/>
          <w:color w:val="auto"/>
          <w:sz w:val="24"/>
          <w:szCs w:val="24"/>
          <w:highlight w:val="none"/>
        </w:rPr>
        <w:t>〔2017〕141</w:t>
      </w:r>
      <w:r>
        <w:rPr>
          <w:rFonts w:hint="eastAsia" w:asciiTheme="minorEastAsia" w:hAnsiTheme="minorEastAsia" w:eastAsiaTheme="minorEastAsia"/>
          <w:color w:val="auto"/>
          <w:spacing w:val="6"/>
          <w:sz w:val="24"/>
          <w:szCs w:val="24"/>
          <w:highlight w:val="none"/>
        </w:rPr>
        <w:t>号）的规定，本单位为</w:t>
      </w:r>
      <w:r>
        <w:rPr>
          <w:rFonts w:hint="eastAsia" w:asciiTheme="minorEastAsia" w:hAnsiTheme="minorEastAsia" w:eastAsiaTheme="minorEastAsia"/>
          <w:bCs/>
          <w:color w:val="auto"/>
          <w:sz w:val="24"/>
          <w:szCs w:val="24"/>
          <w:highlight w:val="none"/>
        </w:rPr>
        <w:t>符合</w:t>
      </w:r>
      <w:r>
        <w:rPr>
          <w:rFonts w:hint="eastAsia" w:asciiTheme="minorEastAsia" w:hAnsiTheme="minorEastAsia" w:eastAsiaTheme="minorEastAsia"/>
          <w:color w:val="auto"/>
          <w:spacing w:val="6"/>
          <w:sz w:val="24"/>
          <w:szCs w:val="24"/>
          <w:highlight w:val="none"/>
        </w:rPr>
        <w:t>条件的残疾人福利性单位，且本单位参加</w:t>
      </w:r>
      <w:r>
        <w:rPr>
          <w:rFonts w:hint="eastAsia" w:asciiTheme="minorEastAsia" w:hAnsiTheme="minorEastAsia" w:eastAsiaTheme="minorEastAsia"/>
          <w:color w:val="auto"/>
          <w:spacing w:val="6"/>
          <w:sz w:val="24"/>
          <w:szCs w:val="24"/>
          <w:highlight w:val="none"/>
          <w:u w:val="single"/>
        </w:rPr>
        <w:t xml:space="preserve">      </w:t>
      </w:r>
      <w:r>
        <w:rPr>
          <w:rFonts w:hint="eastAsia" w:asciiTheme="minorEastAsia" w:hAnsiTheme="minorEastAsia" w:eastAsiaTheme="minorEastAsia"/>
          <w:color w:val="auto"/>
          <w:spacing w:val="6"/>
          <w:sz w:val="24"/>
          <w:szCs w:val="24"/>
          <w:highlight w:val="none"/>
        </w:rPr>
        <w:t>单位的</w:t>
      </w:r>
      <w:r>
        <w:rPr>
          <w:rFonts w:hint="eastAsia" w:asciiTheme="minorEastAsia" w:hAnsiTheme="minorEastAsia" w:eastAsiaTheme="minorEastAsia"/>
          <w:color w:val="auto"/>
          <w:spacing w:val="6"/>
          <w:sz w:val="24"/>
          <w:szCs w:val="24"/>
          <w:highlight w:val="none"/>
          <w:u w:val="single"/>
        </w:rPr>
        <w:t xml:space="preserve">      </w:t>
      </w:r>
      <w:r>
        <w:rPr>
          <w:rFonts w:hint="eastAsia" w:asciiTheme="minorEastAsia" w:hAnsiTheme="minorEastAsia" w:eastAsiaTheme="minorEastAsia"/>
          <w:color w:val="auto"/>
          <w:spacing w:val="6"/>
          <w:sz w:val="24"/>
          <w:szCs w:val="24"/>
          <w:highlight w:val="none"/>
        </w:rPr>
        <w:t>项目采购活动提供本单位制造的货物</w:t>
      </w:r>
      <w:r>
        <w:rPr>
          <w:rFonts w:hint="eastAsia" w:asciiTheme="minorEastAsia" w:hAnsiTheme="minorEastAsia" w:eastAsiaTheme="minorEastAsia"/>
          <w:color w:val="auto"/>
          <w:spacing w:val="6"/>
          <w:sz w:val="24"/>
          <w:szCs w:val="24"/>
          <w:highlight w:val="none"/>
          <w:lang w:eastAsia="zh-CN"/>
        </w:rPr>
        <w:t>（</w:t>
      </w:r>
      <w:r>
        <w:rPr>
          <w:rFonts w:hint="eastAsia" w:asciiTheme="minorEastAsia" w:hAnsiTheme="minorEastAsia" w:eastAsiaTheme="minorEastAsia"/>
          <w:color w:val="auto"/>
          <w:spacing w:val="6"/>
          <w:sz w:val="24"/>
          <w:szCs w:val="24"/>
          <w:highlight w:val="none"/>
          <w:lang w:val="en-US" w:eastAsia="zh-CN"/>
        </w:rPr>
        <w:t>由本单位承担工程/提供服务</w:t>
      </w:r>
      <w:r>
        <w:rPr>
          <w:rFonts w:hint="eastAsia" w:asciiTheme="minorEastAsia" w:hAnsiTheme="minorEastAsia" w:eastAsiaTheme="minorEastAsia"/>
          <w:color w:val="auto"/>
          <w:spacing w:val="6"/>
          <w:sz w:val="24"/>
          <w:szCs w:val="24"/>
          <w:highlight w:val="none"/>
          <w:lang w:eastAsia="zh-CN"/>
        </w:rPr>
        <w:t>）</w:t>
      </w:r>
      <w:r>
        <w:rPr>
          <w:rFonts w:hint="eastAsia" w:asciiTheme="minorEastAsia" w:hAnsiTheme="minorEastAsia" w:eastAsiaTheme="minorEastAsia"/>
          <w:color w:val="auto"/>
          <w:spacing w:val="6"/>
          <w:sz w:val="24"/>
          <w:szCs w:val="24"/>
          <w:highlight w:val="none"/>
        </w:rPr>
        <w:t>，或者提供其他残疾人福利性单位制造的货物（不包括使用非残疾人福利性单位注册商标的货物）。</w:t>
      </w:r>
    </w:p>
    <w:p w14:paraId="02D21E83">
      <w:pPr>
        <w:spacing w:line="360" w:lineRule="auto"/>
        <w:ind w:firstLine="435"/>
        <w:rPr>
          <w:rFonts w:asciiTheme="minorEastAsia" w:hAnsiTheme="minorEastAsia" w:eastAsiaTheme="minorEastAsia"/>
          <w:color w:val="auto"/>
          <w:spacing w:val="6"/>
          <w:sz w:val="24"/>
          <w:szCs w:val="24"/>
          <w:highlight w:val="none"/>
        </w:rPr>
      </w:pPr>
      <w:r>
        <w:rPr>
          <w:rFonts w:hint="eastAsia" w:asciiTheme="minorEastAsia" w:hAnsiTheme="minorEastAsia" w:eastAsiaTheme="minorEastAsia"/>
          <w:color w:val="auto"/>
          <w:spacing w:val="6"/>
          <w:sz w:val="24"/>
          <w:szCs w:val="24"/>
          <w:highlight w:val="none"/>
        </w:rPr>
        <w:t>本单位对上述声明的真实性负责。如有虚假，将依法承担相应责任。</w:t>
      </w:r>
    </w:p>
    <w:p w14:paraId="7C13EFCD">
      <w:pPr>
        <w:spacing w:line="360" w:lineRule="auto"/>
        <w:ind w:firstLine="4228" w:firstLineChars="1762"/>
        <w:rPr>
          <w:rFonts w:asciiTheme="minorEastAsia" w:hAnsiTheme="minorEastAsia" w:eastAsiaTheme="minorEastAsia"/>
          <w:color w:val="auto"/>
          <w:sz w:val="24"/>
          <w:szCs w:val="24"/>
          <w:highlight w:val="none"/>
        </w:rPr>
      </w:pPr>
    </w:p>
    <w:p w14:paraId="19F16337">
      <w:pPr>
        <w:spacing w:line="360" w:lineRule="auto"/>
        <w:ind w:firstLine="4228" w:firstLineChars="1762"/>
        <w:rPr>
          <w:rFonts w:asciiTheme="minorEastAsia" w:hAnsiTheme="minorEastAsia" w:eastAsiaTheme="minorEastAsia"/>
          <w:color w:val="auto"/>
          <w:sz w:val="24"/>
          <w:szCs w:val="24"/>
          <w:highlight w:val="none"/>
        </w:rPr>
      </w:pPr>
    </w:p>
    <w:p w14:paraId="0AAB406E">
      <w:pPr>
        <w:spacing w:line="360" w:lineRule="auto"/>
        <w:ind w:firstLine="4228" w:firstLineChars="1762"/>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投标人</w:t>
      </w:r>
      <w:r>
        <w:rPr>
          <w:rFonts w:asciiTheme="minorEastAsia" w:hAnsiTheme="minorEastAsia" w:eastAsiaTheme="minorEastAsia"/>
          <w:color w:val="auto"/>
          <w:sz w:val="24"/>
          <w:szCs w:val="24"/>
          <w:highlight w:val="none"/>
        </w:rPr>
        <w:t>电子签章</w:t>
      </w:r>
      <w:r>
        <w:rPr>
          <w:rFonts w:hint="eastAsia" w:asciiTheme="minorEastAsia" w:hAnsiTheme="minorEastAsia" w:eastAsiaTheme="minorEastAsia"/>
          <w:color w:val="auto"/>
          <w:sz w:val="24"/>
          <w:szCs w:val="24"/>
          <w:highlight w:val="none"/>
        </w:rPr>
        <w:t>：</w:t>
      </w:r>
      <w:r>
        <w:rPr>
          <w:rFonts w:asciiTheme="minorEastAsia" w:hAnsiTheme="minorEastAsia" w:eastAsiaTheme="minorEastAsia"/>
          <w:color w:val="auto"/>
          <w:sz w:val="24"/>
          <w:szCs w:val="24"/>
          <w:highlight w:val="none"/>
          <w:u w:val="single"/>
        </w:rPr>
        <w:t xml:space="preserve">             </w:t>
      </w:r>
    </w:p>
    <w:p w14:paraId="08183071">
      <w:pPr>
        <w:tabs>
          <w:tab w:val="left" w:pos="4620"/>
        </w:tabs>
        <w:spacing w:line="360" w:lineRule="auto"/>
        <w:ind w:firstLine="4252" w:firstLineChars="1772"/>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日</w:t>
      </w:r>
      <w:r>
        <w:rPr>
          <w:rFonts w:asciiTheme="minorEastAsia" w:hAnsiTheme="minorEastAsia" w:eastAsiaTheme="minorEastAsia"/>
          <w:color w:val="auto"/>
          <w:sz w:val="24"/>
          <w:szCs w:val="24"/>
          <w:highlight w:val="none"/>
        </w:rPr>
        <w:t xml:space="preserve">      </w:t>
      </w:r>
      <w:r>
        <w:rPr>
          <w:rFonts w:hint="eastAsia" w:asciiTheme="minorEastAsia" w:hAnsiTheme="minorEastAsia" w:eastAsiaTheme="minorEastAsia"/>
          <w:color w:val="auto"/>
          <w:sz w:val="24"/>
          <w:szCs w:val="24"/>
          <w:highlight w:val="none"/>
        </w:rPr>
        <w:t xml:space="preserve">    期：</w:t>
      </w:r>
      <w:r>
        <w:rPr>
          <w:rFonts w:asciiTheme="minorEastAsia" w:hAnsiTheme="minorEastAsia" w:eastAsiaTheme="minorEastAsia"/>
          <w:color w:val="auto"/>
          <w:sz w:val="24"/>
          <w:szCs w:val="24"/>
          <w:highlight w:val="none"/>
          <w:u w:val="single"/>
        </w:rPr>
        <w:t xml:space="preserve">             </w:t>
      </w:r>
    </w:p>
    <w:p w14:paraId="39B7E301">
      <w:pPr>
        <w:widowControl/>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668C57AE">
      <w:pPr>
        <w:spacing w:line="360" w:lineRule="auto"/>
        <w:jc w:val="center"/>
        <w:outlineLvl w:val="1"/>
        <w:rPr>
          <w:rFonts w:hint="eastAsia" w:asciiTheme="minorEastAsia" w:hAnsiTheme="minorEastAsia" w:eastAsiaTheme="minorEastAsia"/>
          <w:b/>
          <w:color w:val="auto"/>
          <w:sz w:val="24"/>
          <w:highlight w:val="none"/>
          <w:lang w:val="en-US" w:eastAsia="zh-CN"/>
        </w:rPr>
      </w:pPr>
      <w:bookmarkStart w:id="62" w:name="_Toc457768004"/>
      <w:bookmarkStart w:id="63" w:name="_Toc520299348"/>
      <w:bookmarkStart w:id="64" w:name="_Toc300210382"/>
      <w:bookmarkStart w:id="65" w:name="_Toc26536"/>
      <w:bookmarkStart w:id="66" w:name="_Toc23860"/>
      <w:bookmarkStart w:id="67" w:name="_Hlk11701496"/>
      <w:r>
        <w:rPr>
          <w:rFonts w:hint="eastAsia" w:asciiTheme="minorEastAsia" w:hAnsiTheme="minorEastAsia" w:eastAsiaTheme="minorEastAsia"/>
          <w:b/>
          <w:color w:val="auto"/>
          <w:sz w:val="24"/>
          <w:highlight w:val="none"/>
          <w:lang w:val="en-US" w:eastAsia="zh-CN"/>
        </w:rPr>
        <w:t>十、</w:t>
      </w:r>
      <w:bookmarkEnd w:id="62"/>
      <w:bookmarkEnd w:id="63"/>
      <w:bookmarkEnd w:id="64"/>
      <w:r>
        <w:rPr>
          <w:rFonts w:hint="eastAsia" w:asciiTheme="minorEastAsia" w:hAnsiTheme="minorEastAsia" w:eastAsiaTheme="minorEastAsia"/>
          <w:b/>
          <w:color w:val="auto"/>
          <w:sz w:val="24"/>
          <w:highlight w:val="none"/>
          <w:lang w:val="en-US" w:eastAsia="zh-CN"/>
        </w:rPr>
        <w:t>诚信履约承诺函</w:t>
      </w:r>
      <w:bookmarkEnd w:id="65"/>
      <w:bookmarkEnd w:id="66"/>
    </w:p>
    <w:p w14:paraId="11021F41">
      <w:pPr>
        <w:spacing w:line="360" w:lineRule="auto"/>
        <w:rPr>
          <w:rFonts w:asciiTheme="minorEastAsia" w:hAnsiTheme="minorEastAsia" w:eastAsiaTheme="minorEastAsia"/>
          <w:b/>
          <w:bCs/>
          <w:color w:val="auto"/>
          <w:sz w:val="24"/>
          <w:highlight w:val="none"/>
        </w:rPr>
      </w:pPr>
    </w:p>
    <w:p w14:paraId="478D6213">
      <w:pPr>
        <w:spacing w:line="360" w:lineRule="auto"/>
        <w:rPr>
          <w:rFonts w:hint="eastAsia" w:asciiTheme="minorEastAsia" w:hAnsiTheme="minorEastAsia" w:eastAsiaTheme="minorEastAsia"/>
          <w:b/>
          <w:bCs/>
          <w:color w:val="auto"/>
          <w:sz w:val="24"/>
          <w:highlight w:val="none"/>
          <w:u w:val="single"/>
          <w:lang w:eastAsia="zh-CN"/>
        </w:rPr>
      </w:pPr>
      <w:r>
        <w:rPr>
          <w:rFonts w:hint="eastAsia" w:asciiTheme="minorEastAsia" w:hAnsiTheme="minorEastAsia" w:eastAsiaTheme="minorEastAsia"/>
          <w:b/>
          <w:bCs/>
          <w:color w:val="auto"/>
          <w:sz w:val="24"/>
          <w:highlight w:val="none"/>
        </w:rPr>
        <w:t>致：</w:t>
      </w:r>
      <w:r>
        <w:rPr>
          <w:rFonts w:hint="eastAsia" w:asciiTheme="minorEastAsia" w:hAnsiTheme="minorEastAsia" w:eastAsiaTheme="minorEastAsia"/>
          <w:b/>
          <w:bCs/>
          <w:color w:val="auto"/>
          <w:sz w:val="24"/>
          <w:highlight w:val="none"/>
          <w:u w:val="none"/>
          <w:lang w:eastAsia="zh-CN"/>
        </w:rPr>
        <w:t>采购人</w:t>
      </w:r>
    </w:p>
    <w:p w14:paraId="6B2CB9C7">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如我单位被确定为本项目中标人，我单位承诺在合同签订及履约过程中将严格执行《中华人民共和国政府采购法》、《中华人民共和国政府采购法实施条例》及本项目采购文件中关于合同签订及履约的相关规定，不出现以下情形：</w:t>
      </w:r>
    </w:p>
    <w:p w14:paraId="154340EB">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（1）中标或者成交后无正当理由拒不与采购人签订政府采购合同；</w:t>
      </w:r>
    </w:p>
    <w:p w14:paraId="7F19A058">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（2）未按照采购文件确定的事项签订政府采购合同；</w:t>
      </w:r>
    </w:p>
    <w:p w14:paraId="49D4DD96">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（3）将政府采购合同转包；</w:t>
      </w:r>
    </w:p>
    <w:p w14:paraId="0DE70E26">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（4）提供假冒伪劣产品；</w:t>
      </w:r>
    </w:p>
    <w:p w14:paraId="521DE987">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（5）擅自变更、中止或者终止政府采购合同。</w:t>
      </w:r>
    </w:p>
    <w:p w14:paraId="3C65A36C">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本单位知悉如出现上述情形，将会被依法追究法律责任，可能的处理结果有：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642D4D8E">
      <w:pPr>
        <w:spacing w:line="360" w:lineRule="auto"/>
        <w:rPr>
          <w:rFonts w:asciiTheme="minorEastAsia" w:hAnsiTheme="minorEastAsia" w:eastAsiaTheme="minorEastAsia"/>
          <w:bCs/>
          <w:color w:val="auto"/>
          <w:sz w:val="24"/>
          <w:highlight w:val="none"/>
        </w:rPr>
      </w:pPr>
    </w:p>
    <w:p w14:paraId="2697398A">
      <w:pPr>
        <w:spacing w:line="360" w:lineRule="auto"/>
        <w:rPr>
          <w:rFonts w:asciiTheme="minorEastAsia" w:hAnsiTheme="minorEastAsia" w:eastAsiaTheme="minorEastAsia"/>
          <w:bCs/>
          <w:color w:val="auto"/>
          <w:sz w:val="24"/>
          <w:highlight w:val="none"/>
        </w:rPr>
      </w:pPr>
    </w:p>
    <w:p w14:paraId="35A5E4C5">
      <w:pPr>
        <w:spacing w:line="360" w:lineRule="auto"/>
        <w:ind w:firstLine="4320" w:firstLineChars="1800"/>
        <w:rPr>
          <w:rFonts w:asciiTheme="minorEastAsia" w:hAnsiTheme="minorEastAsia" w:eastAsiaTheme="minorEastAsia"/>
          <w:bCs/>
          <w:color w:val="auto"/>
          <w:sz w:val="24"/>
          <w:highlight w:val="none"/>
          <w:u w:val="single"/>
        </w:rPr>
      </w:pPr>
      <w:r>
        <w:rPr>
          <w:rFonts w:hint="eastAsia" w:asciiTheme="minorEastAsia" w:hAnsiTheme="minorEastAsia" w:eastAsiaTheme="minorEastAsia"/>
          <w:bCs/>
          <w:color w:val="auto"/>
          <w:sz w:val="24"/>
          <w:highlight w:val="none"/>
        </w:rPr>
        <w:t>投标人电子签章：</w:t>
      </w:r>
      <w:r>
        <w:rPr>
          <w:rFonts w:hint="eastAsia" w:asciiTheme="minorEastAsia" w:hAnsiTheme="minorEastAsia" w:eastAsiaTheme="minorEastAsia"/>
          <w:bCs/>
          <w:color w:val="auto"/>
          <w:sz w:val="24"/>
          <w:highlight w:val="none"/>
          <w:u w:val="single"/>
        </w:rPr>
        <w:t xml:space="preserve">     </w:t>
      </w:r>
      <w:r>
        <w:rPr>
          <w:rFonts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u w:val="single"/>
        </w:rPr>
        <w:t xml:space="preserve">    </w:t>
      </w:r>
    </w:p>
    <w:p w14:paraId="5ED4F763">
      <w:pPr>
        <w:spacing w:line="360" w:lineRule="auto"/>
        <w:ind w:firstLine="4320" w:firstLineChars="18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日          期：</w:t>
      </w:r>
      <w:r>
        <w:rPr>
          <w:rFonts w:hint="eastAsia" w:asciiTheme="minorEastAsia" w:hAnsiTheme="minorEastAsia" w:eastAsiaTheme="minorEastAsia"/>
          <w:bCs/>
          <w:color w:val="auto"/>
          <w:sz w:val="24"/>
          <w:highlight w:val="none"/>
          <w:u w:val="single"/>
        </w:rPr>
        <w:t xml:space="preserve">             </w:t>
      </w:r>
    </w:p>
    <w:p w14:paraId="666F48EC">
      <w:pPr>
        <w:widowControl/>
        <w:jc w:val="left"/>
        <w:rPr>
          <w:rFonts w:ascii="宋体" w:hAnsi="宋体" w:eastAsia="宋体" w:cs="Arial"/>
          <w:color w:val="auto"/>
          <w:sz w:val="24"/>
          <w:highlight w:val="none"/>
        </w:rPr>
      </w:pPr>
      <w:r>
        <w:rPr>
          <w:rFonts w:ascii="宋体" w:hAnsi="宋体" w:eastAsia="宋体" w:cs="Arial"/>
          <w:color w:val="auto"/>
          <w:sz w:val="24"/>
          <w:highlight w:val="none"/>
        </w:rPr>
        <w:br w:type="page"/>
      </w:r>
    </w:p>
    <w:bookmarkEnd w:id="67"/>
    <w:p w14:paraId="2BB48917">
      <w:pPr>
        <w:spacing w:line="360" w:lineRule="auto"/>
        <w:jc w:val="center"/>
        <w:outlineLvl w:val="1"/>
        <w:rPr>
          <w:rFonts w:hint="eastAsia" w:asciiTheme="minorEastAsia" w:hAnsiTheme="minorEastAsia" w:eastAsiaTheme="minorEastAsia"/>
          <w:b/>
          <w:color w:val="auto"/>
          <w:sz w:val="24"/>
          <w:highlight w:val="none"/>
          <w:lang w:val="en-US" w:eastAsia="zh-CN"/>
        </w:rPr>
      </w:pPr>
      <w:bookmarkStart w:id="68" w:name="_Toc32633"/>
      <w:bookmarkStart w:id="69" w:name="_Toc31807"/>
      <w:r>
        <w:rPr>
          <w:rFonts w:hint="eastAsia" w:asciiTheme="minorEastAsia" w:hAnsiTheme="minorEastAsia" w:eastAsiaTheme="minorEastAsia"/>
          <w:b/>
          <w:color w:val="auto"/>
          <w:sz w:val="24"/>
          <w:highlight w:val="none"/>
          <w:lang w:val="en-US" w:eastAsia="zh-CN"/>
        </w:rPr>
        <w:t>十一、其他相关证明材料</w:t>
      </w:r>
      <w:bookmarkEnd w:id="68"/>
      <w:bookmarkEnd w:id="69"/>
    </w:p>
    <w:p w14:paraId="1FAF592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提供符合投标邀请、采购需求及评标方法和标准规定的相关证明文件。</w:t>
      </w:r>
    </w:p>
    <w:p w14:paraId="43AABAB1">
      <w:pPr>
        <w:spacing w:line="360" w:lineRule="auto"/>
        <w:ind w:firstLine="480" w:firstLineChars="200"/>
        <w:rPr>
          <w:rFonts w:asciiTheme="minorEastAsia" w:hAnsiTheme="minorEastAsia" w:eastAsiaTheme="minorEastAsia"/>
          <w:color w:val="auto"/>
          <w:sz w:val="24"/>
          <w:highlight w:val="none"/>
        </w:rPr>
      </w:pPr>
    </w:p>
    <w:p w14:paraId="4368D2D8">
      <w:pPr>
        <w:spacing w:line="360" w:lineRule="auto"/>
        <w:ind w:firstLine="435"/>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特别提示：</w:t>
      </w:r>
    </w:p>
    <w:p w14:paraId="63CF3138">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投标人在投标文件制作时可在此栏内上传</w:t>
      </w:r>
      <w:r>
        <w:rPr>
          <w:rFonts w:asciiTheme="minorEastAsia" w:hAnsiTheme="minorEastAsia" w:eastAsiaTheme="minorEastAsia"/>
          <w:color w:val="auto"/>
          <w:sz w:val="24"/>
          <w:highlight w:val="none"/>
        </w:rPr>
        <w:t>招标文件要求上传的证明资料</w:t>
      </w:r>
      <w:r>
        <w:rPr>
          <w:rFonts w:hint="eastAsia" w:asciiTheme="minorEastAsia" w:hAnsiTheme="minorEastAsia" w:eastAsiaTheme="minorEastAsia"/>
          <w:color w:val="auto"/>
          <w:sz w:val="24"/>
          <w:highlight w:val="none"/>
        </w:rPr>
        <w:t>，如营业执照、证书</w:t>
      </w:r>
      <w:r>
        <w:rPr>
          <w:rFonts w:asciiTheme="minorEastAsia" w:hAnsiTheme="minorEastAsia" w:eastAsiaTheme="minorEastAsia"/>
          <w:color w:val="auto"/>
          <w:sz w:val="24"/>
          <w:highlight w:val="none"/>
        </w:rPr>
        <w:t>等，应将上述证明材料制作成扫描件上传</w:t>
      </w:r>
      <w:r>
        <w:rPr>
          <w:rFonts w:hint="eastAsia" w:asciiTheme="minorEastAsia" w:hAnsiTheme="minorEastAsia" w:eastAsiaTheme="minorEastAsia"/>
          <w:color w:val="auto"/>
          <w:sz w:val="24"/>
          <w:highlight w:val="none"/>
          <w:lang w:eastAsia="zh-CN"/>
        </w:rPr>
        <w:t>。</w:t>
      </w:r>
    </w:p>
    <w:p w14:paraId="65F2249D">
      <w:pPr>
        <w:spacing w:line="360" w:lineRule="auto"/>
        <w:ind w:firstLine="435"/>
        <w:rPr>
          <w:rFonts w:hint="eastAsia" w:asciiTheme="minorEastAsia" w:hAnsiTheme="minorEastAsia" w:eastAsiaTheme="minorEastAsia"/>
          <w:color w:val="auto"/>
          <w:sz w:val="24"/>
          <w:highlight w:val="none"/>
          <w:lang w:eastAsia="zh-CN"/>
        </w:rPr>
      </w:pPr>
    </w:p>
    <w:p w14:paraId="24B2730C">
      <w:pPr>
        <w:spacing w:line="360" w:lineRule="auto"/>
        <w:ind w:firstLine="435"/>
        <w:rPr>
          <w:rFonts w:hint="eastAsia" w:asciiTheme="minorEastAsia" w:hAnsiTheme="minorEastAsia" w:eastAsiaTheme="minorEastAsia"/>
          <w:color w:val="auto"/>
          <w:sz w:val="24"/>
          <w:highlight w:val="none"/>
          <w:lang w:eastAsia="zh-CN"/>
        </w:rPr>
      </w:pPr>
    </w:p>
    <w:p w14:paraId="7BC12B4C">
      <w:pPr>
        <w:rPr>
          <w:rFonts w:hint="eastAsia" w:ascii="宋体" w:hAnsi="宋体" w:eastAsia="宋体" w:cs="宋体"/>
          <w:b/>
          <w:bCs w:val="0"/>
          <w:color w:val="auto"/>
          <w:kern w:val="2"/>
          <w:sz w:val="28"/>
          <w:szCs w:val="28"/>
          <w:highlight w:val="none"/>
          <w:lang w:val="en-US" w:eastAsia="zh-CN" w:bidi="ar"/>
        </w:rPr>
      </w:pPr>
      <w:r>
        <w:rPr>
          <w:rFonts w:hint="eastAsia" w:ascii="宋体" w:hAnsi="宋体" w:eastAsia="宋体" w:cs="宋体"/>
          <w:b/>
          <w:bCs w:val="0"/>
          <w:color w:val="auto"/>
          <w:kern w:val="2"/>
          <w:sz w:val="28"/>
          <w:szCs w:val="28"/>
          <w:highlight w:val="none"/>
          <w:lang w:val="en-US" w:eastAsia="zh-CN" w:bidi="ar"/>
        </w:rPr>
        <w:br w:type="page"/>
      </w:r>
    </w:p>
    <w:p w14:paraId="3FD19726">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8"/>
          <w:szCs w:val="28"/>
          <w:highlight w:val="none"/>
        </w:rPr>
      </w:pPr>
      <w:r>
        <w:rPr>
          <w:rFonts w:hint="eastAsia" w:ascii="宋体" w:hAnsi="宋体" w:eastAsia="宋体" w:cs="宋体"/>
          <w:b/>
          <w:bCs w:val="0"/>
          <w:color w:val="auto"/>
          <w:kern w:val="2"/>
          <w:sz w:val="28"/>
          <w:szCs w:val="28"/>
          <w:highlight w:val="none"/>
          <w:lang w:val="en-US" w:eastAsia="zh-CN" w:bidi="ar"/>
        </w:rPr>
        <w:t>附件</w:t>
      </w:r>
      <w:r>
        <w:rPr>
          <w:rFonts w:hint="default" w:ascii="Times New Roman" w:hAnsi="Times New Roman" w:eastAsia="宋体" w:cs="Times New Roman"/>
          <w:b/>
          <w:bCs w:val="0"/>
          <w:color w:val="auto"/>
          <w:kern w:val="2"/>
          <w:sz w:val="28"/>
          <w:szCs w:val="28"/>
          <w:highlight w:val="none"/>
          <w:lang w:val="en-US" w:eastAsia="zh-CN" w:bidi="ar"/>
        </w:rPr>
        <w:t>1</w:t>
      </w:r>
    </w:p>
    <w:p w14:paraId="070BD2C8">
      <w:pPr>
        <w:keepNext w:val="0"/>
        <w:keepLines w:val="0"/>
        <w:widowControl w:val="0"/>
        <w:suppressLineNumbers w:val="0"/>
        <w:spacing w:before="0" w:beforeAutospacing="0" w:after="0" w:afterAutospacing="0" w:line="440" w:lineRule="exact"/>
        <w:ind w:left="0" w:right="0"/>
        <w:jc w:val="center"/>
        <w:rPr>
          <w:rFonts w:hint="eastAsia" w:ascii="黑体" w:hAnsi="宋体" w:eastAsia="黑体" w:cs="黑体"/>
          <w:b/>
          <w:bCs w:val="0"/>
          <w:color w:val="auto"/>
          <w:kern w:val="2"/>
          <w:sz w:val="30"/>
          <w:szCs w:val="30"/>
          <w:highlight w:val="none"/>
        </w:rPr>
      </w:pPr>
      <w:r>
        <w:rPr>
          <w:rFonts w:hint="eastAsia" w:ascii="黑体" w:hAnsi="宋体" w:eastAsia="黑体" w:cs="黑体"/>
          <w:b/>
          <w:bCs w:val="0"/>
          <w:color w:val="auto"/>
          <w:kern w:val="2"/>
          <w:sz w:val="30"/>
          <w:szCs w:val="30"/>
          <w:highlight w:val="none"/>
          <w:lang w:val="en-US" w:eastAsia="zh-CN" w:bidi="ar"/>
        </w:rPr>
        <w:t>关于联合惩戒失信行为 加强信用查询管理的通知</w:t>
      </w:r>
    </w:p>
    <w:p w14:paraId="066933DF">
      <w:pPr>
        <w:keepNext w:val="0"/>
        <w:keepLines w:val="0"/>
        <w:pageBreakBefore w:val="0"/>
        <w:widowControl w:val="0"/>
        <w:suppressLineNumbers w:val="0"/>
        <w:kinsoku/>
        <w:overflowPunct/>
        <w:topLinePunct w:val="0"/>
        <w:autoSpaceDN/>
        <w:bidi w:val="0"/>
        <w:adjustRightInd/>
        <w:snapToGrid/>
        <w:spacing w:before="0" w:beforeAutospacing="0" w:afterAutospacing="0" w:line="480" w:lineRule="exact"/>
        <w:ind w:left="0" w:leftChars="0" w:right="0" w:firstLine="482" w:firstLineChars="200"/>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一、失信行为联合惩戒的范围和查询渠道</w:t>
      </w:r>
    </w:p>
    <w:p w14:paraId="431C9D8E">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2"/>
          <w:sz w:val="24"/>
          <w:szCs w:val="24"/>
          <w:highlight w:val="none"/>
          <w:vertAlign w:val="baseline"/>
        </w:rPr>
      </w:pPr>
      <w:r>
        <w:rPr>
          <w:rFonts w:hint="eastAsia" w:ascii="宋体" w:hAnsi="宋体" w:eastAsia="宋体" w:cs="宋体"/>
          <w:bCs/>
          <w:color w:val="auto"/>
          <w:kern w:val="0"/>
          <w:sz w:val="24"/>
          <w:szCs w:val="24"/>
          <w:highlight w:val="none"/>
          <w:vertAlign w:val="baseline"/>
          <w:lang w:val="en-US" w:eastAsia="zh-CN" w:bidi="ar"/>
        </w:rPr>
        <w:t>在我市公共资源交易活动中对存在下列失信行为的投标人、法定代表人及其项目经理（建造师）实施联合惩戒，禁止参与我市公共资源交易活动。</w:t>
      </w:r>
    </w:p>
    <w:p w14:paraId="02AAB487">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2"/>
          <w:sz w:val="24"/>
          <w:szCs w:val="24"/>
          <w:highlight w:val="none"/>
          <w:vertAlign w:val="baseline"/>
        </w:rPr>
      </w:pPr>
      <w:r>
        <w:rPr>
          <w:rFonts w:hint="eastAsia" w:ascii="宋体" w:hAnsi="宋体" w:eastAsia="宋体" w:cs="宋体"/>
          <w:bCs/>
          <w:color w:val="auto"/>
          <w:kern w:val="0"/>
          <w:sz w:val="24"/>
          <w:szCs w:val="24"/>
          <w:highlight w:val="none"/>
          <w:vertAlign w:val="baseline"/>
          <w:lang w:val="en-US" w:eastAsia="zh-CN" w:bidi="ar"/>
        </w:rPr>
        <w:t>（一）工程建设项目</w:t>
      </w:r>
    </w:p>
    <w:p w14:paraId="51386ED9">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1、“信用中国”网站（www.creditchina.gov.cn）查询</w:t>
      </w:r>
      <w:bookmarkStart w:id="70" w:name="OLE_LINK93"/>
      <w:bookmarkStart w:id="71" w:name="OLE_LINK91"/>
      <w:bookmarkStart w:id="72" w:name="OLE_LINK103"/>
      <w:bookmarkStart w:id="73" w:name="OLE_LINK92"/>
      <w:r>
        <w:rPr>
          <w:rFonts w:hint="eastAsia" w:ascii="宋体" w:hAnsi="宋体" w:eastAsia="宋体" w:cs="宋体"/>
          <w:bCs/>
          <w:color w:val="auto"/>
          <w:kern w:val="0"/>
          <w:sz w:val="24"/>
          <w:szCs w:val="24"/>
          <w:highlight w:val="none"/>
          <w:vertAlign w:val="baseline"/>
          <w:lang w:val="en-US" w:eastAsia="zh-CN" w:bidi="ar"/>
        </w:rPr>
        <w:t>投标人、法定代表人及其项目经理(建造师)</w:t>
      </w:r>
      <w:bookmarkEnd w:id="70"/>
      <w:bookmarkEnd w:id="71"/>
      <w:bookmarkEnd w:id="72"/>
      <w:bookmarkEnd w:id="73"/>
      <w:r>
        <w:rPr>
          <w:rFonts w:hint="eastAsia" w:ascii="宋体" w:hAnsi="宋体" w:eastAsia="宋体" w:cs="宋体"/>
          <w:bCs/>
          <w:color w:val="auto"/>
          <w:kern w:val="0"/>
          <w:sz w:val="24"/>
          <w:szCs w:val="24"/>
          <w:highlight w:val="none"/>
          <w:vertAlign w:val="baseline"/>
          <w:lang w:val="en-US" w:eastAsia="zh-CN" w:bidi="ar"/>
        </w:rPr>
        <w:t>以下失信行为：</w:t>
      </w:r>
    </w:p>
    <w:p w14:paraId="25B23EDD">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bookmarkStart w:id="74" w:name="OLE_LINK119"/>
      <w:bookmarkStart w:id="75" w:name="OLE_LINK86"/>
      <w:bookmarkStart w:id="76" w:name="OLE_LINK3"/>
      <w:bookmarkStart w:id="77" w:name="OLE_LINK94"/>
      <w:bookmarkStart w:id="78" w:name="OLE_LINK87"/>
      <w:r>
        <w:rPr>
          <w:rFonts w:hint="eastAsia" w:ascii="宋体" w:hAnsi="宋体" w:eastAsia="宋体" w:cs="宋体"/>
          <w:bCs/>
          <w:color w:val="auto"/>
          <w:kern w:val="0"/>
          <w:sz w:val="24"/>
          <w:szCs w:val="24"/>
          <w:highlight w:val="none"/>
          <w:vertAlign w:val="baseline"/>
          <w:lang w:val="en-US" w:eastAsia="zh-CN" w:bidi="ar"/>
        </w:rPr>
        <w:t>①被列入“失信被执行人”的;</w:t>
      </w:r>
    </w:p>
    <w:p w14:paraId="7734C2C0">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②被列入</w:t>
      </w:r>
      <w:bookmarkStart w:id="79" w:name="OLE_LINK118"/>
      <w:bookmarkStart w:id="80" w:name="OLE_LINK117"/>
      <w:bookmarkStart w:id="81" w:name="OLE_LINK116"/>
      <w:bookmarkStart w:id="82" w:name="OLE_LINK115"/>
      <w:r>
        <w:rPr>
          <w:rFonts w:hint="eastAsia" w:ascii="宋体" w:hAnsi="宋体" w:eastAsia="宋体" w:cs="宋体"/>
          <w:bCs/>
          <w:color w:val="auto"/>
          <w:kern w:val="0"/>
          <w:sz w:val="24"/>
          <w:szCs w:val="24"/>
          <w:highlight w:val="none"/>
          <w:vertAlign w:val="baseline"/>
          <w:lang w:val="en-US" w:eastAsia="zh-CN" w:bidi="ar"/>
        </w:rPr>
        <w:t>“重大税收违法失信主体”</w:t>
      </w:r>
      <w:bookmarkEnd w:id="79"/>
      <w:bookmarkEnd w:id="80"/>
      <w:bookmarkEnd w:id="81"/>
      <w:bookmarkEnd w:id="82"/>
      <w:r>
        <w:rPr>
          <w:rFonts w:hint="eastAsia" w:ascii="宋体" w:hAnsi="宋体" w:eastAsia="宋体" w:cs="宋体"/>
          <w:bCs/>
          <w:color w:val="auto"/>
          <w:kern w:val="0"/>
          <w:sz w:val="24"/>
          <w:szCs w:val="24"/>
          <w:highlight w:val="none"/>
          <w:vertAlign w:val="baseline"/>
          <w:lang w:val="en-US" w:eastAsia="zh-CN" w:bidi="ar"/>
        </w:rPr>
        <w:t>的；</w:t>
      </w:r>
    </w:p>
    <w:p w14:paraId="6F9AC589">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bookmarkStart w:id="83" w:name="OLE_LINK2"/>
      <w:bookmarkStart w:id="84" w:name="OLE_LINK1"/>
      <w:r>
        <w:rPr>
          <w:rFonts w:hint="eastAsia" w:ascii="宋体" w:hAnsi="宋体" w:eastAsia="宋体" w:cs="宋体"/>
          <w:bCs/>
          <w:color w:val="auto"/>
          <w:kern w:val="0"/>
          <w:sz w:val="24"/>
          <w:szCs w:val="24"/>
          <w:highlight w:val="none"/>
          <w:vertAlign w:val="baseline"/>
          <w:lang w:val="en-US" w:eastAsia="zh-CN" w:bidi="ar"/>
        </w:rPr>
        <w:t>③被列入“拖欠</w:t>
      </w:r>
      <w:bookmarkStart w:id="85" w:name="OLE_LINK84"/>
      <w:bookmarkStart w:id="86" w:name="OLE_LINK85"/>
      <w:r>
        <w:rPr>
          <w:rFonts w:hint="eastAsia" w:ascii="宋体" w:hAnsi="宋体" w:eastAsia="宋体" w:cs="宋体"/>
          <w:bCs/>
          <w:color w:val="auto"/>
          <w:kern w:val="0"/>
          <w:sz w:val="24"/>
          <w:szCs w:val="24"/>
          <w:highlight w:val="none"/>
          <w:vertAlign w:val="baseline"/>
          <w:lang w:val="en-US" w:eastAsia="zh-CN" w:bidi="ar"/>
        </w:rPr>
        <w:t>农民工工资失信联合惩戒对象</w:t>
      </w:r>
      <w:bookmarkEnd w:id="85"/>
      <w:bookmarkEnd w:id="86"/>
      <w:r>
        <w:rPr>
          <w:rFonts w:hint="eastAsia" w:ascii="宋体" w:hAnsi="宋体" w:eastAsia="宋体" w:cs="宋体"/>
          <w:bCs/>
          <w:color w:val="auto"/>
          <w:kern w:val="0"/>
          <w:sz w:val="24"/>
          <w:szCs w:val="24"/>
          <w:highlight w:val="none"/>
          <w:vertAlign w:val="baseline"/>
          <w:lang w:val="en-US" w:eastAsia="zh-CN" w:bidi="ar"/>
        </w:rPr>
        <w:t>名单”的；</w:t>
      </w:r>
      <w:bookmarkEnd w:id="83"/>
      <w:bookmarkEnd w:id="84"/>
    </w:p>
    <w:p w14:paraId="2A4F317D">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④被列入 “严重失信主体名单”的；</w:t>
      </w:r>
    </w:p>
    <w:p w14:paraId="1CB2A7DA">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⑤在“信用中国”网站上披露的仍在公示期的严重失信行为(具体行为类别及判定依据见附件2)的。</w:t>
      </w:r>
      <w:bookmarkEnd w:id="74"/>
      <w:bookmarkEnd w:id="75"/>
      <w:bookmarkEnd w:id="76"/>
      <w:bookmarkEnd w:id="77"/>
      <w:bookmarkEnd w:id="78"/>
    </w:p>
    <w:p w14:paraId="169470F7">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2、</w:t>
      </w:r>
      <w:bookmarkStart w:id="87" w:name="OLE_LINK130"/>
      <w:r>
        <w:rPr>
          <w:rFonts w:hint="eastAsia" w:ascii="宋体" w:hAnsi="宋体" w:eastAsia="宋体" w:cs="宋体"/>
          <w:bCs/>
          <w:color w:val="auto"/>
          <w:kern w:val="0"/>
          <w:sz w:val="24"/>
          <w:szCs w:val="24"/>
          <w:highlight w:val="none"/>
          <w:vertAlign w:val="baseline"/>
          <w:lang w:val="en-US" w:eastAsia="zh-CN" w:bidi="ar"/>
        </w:rPr>
        <w:t>国家企业信用信息公示系统网站</w:t>
      </w:r>
      <w:bookmarkEnd w:id="87"/>
      <w:r>
        <w:rPr>
          <w:rFonts w:hint="eastAsia" w:ascii="宋体" w:hAnsi="宋体" w:eastAsia="宋体" w:cs="宋体"/>
          <w:bCs/>
          <w:color w:val="auto"/>
          <w:kern w:val="0"/>
          <w:sz w:val="24"/>
          <w:szCs w:val="24"/>
          <w:highlight w:val="none"/>
          <w:vertAlign w:val="baseline"/>
          <w:lang w:val="en-US" w:eastAsia="zh-CN" w:bidi="ar"/>
        </w:rPr>
        <w:t>（</w:t>
      </w:r>
      <w:r>
        <w:rPr>
          <w:rFonts w:hint="eastAsia" w:ascii="宋体" w:hAnsi="宋体" w:eastAsia="宋体" w:cs="宋体"/>
          <w:bCs/>
          <w:color w:val="auto"/>
          <w:kern w:val="0"/>
          <w:sz w:val="24"/>
          <w:szCs w:val="24"/>
          <w:highlight w:val="none"/>
          <w:vertAlign w:val="baseline"/>
          <w:lang w:val="en-US" w:eastAsia="zh-CN" w:bidi="ar"/>
        </w:rPr>
        <w:fldChar w:fldCharType="begin"/>
      </w:r>
      <w:r>
        <w:rPr>
          <w:rFonts w:hint="eastAsia" w:ascii="宋体" w:hAnsi="宋体" w:eastAsia="宋体" w:cs="宋体"/>
          <w:bCs/>
          <w:color w:val="auto"/>
          <w:kern w:val="0"/>
          <w:sz w:val="24"/>
          <w:szCs w:val="24"/>
          <w:highlight w:val="none"/>
          <w:vertAlign w:val="baseline"/>
          <w:lang w:val="en-US" w:eastAsia="zh-CN" w:bidi="ar"/>
        </w:rPr>
        <w:instrText xml:space="preserve"> HYPERLINK "http://www.gsxt.gov.cn）查询" </w:instrText>
      </w:r>
      <w:r>
        <w:rPr>
          <w:rFonts w:hint="eastAsia" w:ascii="宋体" w:hAnsi="宋体" w:eastAsia="宋体" w:cs="宋体"/>
          <w:bCs/>
          <w:color w:val="auto"/>
          <w:kern w:val="0"/>
          <w:sz w:val="24"/>
          <w:szCs w:val="24"/>
          <w:highlight w:val="none"/>
          <w:vertAlign w:val="baseline"/>
          <w:lang w:val="en-US" w:eastAsia="zh-CN" w:bidi="ar"/>
        </w:rPr>
        <w:fldChar w:fldCharType="separate"/>
      </w:r>
      <w:bookmarkStart w:id="88" w:name="OLE_LINK89"/>
      <w:bookmarkStart w:id="89" w:name="OLE_LINK90"/>
      <w:r>
        <w:rPr>
          <w:rFonts w:hint="eastAsia" w:ascii="宋体" w:hAnsi="宋体" w:eastAsia="宋体" w:cs="宋体"/>
          <w:bCs/>
          <w:color w:val="auto"/>
          <w:kern w:val="0"/>
          <w:sz w:val="24"/>
          <w:szCs w:val="24"/>
          <w:highlight w:val="none"/>
          <w:vertAlign w:val="baseline"/>
          <w:lang w:val="en-US" w:eastAsia="zh-CN" w:bidi="ar"/>
        </w:rPr>
        <w:t>www.gsxt.gov.cn</w:t>
      </w:r>
      <w:bookmarkEnd w:id="88"/>
      <w:bookmarkEnd w:id="89"/>
      <w:r>
        <w:rPr>
          <w:rFonts w:hint="eastAsia" w:ascii="宋体" w:hAnsi="宋体" w:eastAsia="宋体" w:cs="宋体"/>
          <w:bCs/>
          <w:color w:val="auto"/>
          <w:kern w:val="0"/>
          <w:sz w:val="24"/>
          <w:szCs w:val="24"/>
          <w:highlight w:val="none"/>
          <w:vertAlign w:val="baseline"/>
          <w:lang w:val="en-US" w:eastAsia="zh-CN" w:bidi="ar"/>
        </w:rPr>
        <w:t>）</w:t>
      </w:r>
      <w:r>
        <w:rPr>
          <w:rFonts w:hint="eastAsia" w:ascii="宋体" w:hAnsi="宋体" w:eastAsia="宋体" w:cs="宋体"/>
          <w:bCs/>
          <w:color w:val="auto"/>
          <w:kern w:val="0"/>
          <w:sz w:val="24"/>
          <w:szCs w:val="24"/>
          <w:highlight w:val="none"/>
          <w:vertAlign w:val="baseline"/>
          <w:lang w:val="en-US" w:eastAsia="zh-CN" w:bidi="ar"/>
        </w:rPr>
        <w:fldChar w:fldCharType="end"/>
      </w:r>
      <w:r>
        <w:rPr>
          <w:rFonts w:hint="eastAsia" w:ascii="宋体" w:hAnsi="宋体" w:eastAsia="宋体" w:cs="宋体"/>
          <w:bCs/>
          <w:color w:val="auto"/>
          <w:kern w:val="0"/>
          <w:sz w:val="24"/>
          <w:szCs w:val="24"/>
          <w:highlight w:val="none"/>
          <w:vertAlign w:val="baseline"/>
          <w:lang w:val="en-US" w:eastAsia="zh-CN" w:bidi="ar"/>
        </w:rPr>
        <w:t>查询投标人以下失信行为：</w:t>
      </w:r>
    </w:p>
    <w:p w14:paraId="7D1AE635">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bookmarkStart w:id="90" w:name="OLE_LINK120"/>
      <w:bookmarkStart w:id="91" w:name="OLE_LINK121"/>
      <w:bookmarkStart w:id="92" w:name="OLE_LINK122"/>
      <w:r>
        <w:rPr>
          <w:rFonts w:hint="eastAsia" w:ascii="宋体" w:hAnsi="宋体" w:eastAsia="宋体" w:cs="宋体"/>
          <w:bCs/>
          <w:color w:val="auto"/>
          <w:kern w:val="0"/>
          <w:sz w:val="24"/>
          <w:szCs w:val="24"/>
          <w:highlight w:val="none"/>
          <w:vertAlign w:val="baseline"/>
          <w:lang w:val="en-US" w:eastAsia="zh-CN" w:bidi="ar"/>
        </w:rPr>
        <w:t>①被列入“经营异常名录”或者“严重违法失信名单”的。</w:t>
      </w:r>
      <w:bookmarkEnd w:id="90"/>
      <w:bookmarkEnd w:id="91"/>
      <w:bookmarkEnd w:id="92"/>
    </w:p>
    <w:p w14:paraId="19594784">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3、由投标人、法定代表人及其项目经理(建造师)进行承诺，不进行现场网上信用查询的失信行为：</w:t>
      </w:r>
    </w:p>
    <w:p w14:paraId="008A3E3A">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①前三年有行贿犯罪行为的单位和个人；</w:t>
      </w:r>
    </w:p>
    <w:p w14:paraId="383F0576">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②被滁州市县两级公管部门取消在一定期限内的投标资格且在取消期限内的；</w:t>
      </w:r>
    </w:p>
    <w:p w14:paraId="1E406132">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③被滁州市县两级各行业主管部门取消在一定期限内的投标资格且在取消期限内的；</w:t>
      </w:r>
    </w:p>
    <w:p w14:paraId="2F9CFE5E">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④因拖欠农民工工资被</w:t>
      </w:r>
      <w:bookmarkStart w:id="93" w:name="OLE_LINK107"/>
      <w:bookmarkStart w:id="94" w:name="OLE_LINK108"/>
      <w:r>
        <w:rPr>
          <w:rFonts w:hint="eastAsia" w:ascii="宋体" w:hAnsi="宋体" w:eastAsia="宋体" w:cs="宋体"/>
          <w:bCs/>
          <w:color w:val="auto"/>
          <w:kern w:val="0"/>
          <w:sz w:val="24"/>
          <w:szCs w:val="24"/>
          <w:highlight w:val="none"/>
          <w:vertAlign w:val="baseline"/>
          <w:lang w:val="en-US" w:eastAsia="zh-CN" w:bidi="ar"/>
        </w:rPr>
        <w:t>县级及以上有关行政主管部门限制投标资格且在限制期限内的</w:t>
      </w:r>
      <w:bookmarkEnd w:id="93"/>
      <w:bookmarkEnd w:id="94"/>
      <w:r>
        <w:rPr>
          <w:rFonts w:hint="eastAsia" w:ascii="宋体" w:hAnsi="宋体" w:eastAsia="宋体" w:cs="宋体"/>
          <w:bCs/>
          <w:color w:val="auto"/>
          <w:kern w:val="0"/>
          <w:sz w:val="24"/>
          <w:szCs w:val="24"/>
          <w:highlight w:val="none"/>
          <w:vertAlign w:val="baseline"/>
          <w:lang w:val="en-US" w:eastAsia="zh-CN" w:bidi="ar"/>
        </w:rPr>
        <w:t>；</w:t>
      </w:r>
    </w:p>
    <w:p w14:paraId="217DE109">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2"/>
          <w:sz w:val="24"/>
          <w:szCs w:val="24"/>
          <w:highlight w:val="none"/>
          <w:vertAlign w:val="baseline"/>
        </w:rPr>
      </w:pPr>
      <w:r>
        <w:rPr>
          <w:rFonts w:hint="eastAsia" w:ascii="宋体" w:hAnsi="宋体" w:eastAsia="宋体" w:cs="宋体"/>
          <w:bCs/>
          <w:color w:val="auto"/>
          <w:kern w:val="0"/>
          <w:sz w:val="24"/>
          <w:szCs w:val="24"/>
          <w:highlight w:val="none"/>
          <w:vertAlign w:val="baseline"/>
          <w:lang w:val="en-US" w:eastAsia="zh-CN" w:bidi="ar"/>
        </w:rPr>
        <w:t>⑤被列入省级、市级农民工工资支付异常名录的施工企业，在限制其参加全市范围内房建和市政工程建设项目投标的期限内的；列入县级异常名录的施工企业，在限制其参加本行政区域内房建和市政建设项目投标的期限内的。</w:t>
      </w:r>
    </w:p>
    <w:p w14:paraId="1ACE1500">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2"/>
          <w:sz w:val="24"/>
          <w:szCs w:val="24"/>
          <w:highlight w:val="none"/>
          <w:vertAlign w:val="baseline"/>
        </w:rPr>
      </w:pPr>
      <w:r>
        <w:rPr>
          <w:rFonts w:hint="eastAsia" w:ascii="宋体" w:hAnsi="宋体" w:eastAsia="宋体" w:cs="宋体"/>
          <w:bCs/>
          <w:color w:val="auto"/>
          <w:kern w:val="0"/>
          <w:sz w:val="24"/>
          <w:szCs w:val="24"/>
          <w:highlight w:val="none"/>
          <w:vertAlign w:val="baseline"/>
          <w:lang w:val="en-US" w:eastAsia="zh-CN" w:bidi="ar"/>
        </w:rPr>
        <w:t>（二）政府采购项目</w:t>
      </w:r>
    </w:p>
    <w:p w14:paraId="220E8734">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1、“信用中国”网站（www.creditchina.gov.cn）查询供应商、法定代表人及其项目负责人以下失信行为：</w:t>
      </w:r>
    </w:p>
    <w:p w14:paraId="4C358C83">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①被列入“失信被执行人”的;</w:t>
      </w:r>
    </w:p>
    <w:p w14:paraId="50A29AF4">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②被列入“重大税收违法失信主体”的；</w:t>
      </w:r>
    </w:p>
    <w:p w14:paraId="75A190E6">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③被列入“拖欠农民工工资失信联合惩戒对象名单”的；</w:t>
      </w:r>
    </w:p>
    <w:p w14:paraId="4D559F77">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④被列入 “严重失信主体名单”的；</w:t>
      </w:r>
    </w:p>
    <w:p w14:paraId="32B746F2">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⑤在“信用中国”网站上披露的仍在公示期的严重失信行为(具体行为类别及判定依据见附件2)的。</w:t>
      </w:r>
    </w:p>
    <w:p w14:paraId="3CEF7D95">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2、国家企业信用信息公示系统网站（</w:t>
      </w:r>
      <w:r>
        <w:rPr>
          <w:rFonts w:hint="eastAsia" w:ascii="宋体" w:hAnsi="宋体" w:eastAsia="宋体" w:cs="宋体"/>
          <w:bCs/>
          <w:color w:val="auto"/>
          <w:kern w:val="0"/>
          <w:sz w:val="24"/>
          <w:szCs w:val="24"/>
          <w:highlight w:val="none"/>
          <w:vertAlign w:val="baseline"/>
          <w:lang w:val="en-US" w:eastAsia="zh-CN" w:bidi="ar"/>
        </w:rPr>
        <w:fldChar w:fldCharType="begin"/>
      </w:r>
      <w:r>
        <w:rPr>
          <w:rFonts w:hint="eastAsia" w:ascii="宋体" w:hAnsi="宋体" w:eastAsia="宋体" w:cs="宋体"/>
          <w:bCs/>
          <w:color w:val="auto"/>
          <w:kern w:val="0"/>
          <w:sz w:val="24"/>
          <w:szCs w:val="24"/>
          <w:highlight w:val="none"/>
          <w:vertAlign w:val="baseline"/>
          <w:lang w:val="en-US" w:eastAsia="zh-CN" w:bidi="ar"/>
        </w:rPr>
        <w:instrText xml:space="preserve"> HYPERLINK "http://www.gsxt.gov.cn）查询" </w:instrText>
      </w:r>
      <w:r>
        <w:rPr>
          <w:rFonts w:hint="eastAsia" w:ascii="宋体" w:hAnsi="宋体" w:eastAsia="宋体" w:cs="宋体"/>
          <w:bCs/>
          <w:color w:val="auto"/>
          <w:kern w:val="0"/>
          <w:sz w:val="24"/>
          <w:szCs w:val="24"/>
          <w:highlight w:val="none"/>
          <w:vertAlign w:val="baseline"/>
          <w:lang w:val="en-US" w:eastAsia="zh-CN" w:bidi="ar"/>
        </w:rPr>
        <w:fldChar w:fldCharType="separate"/>
      </w:r>
      <w:r>
        <w:rPr>
          <w:rFonts w:hint="eastAsia" w:ascii="宋体" w:hAnsi="宋体" w:eastAsia="宋体" w:cs="宋体"/>
          <w:bCs/>
          <w:color w:val="auto"/>
          <w:kern w:val="0"/>
          <w:sz w:val="24"/>
          <w:szCs w:val="24"/>
          <w:highlight w:val="none"/>
          <w:vertAlign w:val="baseline"/>
          <w:lang w:val="en-US" w:eastAsia="zh-CN" w:bidi="ar"/>
        </w:rPr>
        <w:t>www.gsxt.gov.cn）</w:t>
      </w:r>
      <w:r>
        <w:rPr>
          <w:rFonts w:hint="eastAsia" w:ascii="宋体" w:hAnsi="宋体" w:eastAsia="宋体" w:cs="宋体"/>
          <w:bCs/>
          <w:color w:val="auto"/>
          <w:kern w:val="0"/>
          <w:sz w:val="24"/>
          <w:szCs w:val="24"/>
          <w:highlight w:val="none"/>
          <w:vertAlign w:val="baseline"/>
          <w:lang w:val="en-US" w:eastAsia="zh-CN" w:bidi="ar"/>
        </w:rPr>
        <w:fldChar w:fldCharType="end"/>
      </w:r>
      <w:r>
        <w:rPr>
          <w:rFonts w:hint="eastAsia" w:ascii="宋体" w:hAnsi="宋体" w:eastAsia="宋体" w:cs="宋体"/>
          <w:bCs/>
          <w:color w:val="auto"/>
          <w:kern w:val="0"/>
          <w:sz w:val="24"/>
          <w:szCs w:val="24"/>
          <w:highlight w:val="none"/>
          <w:vertAlign w:val="baseline"/>
          <w:lang w:val="en-US" w:eastAsia="zh-CN" w:bidi="ar"/>
        </w:rPr>
        <w:t>查询供应商以下失信行为：</w:t>
      </w:r>
    </w:p>
    <w:p w14:paraId="55F8FEC7">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①</w:t>
      </w:r>
      <w:bookmarkStart w:id="95" w:name="OLE_LINK100"/>
      <w:bookmarkStart w:id="96" w:name="OLE_LINK102"/>
      <w:bookmarkStart w:id="97" w:name="OLE_LINK101"/>
      <w:r>
        <w:rPr>
          <w:rFonts w:hint="eastAsia" w:ascii="宋体" w:hAnsi="宋体" w:eastAsia="宋体" w:cs="宋体"/>
          <w:bCs/>
          <w:color w:val="auto"/>
          <w:kern w:val="0"/>
          <w:sz w:val="24"/>
          <w:szCs w:val="24"/>
          <w:highlight w:val="none"/>
          <w:vertAlign w:val="baseline"/>
          <w:lang w:val="en-US" w:eastAsia="zh-CN" w:bidi="ar"/>
        </w:rPr>
        <w:t>被列入“经营异常名录”或者“严重违法失信名单”的</w:t>
      </w:r>
      <w:bookmarkEnd w:id="95"/>
      <w:bookmarkEnd w:id="96"/>
      <w:bookmarkEnd w:id="97"/>
      <w:r>
        <w:rPr>
          <w:rFonts w:hint="eastAsia" w:ascii="宋体" w:hAnsi="宋体" w:eastAsia="宋体" w:cs="宋体"/>
          <w:bCs/>
          <w:color w:val="auto"/>
          <w:kern w:val="0"/>
          <w:sz w:val="24"/>
          <w:szCs w:val="24"/>
          <w:highlight w:val="none"/>
          <w:vertAlign w:val="baseline"/>
          <w:lang w:val="en-US" w:eastAsia="zh-CN" w:bidi="ar"/>
        </w:rPr>
        <w:t>。</w:t>
      </w:r>
    </w:p>
    <w:p w14:paraId="4DA8AD51">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3、中国政府采购网站（</w:t>
      </w:r>
      <w:bookmarkStart w:id="98" w:name="OLE_LINK95"/>
      <w:bookmarkStart w:id="99" w:name="OLE_LINK96"/>
      <w:r>
        <w:rPr>
          <w:rFonts w:hint="eastAsia" w:ascii="宋体" w:hAnsi="宋体" w:eastAsia="宋体" w:cs="宋体"/>
          <w:bCs/>
          <w:color w:val="auto"/>
          <w:kern w:val="0"/>
          <w:sz w:val="24"/>
          <w:szCs w:val="24"/>
          <w:highlight w:val="none"/>
          <w:vertAlign w:val="baseline"/>
          <w:lang w:val="en-US" w:eastAsia="zh-CN" w:bidi="ar"/>
        </w:rPr>
        <w:fldChar w:fldCharType="begin"/>
      </w:r>
      <w:r>
        <w:rPr>
          <w:rFonts w:hint="eastAsia" w:ascii="宋体" w:hAnsi="宋体" w:eastAsia="宋体" w:cs="宋体"/>
          <w:bCs/>
          <w:color w:val="auto"/>
          <w:kern w:val="0"/>
          <w:sz w:val="24"/>
          <w:szCs w:val="24"/>
          <w:highlight w:val="none"/>
          <w:vertAlign w:val="baseline"/>
          <w:lang w:val="en-US" w:eastAsia="zh-CN" w:bidi="ar"/>
        </w:rPr>
        <w:instrText xml:space="preserve"> HYPERLINK "http://www.ccgp.gov.cn" </w:instrText>
      </w:r>
      <w:r>
        <w:rPr>
          <w:rFonts w:hint="eastAsia" w:ascii="宋体" w:hAnsi="宋体" w:eastAsia="宋体" w:cs="宋体"/>
          <w:bCs/>
          <w:color w:val="auto"/>
          <w:kern w:val="0"/>
          <w:sz w:val="24"/>
          <w:szCs w:val="24"/>
          <w:highlight w:val="none"/>
          <w:vertAlign w:val="baseline"/>
          <w:lang w:val="en-US" w:eastAsia="zh-CN" w:bidi="ar"/>
        </w:rPr>
        <w:fldChar w:fldCharType="separate"/>
      </w:r>
      <w:r>
        <w:rPr>
          <w:rFonts w:hint="eastAsia" w:ascii="宋体" w:hAnsi="宋体" w:eastAsia="宋体" w:cs="宋体"/>
          <w:bCs/>
          <w:color w:val="auto"/>
          <w:kern w:val="0"/>
          <w:sz w:val="24"/>
          <w:szCs w:val="24"/>
          <w:highlight w:val="none"/>
          <w:vertAlign w:val="baseline"/>
          <w:lang w:val="en-US" w:eastAsia="zh-CN" w:bidi="ar"/>
        </w:rPr>
        <w:t>www.ccgp.gov.cn</w:t>
      </w:r>
      <w:r>
        <w:rPr>
          <w:rFonts w:hint="eastAsia" w:ascii="宋体" w:hAnsi="宋体" w:eastAsia="宋体" w:cs="宋体"/>
          <w:bCs/>
          <w:color w:val="auto"/>
          <w:kern w:val="0"/>
          <w:sz w:val="24"/>
          <w:szCs w:val="24"/>
          <w:highlight w:val="none"/>
          <w:vertAlign w:val="baseline"/>
          <w:lang w:val="en-US" w:eastAsia="zh-CN" w:bidi="ar"/>
        </w:rPr>
        <w:fldChar w:fldCharType="end"/>
      </w:r>
      <w:bookmarkEnd w:id="98"/>
      <w:bookmarkEnd w:id="99"/>
      <w:r>
        <w:rPr>
          <w:rFonts w:hint="eastAsia" w:ascii="宋体" w:hAnsi="宋体" w:eastAsia="宋体" w:cs="宋体"/>
          <w:bCs/>
          <w:color w:val="auto"/>
          <w:kern w:val="0"/>
          <w:sz w:val="24"/>
          <w:szCs w:val="24"/>
          <w:highlight w:val="none"/>
          <w:vertAlign w:val="baseline"/>
          <w:lang w:val="en-US" w:eastAsia="zh-CN" w:bidi="ar"/>
        </w:rPr>
        <w:t>）查询以下失信行为：</w:t>
      </w:r>
    </w:p>
    <w:p w14:paraId="5BAAB8F9">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①</w:t>
      </w:r>
      <w:bookmarkStart w:id="100" w:name="OLE_LINK106"/>
      <w:bookmarkStart w:id="101" w:name="OLE_LINK105"/>
      <w:bookmarkStart w:id="102" w:name="OLE_LINK104"/>
      <w:r>
        <w:rPr>
          <w:rFonts w:hint="eastAsia" w:ascii="宋体" w:hAnsi="宋体" w:eastAsia="宋体" w:cs="宋体"/>
          <w:bCs/>
          <w:color w:val="auto"/>
          <w:kern w:val="0"/>
          <w:sz w:val="24"/>
          <w:szCs w:val="24"/>
          <w:highlight w:val="none"/>
          <w:vertAlign w:val="baseline"/>
          <w:lang w:val="en-US" w:eastAsia="zh-CN" w:bidi="ar"/>
        </w:rPr>
        <w:t>被列入“政府采购严重违法失信行为信息记录”的</w:t>
      </w:r>
      <w:bookmarkEnd w:id="100"/>
      <w:bookmarkEnd w:id="101"/>
      <w:bookmarkEnd w:id="102"/>
      <w:r>
        <w:rPr>
          <w:rFonts w:hint="eastAsia" w:ascii="宋体" w:hAnsi="宋体" w:eastAsia="宋体" w:cs="宋体"/>
          <w:bCs/>
          <w:color w:val="auto"/>
          <w:kern w:val="0"/>
          <w:sz w:val="24"/>
          <w:szCs w:val="24"/>
          <w:highlight w:val="none"/>
          <w:vertAlign w:val="baseline"/>
          <w:lang w:val="en-US" w:eastAsia="zh-CN" w:bidi="ar"/>
        </w:rPr>
        <w:t>。</w:t>
      </w:r>
    </w:p>
    <w:p w14:paraId="6819882B">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4、由竞争主体进行承诺，不进行现场网上信用查询的失信行为：</w:t>
      </w:r>
    </w:p>
    <w:p w14:paraId="73F7D3CD">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2"/>
          <w:sz w:val="24"/>
          <w:szCs w:val="24"/>
          <w:highlight w:val="none"/>
          <w:vertAlign w:val="baseline"/>
        </w:rPr>
      </w:pPr>
      <w:r>
        <w:rPr>
          <w:rFonts w:hint="eastAsia" w:ascii="宋体" w:hAnsi="宋体" w:eastAsia="宋体" w:cs="宋体"/>
          <w:bCs/>
          <w:color w:val="auto"/>
          <w:kern w:val="0"/>
          <w:sz w:val="24"/>
          <w:szCs w:val="24"/>
          <w:highlight w:val="none"/>
          <w:vertAlign w:val="baseline"/>
          <w:lang w:val="en-US" w:eastAsia="zh-CN" w:bidi="ar"/>
        </w:rPr>
        <w:t>①前三年有行贿犯罪行为的单位和个人。</w:t>
      </w:r>
    </w:p>
    <w:p w14:paraId="008761CE">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2"/>
          <w:sz w:val="24"/>
          <w:szCs w:val="24"/>
          <w:highlight w:val="none"/>
          <w:vertAlign w:val="baseline"/>
        </w:rPr>
      </w:pPr>
      <w:r>
        <w:rPr>
          <w:rFonts w:hint="eastAsia" w:ascii="宋体" w:hAnsi="宋体" w:eastAsia="宋体" w:cs="宋体"/>
          <w:bCs/>
          <w:color w:val="auto"/>
          <w:kern w:val="0"/>
          <w:sz w:val="24"/>
          <w:szCs w:val="24"/>
          <w:highlight w:val="none"/>
          <w:vertAlign w:val="baseline"/>
          <w:lang w:val="en-US" w:eastAsia="zh-CN" w:bidi="ar"/>
        </w:rPr>
        <w:t>二、在开评标活动中的查询程序</w:t>
      </w:r>
    </w:p>
    <w:p w14:paraId="537A5B65">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1、实行有限数量制资格审查的项目，由项目单位（代理机构）对入围的投标人、法定代表人及其项目经理（建造师）是否存在上述要求查询的失信行为进行网上核查；若核查结果与投标人承诺不一致，则提交评标委员会取消其入围资格，依次进行替补，并对替补单位进行核查。评审结论以核查后入围的结果重新计算最终评标基准价。</w:t>
      </w:r>
    </w:p>
    <w:p w14:paraId="79ED74B2">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0"/>
          <w:sz w:val="24"/>
          <w:szCs w:val="24"/>
          <w:highlight w:val="none"/>
          <w:vertAlign w:val="baseline"/>
          <w:lang w:val="en-US" w:eastAsia="zh-CN" w:bidi="ar"/>
        </w:rPr>
      </w:pPr>
      <w:r>
        <w:rPr>
          <w:rFonts w:hint="eastAsia" w:ascii="宋体" w:hAnsi="宋体" w:eastAsia="宋体" w:cs="宋体"/>
          <w:bCs/>
          <w:color w:val="auto"/>
          <w:kern w:val="0"/>
          <w:sz w:val="24"/>
          <w:szCs w:val="24"/>
          <w:highlight w:val="none"/>
          <w:vertAlign w:val="baseline"/>
          <w:lang w:val="en-US" w:eastAsia="zh-CN" w:bidi="ar"/>
        </w:rPr>
        <w:t>2、不实行有限数量制资格审查的项目，由项目单位（代理机构）对预中标候选人、法定代表人及其项目经理（建造师）是否存在上述要求查询的失信行为进行网上核查后，提交网站截图等查询记录给评标委员会复核。若核查结果不符合招标文件规定的投标人资格条件信誉要求，由评标委员会取消其预中标候选人资格，并依次替补，再次对替补单位进行核查。如评标现场未发现问题但标后质疑（异议）、投诉发现中标候选人存在信誉问题，则组织评标委员会重新启动复核程序。核查结果不改变原评标基准价。</w:t>
      </w:r>
    </w:p>
    <w:p w14:paraId="138955AF">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2"/>
          <w:sz w:val="24"/>
          <w:szCs w:val="24"/>
          <w:highlight w:val="none"/>
          <w:vertAlign w:val="baseline"/>
        </w:rPr>
      </w:pPr>
      <w:r>
        <w:rPr>
          <w:rFonts w:hint="eastAsia" w:ascii="宋体" w:hAnsi="宋体" w:eastAsia="宋体" w:cs="宋体"/>
          <w:bCs/>
          <w:color w:val="auto"/>
          <w:kern w:val="0"/>
          <w:sz w:val="24"/>
          <w:szCs w:val="24"/>
          <w:highlight w:val="none"/>
          <w:vertAlign w:val="baseline"/>
          <w:lang w:val="en-US" w:eastAsia="zh-CN" w:bidi="ar"/>
        </w:rPr>
        <w:t>3、项目单位及其委托的代理机构应当做好信用查询结果截图和记录留存。</w:t>
      </w:r>
    </w:p>
    <w:p w14:paraId="0236B307">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2"/>
          <w:sz w:val="24"/>
          <w:szCs w:val="24"/>
          <w:highlight w:val="none"/>
          <w:vertAlign w:val="baseline"/>
        </w:rPr>
      </w:pPr>
      <w:r>
        <w:rPr>
          <w:rFonts w:hint="eastAsia" w:ascii="宋体" w:hAnsi="宋体" w:eastAsia="宋体" w:cs="宋体"/>
          <w:bCs/>
          <w:color w:val="auto"/>
          <w:kern w:val="0"/>
          <w:sz w:val="24"/>
          <w:szCs w:val="24"/>
          <w:highlight w:val="none"/>
          <w:vertAlign w:val="baseline"/>
          <w:lang w:val="en-US" w:eastAsia="zh-CN" w:bidi="ar"/>
        </w:rPr>
        <w:t>三、相关要求</w:t>
      </w:r>
    </w:p>
    <w:p w14:paraId="68619241">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2"/>
          <w:sz w:val="24"/>
          <w:szCs w:val="24"/>
          <w:highlight w:val="none"/>
          <w:vertAlign w:val="baseline"/>
        </w:rPr>
      </w:pPr>
      <w:r>
        <w:rPr>
          <w:rFonts w:hint="eastAsia" w:ascii="宋体" w:hAnsi="宋体" w:eastAsia="宋体" w:cs="宋体"/>
          <w:bCs/>
          <w:color w:val="auto"/>
          <w:kern w:val="0"/>
          <w:sz w:val="24"/>
          <w:szCs w:val="24"/>
          <w:highlight w:val="none"/>
          <w:vertAlign w:val="baseline"/>
          <w:lang w:val="en-US" w:eastAsia="zh-CN" w:bidi="ar"/>
        </w:rPr>
        <w:t>1、参与公共资源交易活动的竞争主体根据上述范围查询的内容进行自查并承诺，出具《诚信投标承诺书》（诚信投标承诺书包括但不限于上述自查并承诺内容）并注明承诺日期（投标截止时间前5日内）。</w:t>
      </w:r>
    </w:p>
    <w:p w14:paraId="7CE7952C">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2"/>
          <w:sz w:val="24"/>
          <w:szCs w:val="24"/>
          <w:highlight w:val="none"/>
          <w:vertAlign w:val="baseline"/>
        </w:rPr>
      </w:pPr>
      <w:r>
        <w:rPr>
          <w:rFonts w:hint="eastAsia" w:ascii="宋体" w:hAnsi="宋体" w:eastAsia="宋体" w:cs="宋体"/>
          <w:bCs/>
          <w:color w:val="auto"/>
          <w:kern w:val="0"/>
          <w:sz w:val="24"/>
          <w:szCs w:val="24"/>
          <w:highlight w:val="none"/>
          <w:vertAlign w:val="baseline"/>
          <w:lang w:val="en-US" w:eastAsia="zh-CN" w:bidi="ar"/>
        </w:rPr>
        <w:t>经核查，竞争主体在承诺日期之前（没有承诺日期的以资格审查日或开标日之前）有上述失信行为进行虚假承诺的，将视作不诚信行为，资格审查委员会或评标委员会及代理机构应当及时报告公共资源监管部门，依法依规予以处理。</w:t>
      </w:r>
    </w:p>
    <w:p w14:paraId="01F00B97">
      <w:pPr>
        <w:keepNext w:val="0"/>
        <w:keepLines w:val="0"/>
        <w:pageBreakBefore w:val="0"/>
        <w:widowControl/>
        <w:suppressLineNumbers w:val="0"/>
        <w:kinsoku/>
        <w:wordWrap w:val="0"/>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2"/>
          <w:sz w:val="24"/>
          <w:szCs w:val="24"/>
          <w:highlight w:val="none"/>
          <w:vertAlign w:val="baseline"/>
        </w:rPr>
      </w:pPr>
      <w:r>
        <w:rPr>
          <w:rFonts w:hint="eastAsia" w:ascii="宋体" w:hAnsi="宋体" w:eastAsia="宋体" w:cs="宋体"/>
          <w:bCs/>
          <w:color w:val="auto"/>
          <w:kern w:val="0"/>
          <w:sz w:val="24"/>
          <w:szCs w:val="24"/>
          <w:highlight w:val="none"/>
          <w:vertAlign w:val="baseline"/>
          <w:lang w:val="en-US" w:eastAsia="zh-CN" w:bidi="ar"/>
        </w:rPr>
        <w:t xml:space="preserve">注册地在安徽省内且未在安徽省外开展业务、省外无违法违规行为的企业可通过安徽政务服务网开具由安徽省公共信用信息服务中心出具的《公共信用信息报告（无违法违规证明版或核查版）》代替《诚信投标承诺书》。《公共信用信息报告（无违法违规证明版或核查版）》可通过 “信用中国(安徽)”网站信用报告核验系统 ( </w:t>
      </w:r>
      <w:r>
        <w:rPr>
          <w:rFonts w:hint="eastAsia" w:ascii="宋体" w:hAnsi="宋体" w:eastAsia="宋体" w:cs="宋体"/>
          <w:bCs/>
          <w:color w:val="auto"/>
          <w:kern w:val="0"/>
          <w:sz w:val="24"/>
          <w:szCs w:val="24"/>
          <w:highlight w:val="none"/>
          <w:vertAlign w:val="baseline"/>
          <w:lang w:val="en-US" w:eastAsia="zh-CN" w:bidi="ar"/>
        </w:rPr>
        <w:fldChar w:fldCharType="begin"/>
      </w:r>
      <w:r>
        <w:rPr>
          <w:rFonts w:hint="eastAsia" w:ascii="宋体" w:hAnsi="宋体" w:eastAsia="宋体" w:cs="宋体"/>
          <w:bCs/>
          <w:color w:val="auto"/>
          <w:kern w:val="0"/>
          <w:sz w:val="24"/>
          <w:szCs w:val="24"/>
          <w:highlight w:val="none"/>
          <w:vertAlign w:val="baseline"/>
          <w:lang w:val="en-US" w:eastAsia="zh-CN" w:bidi="ar"/>
        </w:rPr>
        <w:instrText xml:space="preserve"> HYPERLINK "https://credit.ah.gov.cn/xinyong-fuwu/xvbahv/index.html" </w:instrText>
      </w:r>
      <w:r>
        <w:rPr>
          <w:rFonts w:hint="eastAsia" w:ascii="宋体" w:hAnsi="宋体" w:eastAsia="宋体" w:cs="宋体"/>
          <w:bCs/>
          <w:color w:val="auto"/>
          <w:kern w:val="0"/>
          <w:sz w:val="24"/>
          <w:szCs w:val="24"/>
          <w:highlight w:val="none"/>
          <w:vertAlign w:val="baseline"/>
          <w:lang w:val="en-US" w:eastAsia="zh-CN" w:bidi="ar"/>
        </w:rPr>
        <w:fldChar w:fldCharType="separate"/>
      </w:r>
      <w:r>
        <w:rPr>
          <w:rFonts w:hint="eastAsia" w:ascii="宋体" w:hAnsi="宋体" w:eastAsia="宋体" w:cs="宋体"/>
          <w:bCs/>
          <w:color w:val="auto"/>
          <w:kern w:val="0"/>
          <w:sz w:val="24"/>
          <w:szCs w:val="24"/>
          <w:highlight w:val="none"/>
          <w:vertAlign w:val="baseline"/>
          <w:lang w:val="en-US" w:eastAsia="zh-CN" w:bidi="ar"/>
        </w:rPr>
        <w:t>https://credit.ah.gov.cn/xinyong-fuwu/xvbahv/index.html</w:t>
      </w:r>
      <w:r>
        <w:rPr>
          <w:rFonts w:hint="eastAsia" w:ascii="宋体" w:hAnsi="宋体" w:eastAsia="宋体" w:cs="宋体"/>
          <w:bCs/>
          <w:color w:val="auto"/>
          <w:kern w:val="0"/>
          <w:sz w:val="24"/>
          <w:szCs w:val="24"/>
          <w:highlight w:val="none"/>
          <w:vertAlign w:val="baseline"/>
          <w:lang w:val="en-US" w:eastAsia="zh-CN" w:bidi="ar"/>
        </w:rPr>
        <w:fldChar w:fldCharType="end"/>
      </w:r>
      <w:r>
        <w:rPr>
          <w:rFonts w:hint="eastAsia" w:ascii="宋体" w:hAnsi="宋体" w:eastAsia="宋体" w:cs="宋体"/>
          <w:bCs/>
          <w:color w:val="auto"/>
          <w:kern w:val="0"/>
          <w:sz w:val="24"/>
          <w:szCs w:val="24"/>
          <w:highlight w:val="none"/>
          <w:vertAlign w:val="baseline"/>
          <w:lang w:val="en-US" w:eastAsia="zh-CN" w:bidi="ar"/>
        </w:rPr>
        <w:t>)进行核验。核验不一致或提交《公共信用信息报告（无违法违规证明版或核查版）》的企业在省外有失信行为的将视作不诚信行为，资格审查委员会或评标委员会及代理机构应当及时报告公共资源监管部门，依法依规予以处理。</w:t>
      </w:r>
    </w:p>
    <w:p w14:paraId="5F3E05A0">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2" w:firstLineChars="200"/>
        <w:jc w:val="both"/>
        <w:textAlignment w:val="baseline"/>
        <w:rPr>
          <w:rFonts w:hint="eastAsia" w:ascii="宋体" w:hAnsi="宋体" w:eastAsia="宋体" w:cs="宋体"/>
          <w:b/>
          <w:bCs w:val="0"/>
          <w:color w:val="auto"/>
          <w:kern w:val="2"/>
          <w:sz w:val="24"/>
          <w:szCs w:val="24"/>
          <w:highlight w:val="none"/>
          <w:vertAlign w:val="baseline"/>
        </w:rPr>
      </w:pPr>
      <w:r>
        <w:rPr>
          <w:rFonts w:hint="eastAsia" w:ascii="宋体" w:hAnsi="宋体" w:eastAsia="宋体" w:cs="宋体"/>
          <w:b/>
          <w:bCs w:val="0"/>
          <w:color w:val="auto"/>
          <w:kern w:val="0"/>
          <w:sz w:val="24"/>
          <w:szCs w:val="24"/>
          <w:highlight w:val="none"/>
          <w:vertAlign w:val="baseline"/>
          <w:lang w:val="en-US" w:eastAsia="zh-CN" w:bidi="ar"/>
        </w:rPr>
        <w:t>2、“信用中国”查询的严重失信行为判定依据为各行业主管部门下发的联合惩戒文件中规定的行为（按附件2执行）。</w:t>
      </w:r>
    </w:p>
    <w:p w14:paraId="6DA71ACF">
      <w:pPr>
        <w:keepNext w:val="0"/>
        <w:keepLines w:val="0"/>
        <w:pageBreakBefore w:val="0"/>
        <w:widowControl/>
        <w:suppressLineNumbers w:val="0"/>
        <w:kinsoku/>
        <w:overflowPunct/>
        <w:topLinePunct w:val="0"/>
        <w:autoSpaceDE w:val="0"/>
        <w:autoSpaceDN/>
        <w:bidi w:val="0"/>
        <w:adjustRightInd/>
        <w:snapToGrid/>
        <w:spacing w:before="0" w:beforeAutospacing="0" w:afterAutospacing="0" w:line="480" w:lineRule="exact"/>
        <w:ind w:left="0" w:leftChars="0" w:right="0" w:firstLine="480" w:firstLineChars="200"/>
        <w:jc w:val="both"/>
        <w:textAlignment w:val="baseline"/>
        <w:rPr>
          <w:rFonts w:hint="eastAsia" w:ascii="宋体" w:hAnsi="宋体" w:eastAsia="宋体" w:cs="宋体"/>
          <w:bCs/>
          <w:color w:val="auto"/>
          <w:kern w:val="0"/>
          <w:sz w:val="24"/>
          <w:szCs w:val="24"/>
          <w:highlight w:val="none"/>
          <w:vertAlign w:val="baseline"/>
        </w:rPr>
      </w:pPr>
      <w:r>
        <w:rPr>
          <w:rFonts w:hint="eastAsia" w:ascii="宋体" w:hAnsi="宋体" w:eastAsia="宋体" w:cs="宋体"/>
          <w:bCs/>
          <w:color w:val="auto"/>
          <w:kern w:val="0"/>
          <w:sz w:val="24"/>
          <w:szCs w:val="24"/>
          <w:highlight w:val="none"/>
          <w:vertAlign w:val="baseline"/>
          <w:lang w:val="en-US" w:eastAsia="zh-CN" w:bidi="ar"/>
        </w:rPr>
        <w:t>3、资格预审的项目以递交资格预审申请文件截止时间查询为准；资格后审的项目以递交投标文件截止时间查询为准。</w:t>
      </w:r>
    </w:p>
    <w:p w14:paraId="3C5F0AB6">
      <w:pPr>
        <w:keepNext w:val="0"/>
        <w:keepLines w:val="0"/>
        <w:pageBreakBefore w:val="0"/>
        <w:widowControl w:val="0"/>
        <w:suppressLineNumbers w:val="0"/>
        <w:kinsoku/>
        <w:overflowPunct/>
        <w:topLinePunct w:val="0"/>
        <w:autoSpaceDN/>
        <w:bidi w:val="0"/>
        <w:adjustRightInd/>
        <w:snapToGrid/>
        <w:spacing w:before="0" w:beforeAutospacing="0" w:afterAutospacing="0" w:line="480" w:lineRule="exact"/>
        <w:ind w:left="0" w:leftChars="0" w:right="0"/>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 xml:space="preserve"> </w:t>
      </w:r>
    </w:p>
    <w:p w14:paraId="255FB49B">
      <w:pPr>
        <w:pStyle w:val="18"/>
        <w:keepNext w:val="0"/>
        <w:keepLines w:val="0"/>
        <w:pageBreakBefore w:val="0"/>
        <w:widowControl/>
        <w:suppressLineNumbers w:val="0"/>
        <w:kinsoku/>
        <w:overflowPunct/>
        <w:topLinePunct w:val="0"/>
        <w:autoSpaceDN/>
        <w:bidi w:val="0"/>
        <w:adjustRightInd/>
        <w:snapToGrid/>
        <w:spacing w:before="0" w:beforeAutospacing="0" w:after="0" w:afterAutospacing="0" w:line="480" w:lineRule="exact"/>
        <w:ind w:left="0" w:leftChars="0" w:right="0" w:firstLine="420" w:firstLineChars="200"/>
        <w:jc w:val="both"/>
        <w:rPr>
          <w:rFonts w:hint="eastAsia"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lang w:val="en-US" w:eastAsia="zh-CN" w:bidi="ar"/>
        </w:rPr>
        <w:t xml:space="preserve"> </w:t>
      </w:r>
    </w:p>
    <w:p w14:paraId="334189F2">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br w:type="page"/>
      </w:r>
      <w:r>
        <w:rPr>
          <w:rFonts w:hint="eastAsia" w:ascii="宋体" w:hAnsi="宋体" w:eastAsia="宋体" w:cs="宋体"/>
          <w:b/>
          <w:bCs w:val="0"/>
          <w:color w:val="auto"/>
          <w:kern w:val="2"/>
          <w:sz w:val="24"/>
          <w:szCs w:val="24"/>
          <w:highlight w:val="none"/>
          <w:lang w:val="en-US" w:eastAsia="zh-CN" w:bidi="ar"/>
        </w:rPr>
        <w:t>附件</w:t>
      </w:r>
      <w:r>
        <w:rPr>
          <w:rFonts w:hint="default" w:ascii="Times New Roman" w:hAnsi="Times New Roman" w:eastAsia="宋体" w:cs="Times New Roman"/>
          <w:b/>
          <w:bCs w:val="0"/>
          <w:color w:val="auto"/>
          <w:kern w:val="2"/>
          <w:sz w:val="24"/>
          <w:szCs w:val="24"/>
          <w:highlight w:val="none"/>
          <w:lang w:val="en-US" w:eastAsia="zh-CN" w:bidi="ar"/>
        </w:rPr>
        <w:t>2</w:t>
      </w:r>
    </w:p>
    <w:p w14:paraId="7063AA19">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“信用中国”查询的严重失信行为类别及判定依据</w:t>
      </w:r>
    </w:p>
    <w:p w14:paraId="65E454ED">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 xml:space="preserve"> </w:t>
      </w:r>
    </w:p>
    <w:p w14:paraId="27EF3CE5">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2"/>
          <w:sz w:val="24"/>
          <w:szCs w:val="24"/>
          <w:highlight w:val="none"/>
          <w:vertAlign w:val="baseline"/>
        </w:rPr>
      </w:pPr>
      <w:r>
        <w:rPr>
          <w:rFonts w:hint="eastAsia" w:ascii="宋体" w:hAnsi="宋体" w:eastAsia="宋体" w:cs="宋体"/>
          <w:color w:val="auto"/>
          <w:kern w:val="0"/>
          <w:sz w:val="24"/>
          <w:szCs w:val="24"/>
          <w:highlight w:val="none"/>
          <w:vertAlign w:val="baseline"/>
          <w:lang w:val="en-US" w:eastAsia="zh-CN" w:bidi="ar"/>
        </w:rPr>
        <w:t>“信用中国”查询的严重失信行为判定依据为各行业主管部门下发的联合惩戒文件中规定的行为。下面将部分类别的严重失信行为列举如下：</w:t>
      </w:r>
    </w:p>
    <w:p w14:paraId="55E8A48D">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Times New Roman"/>
          <w:b/>
          <w:bCs/>
          <w:color w:val="auto"/>
          <w:kern w:val="2"/>
          <w:sz w:val="24"/>
          <w:szCs w:val="24"/>
          <w:highlight w:val="none"/>
          <w:vertAlign w:val="baseline"/>
        </w:rPr>
      </w:pPr>
      <w:r>
        <w:rPr>
          <w:rFonts w:hint="eastAsia" w:ascii="宋体" w:hAnsi="宋体" w:eastAsia="宋体" w:cs="Times New Roman"/>
          <w:b/>
          <w:bCs/>
          <w:color w:val="auto"/>
          <w:kern w:val="0"/>
          <w:sz w:val="24"/>
          <w:szCs w:val="24"/>
          <w:highlight w:val="none"/>
          <w:vertAlign w:val="baseline"/>
          <w:lang w:val="en-US" w:eastAsia="zh-CN" w:bidi="ar"/>
        </w:rPr>
        <w:t xml:space="preserve"> </w:t>
      </w:r>
    </w:p>
    <w:p w14:paraId="29D7F218">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Times New Roman"/>
          <w:b/>
          <w:bCs/>
          <w:color w:val="auto"/>
          <w:kern w:val="2"/>
          <w:sz w:val="24"/>
          <w:szCs w:val="24"/>
          <w:highlight w:val="none"/>
          <w:vertAlign w:val="baseline"/>
        </w:rPr>
      </w:pPr>
      <w:r>
        <w:rPr>
          <w:rFonts w:hint="eastAsia" w:ascii="宋体" w:hAnsi="宋体" w:eastAsia="宋体" w:cs="宋体"/>
          <w:b/>
          <w:bCs/>
          <w:color w:val="auto"/>
          <w:kern w:val="0"/>
          <w:sz w:val="24"/>
          <w:szCs w:val="24"/>
          <w:highlight w:val="none"/>
          <w:vertAlign w:val="baseline"/>
          <w:lang w:val="en-US" w:eastAsia="zh-CN" w:bidi="ar"/>
        </w:rPr>
        <w:t>一、安全生产领域严重失信行为：</w:t>
      </w:r>
    </w:p>
    <w:p w14:paraId="317364D7">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（一）下列发生生产安全事故的生产经营单位及其有关人员应当列入严重失信主体名单：</w:t>
      </w:r>
    </w:p>
    <w:p w14:paraId="2DE17769">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1、发生特别重大、重大生产安全事故的生产经营单位及其主要负责人，以及经调查认定对该事故发生负有责任，应当列入名单的其他单位和人员；</w:t>
      </w:r>
    </w:p>
    <w:p w14:paraId="4D453933">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2、12个月内累计发生2起以上较大生产安全事故的生产经营单位及其主要负责人；</w:t>
      </w:r>
    </w:p>
    <w:p w14:paraId="451FF080">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3、发生生产安全事故，情节特别严重、影响特别恶劣，依照《中华人民共和国安全生产法》第一百一十四条的规定被处以罚款数额2倍以上5倍以下罚款的生产经营单位及其主要负责人；</w:t>
      </w:r>
    </w:p>
    <w:p w14:paraId="2B7BB67A">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4、瞒报、谎报生产安全事故的生产经营单位及其有关责任人员；</w:t>
      </w:r>
    </w:p>
    <w:p w14:paraId="00A1F0BA">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5、发生生产安全事故后，不立即组织抢救或者在事故调查处理期间擅离职守或者逃匿的生产经营单位主要负责人。</w:t>
      </w:r>
    </w:p>
    <w:p w14:paraId="33E00EA6">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（二）下列未发生生产安全事故，但因安全生产违法行为，受到行政处罚的生产经营单位或者机构及其有关人员，应当列入严重失信主体名单：</w:t>
      </w:r>
    </w:p>
    <w:p w14:paraId="04390122">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1、未依法取得安全生产相关许可或者许可被暂扣、吊销期间从事相关生产经营活动的生产经营单位及其主要负责人；</w:t>
      </w:r>
    </w:p>
    <w:p w14:paraId="256DF6E0">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2、承担安全评价、认证、检测、检验职责的机构及其直接责任人员租借资质、挂靠、出具虚假报告或者证书的；</w:t>
      </w:r>
    </w:p>
    <w:p w14:paraId="1F80974A">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3、在应急管理部门作出行政处罚后，有执行能力拒不执行或者逃避执行的生产经营单位及其主要负责人；</w:t>
      </w:r>
    </w:p>
    <w:p w14:paraId="53DB7D35">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2"/>
          <w:sz w:val="24"/>
          <w:szCs w:val="24"/>
          <w:highlight w:val="none"/>
          <w:vertAlign w:val="baseline"/>
        </w:rPr>
      </w:pPr>
      <w:r>
        <w:rPr>
          <w:rFonts w:hint="eastAsia" w:ascii="宋体" w:hAnsi="宋体" w:eastAsia="宋体" w:cs="宋体"/>
          <w:color w:val="auto"/>
          <w:kern w:val="0"/>
          <w:sz w:val="24"/>
          <w:szCs w:val="24"/>
          <w:highlight w:val="none"/>
          <w:vertAlign w:val="baseline"/>
          <w:lang w:val="en-US" w:eastAsia="zh-CN" w:bidi="ar"/>
        </w:rPr>
        <w:t>4、其他违反安全生产法律法规受到行政处罚，且性质恶劣、情节严重的。</w:t>
      </w:r>
    </w:p>
    <w:p w14:paraId="543EE269">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宋体"/>
          <w:b/>
          <w:bCs w:val="0"/>
          <w:color w:val="auto"/>
          <w:kern w:val="2"/>
          <w:sz w:val="24"/>
          <w:szCs w:val="24"/>
          <w:highlight w:val="none"/>
          <w:vertAlign w:val="baseline"/>
        </w:rPr>
      </w:pPr>
      <w:r>
        <w:rPr>
          <w:rFonts w:hint="eastAsia" w:ascii="宋体" w:hAnsi="宋体" w:eastAsia="宋体" w:cs="宋体"/>
          <w:b/>
          <w:bCs w:val="0"/>
          <w:color w:val="auto"/>
          <w:kern w:val="0"/>
          <w:sz w:val="24"/>
          <w:szCs w:val="24"/>
          <w:highlight w:val="none"/>
          <w:vertAlign w:val="baseline"/>
          <w:lang w:val="en-US" w:eastAsia="zh-CN" w:bidi="ar"/>
        </w:rPr>
        <w:t>依据：《安全生产严重失信主体名单管理办法》（2023年8月8日应急管理部令第11号）</w:t>
      </w:r>
    </w:p>
    <w:p w14:paraId="3FCCFCA1">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Times New Roman"/>
          <w:b/>
          <w:bCs/>
          <w:color w:val="auto"/>
          <w:kern w:val="2"/>
          <w:sz w:val="24"/>
          <w:szCs w:val="24"/>
          <w:highlight w:val="none"/>
          <w:vertAlign w:val="baseline"/>
        </w:rPr>
      </w:pPr>
      <w:r>
        <w:rPr>
          <w:rFonts w:hint="eastAsia" w:ascii="宋体" w:hAnsi="宋体" w:eastAsia="宋体" w:cs="Times New Roman"/>
          <w:b/>
          <w:bCs/>
          <w:color w:val="auto"/>
          <w:kern w:val="0"/>
          <w:sz w:val="24"/>
          <w:szCs w:val="24"/>
          <w:highlight w:val="none"/>
          <w:vertAlign w:val="baseline"/>
          <w:lang w:val="en-US" w:eastAsia="zh-CN" w:bidi="ar"/>
        </w:rPr>
        <w:t xml:space="preserve"> </w:t>
      </w:r>
    </w:p>
    <w:p w14:paraId="7D966E34">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Times New Roman"/>
          <w:b/>
          <w:bCs/>
          <w:color w:val="auto"/>
          <w:kern w:val="2"/>
          <w:sz w:val="24"/>
          <w:szCs w:val="24"/>
          <w:highlight w:val="none"/>
          <w:vertAlign w:val="baseline"/>
        </w:rPr>
      </w:pPr>
      <w:r>
        <w:rPr>
          <w:rFonts w:hint="eastAsia" w:ascii="宋体" w:hAnsi="宋体" w:eastAsia="宋体" w:cs="宋体"/>
          <w:b/>
          <w:bCs/>
          <w:color w:val="auto"/>
          <w:kern w:val="0"/>
          <w:sz w:val="24"/>
          <w:szCs w:val="24"/>
          <w:highlight w:val="none"/>
          <w:vertAlign w:val="baseline"/>
          <w:lang w:val="en-US" w:eastAsia="zh-CN" w:bidi="ar"/>
        </w:rPr>
        <w:t>二、环境保护领域严重失信行为：</w:t>
      </w:r>
    </w:p>
    <w:p w14:paraId="15FF40C0">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（一）因为环境违法构成</w:t>
      </w:r>
      <w:r>
        <w:rPr>
          <w:rFonts w:hint="eastAsia" w:ascii="宋体" w:hAnsi="宋体" w:eastAsia="宋体" w:cs="宋体"/>
          <w:color w:val="auto"/>
          <w:kern w:val="0"/>
          <w:sz w:val="24"/>
          <w:szCs w:val="24"/>
          <w:highlight w:val="none"/>
          <w:vertAlign w:val="baseline"/>
          <w:lang w:val="en-US" w:eastAsia="zh-CN" w:bidi="ar"/>
        </w:rPr>
        <w:fldChar w:fldCharType="begin"/>
      </w:r>
      <w:r>
        <w:rPr>
          <w:rFonts w:hint="eastAsia" w:ascii="宋体" w:hAnsi="宋体" w:eastAsia="宋体" w:cs="宋体"/>
          <w:color w:val="auto"/>
          <w:kern w:val="0"/>
          <w:sz w:val="24"/>
          <w:szCs w:val="24"/>
          <w:highlight w:val="none"/>
          <w:vertAlign w:val="baseline"/>
          <w:lang w:val="en-US" w:eastAsia="zh-CN" w:bidi="ar"/>
        </w:rPr>
        <w:instrText xml:space="preserve"> HYPERLINK "https://baike.sogou.com/m/fullLemma?lid=10403954&amp;g_ut=3" \t "https://baike.sogou.com/m/_blank" </w:instrText>
      </w:r>
      <w:r>
        <w:rPr>
          <w:rFonts w:hint="eastAsia" w:ascii="宋体" w:hAnsi="宋体" w:eastAsia="宋体" w:cs="宋体"/>
          <w:color w:val="auto"/>
          <w:kern w:val="0"/>
          <w:sz w:val="24"/>
          <w:szCs w:val="24"/>
          <w:highlight w:val="none"/>
          <w:vertAlign w:val="baseline"/>
          <w:lang w:val="en-US" w:eastAsia="zh-CN" w:bidi="ar"/>
        </w:rPr>
        <w:fldChar w:fldCharType="separate"/>
      </w:r>
      <w:r>
        <w:rPr>
          <w:rFonts w:hint="eastAsia" w:ascii="宋体" w:hAnsi="宋体" w:eastAsia="宋体" w:cs="宋体"/>
          <w:color w:val="auto"/>
          <w:kern w:val="0"/>
          <w:sz w:val="24"/>
          <w:szCs w:val="24"/>
          <w:highlight w:val="none"/>
          <w:vertAlign w:val="baseline"/>
          <w:lang w:val="en-US" w:eastAsia="zh-CN" w:bidi="ar"/>
        </w:rPr>
        <w:t>环境犯罪</w:t>
      </w:r>
      <w:r>
        <w:rPr>
          <w:rFonts w:hint="eastAsia" w:ascii="宋体" w:hAnsi="宋体" w:eastAsia="宋体" w:cs="宋体"/>
          <w:color w:val="auto"/>
          <w:kern w:val="0"/>
          <w:sz w:val="24"/>
          <w:szCs w:val="24"/>
          <w:highlight w:val="none"/>
          <w:vertAlign w:val="baseline"/>
          <w:lang w:val="en-US" w:eastAsia="zh-CN" w:bidi="ar"/>
        </w:rPr>
        <w:fldChar w:fldCharType="end"/>
      </w:r>
      <w:r>
        <w:rPr>
          <w:rFonts w:hint="eastAsia" w:ascii="宋体" w:hAnsi="宋体" w:eastAsia="宋体" w:cs="宋体"/>
          <w:color w:val="auto"/>
          <w:kern w:val="0"/>
          <w:sz w:val="24"/>
          <w:szCs w:val="24"/>
          <w:highlight w:val="none"/>
          <w:vertAlign w:val="baseline"/>
          <w:lang w:val="en-US" w:eastAsia="zh-CN" w:bidi="ar"/>
        </w:rPr>
        <w:t>的；</w:t>
      </w:r>
    </w:p>
    <w:p w14:paraId="7DE505CA">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（二）</w:t>
      </w:r>
      <w:r>
        <w:rPr>
          <w:rFonts w:hint="eastAsia" w:ascii="宋体" w:hAnsi="宋体" w:eastAsia="宋体" w:cs="宋体"/>
          <w:color w:val="auto"/>
          <w:kern w:val="0"/>
          <w:sz w:val="24"/>
          <w:szCs w:val="24"/>
          <w:highlight w:val="none"/>
          <w:vertAlign w:val="baseline"/>
          <w:lang w:val="en-US" w:eastAsia="zh-CN" w:bidi="ar"/>
        </w:rPr>
        <w:fldChar w:fldCharType="begin"/>
      </w:r>
      <w:r>
        <w:rPr>
          <w:rFonts w:hint="eastAsia" w:ascii="宋体" w:hAnsi="宋体" w:eastAsia="宋体" w:cs="宋体"/>
          <w:color w:val="auto"/>
          <w:kern w:val="0"/>
          <w:sz w:val="24"/>
          <w:szCs w:val="24"/>
          <w:highlight w:val="none"/>
          <w:vertAlign w:val="baseline"/>
          <w:lang w:val="en-US" w:eastAsia="zh-CN" w:bidi="ar"/>
        </w:rPr>
        <w:instrText xml:space="preserve"> HYPERLINK "https://baike.sogou.com/m/fullLemma?lid=76033123&amp;g_ut=3" \t "https://baike.sogou.com/m/_blank" </w:instrText>
      </w:r>
      <w:r>
        <w:rPr>
          <w:rFonts w:hint="eastAsia" w:ascii="宋体" w:hAnsi="宋体" w:eastAsia="宋体" w:cs="宋体"/>
          <w:color w:val="auto"/>
          <w:kern w:val="0"/>
          <w:sz w:val="24"/>
          <w:szCs w:val="24"/>
          <w:highlight w:val="none"/>
          <w:vertAlign w:val="baseline"/>
          <w:lang w:val="en-US" w:eastAsia="zh-CN" w:bidi="ar"/>
        </w:rPr>
        <w:fldChar w:fldCharType="separate"/>
      </w:r>
      <w:r>
        <w:rPr>
          <w:rFonts w:hint="eastAsia" w:ascii="宋体" w:hAnsi="宋体" w:eastAsia="宋体" w:cs="宋体"/>
          <w:color w:val="auto"/>
          <w:kern w:val="0"/>
          <w:sz w:val="24"/>
          <w:szCs w:val="24"/>
          <w:highlight w:val="none"/>
          <w:vertAlign w:val="baseline"/>
          <w:lang w:val="en-US" w:eastAsia="zh-CN" w:bidi="ar"/>
        </w:rPr>
        <w:t>建设项目环境影响评价</w:t>
      </w:r>
      <w:r>
        <w:rPr>
          <w:rFonts w:hint="eastAsia" w:ascii="宋体" w:hAnsi="宋体" w:eastAsia="宋体" w:cs="宋体"/>
          <w:color w:val="auto"/>
          <w:kern w:val="0"/>
          <w:sz w:val="24"/>
          <w:szCs w:val="24"/>
          <w:highlight w:val="none"/>
          <w:vertAlign w:val="baseline"/>
          <w:lang w:val="en-US" w:eastAsia="zh-CN" w:bidi="ar"/>
        </w:rPr>
        <w:fldChar w:fldCharType="end"/>
      </w:r>
      <w:r>
        <w:rPr>
          <w:rFonts w:hint="eastAsia" w:ascii="宋体" w:hAnsi="宋体" w:eastAsia="宋体" w:cs="宋体"/>
          <w:color w:val="auto"/>
          <w:kern w:val="0"/>
          <w:sz w:val="24"/>
          <w:szCs w:val="24"/>
          <w:highlight w:val="none"/>
          <w:vertAlign w:val="baseline"/>
          <w:lang w:val="en-US" w:eastAsia="zh-CN" w:bidi="ar"/>
        </w:rPr>
        <w:t>文件未按规定通过审批，擅自开工建设的；</w:t>
      </w:r>
    </w:p>
    <w:p w14:paraId="302F66A1">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（三）建设项目环保设施未建成、环保措施未落实、未通过</w:t>
      </w:r>
      <w:r>
        <w:rPr>
          <w:rFonts w:hint="eastAsia" w:ascii="宋体" w:hAnsi="宋体" w:eastAsia="宋体" w:cs="宋体"/>
          <w:color w:val="auto"/>
          <w:kern w:val="0"/>
          <w:sz w:val="24"/>
          <w:szCs w:val="24"/>
          <w:highlight w:val="none"/>
          <w:vertAlign w:val="baseline"/>
          <w:lang w:val="en-US" w:eastAsia="zh-CN" w:bidi="ar"/>
        </w:rPr>
        <w:fldChar w:fldCharType="begin"/>
      </w:r>
      <w:r>
        <w:rPr>
          <w:rFonts w:hint="eastAsia" w:ascii="宋体" w:hAnsi="宋体" w:eastAsia="宋体" w:cs="宋体"/>
          <w:color w:val="auto"/>
          <w:kern w:val="0"/>
          <w:sz w:val="24"/>
          <w:szCs w:val="24"/>
          <w:highlight w:val="none"/>
          <w:vertAlign w:val="baseline"/>
          <w:lang w:val="en-US" w:eastAsia="zh-CN" w:bidi="ar"/>
        </w:rPr>
        <w:instrText xml:space="preserve"> HYPERLINK "https://baike.sogou.com/m/fullLemma?lid=6470550&amp;g_ut=3" \t "https://baike.sogou.com/m/_blank" </w:instrText>
      </w:r>
      <w:r>
        <w:rPr>
          <w:rFonts w:hint="eastAsia" w:ascii="宋体" w:hAnsi="宋体" w:eastAsia="宋体" w:cs="宋体"/>
          <w:color w:val="auto"/>
          <w:kern w:val="0"/>
          <w:sz w:val="24"/>
          <w:szCs w:val="24"/>
          <w:highlight w:val="none"/>
          <w:vertAlign w:val="baseline"/>
          <w:lang w:val="en-US" w:eastAsia="zh-CN" w:bidi="ar"/>
        </w:rPr>
        <w:fldChar w:fldCharType="separate"/>
      </w:r>
      <w:r>
        <w:rPr>
          <w:rFonts w:hint="eastAsia" w:ascii="宋体" w:hAnsi="宋体" w:eastAsia="宋体" w:cs="宋体"/>
          <w:color w:val="auto"/>
          <w:kern w:val="0"/>
          <w:sz w:val="24"/>
          <w:szCs w:val="24"/>
          <w:highlight w:val="none"/>
          <w:vertAlign w:val="baseline"/>
          <w:lang w:val="en-US" w:eastAsia="zh-CN" w:bidi="ar"/>
        </w:rPr>
        <w:t>竣工环保验收</w:t>
      </w:r>
      <w:r>
        <w:rPr>
          <w:rFonts w:hint="eastAsia" w:ascii="宋体" w:hAnsi="宋体" w:eastAsia="宋体" w:cs="宋体"/>
          <w:color w:val="auto"/>
          <w:kern w:val="0"/>
          <w:sz w:val="24"/>
          <w:szCs w:val="24"/>
          <w:highlight w:val="none"/>
          <w:vertAlign w:val="baseline"/>
          <w:lang w:val="en-US" w:eastAsia="zh-CN" w:bidi="ar"/>
        </w:rPr>
        <w:fldChar w:fldCharType="end"/>
      </w:r>
      <w:r>
        <w:rPr>
          <w:rFonts w:hint="eastAsia" w:ascii="宋体" w:hAnsi="宋体" w:eastAsia="宋体" w:cs="宋体"/>
          <w:color w:val="auto"/>
          <w:kern w:val="0"/>
          <w:sz w:val="24"/>
          <w:szCs w:val="24"/>
          <w:highlight w:val="none"/>
          <w:vertAlign w:val="baseline"/>
          <w:lang w:val="en-US" w:eastAsia="zh-CN" w:bidi="ar"/>
        </w:rPr>
        <w:t>或者验收不合格，主体工程正式投入生产或者使用的；</w:t>
      </w:r>
    </w:p>
    <w:p w14:paraId="37B46F8B">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（四）建设项目性质、规模、地点、采用的生产工艺或者防治污染、防止生态破坏的措施发生重大变动，未重新报批环境影响评价文件，擅自投入生产或者使用的；</w:t>
      </w:r>
    </w:p>
    <w:p w14:paraId="55E01091">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（五）主要污染物排放总量超过控制指标的；</w:t>
      </w:r>
    </w:p>
    <w:p w14:paraId="5DA391D5">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（六）私设暗管或者利用</w:t>
      </w:r>
      <w:r>
        <w:rPr>
          <w:rFonts w:hint="eastAsia" w:ascii="宋体" w:hAnsi="宋体" w:eastAsia="宋体" w:cs="宋体"/>
          <w:color w:val="auto"/>
          <w:kern w:val="0"/>
          <w:sz w:val="24"/>
          <w:szCs w:val="24"/>
          <w:highlight w:val="none"/>
          <w:vertAlign w:val="baseline"/>
          <w:lang w:val="en-US" w:eastAsia="zh-CN" w:bidi="ar"/>
        </w:rPr>
        <w:fldChar w:fldCharType="begin"/>
      </w:r>
      <w:r>
        <w:rPr>
          <w:rFonts w:hint="eastAsia" w:ascii="宋体" w:hAnsi="宋体" w:eastAsia="宋体" w:cs="宋体"/>
          <w:color w:val="auto"/>
          <w:kern w:val="0"/>
          <w:sz w:val="24"/>
          <w:szCs w:val="24"/>
          <w:highlight w:val="none"/>
          <w:vertAlign w:val="baseline"/>
          <w:lang w:val="en-US" w:eastAsia="zh-CN" w:bidi="ar"/>
        </w:rPr>
        <w:instrText xml:space="preserve"> HYPERLINK "https://baike.sogou.com/m/fullLemma?lid=41657319&amp;g_ut=3" \t "https://baike.sogou.com/m/_blank" </w:instrText>
      </w:r>
      <w:r>
        <w:rPr>
          <w:rFonts w:hint="eastAsia" w:ascii="宋体" w:hAnsi="宋体" w:eastAsia="宋体" w:cs="宋体"/>
          <w:color w:val="auto"/>
          <w:kern w:val="0"/>
          <w:sz w:val="24"/>
          <w:szCs w:val="24"/>
          <w:highlight w:val="none"/>
          <w:vertAlign w:val="baseline"/>
          <w:lang w:val="en-US" w:eastAsia="zh-CN" w:bidi="ar"/>
        </w:rPr>
        <w:fldChar w:fldCharType="separate"/>
      </w:r>
      <w:r>
        <w:rPr>
          <w:rFonts w:hint="eastAsia" w:ascii="宋体" w:hAnsi="宋体" w:eastAsia="宋体" w:cs="宋体"/>
          <w:color w:val="auto"/>
          <w:kern w:val="0"/>
          <w:sz w:val="24"/>
          <w:szCs w:val="24"/>
          <w:highlight w:val="none"/>
          <w:vertAlign w:val="baseline"/>
          <w:lang w:val="en-US" w:eastAsia="zh-CN" w:bidi="ar"/>
        </w:rPr>
        <w:t>渗井</w:t>
      </w:r>
      <w:r>
        <w:rPr>
          <w:rFonts w:hint="eastAsia" w:ascii="宋体" w:hAnsi="宋体" w:eastAsia="宋体" w:cs="宋体"/>
          <w:color w:val="auto"/>
          <w:kern w:val="0"/>
          <w:sz w:val="24"/>
          <w:szCs w:val="24"/>
          <w:highlight w:val="none"/>
          <w:vertAlign w:val="baseline"/>
          <w:lang w:val="en-US" w:eastAsia="zh-CN" w:bidi="ar"/>
        </w:rPr>
        <w:fldChar w:fldCharType="end"/>
      </w:r>
      <w:r>
        <w:rPr>
          <w:rFonts w:hint="eastAsia" w:ascii="宋体" w:hAnsi="宋体" w:eastAsia="宋体" w:cs="宋体"/>
          <w:color w:val="auto"/>
          <w:kern w:val="0"/>
          <w:sz w:val="24"/>
          <w:szCs w:val="24"/>
          <w:highlight w:val="none"/>
          <w:vertAlign w:val="baseline"/>
          <w:lang w:val="en-US" w:eastAsia="zh-CN" w:bidi="ar"/>
        </w:rPr>
        <w:t>、渗坑、裂隙、溶洞等排放、倾倒、处置水污染物，或者通过私设旁路排放</w:t>
      </w:r>
      <w:r>
        <w:rPr>
          <w:rFonts w:hint="eastAsia" w:ascii="宋体" w:hAnsi="宋体" w:eastAsia="宋体" w:cs="宋体"/>
          <w:color w:val="auto"/>
          <w:kern w:val="0"/>
          <w:sz w:val="24"/>
          <w:szCs w:val="24"/>
          <w:highlight w:val="none"/>
          <w:vertAlign w:val="baseline"/>
          <w:lang w:val="en-US" w:eastAsia="zh-CN" w:bidi="ar"/>
        </w:rPr>
        <w:fldChar w:fldCharType="begin"/>
      </w:r>
      <w:r>
        <w:rPr>
          <w:rFonts w:hint="eastAsia" w:ascii="宋体" w:hAnsi="宋体" w:eastAsia="宋体" w:cs="宋体"/>
          <w:color w:val="auto"/>
          <w:kern w:val="0"/>
          <w:sz w:val="24"/>
          <w:szCs w:val="24"/>
          <w:highlight w:val="none"/>
          <w:vertAlign w:val="baseline"/>
          <w:lang w:val="en-US" w:eastAsia="zh-CN" w:bidi="ar"/>
        </w:rPr>
        <w:instrText xml:space="preserve"> HYPERLINK "https://baike.sogou.com/m/fullLemma?lid=7758328&amp;g_ut=3" \t "https://baike.sogou.com/m/_blank" </w:instrText>
      </w:r>
      <w:r>
        <w:rPr>
          <w:rFonts w:hint="eastAsia" w:ascii="宋体" w:hAnsi="宋体" w:eastAsia="宋体" w:cs="宋体"/>
          <w:color w:val="auto"/>
          <w:kern w:val="0"/>
          <w:sz w:val="24"/>
          <w:szCs w:val="24"/>
          <w:highlight w:val="none"/>
          <w:vertAlign w:val="baseline"/>
          <w:lang w:val="en-US" w:eastAsia="zh-CN" w:bidi="ar"/>
        </w:rPr>
        <w:fldChar w:fldCharType="separate"/>
      </w:r>
      <w:r>
        <w:rPr>
          <w:rFonts w:hint="eastAsia" w:ascii="宋体" w:hAnsi="宋体" w:eastAsia="宋体" w:cs="宋体"/>
          <w:color w:val="auto"/>
          <w:kern w:val="0"/>
          <w:sz w:val="24"/>
          <w:szCs w:val="24"/>
          <w:highlight w:val="none"/>
          <w:vertAlign w:val="baseline"/>
          <w:lang w:val="en-US" w:eastAsia="zh-CN" w:bidi="ar"/>
        </w:rPr>
        <w:t>大气污染物</w:t>
      </w:r>
      <w:r>
        <w:rPr>
          <w:rFonts w:hint="eastAsia" w:ascii="宋体" w:hAnsi="宋体" w:eastAsia="宋体" w:cs="宋体"/>
          <w:color w:val="auto"/>
          <w:kern w:val="0"/>
          <w:sz w:val="24"/>
          <w:szCs w:val="24"/>
          <w:highlight w:val="none"/>
          <w:vertAlign w:val="baseline"/>
          <w:lang w:val="en-US" w:eastAsia="zh-CN" w:bidi="ar"/>
        </w:rPr>
        <w:fldChar w:fldCharType="end"/>
      </w:r>
      <w:r>
        <w:rPr>
          <w:rFonts w:hint="eastAsia" w:ascii="宋体" w:hAnsi="宋体" w:eastAsia="宋体" w:cs="宋体"/>
          <w:color w:val="auto"/>
          <w:kern w:val="0"/>
          <w:sz w:val="24"/>
          <w:szCs w:val="24"/>
          <w:highlight w:val="none"/>
          <w:vertAlign w:val="baseline"/>
          <w:lang w:val="en-US" w:eastAsia="zh-CN" w:bidi="ar"/>
        </w:rPr>
        <w:t>的；</w:t>
      </w:r>
    </w:p>
    <w:p w14:paraId="2F2C9404">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（七）非法排放、倾倒、处置危险废物，或者向无</w:t>
      </w:r>
      <w:r>
        <w:rPr>
          <w:rFonts w:hint="eastAsia" w:ascii="宋体" w:hAnsi="宋体" w:eastAsia="宋体" w:cs="宋体"/>
          <w:color w:val="auto"/>
          <w:kern w:val="0"/>
          <w:sz w:val="24"/>
          <w:szCs w:val="24"/>
          <w:highlight w:val="none"/>
          <w:vertAlign w:val="baseline"/>
          <w:lang w:val="en-US" w:eastAsia="zh-CN" w:bidi="ar"/>
        </w:rPr>
        <w:fldChar w:fldCharType="begin"/>
      </w:r>
      <w:r>
        <w:rPr>
          <w:rFonts w:hint="eastAsia" w:ascii="宋体" w:hAnsi="宋体" w:eastAsia="宋体" w:cs="宋体"/>
          <w:color w:val="auto"/>
          <w:kern w:val="0"/>
          <w:sz w:val="24"/>
          <w:szCs w:val="24"/>
          <w:highlight w:val="none"/>
          <w:vertAlign w:val="baseline"/>
          <w:lang w:val="en-US" w:eastAsia="zh-CN" w:bidi="ar"/>
        </w:rPr>
        <w:instrText xml:space="preserve"> HYPERLINK "https://baike.sogou.com/m/fullLemma?lid=5923292&amp;g_ut=3" \t "https://baike.sogou.com/m/_blank" </w:instrText>
      </w:r>
      <w:r>
        <w:rPr>
          <w:rFonts w:hint="eastAsia" w:ascii="宋体" w:hAnsi="宋体" w:eastAsia="宋体" w:cs="宋体"/>
          <w:color w:val="auto"/>
          <w:kern w:val="0"/>
          <w:sz w:val="24"/>
          <w:szCs w:val="24"/>
          <w:highlight w:val="none"/>
          <w:vertAlign w:val="baseline"/>
          <w:lang w:val="en-US" w:eastAsia="zh-CN" w:bidi="ar"/>
        </w:rPr>
        <w:fldChar w:fldCharType="separate"/>
      </w:r>
      <w:r>
        <w:rPr>
          <w:rFonts w:hint="eastAsia" w:ascii="宋体" w:hAnsi="宋体" w:eastAsia="宋体" w:cs="宋体"/>
          <w:color w:val="auto"/>
          <w:kern w:val="0"/>
          <w:sz w:val="24"/>
          <w:szCs w:val="24"/>
          <w:highlight w:val="none"/>
          <w:vertAlign w:val="baseline"/>
          <w:lang w:val="en-US" w:eastAsia="zh-CN" w:bidi="ar"/>
        </w:rPr>
        <w:t>经营许可证</w:t>
      </w:r>
      <w:r>
        <w:rPr>
          <w:rFonts w:hint="eastAsia" w:ascii="宋体" w:hAnsi="宋体" w:eastAsia="宋体" w:cs="宋体"/>
          <w:color w:val="auto"/>
          <w:kern w:val="0"/>
          <w:sz w:val="24"/>
          <w:szCs w:val="24"/>
          <w:highlight w:val="none"/>
          <w:vertAlign w:val="baseline"/>
          <w:lang w:val="en-US" w:eastAsia="zh-CN" w:bidi="ar"/>
        </w:rPr>
        <w:fldChar w:fldCharType="end"/>
      </w:r>
      <w:r>
        <w:rPr>
          <w:rFonts w:hint="eastAsia" w:ascii="宋体" w:hAnsi="宋体" w:eastAsia="宋体" w:cs="宋体"/>
          <w:color w:val="auto"/>
          <w:kern w:val="0"/>
          <w:sz w:val="24"/>
          <w:szCs w:val="24"/>
          <w:highlight w:val="none"/>
          <w:vertAlign w:val="baseline"/>
          <w:lang w:val="en-US" w:eastAsia="zh-CN" w:bidi="ar"/>
        </w:rPr>
        <w:t>或者超出经营许可范围的单位或个人提供或者委托其收集、贮存、利用、处置危险废物的；</w:t>
      </w:r>
    </w:p>
    <w:p w14:paraId="1DB2D68F">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（八）</w:t>
      </w:r>
      <w:r>
        <w:rPr>
          <w:rFonts w:hint="eastAsia" w:ascii="宋体" w:hAnsi="宋体" w:eastAsia="宋体" w:cs="宋体"/>
          <w:color w:val="auto"/>
          <w:kern w:val="0"/>
          <w:sz w:val="24"/>
          <w:szCs w:val="24"/>
          <w:highlight w:val="none"/>
          <w:vertAlign w:val="baseline"/>
          <w:lang w:val="en-US" w:eastAsia="zh-CN" w:bidi="ar"/>
        </w:rPr>
        <w:fldChar w:fldCharType="begin"/>
      </w:r>
      <w:r>
        <w:rPr>
          <w:rFonts w:hint="eastAsia" w:ascii="宋体" w:hAnsi="宋体" w:eastAsia="宋体" w:cs="宋体"/>
          <w:color w:val="auto"/>
          <w:kern w:val="0"/>
          <w:sz w:val="24"/>
          <w:szCs w:val="24"/>
          <w:highlight w:val="none"/>
          <w:vertAlign w:val="baseline"/>
          <w:lang w:val="en-US" w:eastAsia="zh-CN" w:bidi="ar"/>
        </w:rPr>
        <w:instrText xml:space="preserve"> HYPERLINK "https://baike.sogou.com/m/fullLemma?lid=167759803&amp;g_ut=3" \t "https://baike.sogou.com/m/_blank" </w:instrText>
      </w:r>
      <w:r>
        <w:rPr>
          <w:rFonts w:hint="eastAsia" w:ascii="宋体" w:hAnsi="宋体" w:eastAsia="宋体" w:cs="宋体"/>
          <w:color w:val="auto"/>
          <w:kern w:val="0"/>
          <w:sz w:val="24"/>
          <w:szCs w:val="24"/>
          <w:highlight w:val="none"/>
          <w:vertAlign w:val="baseline"/>
          <w:lang w:val="en-US" w:eastAsia="zh-CN" w:bidi="ar"/>
        </w:rPr>
        <w:fldChar w:fldCharType="separate"/>
      </w:r>
      <w:r>
        <w:rPr>
          <w:rFonts w:hint="eastAsia" w:ascii="宋体" w:hAnsi="宋体" w:eastAsia="宋体" w:cs="宋体"/>
          <w:color w:val="auto"/>
          <w:kern w:val="0"/>
          <w:sz w:val="24"/>
          <w:szCs w:val="24"/>
          <w:highlight w:val="none"/>
          <w:vertAlign w:val="baseline"/>
          <w:lang w:val="en-US" w:eastAsia="zh-CN" w:bidi="ar"/>
        </w:rPr>
        <w:t>环境违法行为</w:t>
      </w:r>
      <w:r>
        <w:rPr>
          <w:rFonts w:hint="eastAsia" w:ascii="宋体" w:hAnsi="宋体" w:eastAsia="宋体" w:cs="宋体"/>
          <w:color w:val="auto"/>
          <w:kern w:val="0"/>
          <w:sz w:val="24"/>
          <w:szCs w:val="24"/>
          <w:highlight w:val="none"/>
          <w:vertAlign w:val="baseline"/>
          <w:lang w:val="en-US" w:eastAsia="zh-CN" w:bidi="ar"/>
        </w:rPr>
        <w:fldChar w:fldCharType="end"/>
      </w:r>
      <w:r>
        <w:rPr>
          <w:rFonts w:hint="eastAsia" w:ascii="宋体" w:hAnsi="宋体" w:eastAsia="宋体" w:cs="宋体"/>
          <w:color w:val="auto"/>
          <w:kern w:val="0"/>
          <w:sz w:val="24"/>
          <w:szCs w:val="24"/>
          <w:highlight w:val="none"/>
          <w:vertAlign w:val="baseline"/>
          <w:lang w:val="en-US" w:eastAsia="zh-CN" w:bidi="ar"/>
        </w:rPr>
        <w:t>造成集中式生活饮用水水源取水中断的；</w:t>
      </w:r>
    </w:p>
    <w:p w14:paraId="1090560E">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（九）环境违法行为对生活饮用水水源保护区、自然保护区、</w:t>
      </w:r>
      <w:r>
        <w:rPr>
          <w:rFonts w:hint="eastAsia" w:ascii="宋体" w:hAnsi="宋体" w:eastAsia="宋体" w:cs="宋体"/>
          <w:color w:val="auto"/>
          <w:kern w:val="0"/>
          <w:sz w:val="24"/>
          <w:szCs w:val="24"/>
          <w:highlight w:val="none"/>
          <w:vertAlign w:val="baseline"/>
          <w:lang w:val="en-US" w:eastAsia="zh-CN" w:bidi="ar"/>
        </w:rPr>
        <w:fldChar w:fldCharType="begin"/>
      </w:r>
      <w:r>
        <w:rPr>
          <w:rFonts w:hint="eastAsia" w:ascii="宋体" w:hAnsi="宋体" w:eastAsia="宋体" w:cs="宋体"/>
          <w:color w:val="auto"/>
          <w:kern w:val="0"/>
          <w:sz w:val="24"/>
          <w:szCs w:val="24"/>
          <w:highlight w:val="none"/>
          <w:vertAlign w:val="baseline"/>
          <w:lang w:val="en-US" w:eastAsia="zh-CN" w:bidi="ar"/>
        </w:rPr>
        <w:instrText xml:space="preserve"> HYPERLINK "https://baike.sogou.com/m/fullLemma?lid=155199213&amp;g_ut=3" \t "https://baike.sogou.com/m/_blank" </w:instrText>
      </w:r>
      <w:r>
        <w:rPr>
          <w:rFonts w:hint="eastAsia" w:ascii="宋体" w:hAnsi="宋体" w:eastAsia="宋体" w:cs="宋体"/>
          <w:color w:val="auto"/>
          <w:kern w:val="0"/>
          <w:sz w:val="24"/>
          <w:szCs w:val="24"/>
          <w:highlight w:val="none"/>
          <w:vertAlign w:val="baseline"/>
          <w:lang w:val="en-US" w:eastAsia="zh-CN" w:bidi="ar"/>
        </w:rPr>
        <w:fldChar w:fldCharType="separate"/>
      </w:r>
      <w:r>
        <w:rPr>
          <w:rFonts w:hint="eastAsia" w:ascii="宋体" w:hAnsi="宋体" w:eastAsia="宋体" w:cs="宋体"/>
          <w:color w:val="auto"/>
          <w:kern w:val="0"/>
          <w:sz w:val="24"/>
          <w:szCs w:val="24"/>
          <w:highlight w:val="none"/>
          <w:vertAlign w:val="baseline"/>
          <w:lang w:val="en-US" w:eastAsia="zh-CN" w:bidi="ar"/>
        </w:rPr>
        <w:t>国家重点生态功能区</w:t>
      </w:r>
      <w:r>
        <w:rPr>
          <w:rFonts w:hint="eastAsia" w:ascii="宋体" w:hAnsi="宋体" w:eastAsia="宋体" w:cs="宋体"/>
          <w:color w:val="auto"/>
          <w:kern w:val="0"/>
          <w:sz w:val="24"/>
          <w:szCs w:val="24"/>
          <w:highlight w:val="none"/>
          <w:vertAlign w:val="baseline"/>
          <w:lang w:val="en-US" w:eastAsia="zh-CN" w:bidi="ar"/>
        </w:rPr>
        <w:fldChar w:fldCharType="end"/>
      </w:r>
      <w:r>
        <w:rPr>
          <w:rFonts w:hint="eastAsia" w:ascii="宋体" w:hAnsi="宋体" w:eastAsia="宋体" w:cs="宋体"/>
          <w:color w:val="auto"/>
          <w:kern w:val="0"/>
          <w:sz w:val="24"/>
          <w:szCs w:val="24"/>
          <w:highlight w:val="none"/>
          <w:vertAlign w:val="baseline"/>
          <w:lang w:val="en-US" w:eastAsia="zh-CN" w:bidi="ar"/>
        </w:rPr>
        <w:t>、风景名胜区、居住功能区、</w:t>
      </w:r>
      <w:r>
        <w:rPr>
          <w:rFonts w:hint="eastAsia" w:ascii="宋体" w:hAnsi="宋体" w:eastAsia="宋体" w:cs="宋体"/>
          <w:color w:val="auto"/>
          <w:kern w:val="0"/>
          <w:sz w:val="24"/>
          <w:szCs w:val="24"/>
          <w:highlight w:val="none"/>
          <w:vertAlign w:val="baseline"/>
          <w:lang w:val="en-US" w:eastAsia="zh-CN" w:bidi="ar"/>
        </w:rPr>
        <w:fldChar w:fldCharType="begin"/>
      </w:r>
      <w:r>
        <w:rPr>
          <w:rFonts w:hint="eastAsia" w:ascii="宋体" w:hAnsi="宋体" w:eastAsia="宋体" w:cs="宋体"/>
          <w:color w:val="auto"/>
          <w:kern w:val="0"/>
          <w:sz w:val="24"/>
          <w:szCs w:val="24"/>
          <w:highlight w:val="none"/>
          <w:vertAlign w:val="baseline"/>
          <w:lang w:val="en-US" w:eastAsia="zh-CN" w:bidi="ar"/>
        </w:rPr>
        <w:instrText xml:space="preserve"> HYPERLINK "https://baike.sogou.com/m/fullLemma?lid=7757164&amp;g_ut=3" \t "https://baike.sogou.com/m/_blank" </w:instrText>
      </w:r>
      <w:r>
        <w:rPr>
          <w:rFonts w:hint="eastAsia" w:ascii="宋体" w:hAnsi="宋体" w:eastAsia="宋体" w:cs="宋体"/>
          <w:color w:val="auto"/>
          <w:kern w:val="0"/>
          <w:sz w:val="24"/>
          <w:szCs w:val="24"/>
          <w:highlight w:val="none"/>
          <w:vertAlign w:val="baseline"/>
          <w:lang w:val="en-US" w:eastAsia="zh-CN" w:bidi="ar"/>
        </w:rPr>
        <w:fldChar w:fldCharType="separate"/>
      </w:r>
      <w:r>
        <w:rPr>
          <w:rFonts w:hint="eastAsia" w:ascii="宋体" w:hAnsi="宋体" w:eastAsia="宋体" w:cs="宋体"/>
          <w:color w:val="auto"/>
          <w:kern w:val="0"/>
          <w:sz w:val="24"/>
          <w:szCs w:val="24"/>
          <w:highlight w:val="none"/>
          <w:vertAlign w:val="baseline"/>
          <w:lang w:val="en-US" w:eastAsia="zh-CN" w:bidi="ar"/>
        </w:rPr>
        <w:t>基本农田保护区</w:t>
      </w:r>
      <w:r>
        <w:rPr>
          <w:rFonts w:hint="eastAsia" w:ascii="宋体" w:hAnsi="宋体" w:eastAsia="宋体" w:cs="宋体"/>
          <w:color w:val="auto"/>
          <w:kern w:val="0"/>
          <w:sz w:val="24"/>
          <w:szCs w:val="24"/>
          <w:highlight w:val="none"/>
          <w:vertAlign w:val="baseline"/>
          <w:lang w:val="en-US" w:eastAsia="zh-CN" w:bidi="ar"/>
        </w:rPr>
        <w:fldChar w:fldCharType="end"/>
      </w:r>
      <w:r>
        <w:rPr>
          <w:rFonts w:hint="eastAsia" w:ascii="宋体" w:hAnsi="宋体" w:eastAsia="宋体" w:cs="宋体"/>
          <w:color w:val="auto"/>
          <w:kern w:val="0"/>
          <w:sz w:val="24"/>
          <w:szCs w:val="24"/>
          <w:highlight w:val="none"/>
          <w:vertAlign w:val="baseline"/>
          <w:lang w:val="en-US" w:eastAsia="zh-CN" w:bidi="ar"/>
        </w:rPr>
        <w:t>等环境敏感区造成重大不利影响的；</w:t>
      </w:r>
    </w:p>
    <w:p w14:paraId="33E70F5E">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（十）违法从事自然资源开发、交通基础设施建设，以及其他开发建设活动，造成严重生态破坏的；</w:t>
      </w:r>
    </w:p>
    <w:p w14:paraId="51E2D42F">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（十一）发生较大及以上突发环境事件的；</w:t>
      </w:r>
    </w:p>
    <w:p w14:paraId="04B70305">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（十二）被环保部门挂牌督办，整改逾期未完成的；</w:t>
      </w:r>
    </w:p>
    <w:p w14:paraId="4A0A235A">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（十三）以暴力、威胁等方式拒绝、阻挠环保部门工作人员现场检查的；</w:t>
      </w:r>
    </w:p>
    <w:p w14:paraId="6B9F7591">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2"/>
          <w:sz w:val="24"/>
          <w:szCs w:val="24"/>
          <w:highlight w:val="none"/>
          <w:vertAlign w:val="baseline"/>
        </w:rPr>
      </w:pPr>
      <w:r>
        <w:rPr>
          <w:rFonts w:hint="eastAsia" w:ascii="宋体" w:hAnsi="宋体" w:eastAsia="宋体" w:cs="宋体"/>
          <w:color w:val="auto"/>
          <w:kern w:val="0"/>
          <w:sz w:val="24"/>
          <w:szCs w:val="24"/>
          <w:highlight w:val="none"/>
          <w:vertAlign w:val="baseline"/>
          <w:lang w:val="en-US" w:eastAsia="zh-CN" w:bidi="ar"/>
        </w:rPr>
        <w:t>（十四）违反重污染天气应急预案有关规定，对重污染天气响应不力的。</w:t>
      </w:r>
    </w:p>
    <w:p w14:paraId="0AF0C09A">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宋体"/>
          <w:b/>
          <w:bCs w:val="0"/>
          <w:color w:val="auto"/>
          <w:kern w:val="2"/>
          <w:sz w:val="24"/>
          <w:szCs w:val="24"/>
          <w:highlight w:val="none"/>
          <w:vertAlign w:val="baseline"/>
        </w:rPr>
      </w:pPr>
      <w:r>
        <w:rPr>
          <w:rFonts w:hint="eastAsia" w:ascii="宋体" w:hAnsi="宋体" w:eastAsia="宋体" w:cs="宋体"/>
          <w:b/>
          <w:bCs w:val="0"/>
          <w:color w:val="auto"/>
          <w:kern w:val="0"/>
          <w:sz w:val="24"/>
          <w:szCs w:val="24"/>
          <w:highlight w:val="none"/>
          <w:vertAlign w:val="baseline"/>
          <w:lang w:val="en-US" w:eastAsia="zh-CN" w:bidi="ar"/>
        </w:rPr>
        <w:t>依据：《</w:t>
      </w:r>
      <w:bookmarkStart w:id="103" w:name="OLE_LINK8"/>
      <w:bookmarkStart w:id="104" w:name="OLE_LINK10"/>
      <w:bookmarkStart w:id="105" w:name="OLE_LINK9"/>
      <w:r>
        <w:rPr>
          <w:rFonts w:hint="eastAsia" w:ascii="宋体" w:hAnsi="宋体" w:eastAsia="宋体" w:cs="宋体"/>
          <w:b/>
          <w:bCs w:val="0"/>
          <w:color w:val="auto"/>
          <w:kern w:val="0"/>
          <w:sz w:val="24"/>
          <w:szCs w:val="24"/>
          <w:highlight w:val="none"/>
          <w:vertAlign w:val="baseline"/>
          <w:lang w:val="en-US" w:eastAsia="zh-CN" w:bidi="ar"/>
        </w:rPr>
        <w:t>关于对环境保护领域失信生产经营单位及其有关人员开展联合惩戒的合作备忘录</w:t>
      </w:r>
      <w:bookmarkEnd w:id="103"/>
      <w:bookmarkEnd w:id="104"/>
      <w:bookmarkEnd w:id="105"/>
      <w:r>
        <w:rPr>
          <w:rFonts w:hint="eastAsia" w:ascii="宋体" w:hAnsi="宋体" w:eastAsia="宋体" w:cs="宋体"/>
          <w:b/>
          <w:bCs w:val="0"/>
          <w:color w:val="auto"/>
          <w:kern w:val="0"/>
          <w:sz w:val="24"/>
          <w:szCs w:val="24"/>
          <w:highlight w:val="none"/>
          <w:vertAlign w:val="baseline"/>
          <w:lang w:val="en-US" w:eastAsia="zh-CN" w:bidi="ar"/>
        </w:rPr>
        <w:t>》、《</w:t>
      </w:r>
      <w:bookmarkStart w:id="106" w:name="OLE_LINK11"/>
      <w:bookmarkStart w:id="107" w:name="OLE_LINK12"/>
      <w:r>
        <w:rPr>
          <w:rFonts w:hint="eastAsia" w:ascii="宋体" w:hAnsi="宋体" w:eastAsia="宋体" w:cs="宋体"/>
          <w:b/>
          <w:bCs w:val="0"/>
          <w:color w:val="auto"/>
          <w:kern w:val="0"/>
          <w:sz w:val="24"/>
          <w:szCs w:val="24"/>
          <w:highlight w:val="none"/>
          <w:vertAlign w:val="baseline"/>
          <w:lang w:val="en-US" w:eastAsia="zh-CN" w:bidi="ar"/>
        </w:rPr>
        <w:t>企业环境信用评价办法（试行）</w:t>
      </w:r>
      <w:bookmarkEnd w:id="106"/>
      <w:bookmarkEnd w:id="107"/>
      <w:r>
        <w:rPr>
          <w:rFonts w:hint="eastAsia" w:ascii="宋体" w:hAnsi="宋体" w:eastAsia="宋体" w:cs="宋体"/>
          <w:b/>
          <w:bCs w:val="0"/>
          <w:color w:val="auto"/>
          <w:kern w:val="0"/>
          <w:sz w:val="24"/>
          <w:szCs w:val="24"/>
          <w:highlight w:val="none"/>
          <w:vertAlign w:val="baseline"/>
          <w:lang w:val="en-US" w:eastAsia="zh-CN" w:bidi="ar"/>
        </w:rPr>
        <w:t>》（环发〔2013〕150号）</w:t>
      </w:r>
    </w:p>
    <w:p w14:paraId="4E832695">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Times New Roman"/>
          <w:b/>
          <w:bCs/>
          <w:color w:val="auto"/>
          <w:kern w:val="2"/>
          <w:sz w:val="24"/>
          <w:szCs w:val="24"/>
          <w:highlight w:val="none"/>
          <w:vertAlign w:val="baseline"/>
        </w:rPr>
      </w:pPr>
      <w:r>
        <w:rPr>
          <w:rFonts w:hint="eastAsia" w:ascii="宋体" w:hAnsi="宋体" w:eastAsia="宋体" w:cs="Times New Roman"/>
          <w:b/>
          <w:bCs/>
          <w:color w:val="auto"/>
          <w:kern w:val="0"/>
          <w:sz w:val="24"/>
          <w:szCs w:val="24"/>
          <w:highlight w:val="none"/>
          <w:vertAlign w:val="baseline"/>
          <w:lang w:val="en-US" w:eastAsia="zh-CN" w:bidi="ar"/>
        </w:rPr>
        <w:t xml:space="preserve"> </w:t>
      </w:r>
    </w:p>
    <w:p w14:paraId="264C27EC">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Times New Roman"/>
          <w:b/>
          <w:bCs/>
          <w:color w:val="auto"/>
          <w:kern w:val="2"/>
          <w:sz w:val="24"/>
          <w:szCs w:val="24"/>
          <w:highlight w:val="none"/>
          <w:vertAlign w:val="baseline"/>
        </w:rPr>
      </w:pPr>
      <w:r>
        <w:rPr>
          <w:rFonts w:hint="eastAsia" w:ascii="宋体" w:hAnsi="宋体" w:eastAsia="宋体" w:cs="宋体"/>
          <w:b/>
          <w:bCs/>
          <w:color w:val="auto"/>
          <w:kern w:val="0"/>
          <w:sz w:val="24"/>
          <w:szCs w:val="24"/>
          <w:highlight w:val="none"/>
          <w:vertAlign w:val="baseline"/>
          <w:lang w:val="en-US" w:eastAsia="zh-CN" w:bidi="ar"/>
        </w:rPr>
        <w:t>三、公共资源交易领域严重失信行为</w:t>
      </w:r>
    </w:p>
    <w:p w14:paraId="6EA04698">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（一）违反法律规定，必须进行招标的项目而不招标的，将必须进行招标的项目化整为零或者以其他任何方式规避招标的； </w:t>
      </w:r>
    </w:p>
    <w:p w14:paraId="445F7E5C">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（二）招标代理机构违反法律规定，泄露应当保密的与招标投标活动有关的情况和资料的，或者与招标人、投标人串通损害 国家利益、社会公共利益或者他人合法权益的；</w:t>
      </w:r>
    </w:p>
    <w:p w14:paraId="6B623CB4">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（三）招标人以不合理的条件限制或者排斥潜在投标人的，对潜在投标人实行歧视待遇的，强制要求投标人组成联合体共同 投标的，或者限制投标人之间竞争的；</w:t>
      </w:r>
    </w:p>
    <w:p w14:paraId="5F24B433">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（四）依法必须进行招标的项目的招标人向他人透露已获取招标文件的潜在投标人的名称、数量或者可能影响公平竞争的有 关招标投标的其他情况的，或者泄露标底的；</w:t>
      </w:r>
    </w:p>
    <w:p w14:paraId="75EC6D1D">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（五）投标人相互串通投标或者与招标人串通投标的，投标人以向招标人或者评标委员会成员行贿的手段谋取中标的； </w:t>
      </w:r>
    </w:p>
    <w:p w14:paraId="2A4E75C2">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（六）投标人以他人名义投标或者以其他方式弄虚作假，骗取中标的；</w:t>
      </w:r>
    </w:p>
    <w:p w14:paraId="5D94E8E1">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（七）依法必须进行招标的项目，招标人违反法律规定，与投标人就投标价格、投标方案等实质性内容进行谈判的；</w:t>
      </w:r>
    </w:p>
    <w:p w14:paraId="1B3706BC">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（八）评标委员会成员收受投标人的财物或者其他好处的，评标委员会成员或者参加评标的有关工作人员向他人透露对投 标文件的评审和比较、中标候选人的推荐以及与评标有关的其他 情况的； </w:t>
      </w:r>
    </w:p>
    <w:p w14:paraId="37E73A8D">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（九）招标人在评标委员会依法推荐的中标候选人以外确定中标人的，依法必须进行招标的项目在所有投标被评标委员会否 决后自行确定中标人的； </w:t>
      </w:r>
    </w:p>
    <w:p w14:paraId="5F5FE86F">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（十）中标人将中标项目转让给他人的，将中标项目肢解后分别转让给他人的，违反法律规定将中标项目的部分主体、关键 性工作分包给他人的，或者分包人再次分包的； </w:t>
      </w:r>
    </w:p>
    <w:p w14:paraId="430DD000">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（十一）招标人与中标人不按照招标文件和中标人的投标文件订立合同的，或者招标人、中标人订立背离合同实质性内容的 协议的； </w:t>
      </w:r>
    </w:p>
    <w:p w14:paraId="78D2FB17">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（十二）中标人不按照与招标人订立的合同履行义务，情节严重的； </w:t>
      </w:r>
    </w:p>
    <w:p w14:paraId="4203AD04">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（十三）采购人、采购代理机构存在应当采用公开招标方式而擅自采用其他方式采购，擅自提高采购标准，以不合理的条件 对供应商实行差别待遇或者歧视待遇，在招标采购过程中与投标 人进行协商谈判，中标、成交通知书发出后不与中标、成交供应商签订采购合同，或者拒绝有关部门依法实施监督检查等情形的；</w:t>
      </w:r>
    </w:p>
    <w:p w14:paraId="12A1E64E">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 （十四）采购人、采购代理机构及其工作人员存在与供应商 或者采购代理机构恶意串通，在采购过程中接受贿赂或者获取其 他不正当利益，在有关部门依法实施的监督检查中提供虚假情况， 或者开标前泄露标底等情形的；</w:t>
      </w:r>
    </w:p>
    <w:p w14:paraId="555CE896">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 （十五）采购人对应当实行集中采购的政府采购项目，不委托集中采购机构实行集中采购的； </w:t>
      </w:r>
    </w:p>
    <w:p w14:paraId="3B943433">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（十六）采购人、采购代理机构违反法律规定隐匿、销毁应当保存的采购文件或者伪造、变造采购文件的； </w:t>
      </w:r>
    </w:p>
    <w:p w14:paraId="15C804BB">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（十七）供应商存在提供虚假材料谋取中标、成交，采取不 正当手段诋毁、排挤其他供应商，与采购人、其他供应商或者采 购代理机构恶意串通，向采购人、采购代理机构行贿或者提供其 他不正当利益，在招标采购过程中与采购人进行协商谈判，或拒 绝有关部门监督检查或者提供虚假情况等情形的； </w:t>
      </w:r>
    </w:p>
    <w:p w14:paraId="49A09621">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（十八）疫苗生产企业向县级疾病预防控制机构以外的单位或者个人销售第二类疫苗的； </w:t>
      </w:r>
    </w:p>
    <w:p w14:paraId="7D2F2642">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Times New Roman"/>
          <w:color w:val="auto"/>
          <w:kern w:val="2"/>
          <w:sz w:val="24"/>
          <w:szCs w:val="24"/>
          <w:highlight w:val="none"/>
          <w:vertAlign w:val="baseline"/>
        </w:rPr>
      </w:pPr>
      <w:r>
        <w:rPr>
          <w:rFonts w:hint="eastAsia" w:ascii="宋体" w:hAnsi="宋体" w:eastAsia="宋体" w:cs="宋体"/>
          <w:color w:val="auto"/>
          <w:kern w:val="0"/>
          <w:sz w:val="24"/>
          <w:szCs w:val="24"/>
          <w:highlight w:val="none"/>
          <w:vertAlign w:val="baseline"/>
          <w:lang w:val="en-US" w:eastAsia="zh-CN" w:bidi="ar"/>
        </w:rPr>
        <w:t>（十九）存在其他违反公共资源交易法律法规行为的。</w:t>
      </w:r>
    </w:p>
    <w:p w14:paraId="75A27940">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宋体"/>
          <w:b/>
          <w:bCs w:val="0"/>
          <w:color w:val="auto"/>
          <w:kern w:val="2"/>
          <w:sz w:val="24"/>
          <w:szCs w:val="24"/>
          <w:highlight w:val="none"/>
          <w:vertAlign w:val="baseline"/>
        </w:rPr>
      </w:pPr>
      <w:r>
        <w:rPr>
          <w:rFonts w:hint="eastAsia" w:ascii="宋体" w:hAnsi="宋体" w:eastAsia="宋体" w:cs="宋体"/>
          <w:b/>
          <w:bCs w:val="0"/>
          <w:color w:val="auto"/>
          <w:kern w:val="0"/>
          <w:sz w:val="24"/>
          <w:szCs w:val="24"/>
          <w:highlight w:val="none"/>
          <w:vertAlign w:val="baseline"/>
          <w:lang w:val="en-US" w:eastAsia="zh-CN" w:bidi="ar"/>
        </w:rPr>
        <w:t>依据：《关于对公共资源交易领域严重失信主体开展联合惩戒的备忘录》（发改法规〔2018〕457号）</w:t>
      </w:r>
    </w:p>
    <w:p w14:paraId="4570FA5A">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宋体"/>
          <w:b/>
          <w:bCs/>
          <w:color w:val="auto"/>
          <w:kern w:val="2"/>
          <w:sz w:val="24"/>
          <w:szCs w:val="24"/>
          <w:highlight w:val="none"/>
          <w:vertAlign w:val="baseline"/>
        </w:rPr>
      </w:pPr>
      <w:r>
        <w:rPr>
          <w:rFonts w:hint="eastAsia" w:ascii="宋体" w:hAnsi="宋体" w:eastAsia="宋体" w:cs="宋体"/>
          <w:b/>
          <w:bCs/>
          <w:color w:val="auto"/>
          <w:kern w:val="0"/>
          <w:sz w:val="24"/>
          <w:szCs w:val="24"/>
          <w:highlight w:val="none"/>
          <w:vertAlign w:val="baseline"/>
          <w:lang w:val="en-US" w:eastAsia="zh-CN" w:bidi="ar"/>
        </w:rPr>
        <w:t xml:space="preserve"> </w:t>
      </w:r>
    </w:p>
    <w:p w14:paraId="72E68EFC">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宋体"/>
          <w:b/>
          <w:bCs/>
          <w:color w:val="auto"/>
          <w:kern w:val="2"/>
          <w:sz w:val="24"/>
          <w:szCs w:val="24"/>
          <w:highlight w:val="none"/>
          <w:vertAlign w:val="baseline"/>
        </w:rPr>
      </w:pPr>
      <w:r>
        <w:rPr>
          <w:rFonts w:hint="eastAsia" w:ascii="宋体" w:hAnsi="宋体" w:eastAsia="宋体" w:cs="宋体"/>
          <w:b/>
          <w:bCs/>
          <w:color w:val="auto"/>
          <w:kern w:val="0"/>
          <w:sz w:val="24"/>
          <w:szCs w:val="24"/>
          <w:highlight w:val="none"/>
          <w:vertAlign w:val="baseline"/>
          <w:lang w:val="en-US" w:eastAsia="zh-CN" w:bidi="ar"/>
        </w:rPr>
        <w:t>四、社会保险领域严重失信行为</w:t>
      </w:r>
    </w:p>
    <w:p w14:paraId="7FB23B24">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（一）用人单位未按相关规定参加社会保险且拒不整改的； </w:t>
      </w:r>
    </w:p>
    <w:p w14:paraId="782774A6">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（二）用人单位未如实申报社会保险缴费基数且拒不整改的； </w:t>
      </w:r>
    </w:p>
    <w:p w14:paraId="0D81EEE7">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（三）应缴纳社会保险费却拒不缴纳的； </w:t>
      </w:r>
    </w:p>
    <w:p w14:paraId="4CFBE7A2">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（四）隐匿、转移、侵占、挪用社会保险费款、基金或者违规投资运营的；</w:t>
      </w:r>
    </w:p>
    <w:p w14:paraId="44C3B94C">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（五）以欺诈、伪造证明材料或者其他手段参加、申报社会保险和骗取社会保险基金支出或社会保险待遇的； </w:t>
      </w:r>
    </w:p>
    <w:p w14:paraId="7844E150">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（六）非法获取、出售或变相交易社会保险个人权益数据的； </w:t>
      </w:r>
    </w:p>
    <w:p w14:paraId="3999948F">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（七）社会保险服务机构违反服务协议或相关规定的； </w:t>
      </w:r>
    </w:p>
    <w:p w14:paraId="6E44A2B7">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 xml:space="preserve">（八）拒绝协助社会保险行政部门、经办机构对事故和问题进 行调查核实的；拒绝接受或协助税务部门对社会保险实施监督检查， 不如实提供与社会保险相关各项资料的； </w:t>
      </w:r>
    </w:p>
    <w:p w14:paraId="5791D07E">
      <w:pPr>
        <w:keepNext w:val="0"/>
        <w:keepLines w:val="0"/>
        <w:widowControl/>
        <w:suppressLineNumbers w:val="0"/>
        <w:autoSpaceDE w:val="0"/>
        <w:autoSpaceDN/>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2"/>
          <w:sz w:val="24"/>
          <w:szCs w:val="24"/>
          <w:highlight w:val="none"/>
          <w:vertAlign w:val="baseline"/>
        </w:rPr>
      </w:pPr>
      <w:r>
        <w:rPr>
          <w:rFonts w:hint="eastAsia" w:ascii="宋体" w:hAnsi="宋体" w:eastAsia="宋体" w:cs="宋体"/>
          <w:color w:val="auto"/>
          <w:kern w:val="0"/>
          <w:sz w:val="24"/>
          <w:szCs w:val="24"/>
          <w:highlight w:val="none"/>
          <w:vertAlign w:val="baseline"/>
          <w:lang w:val="en-US" w:eastAsia="zh-CN" w:bidi="ar"/>
        </w:rPr>
        <w:t>（九）其他违反法律法规规定的。</w:t>
      </w:r>
    </w:p>
    <w:p w14:paraId="4EEA53B1">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宋体"/>
          <w:b/>
          <w:bCs w:val="0"/>
          <w:color w:val="auto"/>
          <w:kern w:val="2"/>
          <w:sz w:val="24"/>
          <w:szCs w:val="24"/>
          <w:highlight w:val="none"/>
          <w:vertAlign w:val="baseline"/>
        </w:rPr>
      </w:pPr>
      <w:r>
        <w:rPr>
          <w:rFonts w:hint="eastAsia" w:ascii="宋体" w:hAnsi="宋体" w:eastAsia="宋体" w:cs="宋体"/>
          <w:b/>
          <w:bCs w:val="0"/>
          <w:color w:val="auto"/>
          <w:kern w:val="0"/>
          <w:sz w:val="24"/>
          <w:szCs w:val="24"/>
          <w:highlight w:val="none"/>
          <w:vertAlign w:val="baseline"/>
          <w:lang w:val="en-US" w:eastAsia="zh-CN" w:bidi="ar"/>
        </w:rPr>
        <w:t>依据：《关于对社会保险领域严重失信企业及其有关人员实施联合惩戒的合作备忘录》（发改财金〔2018〕1704号）</w:t>
      </w:r>
    </w:p>
    <w:p w14:paraId="7F7DC26E">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宋体"/>
          <w:b/>
          <w:bCs/>
          <w:color w:val="auto"/>
          <w:kern w:val="2"/>
          <w:sz w:val="24"/>
          <w:szCs w:val="24"/>
          <w:highlight w:val="none"/>
          <w:vertAlign w:val="baseline"/>
        </w:rPr>
      </w:pPr>
      <w:r>
        <w:rPr>
          <w:rFonts w:hint="eastAsia" w:ascii="宋体" w:hAnsi="宋体" w:eastAsia="宋体" w:cs="宋体"/>
          <w:b/>
          <w:bCs/>
          <w:color w:val="auto"/>
          <w:kern w:val="0"/>
          <w:sz w:val="24"/>
          <w:szCs w:val="24"/>
          <w:highlight w:val="none"/>
          <w:vertAlign w:val="baseline"/>
          <w:lang w:val="en-US" w:eastAsia="zh-CN" w:bidi="ar"/>
        </w:rPr>
        <w:t xml:space="preserve"> </w:t>
      </w:r>
    </w:p>
    <w:p w14:paraId="2E0BEDEB">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宋体"/>
          <w:b/>
          <w:bCs/>
          <w:color w:val="auto"/>
          <w:kern w:val="2"/>
          <w:sz w:val="24"/>
          <w:szCs w:val="24"/>
          <w:highlight w:val="none"/>
          <w:vertAlign w:val="baseline"/>
        </w:rPr>
      </w:pPr>
      <w:r>
        <w:rPr>
          <w:rFonts w:hint="eastAsia" w:ascii="宋体" w:hAnsi="宋体" w:eastAsia="宋体" w:cs="宋体"/>
          <w:b/>
          <w:bCs/>
          <w:color w:val="auto"/>
          <w:kern w:val="0"/>
          <w:sz w:val="24"/>
          <w:szCs w:val="24"/>
          <w:highlight w:val="none"/>
          <w:vertAlign w:val="baseline"/>
          <w:lang w:val="en-US" w:eastAsia="zh-CN" w:bidi="ar"/>
        </w:rPr>
        <w:t>五、建筑市场领域严重失信行为</w:t>
      </w:r>
    </w:p>
    <w:p w14:paraId="76F863FC">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（一）利用虚假材料、以欺骗手段取得企业资质的；</w:t>
      </w:r>
    </w:p>
    <w:p w14:paraId="5E6DBAAB">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（二）发生转包、出借资质，受到行政处罚的；</w:t>
      </w:r>
    </w:p>
    <w:p w14:paraId="3805580F">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（三）发生重大及以上工程质量安全事故，或1年内累计发生2次及以上较大工程质量安全事故，或发生性质恶劣、危害性严重、社会影响大的较大工程质量安全事故，受到行政处罚的；</w:t>
      </w:r>
    </w:p>
    <w:p w14:paraId="5AFB3742">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（四）经法院判决或仲裁机构裁决，认定为拖欠工程款,且拒不履行生效法律文书确定的义务的。</w:t>
      </w:r>
    </w:p>
    <w:p w14:paraId="4648DD34">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2"/>
          <w:sz w:val="24"/>
          <w:szCs w:val="24"/>
          <w:highlight w:val="none"/>
          <w:vertAlign w:val="baseline"/>
        </w:rPr>
      </w:pPr>
      <w:r>
        <w:rPr>
          <w:rFonts w:hint="eastAsia" w:ascii="宋体" w:hAnsi="宋体" w:eastAsia="宋体" w:cs="宋体"/>
          <w:color w:val="auto"/>
          <w:kern w:val="0"/>
          <w:sz w:val="24"/>
          <w:szCs w:val="24"/>
          <w:highlight w:val="none"/>
          <w:vertAlign w:val="baseline"/>
          <w:lang w:val="en-US" w:eastAsia="zh-CN" w:bidi="ar"/>
        </w:rPr>
        <w:t>各级住房城乡建设主管部门应当参照建筑市场主体“黑名单”，对被人力资源社会保障行政部门列入拖欠农民工工资“黑名单”的建筑市场各方主体加强监管。</w:t>
      </w:r>
    </w:p>
    <w:p w14:paraId="4557A17C">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宋体"/>
          <w:color w:val="auto"/>
          <w:kern w:val="2"/>
          <w:sz w:val="24"/>
          <w:szCs w:val="24"/>
          <w:highlight w:val="none"/>
          <w:vertAlign w:val="baseline"/>
        </w:rPr>
      </w:pPr>
      <w:r>
        <w:rPr>
          <w:rFonts w:hint="eastAsia" w:ascii="宋体" w:hAnsi="宋体" w:eastAsia="宋体" w:cs="宋体"/>
          <w:b/>
          <w:bCs w:val="0"/>
          <w:color w:val="auto"/>
          <w:kern w:val="0"/>
          <w:sz w:val="24"/>
          <w:szCs w:val="24"/>
          <w:highlight w:val="none"/>
          <w:vertAlign w:val="baseline"/>
          <w:lang w:val="en-US" w:eastAsia="zh-CN" w:bidi="ar"/>
        </w:rPr>
        <w:t>依据：《</w:t>
      </w:r>
      <w:bookmarkStart w:id="108" w:name="OLE_LINK17"/>
      <w:bookmarkStart w:id="109" w:name="OLE_LINK18"/>
      <w:r>
        <w:rPr>
          <w:rFonts w:hint="eastAsia" w:ascii="宋体" w:hAnsi="宋体" w:eastAsia="宋体" w:cs="宋体"/>
          <w:b/>
          <w:bCs w:val="0"/>
          <w:color w:val="auto"/>
          <w:kern w:val="0"/>
          <w:sz w:val="24"/>
          <w:szCs w:val="24"/>
          <w:highlight w:val="none"/>
          <w:vertAlign w:val="baseline"/>
          <w:lang w:val="en-US" w:eastAsia="zh-CN" w:bidi="ar"/>
        </w:rPr>
        <w:t>建筑市场信用管理暂行办法</w:t>
      </w:r>
      <w:bookmarkEnd w:id="108"/>
      <w:bookmarkEnd w:id="109"/>
      <w:r>
        <w:rPr>
          <w:rFonts w:hint="eastAsia" w:ascii="宋体" w:hAnsi="宋体" w:eastAsia="宋体" w:cs="宋体"/>
          <w:b/>
          <w:bCs w:val="0"/>
          <w:color w:val="auto"/>
          <w:kern w:val="0"/>
          <w:sz w:val="24"/>
          <w:szCs w:val="24"/>
          <w:highlight w:val="none"/>
          <w:vertAlign w:val="baseline"/>
          <w:lang w:val="en-US" w:eastAsia="zh-CN" w:bidi="ar"/>
        </w:rPr>
        <w:t>》（建市〔2017〕241号）</w:t>
      </w:r>
    </w:p>
    <w:p w14:paraId="433A80D7">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宋体"/>
          <w:b/>
          <w:bCs/>
          <w:color w:val="auto"/>
          <w:kern w:val="2"/>
          <w:sz w:val="24"/>
          <w:szCs w:val="24"/>
          <w:highlight w:val="none"/>
          <w:vertAlign w:val="baseline"/>
        </w:rPr>
      </w:pPr>
      <w:r>
        <w:rPr>
          <w:rFonts w:hint="eastAsia" w:ascii="宋体" w:hAnsi="宋体" w:eastAsia="宋体" w:cs="宋体"/>
          <w:b/>
          <w:bCs/>
          <w:color w:val="auto"/>
          <w:kern w:val="0"/>
          <w:sz w:val="24"/>
          <w:szCs w:val="24"/>
          <w:highlight w:val="none"/>
          <w:vertAlign w:val="baseline"/>
          <w:lang w:val="en-US" w:eastAsia="zh-CN" w:bidi="ar"/>
        </w:rPr>
        <w:t xml:space="preserve"> </w:t>
      </w:r>
    </w:p>
    <w:p w14:paraId="1EADFE36">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宋体"/>
          <w:b/>
          <w:bCs/>
          <w:color w:val="auto"/>
          <w:kern w:val="2"/>
          <w:sz w:val="24"/>
          <w:szCs w:val="24"/>
          <w:highlight w:val="none"/>
          <w:vertAlign w:val="baseline"/>
        </w:rPr>
      </w:pPr>
      <w:r>
        <w:rPr>
          <w:rFonts w:hint="eastAsia" w:ascii="宋体" w:hAnsi="宋体" w:eastAsia="宋体" w:cs="宋体"/>
          <w:b/>
          <w:bCs/>
          <w:color w:val="auto"/>
          <w:kern w:val="0"/>
          <w:sz w:val="24"/>
          <w:szCs w:val="24"/>
          <w:highlight w:val="none"/>
          <w:vertAlign w:val="baseline"/>
          <w:lang w:val="en-US" w:eastAsia="zh-CN" w:bidi="ar"/>
        </w:rPr>
        <w:t>六、政府采购严重失信行为</w:t>
      </w:r>
    </w:p>
    <w:p w14:paraId="40FE8E9A">
      <w:pPr>
        <w:keepNext w:val="0"/>
        <w:keepLines w:val="0"/>
        <w:widowControl/>
        <w:suppressLineNumbers w:val="0"/>
        <w:autoSpaceDE w:val="0"/>
        <w:autoSpaceDN/>
        <w:spacing w:before="0" w:beforeAutospacing="0" w:after="0" w:afterAutospacing="0" w:line="480" w:lineRule="exact"/>
        <w:ind w:left="0" w:right="0" w:firstLine="480" w:firstLineChars="200"/>
        <w:jc w:val="left"/>
        <w:textAlignment w:val="baseline"/>
        <w:rPr>
          <w:rFonts w:hint="eastAsia" w:ascii="宋体" w:hAnsi="宋体" w:eastAsia="宋体" w:cs="Times New Roman"/>
          <w:color w:val="auto"/>
          <w:kern w:val="2"/>
          <w:sz w:val="24"/>
          <w:szCs w:val="24"/>
          <w:highlight w:val="none"/>
          <w:vertAlign w:val="baseline"/>
        </w:rPr>
      </w:pPr>
      <w:r>
        <w:rPr>
          <w:rFonts w:hint="eastAsia" w:ascii="宋体" w:hAnsi="宋体" w:eastAsia="宋体" w:cs="宋体"/>
          <w:color w:val="auto"/>
          <w:kern w:val="0"/>
          <w:sz w:val="24"/>
          <w:szCs w:val="24"/>
          <w:highlight w:val="none"/>
          <w:vertAlign w:val="baseline"/>
          <w:lang w:val="en-US" w:eastAsia="zh-CN" w:bidi="ar"/>
        </w:rPr>
        <w:t>供应商、采购代理机构在三年内受到财政部门作出下列情形之一的行政处罚，列入政府采购严重违法失信行为记录名单。</w:t>
      </w:r>
      <w:r>
        <w:rPr>
          <w:rFonts w:hint="eastAsia" w:ascii="宋体" w:hAnsi="宋体" w:eastAsia="宋体" w:cs="宋体"/>
          <w:color w:val="auto"/>
          <w:kern w:val="0"/>
          <w:sz w:val="24"/>
          <w:szCs w:val="24"/>
          <w:highlight w:val="none"/>
          <w:vertAlign w:val="baseline"/>
          <w:lang w:val="en-US" w:eastAsia="zh-CN" w:bidi="ar"/>
        </w:rPr>
        <w:br w:type="textWrapping"/>
      </w:r>
      <w:r>
        <w:rPr>
          <w:rFonts w:hint="eastAsia" w:ascii="宋体" w:hAnsi="宋体" w:eastAsia="宋体" w:cs="宋体"/>
          <w:color w:val="auto"/>
          <w:kern w:val="0"/>
          <w:sz w:val="24"/>
          <w:szCs w:val="24"/>
          <w:highlight w:val="none"/>
          <w:vertAlign w:val="baseline"/>
          <w:lang w:val="en-US" w:eastAsia="zh-CN" w:bidi="ar"/>
        </w:rPr>
        <w:t>　　（一）三万元以上罚款；</w:t>
      </w:r>
      <w:r>
        <w:rPr>
          <w:rFonts w:hint="eastAsia" w:ascii="宋体" w:hAnsi="宋体" w:eastAsia="宋体" w:cs="宋体"/>
          <w:color w:val="auto"/>
          <w:kern w:val="0"/>
          <w:sz w:val="24"/>
          <w:szCs w:val="24"/>
          <w:highlight w:val="none"/>
          <w:vertAlign w:val="baseline"/>
          <w:lang w:val="en-US" w:eastAsia="zh-CN" w:bidi="ar"/>
        </w:rPr>
        <w:br w:type="textWrapping"/>
      </w:r>
      <w:r>
        <w:rPr>
          <w:rFonts w:hint="eastAsia" w:ascii="宋体" w:hAnsi="宋体" w:eastAsia="宋体" w:cs="宋体"/>
          <w:color w:val="auto"/>
          <w:kern w:val="0"/>
          <w:sz w:val="24"/>
          <w:szCs w:val="24"/>
          <w:highlight w:val="none"/>
          <w:vertAlign w:val="baseline"/>
          <w:lang w:val="en-US" w:eastAsia="zh-CN" w:bidi="ar"/>
        </w:rPr>
        <w:t>　　（二）在一至三年内禁止参加政府采购活动（处罚期限届满的除外）；</w:t>
      </w:r>
      <w:r>
        <w:rPr>
          <w:rFonts w:hint="eastAsia" w:ascii="宋体" w:hAnsi="宋体" w:eastAsia="宋体" w:cs="宋体"/>
          <w:color w:val="auto"/>
          <w:kern w:val="0"/>
          <w:sz w:val="24"/>
          <w:szCs w:val="24"/>
          <w:highlight w:val="none"/>
          <w:vertAlign w:val="baseline"/>
          <w:lang w:val="en-US" w:eastAsia="zh-CN" w:bidi="ar"/>
        </w:rPr>
        <w:br w:type="textWrapping"/>
      </w:r>
      <w:r>
        <w:rPr>
          <w:rFonts w:hint="eastAsia" w:ascii="宋体" w:hAnsi="宋体" w:eastAsia="宋体" w:cs="宋体"/>
          <w:color w:val="auto"/>
          <w:kern w:val="0"/>
          <w:sz w:val="24"/>
          <w:szCs w:val="24"/>
          <w:highlight w:val="none"/>
          <w:vertAlign w:val="baseline"/>
          <w:lang w:val="en-US" w:eastAsia="zh-CN" w:bidi="ar"/>
        </w:rPr>
        <w:t>　　（三）在一至三年内禁止代理政府采购业务（处罚期限届满的除外）；</w:t>
      </w:r>
      <w:r>
        <w:rPr>
          <w:rFonts w:hint="eastAsia" w:ascii="宋体" w:hAnsi="宋体" w:eastAsia="宋体" w:cs="宋体"/>
          <w:color w:val="auto"/>
          <w:kern w:val="0"/>
          <w:sz w:val="24"/>
          <w:szCs w:val="24"/>
          <w:highlight w:val="none"/>
          <w:vertAlign w:val="baseline"/>
          <w:lang w:val="en-US" w:eastAsia="zh-CN" w:bidi="ar"/>
        </w:rPr>
        <w:br w:type="textWrapping"/>
      </w:r>
      <w:r>
        <w:rPr>
          <w:rFonts w:hint="eastAsia" w:ascii="宋体" w:hAnsi="宋体" w:eastAsia="宋体" w:cs="宋体"/>
          <w:color w:val="auto"/>
          <w:kern w:val="0"/>
          <w:sz w:val="24"/>
          <w:szCs w:val="24"/>
          <w:highlight w:val="none"/>
          <w:vertAlign w:val="baseline"/>
          <w:lang w:val="en-US" w:eastAsia="zh-CN" w:bidi="ar"/>
        </w:rPr>
        <w:t>　 （四）撤销政府采购代理机构资格（仅针对《政府采购法》第78条修改前作出的处罚决定）。</w:t>
      </w:r>
    </w:p>
    <w:p w14:paraId="239A333F">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Times New Roman"/>
          <w:b/>
          <w:bCs w:val="0"/>
          <w:color w:val="auto"/>
          <w:kern w:val="2"/>
          <w:sz w:val="24"/>
          <w:szCs w:val="24"/>
          <w:highlight w:val="none"/>
          <w:vertAlign w:val="baseline"/>
        </w:rPr>
      </w:pPr>
      <w:r>
        <w:rPr>
          <w:rFonts w:hint="eastAsia" w:ascii="宋体" w:hAnsi="宋体" w:eastAsia="宋体" w:cs="宋体"/>
          <w:b/>
          <w:bCs w:val="0"/>
          <w:color w:val="auto"/>
          <w:kern w:val="0"/>
          <w:sz w:val="24"/>
          <w:szCs w:val="24"/>
          <w:highlight w:val="none"/>
          <w:vertAlign w:val="baseline"/>
          <w:lang w:val="en-US" w:eastAsia="zh-CN" w:bidi="ar"/>
        </w:rPr>
        <w:t>依据：《关于报送政府采购严重违法失信行为信息记录的通知》（财办库〔2014〕526号）</w:t>
      </w:r>
    </w:p>
    <w:p w14:paraId="28BA71BA">
      <w:pPr>
        <w:keepNext w:val="0"/>
        <w:keepLines w:val="0"/>
        <w:widowControl/>
        <w:suppressLineNumbers w:val="0"/>
        <w:autoSpaceDE w:val="0"/>
        <w:autoSpaceDN/>
        <w:spacing w:before="0" w:beforeAutospacing="0" w:after="0" w:afterAutospacing="0" w:line="480" w:lineRule="exact"/>
        <w:ind w:left="0" w:right="0" w:firstLine="482" w:firstLineChars="200"/>
        <w:jc w:val="left"/>
        <w:textAlignment w:val="baseline"/>
        <w:rPr>
          <w:rFonts w:hint="eastAsia" w:ascii="宋体" w:hAnsi="宋体" w:eastAsia="宋体" w:cs="宋体"/>
          <w:color w:val="auto"/>
          <w:kern w:val="2"/>
          <w:sz w:val="24"/>
          <w:szCs w:val="24"/>
          <w:highlight w:val="none"/>
          <w:vertAlign w:val="baseline"/>
        </w:rPr>
      </w:pPr>
      <w:r>
        <w:rPr>
          <w:rFonts w:hint="eastAsia" w:ascii="宋体" w:hAnsi="宋体" w:eastAsia="宋体" w:cs="宋体"/>
          <w:b/>
          <w:bCs/>
          <w:color w:val="auto"/>
          <w:kern w:val="0"/>
          <w:sz w:val="24"/>
          <w:szCs w:val="24"/>
          <w:highlight w:val="none"/>
          <w:vertAlign w:val="baseline"/>
          <w:lang w:val="en-US" w:eastAsia="zh-CN" w:bidi="ar"/>
        </w:rPr>
        <w:t xml:space="preserve"> </w:t>
      </w:r>
      <w:r>
        <w:rPr>
          <w:rFonts w:hint="eastAsia" w:ascii="宋体" w:hAnsi="宋体" w:eastAsia="宋体" w:cs="宋体"/>
          <w:color w:val="auto"/>
          <w:kern w:val="0"/>
          <w:sz w:val="24"/>
          <w:szCs w:val="24"/>
          <w:highlight w:val="none"/>
          <w:vertAlign w:val="baseline"/>
          <w:lang w:val="en-US" w:eastAsia="zh-CN" w:bidi="ar"/>
        </w:rPr>
        <w:t xml:space="preserve"> </w:t>
      </w:r>
    </w:p>
    <w:p w14:paraId="4B42CF7D">
      <w:pPr>
        <w:keepNext w:val="0"/>
        <w:keepLines w:val="0"/>
        <w:widowControl/>
        <w:suppressLineNumbers w:val="0"/>
        <w:autoSpaceDE w:val="0"/>
        <w:autoSpaceDN/>
        <w:spacing w:before="0" w:beforeAutospacing="0" w:after="0" w:afterAutospacing="0" w:line="480" w:lineRule="exact"/>
        <w:ind w:left="0" w:right="0" w:firstLine="482" w:firstLineChars="200"/>
        <w:jc w:val="both"/>
        <w:textAlignment w:val="baseline"/>
        <w:rPr>
          <w:rFonts w:hint="eastAsia" w:ascii="宋体" w:hAnsi="宋体" w:eastAsia="宋体" w:cs="宋体"/>
          <w:b/>
          <w:bCs/>
          <w:color w:val="auto"/>
          <w:kern w:val="2"/>
          <w:sz w:val="24"/>
          <w:szCs w:val="24"/>
          <w:highlight w:val="none"/>
          <w:vertAlign w:val="baseline"/>
        </w:rPr>
      </w:pPr>
      <w:r>
        <w:rPr>
          <w:rFonts w:hint="eastAsia" w:ascii="宋体" w:hAnsi="宋体" w:eastAsia="宋体" w:cs="宋体"/>
          <w:b/>
          <w:bCs/>
          <w:color w:val="auto"/>
          <w:kern w:val="0"/>
          <w:sz w:val="24"/>
          <w:szCs w:val="24"/>
          <w:highlight w:val="none"/>
          <w:vertAlign w:val="baseline"/>
          <w:lang w:val="en-US" w:eastAsia="zh-CN" w:bidi="ar"/>
        </w:rPr>
        <w:t>未列出的其他类别严重失信行为，由招标人（代理机构）根据各类别行业主管部门下发的联合惩戒文件进行判断。</w:t>
      </w:r>
    </w:p>
    <w:p w14:paraId="2E5D720B">
      <w:pPr>
        <w:keepNext w:val="0"/>
        <w:keepLines w:val="0"/>
        <w:widowControl w:val="0"/>
        <w:suppressLineNumbers w:val="0"/>
        <w:spacing w:before="0" w:beforeAutospacing="0" w:after="0" w:afterAutospacing="0" w:line="440" w:lineRule="exact"/>
        <w:ind w:left="0" w:right="0" w:firstLine="615"/>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 xml:space="preserve"> </w:t>
      </w:r>
    </w:p>
    <w:p w14:paraId="715B8DB7">
      <w:pPr>
        <w:keepNext w:val="0"/>
        <w:keepLines w:val="0"/>
        <w:widowControl w:val="0"/>
        <w:suppressLineNumbers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p>
    <w:p w14:paraId="2C316BB6">
      <w:pPr>
        <w:spacing w:line="360" w:lineRule="auto"/>
        <w:ind w:firstLine="435"/>
        <w:rPr>
          <w:rFonts w:hint="eastAsia" w:asciiTheme="minorEastAsia" w:hAnsiTheme="minorEastAsia" w:eastAsiaTheme="minorEastAsia"/>
          <w:color w:val="auto"/>
          <w:sz w:val="24"/>
          <w:highlight w:val="none"/>
          <w:lang w:eastAsia="zh-CN"/>
        </w:rPr>
      </w:pPr>
    </w:p>
    <w:p w14:paraId="258B769A">
      <w:pPr>
        <w:spacing w:line="360" w:lineRule="auto"/>
        <w:ind w:firstLine="435"/>
        <w:rPr>
          <w:rFonts w:hint="eastAsia" w:asciiTheme="minorEastAsia" w:hAnsiTheme="minorEastAsia" w:eastAsiaTheme="minorEastAsia"/>
          <w:color w:val="auto"/>
          <w:sz w:val="24"/>
          <w:highlight w:val="none"/>
          <w:lang w:eastAsia="zh-CN"/>
        </w:rPr>
      </w:pPr>
    </w:p>
    <w:p w14:paraId="0D13D884">
      <w:pPr>
        <w:spacing w:line="360" w:lineRule="auto"/>
        <w:ind w:firstLine="435"/>
        <w:rPr>
          <w:rFonts w:hint="eastAsia" w:asciiTheme="minorEastAsia" w:hAnsiTheme="minorEastAsia" w:eastAsiaTheme="minorEastAsia"/>
          <w:color w:val="auto"/>
          <w:sz w:val="24"/>
          <w:highlight w:val="none"/>
          <w:lang w:eastAsia="zh-CN"/>
        </w:rPr>
      </w:pPr>
    </w:p>
    <w:p w14:paraId="16C16A3F">
      <w:pPr>
        <w:spacing w:line="360" w:lineRule="auto"/>
        <w:ind w:firstLine="435"/>
        <w:rPr>
          <w:rFonts w:asciiTheme="minorEastAsia" w:hAnsiTheme="minorEastAsia" w:eastAsiaTheme="minorEastAsia"/>
          <w:color w:val="auto"/>
          <w:sz w:val="24"/>
          <w:highlight w:val="none"/>
        </w:rPr>
      </w:pPr>
    </w:p>
    <w:p w14:paraId="7063CBB1">
      <w:pPr>
        <w:widowControl/>
        <w:jc w:val="left"/>
        <w:rPr>
          <w:rFonts w:ascii="宋体" w:hAnsi="宋体" w:eastAsia="宋体"/>
          <w:bCs/>
          <w:color w:val="auto"/>
          <w:sz w:val="24"/>
          <w:highlight w:val="none"/>
        </w:rPr>
      </w:pPr>
      <w:r>
        <w:rPr>
          <w:rFonts w:ascii="宋体" w:hAnsi="宋体" w:eastAsia="宋体"/>
          <w:bCs/>
          <w:color w:val="auto"/>
          <w:sz w:val="24"/>
          <w:highlight w:val="none"/>
        </w:rPr>
        <w:br w:type="page"/>
      </w:r>
    </w:p>
    <w:p w14:paraId="4B477752">
      <w:pPr>
        <w:spacing w:line="360" w:lineRule="auto"/>
        <w:jc w:val="center"/>
        <w:outlineLvl w:val="0"/>
        <w:rPr>
          <w:rFonts w:ascii="宋体" w:hAnsi="宋体" w:eastAsia="宋体"/>
          <w:b/>
          <w:bCs/>
          <w:color w:val="auto"/>
          <w:sz w:val="28"/>
          <w:highlight w:val="none"/>
        </w:rPr>
      </w:pPr>
      <w:bookmarkStart w:id="110" w:name="_Toc6435"/>
      <w:bookmarkStart w:id="111" w:name="_Toc20819"/>
      <w:r>
        <w:rPr>
          <w:rFonts w:hint="eastAsia" w:asciiTheme="minorEastAsia" w:hAnsiTheme="minorEastAsia" w:eastAsiaTheme="minorEastAsia"/>
          <w:b/>
          <w:color w:val="auto"/>
          <w:sz w:val="28"/>
          <w:highlight w:val="none"/>
        </w:rPr>
        <w:t>第</w:t>
      </w:r>
      <w:r>
        <w:rPr>
          <w:rFonts w:hint="eastAsia" w:asciiTheme="minorEastAsia" w:hAnsiTheme="minorEastAsia" w:eastAsiaTheme="minorEastAsia"/>
          <w:b/>
          <w:color w:val="auto"/>
          <w:sz w:val="28"/>
          <w:highlight w:val="none"/>
          <w:lang w:val="en-US" w:eastAsia="zh-CN"/>
        </w:rPr>
        <w:t>七</w:t>
      </w:r>
      <w:r>
        <w:rPr>
          <w:rFonts w:hint="eastAsia" w:asciiTheme="minorEastAsia" w:hAnsiTheme="minorEastAsia" w:eastAsiaTheme="minorEastAsia"/>
          <w:b/>
          <w:color w:val="auto"/>
          <w:sz w:val="28"/>
          <w:highlight w:val="none"/>
        </w:rPr>
        <w:t>章</w:t>
      </w:r>
      <w:r>
        <w:rPr>
          <w:rFonts w:hint="eastAsia" w:ascii="宋体" w:hAnsi="宋体" w:eastAsia="宋体"/>
          <w:b/>
          <w:bCs/>
          <w:color w:val="auto"/>
          <w:sz w:val="28"/>
          <w:highlight w:val="none"/>
        </w:rPr>
        <w:t xml:space="preserve">  政府采购</w:t>
      </w:r>
      <w:r>
        <w:rPr>
          <w:rFonts w:hint="eastAsia" w:asciiTheme="minorEastAsia" w:hAnsiTheme="minorEastAsia" w:eastAsiaTheme="minorEastAsia"/>
          <w:b/>
          <w:color w:val="auto"/>
          <w:sz w:val="28"/>
          <w:highlight w:val="none"/>
        </w:rPr>
        <w:t>供应</w:t>
      </w:r>
      <w:r>
        <w:rPr>
          <w:rFonts w:hint="eastAsia" w:ascii="宋体" w:hAnsi="宋体" w:eastAsia="宋体"/>
          <w:b/>
          <w:bCs/>
          <w:color w:val="auto"/>
          <w:sz w:val="28"/>
          <w:highlight w:val="none"/>
        </w:rPr>
        <w:t>商询问函和质疑函范本</w:t>
      </w:r>
      <w:bookmarkEnd w:id="110"/>
      <w:bookmarkEnd w:id="111"/>
    </w:p>
    <w:p w14:paraId="5D541A1C">
      <w:pPr>
        <w:spacing w:line="360" w:lineRule="auto"/>
        <w:jc w:val="center"/>
        <w:outlineLvl w:val="1"/>
        <w:rPr>
          <w:rFonts w:ascii="仿宋" w:hAnsi="仿宋" w:eastAsia="仿宋" w:cs="仿宋"/>
          <w:b/>
          <w:bCs/>
          <w:color w:val="auto"/>
          <w:sz w:val="32"/>
          <w:szCs w:val="44"/>
          <w:highlight w:val="none"/>
        </w:rPr>
      </w:pPr>
      <w:bookmarkStart w:id="112" w:name="_Toc27159"/>
      <w:bookmarkStart w:id="113" w:name="_Toc6955"/>
      <w:r>
        <w:rPr>
          <w:rFonts w:hint="eastAsia" w:ascii="仿宋" w:hAnsi="仿宋" w:eastAsia="仿宋" w:cs="仿宋"/>
          <w:b/>
          <w:bCs/>
          <w:color w:val="auto"/>
          <w:sz w:val="32"/>
          <w:szCs w:val="44"/>
          <w:highlight w:val="none"/>
        </w:rPr>
        <w:t>询问函范本</w:t>
      </w:r>
      <w:bookmarkEnd w:id="112"/>
      <w:bookmarkEnd w:id="113"/>
    </w:p>
    <w:p w14:paraId="05013E03">
      <w:pPr>
        <w:adjustRightInd w:val="0"/>
        <w:snapToGrid w:val="0"/>
        <w:spacing w:line="360" w:lineRule="auto"/>
        <w:ind w:firstLine="480" w:firstLineChars="200"/>
        <w:jc w:val="center"/>
        <w:rPr>
          <w:rFonts w:ascii="仿宋" w:hAnsi="仿宋" w:eastAsia="仿宋" w:cs="仿宋"/>
          <w:b/>
          <w:bCs/>
          <w:color w:val="auto"/>
          <w:sz w:val="32"/>
          <w:szCs w:val="44"/>
          <w:highlight w:val="none"/>
        </w:rPr>
      </w:pPr>
      <w:r>
        <w:rPr>
          <w:rFonts w:hint="eastAsia" w:cs="仿宋" w:asciiTheme="minorEastAsia" w:hAnsiTheme="minorEastAsia" w:eastAsiaTheme="minorEastAsia"/>
          <w:i/>
          <w:iCs/>
          <w:color w:val="auto"/>
          <w:sz w:val="24"/>
          <w:szCs w:val="24"/>
          <w:highlight w:val="none"/>
        </w:rPr>
        <w:t>（如为对采购文件或采购程序的询问或疑问，请按询问函范本或电子交易系统中网上询问格式附件进行提交）</w:t>
      </w:r>
    </w:p>
    <w:p w14:paraId="6ED9E1AE">
      <w:pPr>
        <w:adjustRightInd w:val="0"/>
        <w:snapToGrid w:val="0"/>
        <w:spacing w:line="360" w:lineRule="auto"/>
        <w:rPr>
          <w:rFonts w:hint="eastAsia" w:cs="仿宋" w:asciiTheme="minorEastAsia" w:hAnsiTheme="minorEastAsia" w:eastAsiaTheme="minorEastAsia"/>
          <w:b/>
          <w:bCs/>
          <w:color w:val="auto"/>
          <w:sz w:val="24"/>
          <w:szCs w:val="24"/>
          <w:highlight w:val="none"/>
          <w:u w:val="single"/>
          <w:lang w:eastAsia="zh-CN"/>
        </w:rPr>
      </w:pPr>
      <w:r>
        <w:rPr>
          <w:rFonts w:hint="eastAsia" w:cs="仿宋" w:asciiTheme="minorEastAsia" w:hAnsiTheme="minorEastAsia" w:eastAsiaTheme="minorEastAsia"/>
          <w:b/>
          <w:bCs/>
          <w:color w:val="auto"/>
          <w:sz w:val="24"/>
          <w:szCs w:val="24"/>
          <w:highlight w:val="none"/>
          <w:lang w:val="en-US" w:eastAsia="zh-CN"/>
        </w:rPr>
        <w:t>致：</w:t>
      </w:r>
      <w:r>
        <w:rPr>
          <w:rFonts w:hint="eastAsia" w:cs="仿宋" w:asciiTheme="minorEastAsia" w:hAnsiTheme="minorEastAsia" w:eastAsiaTheme="minorEastAsia"/>
          <w:b/>
          <w:bCs/>
          <w:color w:val="auto"/>
          <w:sz w:val="24"/>
          <w:szCs w:val="24"/>
          <w:highlight w:val="none"/>
          <w:u w:val="none"/>
          <w:lang w:eastAsia="zh-CN"/>
        </w:rPr>
        <w:t>采购人</w:t>
      </w:r>
    </w:p>
    <w:p w14:paraId="02CB6585">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我单位拟参与</w:t>
      </w:r>
      <w:r>
        <w:rPr>
          <w:rFonts w:hint="eastAsia" w:cs="仿宋" w:asciiTheme="minorEastAsia" w:hAnsiTheme="minorEastAsia" w:eastAsiaTheme="minorEastAsia"/>
          <w:color w:val="auto"/>
          <w:sz w:val="24"/>
          <w:szCs w:val="24"/>
          <w:highlight w:val="none"/>
          <w:u w:val="single"/>
          <w:lang w:val="en-US" w:eastAsia="zh-CN"/>
        </w:rPr>
        <w:t xml:space="preserve">           </w:t>
      </w:r>
      <w:r>
        <w:rPr>
          <w:rFonts w:hint="eastAsia" w:cs="仿宋" w:asciiTheme="minorEastAsia" w:hAnsiTheme="minorEastAsia" w:eastAsiaTheme="minorEastAsia"/>
          <w:color w:val="auto"/>
          <w:sz w:val="24"/>
          <w:szCs w:val="24"/>
          <w:highlight w:val="none"/>
          <w:u w:val="none"/>
          <w:lang w:val="en-US" w:eastAsia="zh-CN"/>
        </w:rPr>
        <w:t>（</w:t>
      </w:r>
      <w:r>
        <w:rPr>
          <w:rFonts w:hint="eastAsia" w:cs="仿宋" w:asciiTheme="minorEastAsia" w:hAnsiTheme="minorEastAsia" w:eastAsiaTheme="minorEastAsia"/>
          <w:i/>
          <w:iCs/>
          <w:color w:val="auto"/>
          <w:sz w:val="24"/>
          <w:szCs w:val="24"/>
          <w:highlight w:val="none"/>
          <w:u w:val="none"/>
          <w:lang w:val="en-US" w:eastAsia="zh-CN"/>
        </w:rPr>
        <w:t>项目名称、编号</w:t>
      </w:r>
      <w:r>
        <w:rPr>
          <w:rFonts w:hint="eastAsia" w:cs="仿宋" w:asciiTheme="minorEastAsia" w:hAnsiTheme="minorEastAsia" w:eastAsiaTheme="minorEastAsia"/>
          <w:color w:val="auto"/>
          <w:sz w:val="24"/>
          <w:szCs w:val="24"/>
          <w:highlight w:val="none"/>
          <w:u w:val="none"/>
          <w:lang w:val="en-US" w:eastAsia="zh-CN"/>
        </w:rPr>
        <w:t>）</w:t>
      </w:r>
      <w:r>
        <w:rPr>
          <w:rFonts w:hint="eastAsia" w:cs="仿宋" w:asciiTheme="minorEastAsia" w:hAnsiTheme="minorEastAsia" w:eastAsiaTheme="minorEastAsia"/>
          <w:color w:val="auto"/>
          <w:sz w:val="24"/>
          <w:szCs w:val="24"/>
          <w:highlight w:val="none"/>
        </w:rPr>
        <w:t>的采购活动，现有以下内容(或条款)存在疑问(或无法理解)，特提出询问。</w:t>
      </w:r>
    </w:p>
    <w:p w14:paraId="066FA4F7">
      <w:pPr>
        <w:adjustRightInd w:val="0"/>
        <w:snapToGrid w:val="0"/>
        <w:spacing w:line="360" w:lineRule="auto"/>
        <w:ind w:firstLine="480" w:firstLineChars="200"/>
        <w:outlineLvl w:val="9"/>
        <w:rPr>
          <w:rFonts w:cs="仿宋" w:asciiTheme="minorEastAsia" w:hAnsiTheme="minorEastAsia" w:eastAsiaTheme="minorEastAsia"/>
          <w:color w:val="auto"/>
          <w:sz w:val="24"/>
          <w:szCs w:val="24"/>
          <w:highlight w:val="none"/>
        </w:rPr>
      </w:pPr>
      <w:bookmarkStart w:id="114" w:name="_Toc13899"/>
      <w:r>
        <w:rPr>
          <w:rFonts w:hint="eastAsia" w:cs="仿宋" w:asciiTheme="minorEastAsia" w:hAnsiTheme="minorEastAsia" w:eastAsiaTheme="minorEastAsia"/>
          <w:color w:val="auto"/>
          <w:sz w:val="24"/>
          <w:szCs w:val="24"/>
          <w:highlight w:val="none"/>
        </w:rPr>
        <w:t>一、(事项一)</w:t>
      </w:r>
      <w:bookmarkEnd w:id="114"/>
    </w:p>
    <w:p w14:paraId="57917F0A">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1、(内容或条款)</w:t>
      </w:r>
    </w:p>
    <w:p w14:paraId="01A1A552">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2、(说明疑问或无法理解原因)</w:t>
      </w:r>
    </w:p>
    <w:p w14:paraId="64233C76">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3、(建议)</w:t>
      </w:r>
    </w:p>
    <w:p w14:paraId="52470483">
      <w:pPr>
        <w:adjustRightInd w:val="0"/>
        <w:snapToGrid w:val="0"/>
        <w:spacing w:line="360" w:lineRule="auto"/>
        <w:ind w:firstLine="480" w:firstLineChars="200"/>
        <w:outlineLvl w:val="9"/>
        <w:rPr>
          <w:rFonts w:cs="仿宋" w:asciiTheme="minorEastAsia" w:hAnsiTheme="minorEastAsia" w:eastAsiaTheme="minorEastAsia"/>
          <w:color w:val="auto"/>
          <w:sz w:val="24"/>
          <w:szCs w:val="24"/>
          <w:highlight w:val="none"/>
        </w:rPr>
      </w:pPr>
      <w:bookmarkStart w:id="115" w:name="_Toc3352"/>
      <w:r>
        <w:rPr>
          <w:rFonts w:hint="eastAsia" w:cs="仿宋" w:asciiTheme="minorEastAsia" w:hAnsiTheme="minorEastAsia" w:eastAsiaTheme="minorEastAsia"/>
          <w:color w:val="auto"/>
          <w:sz w:val="24"/>
          <w:szCs w:val="24"/>
          <w:highlight w:val="none"/>
        </w:rPr>
        <w:t>二、(事项二)</w:t>
      </w:r>
      <w:bookmarkEnd w:id="115"/>
    </w:p>
    <w:p w14:paraId="1892BAFE">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w:t>
      </w:r>
    </w:p>
    <w:p w14:paraId="72614629">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 xml:space="preserve">随附相关证明材料如下： </w:t>
      </w:r>
    </w:p>
    <w:p w14:paraId="54BD95E7">
      <w:pPr>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 系 人：</w:t>
      </w:r>
      <w:r>
        <w:rPr>
          <w:rFonts w:hint="eastAsia" w:asciiTheme="minorEastAsia" w:hAnsiTheme="minorEastAsia" w:eastAsiaTheme="minorEastAsia"/>
          <w:color w:val="auto"/>
          <w:sz w:val="24"/>
          <w:highlight w:val="none"/>
          <w:u w:val="single"/>
        </w:rPr>
        <w:t xml:space="preserve">              </w:t>
      </w:r>
    </w:p>
    <w:p w14:paraId="1269B2CF">
      <w:pPr>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联系电话：</w:t>
      </w:r>
      <w:r>
        <w:rPr>
          <w:rFonts w:hint="eastAsia" w:asciiTheme="minorEastAsia" w:hAnsiTheme="minorEastAsia" w:eastAsiaTheme="minorEastAsia"/>
          <w:color w:val="auto"/>
          <w:sz w:val="24"/>
          <w:highlight w:val="none"/>
          <w:u w:val="single"/>
        </w:rPr>
        <w:t xml:space="preserve">              </w:t>
      </w:r>
    </w:p>
    <w:p w14:paraId="34B7839B">
      <w:pPr>
        <w:tabs>
          <w:tab w:val="left" w:pos="630"/>
        </w:tabs>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日    期：</w:t>
      </w:r>
      <w:r>
        <w:rPr>
          <w:rFonts w:hint="eastAsia"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 xml:space="preserve">    </w:t>
      </w:r>
    </w:p>
    <w:p w14:paraId="5F1464CF">
      <w:pPr>
        <w:rPr>
          <w:rFonts w:ascii="仿宋" w:hAnsi="仿宋" w:eastAsia="仿宋" w:cs="仿宋"/>
          <w:b/>
          <w:bCs/>
          <w:color w:val="auto"/>
          <w:sz w:val="32"/>
          <w:szCs w:val="44"/>
          <w:highlight w:val="none"/>
        </w:rPr>
      </w:pPr>
      <w:r>
        <w:rPr>
          <w:rFonts w:hint="eastAsia" w:ascii="仿宋" w:hAnsi="仿宋" w:eastAsia="仿宋" w:cs="仿宋"/>
          <w:b/>
          <w:bCs/>
          <w:color w:val="auto"/>
          <w:sz w:val="32"/>
          <w:szCs w:val="44"/>
          <w:highlight w:val="none"/>
        </w:rPr>
        <w:br w:type="page"/>
      </w:r>
    </w:p>
    <w:p w14:paraId="5AE4E1C1">
      <w:pPr>
        <w:jc w:val="center"/>
        <w:outlineLvl w:val="1"/>
        <w:rPr>
          <w:rFonts w:ascii="仿宋" w:hAnsi="仿宋" w:eastAsia="仿宋" w:cs="仿宋"/>
          <w:b/>
          <w:bCs/>
          <w:color w:val="auto"/>
          <w:sz w:val="32"/>
          <w:szCs w:val="44"/>
          <w:highlight w:val="none"/>
        </w:rPr>
      </w:pPr>
      <w:bookmarkStart w:id="116" w:name="_Toc1575"/>
      <w:bookmarkStart w:id="117" w:name="_Toc857"/>
      <w:r>
        <w:rPr>
          <w:rFonts w:hint="eastAsia" w:ascii="仿宋" w:hAnsi="仿宋" w:eastAsia="仿宋" w:cs="仿宋"/>
          <w:b/>
          <w:bCs/>
          <w:color w:val="auto"/>
          <w:sz w:val="32"/>
          <w:szCs w:val="44"/>
          <w:highlight w:val="none"/>
        </w:rPr>
        <w:t>质疑函范本</w:t>
      </w:r>
      <w:bookmarkEnd w:id="116"/>
      <w:bookmarkEnd w:id="117"/>
    </w:p>
    <w:p w14:paraId="61EB6069">
      <w:pPr>
        <w:adjustRightInd w:val="0"/>
        <w:snapToGrid w:val="0"/>
        <w:spacing w:before="312" w:beforeLines="100" w:line="360" w:lineRule="auto"/>
        <w:outlineLvl w:val="9"/>
        <w:rPr>
          <w:rFonts w:cs="仿宋" w:asciiTheme="minorEastAsia" w:hAnsiTheme="minorEastAsia" w:eastAsiaTheme="minorEastAsia"/>
          <w:b/>
          <w:bCs/>
          <w:color w:val="auto"/>
          <w:sz w:val="24"/>
          <w:szCs w:val="24"/>
          <w:highlight w:val="none"/>
        </w:rPr>
      </w:pPr>
      <w:bookmarkStart w:id="118" w:name="_Toc21381"/>
      <w:r>
        <w:rPr>
          <w:rFonts w:hint="eastAsia" w:cs="仿宋" w:asciiTheme="minorEastAsia" w:hAnsiTheme="minorEastAsia" w:eastAsiaTheme="minorEastAsia"/>
          <w:b/>
          <w:bCs/>
          <w:color w:val="auto"/>
          <w:sz w:val="24"/>
          <w:szCs w:val="24"/>
          <w:highlight w:val="none"/>
        </w:rPr>
        <w:t>一、质疑供应商基本信息</w:t>
      </w:r>
      <w:bookmarkEnd w:id="118"/>
    </w:p>
    <w:p w14:paraId="1A23BC09">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质疑供应商：</w:t>
      </w:r>
      <w:r>
        <w:rPr>
          <w:rFonts w:hint="eastAsia" w:cs="仿宋" w:asciiTheme="minorEastAsia" w:hAnsiTheme="minorEastAsia" w:eastAsiaTheme="minorEastAsia"/>
          <w:color w:val="auto"/>
          <w:sz w:val="24"/>
          <w:szCs w:val="24"/>
          <w:highlight w:val="none"/>
          <w:u w:val="dotted"/>
        </w:rPr>
        <w:t xml:space="preserve">                                        </w:t>
      </w:r>
    </w:p>
    <w:p w14:paraId="4719D8C1">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地址：</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邮编：</w:t>
      </w:r>
      <w:r>
        <w:rPr>
          <w:rFonts w:hint="eastAsia" w:cs="仿宋" w:asciiTheme="minorEastAsia" w:hAnsiTheme="minorEastAsia" w:eastAsiaTheme="minorEastAsia"/>
          <w:color w:val="auto"/>
          <w:sz w:val="24"/>
          <w:szCs w:val="24"/>
          <w:highlight w:val="none"/>
          <w:u w:val="dotted"/>
        </w:rPr>
        <w:t xml:space="preserve">                                 </w:t>
      </w:r>
    </w:p>
    <w:p w14:paraId="3F469CC5">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联系人：</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联系电话：</w:t>
      </w:r>
      <w:r>
        <w:rPr>
          <w:rFonts w:hint="eastAsia" w:cs="仿宋" w:asciiTheme="minorEastAsia" w:hAnsiTheme="minorEastAsia" w:eastAsiaTheme="minorEastAsia"/>
          <w:color w:val="auto"/>
          <w:sz w:val="24"/>
          <w:szCs w:val="24"/>
          <w:highlight w:val="none"/>
          <w:u w:val="dotted"/>
        </w:rPr>
        <w:t xml:space="preserve">                              </w:t>
      </w:r>
    </w:p>
    <w:p w14:paraId="45520A76">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授权代表：</w:t>
      </w:r>
      <w:r>
        <w:rPr>
          <w:rFonts w:hint="eastAsia" w:cs="仿宋" w:asciiTheme="minorEastAsia" w:hAnsiTheme="minorEastAsia" w:eastAsiaTheme="minorEastAsia"/>
          <w:color w:val="auto"/>
          <w:sz w:val="24"/>
          <w:szCs w:val="24"/>
          <w:highlight w:val="none"/>
          <w:u w:val="dotted"/>
        </w:rPr>
        <w:t xml:space="preserve">                                          </w:t>
      </w:r>
    </w:p>
    <w:p w14:paraId="0BD6C1A2">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联系电话：</w:t>
      </w:r>
      <w:r>
        <w:rPr>
          <w:rFonts w:hint="eastAsia" w:cs="仿宋" w:asciiTheme="minorEastAsia" w:hAnsiTheme="minorEastAsia" w:eastAsiaTheme="minorEastAsia"/>
          <w:color w:val="auto"/>
          <w:sz w:val="24"/>
          <w:szCs w:val="24"/>
          <w:highlight w:val="none"/>
          <w:u w:val="dotted"/>
        </w:rPr>
        <w:t xml:space="preserve">                                           </w:t>
      </w:r>
      <w:r>
        <w:rPr>
          <w:rFonts w:cs="仿宋" w:asciiTheme="minorEastAsia" w:hAnsiTheme="minorEastAsia" w:eastAsiaTheme="minorEastAsia"/>
          <w:color w:val="auto"/>
          <w:sz w:val="24"/>
          <w:szCs w:val="24"/>
          <w:highlight w:val="none"/>
        </w:rPr>
        <w:t xml:space="preserve"> </w:t>
      </w:r>
    </w:p>
    <w:p w14:paraId="7277852F">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地址：</w:t>
      </w:r>
      <w:r>
        <w:rPr>
          <w:rFonts w:cs="仿宋" w:asciiTheme="minorEastAsia" w:hAnsiTheme="minorEastAsia" w:eastAsiaTheme="minorEastAsia"/>
          <w:color w:val="auto"/>
          <w:sz w:val="24"/>
          <w:szCs w:val="24"/>
          <w:highlight w:val="none"/>
        </w:rPr>
        <w:t xml:space="preserve"> </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邮编：</w:t>
      </w:r>
      <w:r>
        <w:rPr>
          <w:rFonts w:hint="eastAsia" w:cs="仿宋" w:asciiTheme="minorEastAsia" w:hAnsiTheme="minorEastAsia" w:eastAsiaTheme="minorEastAsia"/>
          <w:color w:val="auto"/>
          <w:sz w:val="24"/>
          <w:szCs w:val="24"/>
          <w:highlight w:val="none"/>
          <w:u w:val="dotted"/>
        </w:rPr>
        <w:t xml:space="preserve">                                   </w:t>
      </w:r>
    </w:p>
    <w:p w14:paraId="14888776">
      <w:pPr>
        <w:adjustRightInd w:val="0"/>
        <w:snapToGrid w:val="0"/>
        <w:spacing w:line="360" w:lineRule="auto"/>
        <w:outlineLvl w:val="9"/>
        <w:rPr>
          <w:rFonts w:cs="仿宋" w:asciiTheme="minorEastAsia" w:hAnsiTheme="minorEastAsia" w:eastAsiaTheme="minorEastAsia"/>
          <w:b/>
          <w:bCs/>
          <w:color w:val="auto"/>
          <w:sz w:val="24"/>
          <w:szCs w:val="24"/>
          <w:highlight w:val="none"/>
        </w:rPr>
      </w:pPr>
      <w:bookmarkStart w:id="119" w:name="_Toc28415"/>
      <w:r>
        <w:rPr>
          <w:rFonts w:hint="eastAsia" w:cs="仿宋" w:asciiTheme="minorEastAsia" w:hAnsiTheme="minorEastAsia" w:eastAsiaTheme="minorEastAsia"/>
          <w:b/>
          <w:bCs/>
          <w:color w:val="auto"/>
          <w:sz w:val="24"/>
          <w:szCs w:val="24"/>
          <w:highlight w:val="none"/>
        </w:rPr>
        <w:t>二、质疑项目基本情况</w:t>
      </w:r>
      <w:bookmarkEnd w:id="119"/>
    </w:p>
    <w:p w14:paraId="040D949C">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质疑项目的名称：</w:t>
      </w:r>
      <w:r>
        <w:rPr>
          <w:rFonts w:hint="eastAsia" w:cs="仿宋" w:asciiTheme="minorEastAsia" w:hAnsiTheme="minorEastAsia" w:eastAsiaTheme="minorEastAsia"/>
          <w:color w:val="auto"/>
          <w:sz w:val="24"/>
          <w:szCs w:val="24"/>
          <w:highlight w:val="none"/>
          <w:u w:val="dotted"/>
        </w:rPr>
        <w:t xml:space="preserve">                                      </w:t>
      </w:r>
    </w:p>
    <w:p w14:paraId="60515B20">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质疑项目的编号：</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包号：</w:t>
      </w:r>
      <w:r>
        <w:rPr>
          <w:rFonts w:hint="eastAsia" w:cs="仿宋" w:asciiTheme="minorEastAsia" w:hAnsiTheme="minorEastAsia" w:eastAsiaTheme="minorEastAsia"/>
          <w:color w:val="auto"/>
          <w:sz w:val="24"/>
          <w:szCs w:val="24"/>
          <w:highlight w:val="none"/>
          <w:u w:val="dotted"/>
        </w:rPr>
        <w:t xml:space="preserve">                 </w:t>
      </w:r>
    </w:p>
    <w:p w14:paraId="7BB6A48B">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采购人名称：</w:t>
      </w:r>
      <w:r>
        <w:rPr>
          <w:rFonts w:hint="eastAsia" w:cs="仿宋" w:asciiTheme="minorEastAsia" w:hAnsiTheme="minorEastAsia" w:eastAsiaTheme="minorEastAsia"/>
          <w:color w:val="auto"/>
          <w:sz w:val="24"/>
          <w:szCs w:val="24"/>
          <w:highlight w:val="none"/>
          <w:u w:val="dotted"/>
        </w:rPr>
        <w:t xml:space="preserve">                                         </w:t>
      </w:r>
    </w:p>
    <w:p w14:paraId="2E1241C1">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采购文件获取日期：</w:t>
      </w:r>
      <w:r>
        <w:rPr>
          <w:rFonts w:hint="eastAsia" w:cs="仿宋" w:asciiTheme="minorEastAsia" w:hAnsiTheme="minorEastAsia" w:eastAsiaTheme="minorEastAsia"/>
          <w:color w:val="auto"/>
          <w:sz w:val="24"/>
          <w:szCs w:val="24"/>
          <w:highlight w:val="none"/>
          <w:u w:val="dotted"/>
        </w:rPr>
        <w:t xml:space="preserve">                                           </w:t>
      </w:r>
    </w:p>
    <w:p w14:paraId="121ADDA8">
      <w:pPr>
        <w:adjustRightInd w:val="0"/>
        <w:snapToGrid w:val="0"/>
        <w:spacing w:line="360" w:lineRule="auto"/>
        <w:outlineLvl w:val="9"/>
        <w:rPr>
          <w:rFonts w:cs="仿宋" w:asciiTheme="minorEastAsia" w:hAnsiTheme="minorEastAsia" w:eastAsiaTheme="minorEastAsia"/>
          <w:b/>
          <w:bCs/>
          <w:color w:val="auto"/>
          <w:sz w:val="24"/>
          <w:szCs w:val="24"/>
          <w:highlight w:val="none"/>
        </w:rPr>
      </w:pPr>
      <w:bookmarkStart w:id="120" w:name="_Toc19014"/>
      <w:r>
        <w:rPr>
          <w:rFonts w:hint="eastAsia" w:cs="仿宋" w:asciiTheme="minorEastAsia" w:hAnsiTheme="minorEastAsia" w:eastAsiaTheme="minorEastAsia"/>
          <w:b/>
          <w:bCs/>
          <w:color w:val="auto"/>
          <w:sz w:val="24"/>
          <w:szCs w:val="24"/>
          <w:highlight w:val="none"/>
        </w:rPr>
        <w:t>三、质疑事项具体内容</w:t>
      </w:r>
      <w:bookmarkEnd w:id="120"/>
    </w:p>
    <w:p w14:paraId="0B099FE2">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质疑事项1：</w:t>
      </w:r>
      <w:r>
        <w:rPr>
          <w:rFonts w:hint="eastAsia" w:cs="仿宋" w:asciiTheme="minorEastAsia" w:hAnsiTheme="minorEastAsia" w:eastAsiaTheme="minorEastAsia"/>
          <w:color w:val="auto"/>
          <w:sz w:val="24"/>
          <w:szCs w:val="24"/>
          <w:highlight w:val="none"/>
          <w:u w:val="dotted"/>
        </w:rPr>
        <w:t xml:space="preserve">                                         </w:t>
      </w:r>
    </w:p>
    <w:p w14:paraId="75587ABC">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事实依据：</w:t>
      </w:r>
      <w:r>
        <w:rPr>
          <w:rFonts w:hint="eastAsia" w:cs="仿宋" w:asciiTheme="minorEastAsia" w:hAnsiTheme="minorEastAsia" w:eastAsiaTheme="minorEastAsia"/>
          <w:color w:val="auto"/>
          <w:sz w:val="24"/>
          <w:szCs w:val="24"/>
          <w:highlight w:val="none"/>
          <w:u w:val="dotted"/>
        </w:rPr>
        <w:t xml:space="preserve">                                          </w:t>
      </w:r>
    </w:p>
    <w:p w14:paraId="47FBEED4">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u w:val="dotted"/>
        </w:rPr>
        <w:t xml:space="preserve">                                                       </w:t>
      </w:r>
    </w:p>
    <w:p w14:paraId="373E4855">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法律依据：</w:t>
      </w:r>
      <w:r>
        <w:rPr>
          <w:rFonts w:hint="eastAsia" w:cs="仿宋" w:asciiTheme="minorEastAsia" w:hAnsiTheme="minorEastAsia" w:eastAsiaTheme="minorEastAsia"/>
          <w:color w:val="auto"/>
          <w:sz w:val="24"/>
          <w:szCs w:val="24"/>
          <w:highlight w:val="none"/>
          <w:u w:val="dotted"/>
        </w:rPr>
        <w:t xml:space="preserve">                                          </w:t>
      </w:r>
    </w:p>
    <w:p w14:paraId="5C509173">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u w:val="dotted"/>
        </w:rPr>
        <w:t xml:space="preserve">                                                     </w:t>
      </w:r>
    </w:p>
    <w:p w14:paraId="58902CA1">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质疑事项2</w:t>
      </w:r>
    </w:p>
    <w:p w14:paraId="2DDBAF37">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w:t>
      </w:r>
    </w:p>
    <w:p w14:paraId="6FDE4C49">
      <w:pPr>
        <w:adjustRightInd w:val="0"/>
        <w:snapToGrid w:val="0"/>
        <w:spacing w:line="360" w:lineRule="auto"/>
        <w:outlineLvl w:val="9"/>
        <w:rPr>
          <w:rFonts w:cs="仿宋" w:asciiTheme="minorEastAsia" w:hAnsiTheme="minorEastAsia" w:eastAsiaTheme="minorEastAsia"/>
          <w:b/>
          <w:bCs/>
          <w:color w:val="auto"/>
          <w:sz w:val="24"/>
          <w:szCs w:val="24"/>
          <w:highlight w:val="none"/>
        </w:rPr>
      </w:pPr>
      <w:bookmarkStart w:id="121" w:name="_Toc17919"/>
      <w:r>
        <w:rPr>
          <w:rFonts w:hint="eastAsia" w:cs="仿宋" w:asciiTheme="minorEastAsia" w:hAnsiTheme="minorEastAsia" w:eastAsiaTheme="minorEastAsia"/>
          <w:b/>
          <w:bCs/>
          <w:color w:val="auto"/>
          <w:sz w:val="24"/>
          <w:szCs w:val="24"/>
          <w:highlight w:val="none"/>
        </w:rPr>
        <w:t>四、与质疑事项相关的质疑请求</w:t>
      </w:r>
      <w:bookmarkEnd w:id="121"/>
    </w:p>
    <w:p w14:paraId="2DCF6E2D">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请求：</w:t>
      </w:r>
      <w:r>
        <w:rPr>
          <w:rFonts w:hint="eastAsia" w:cs="仿宋" w:asciiTheme="minorEastAsia" w:hAnsiTheme="minorEastAsia" w:eastAsiaTheme="minorEastAsia"/>
          <w:color w:val="auto"/>
          <w:sz w:val="24"/>
          <w:szCs w:val="24"/>
          <w:highlight w:val="none"/>
          <w:u w:val="dotted"/>
        </w:rPr>
        <w:t xml:space="preserve">                                               </w:t>
      </w:r>
    </w:p>
    <w:p w14:paraId="0BB0AB4B">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签字(签章)：                   公章：                      </w:t>
      </w:r>
    </w:p>
    <w:p w14:paraId="56DC1E6A">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日期：    </w:t>
      </w:r>
    </w:p>
    <w:p w14:paraId="11A22D68">
      <w:pPr>
        <w:widowControl/>
        <w:jc w:val="left"/>
        <w:rPr>
          <w:rFonts w:ascii="仿宋" w:hAnsi="仿宋" w:eastAsia="仿宋" w:cs="仿宋"/>
          <w:color w:val="auto"/>
          <w:sz w:val="32"/>
          <w:szCs w:val="32"/>
          <w:highlight w:val="none"/>
        </w:rPr>
      </w:pPr>
      <w:r>
        <w:rPr>
          <w:rFonts w:ascii="仿宋" w:hAnsi="仿宋" w:eastAsia="仿宋" w:cs="仿宋"/>
          <w:color w:val="auto"/>
          <w:sz w:val="32"/>
          <w:szCs w:val="32"/>
          <w:highlight w:val="none"/>
        </w:rPr>
        <w:br w:type="page"/>
      </w:r>
    </w:p>
    <w:p w14:paraId="5858B941">
      <w:pPr>
        <w:outlineLvl w:val="0"/>
        <w:rPr>
          <w:rFonts w:asciiTheme="minorEastAsia" w:hAnsiTheme="minorEastAsia" w:eastAsiaTheme="minorEastAsia"/>
          <w:b/>
          <w:color w:val="auto"/>
          <w:sz w:val="28"/>
          <w:szCs w:val="32"/>
          <w:highlight w:val="none"/>
        </w:rPr>
      </w:pPr>
      <w:bookmarkStart w:id="122" w:name="_Toc22239"/>
      <w:bookmarkStart w:id="123" w:name="_Toc9754"/>
      <w:r>
        <w:rPr>
          <w:rFonts w:hint="eastAsia" w:asciiTheme="minorEastAsia" w:hAnsiTheme="minorEastAsia" w:eastAsiaTheme="minorEastAsia"/>
          <w:b/>
          <w:color w:val="auto"/>
          <w:sz w:val="28"/>
          <w:szCs w:val="32"/>
          <w:highlight w:val="none"/>
        </w:rPr>
        <w:t>质疑函制作说明：</w:t>
      </w:r>
      <w:bookmarkEnd w:id="122"/>
      <w:bookmarkEnd w:id="123"/>
    </w:p>
    <w:p w14:paraId="4D9F8B4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1.供应商提出质疑时，应提交质疑函和必要的证明材料。</w:t>
      </w:r>
    </w:p>
    <w:p w14:paraId="1796A7B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145E10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3.质疑供应商若对项目的某一分包进行质疑，质疑函中应列明具体分包号。</w:t>
      </w:r>
    </w:p>
    <w:p w14:paraId="73BD2FA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4.质疑函的质疑事项应具体、明确，并有必要的事实依据和法律依据。</w:t>
      </w:r>
    </w:p>
    <w:p w14:paraId="04A423A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5.质疑函的质疑请求应与质疑事项相关。</w:t>
      </w:r>
    </w:p>
    <w:p w14:paraId="5758856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6.质疑供应商为自然人的，质疑函应由本人签字；质疑供应商为法人或者其他组织的，质疑函应由法定代表人、主要负责人，或者其授权代表签字或者盖章，并加盖公章。</w:t>
      </w:r>
    </w:p>
    <w:sectPr>
      <w:pgSz w:w="11906" w:h="16838"/>
      <w:pgMar w:top="1440" w:right="1803" w:bottom="1440" w:left="1803" w:header="851" w:footer="992"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简标宋">
    <w:altName w:val="@宋体"/>
    <w:panose1 w:val="00000000000000000000"/>
    <w:charset w:val="86"/>
    <w:family w:val="auto"/>
    <w:pitch w:val="default"/>
    <w:sig w:usb0="00000000" w:usb1="00000000" w:usb2="00000010" w:usb3="00000000" w:csb0="00040000" w:csb1="00000000"/>
  </w:font>
  <w:font w:name="@宋体">
    <w:panose1 w:val="02010600030101010101"/>
    <w:charset w:val="86"/>
    <w:family w:val="auto"/>
    <w:pitch w:val="default"/>
    <w:sig w:usb0="00000203" w:usb1="288F0000" w:usb2="0000000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Sylfaen">
    <w:panose1 w:val="010A0502050306030303"/>
    <w:charset w:val="00"/>
    <w:family w:val="roman"/>
    <w:pitch w:val="default"/>
    <w:sig w:usb0="04000687" w:usb1="00000000" w:usb2="00000000" w:usb3="00000000" w:csb0="200000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楷体_GB2312">
    <w:panose1 w:val="02010609030101010101"/>
    <w:charset w:val="86"/>
    <w:family w:val="auto"/>
    <w:pitch w:val="default"/>
    <w:sig w:usb0="00000001" w:usb1="080E0000" w:usb2="00000000" w:usb3="00000000" w:csb0="00040000" w:csb1="00000000"/>
  </w:font>
  <w:font w:name="Verdana">
    <w:panose1 w:val="020B0604030504040204"/>
    <w:charset w:val="00"/>
    <w:family w:val="auto"/>
    <w:pitch w:val="default"/>
    <w:sig w:usb0="A00006FF" w:usb1="4000205B" w:usb2="00000010" w:usb3="00000000" w:csb0="2000019F" w:csb1="00000000"/>
  </w:font>
  <w:font w:name="方正书宋_GBK">
    <w:altName w:val="方正小标宋简体"/>
    <w:panose1 w:val="00000000000000000000"/>
    <w:charset w:val="00"/>
    <w:family w:val="auto"/>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9BE45">
    <w:pPr>
      <w:pStyle w:val="14"/>
      <w:jc w:val="center"/>
      <w:rPr>
        <w:rFonts w:asciiTheme="minorEastAsia" w:hAnsiTheme="minorEastAsia" w:eastAsiaTheme="minorEastAsia"/>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7F5D1">
    <w:pPr>
      <w:pStyle w:val="14"/>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FB43C9">
                          <w:pPr>
                            <w:pStyle w:val="14"/>
                            <w:rPr>
                              <w:rFonts w:hint="eastAsia" w:ascii="宋体" w:hAnsi="宋体" w:eastAsia="宋体" w:cs="宋体"/>
                              <w:sz w:val="21"/>
                              <w:szCs w:val="21"/>
                            </w:rPr>
                          </w:pPr>
                          <w:r>
                            <w:rPr>
                              <w:rFonts w:hint="eastAsia" w:ascii="宋体" w:hAnsi="宋体" w:eastAsia="宋体" w:cs="宋体"/>
                              <w:sz w:val="21"/>
                              <w:szCs w:val="21"/>
                            </w:rPr>
                            <w:t xml:space="preserve">第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t xml:space="preserve"> 页 共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NUMPAGES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64</w:t>
                          </w:r>
                          <w:r>
                            <w:rPr>
                              <w:rFonts w:hint="eastAsia" w:ascii="宋体" w:hAnsi="宋体" w:eastAsia="宋体" w:cs="宋体"/>
                              <w:sz w:val="21"/>
                              <w:szCs w:val="21"/>
                            </w:rPr>
                            <w:fldChar w:fldCharType="end"/>
                          </w:r>
                          <w:r>
                            <w:rPr>
                              <w:rFonts w:hint="eastAsia" w:ascii="宋体" w:hAnsi="宋体" w:eastAsia="宋体" w:cs="宋体"/>
                              <w:sz w:val="21"/>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1FB43C9">
                    <w:pPr>
                      <w:pStyle w:val="14"/>
                      <w:rPr>
                        <w:rFonts w:hint="eastAsia" w:ascii="宋体" w:hAnsi="宋体" w:eastAsia="宋体" w:cs="宋体"/>
                        <w:sz w:val="21"/>
                        <w:szCs w:val="21"/>
                      </w:rPr>
                    </w:pPr>
                    <w:r>
                      <w:rPr>
                        <w:rFonts w:hint="eastAsia" w:ascii="宋体" w:hAnsi="宋体" w:eastAsia="宋体" w:cs="宋体"/>
                        <w:sz w:val="21"/>
                        <w:szCs w:val="21"/>
                      </w:rPr>
                      <w:t xml:space="preserve">第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t xml:space="preserve"> 页 共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NUMPAGES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64</w:t>
                    </w:r>
                    <w:r>
                      <w:rPr>
                        <w:rFonts w:hint="eastAsia" w:ascii="宋体" w:hAnsi="宋体" w:eastAsia="宋体" w:cs="宋体"/>
                        <w:sz w:val="21"/>
                        <w:szCs w:val="21"/>
                      </w:rPr>
                      <w:fldChar w:fldCharType="end"/>
                    </w:r>
                    <w:r>
                      <w:rPr>
                        <w:rFonts w:hint="eastAsia" w:ascii="宋体" w:hAnsi="宋体" w:eastAsia="宋体" w:cs="宋体"/>
                        <w:sz w:val="21"/>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E7265">
    <w:pPr>
      <w:pStyle w:val="15"/>
      <w:pBdr>
        <w:bottom w:val="none" w:color="auto" w:sz="0" w:space="1"/>
      </w:pBdr>
      <w:jc w:val="left"/>
      <w:rPr>
        <w:rFonts w:asciiTheme="minorEastAsia" w:hAnsiTheme="minorEastAsia" w:eastAsiaTheme="minor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CDDA7">
    <w:pPr>
      <w:pStyle w:val="15"/>
      <w:pBdr>
        <w:bottom w:val="none" w:color="auto" w:sz="0" w:space="1"/>
      </w:pBdr>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14BBAF"/>
    <w:multiLevelType w:val="singleLevel"/>
    <w:tmpl w:val="8B14BBAF"/>
    <w:lvl w:ilvl="0" w:tentative="0">
      <w:start w:val="12"/>
      <w:numFmt w:val="decimal"/>
      <w:suff w:val="space"/>
      <w:lvlText w:val="%1."/>
      <w:lvlJc w:val="left"/>
    </w:lvl>
  </w:abstractNum>
  <w:abstractNum w:abstractNumId="1">
    <w:nsid w:val="90867B48"/>
    <w:multiLevelType w:val="multilevel"/>
    <w:tmpl w:val="90867B48"/>
    <w:lvl w:ilvl="0" w:tentative="0">
      <w:start w:val="14"/>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01ACE259"/>
    <w:multiLevelType w:val="singleLevel"/>
    <w:tmpl w:val="01ACE259"/>
    <w:lvl w:ilvl="0" w:tentative="0">
      <w:start w:val="14"/>
      <w:numFmt w:val="decimal"/>
      <w:suff w:val="space"/>
      <w:lvlText w:val="%1."/>
      <w:lvlJc w:val="left"/>
    </w:lvl>
  </w:abstractNum>
  <w:abstractNum w:abstractNumId="3">
    <w:nsid w:val="155A42C1"/>
    <w:multiLevelType w:val="multilevel"/>
    <w:tmpl w:val="155A42C1"/>
    <w:lvl w:ilvl="0" w:tentative="0">
      <w:start w:val="4"/>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
    <w:nsid w:val="25B822EA"/>
    <w:multiLevelType w:val="singleLevel"/>
    <w:tmpl w:val="25B822EA"/>
    <w:lvl w:ilvl="0" w:tentative="0">
      <w:start w:val="4"/>
      <w:numFmt w:val="decimal"/>
      <w:suff w:val="space"/>
      <w:lvlText w:val="%1."/>
      <w:lvlJc w:val="left"/>
    </w:lvl>
  </w:abstractNum>
  <w:abstractNum w:abstractNumId="5">
    <w:nsid w:val="6C8429A5"/>
    <w:multiLevelType w:val="multilevel"/>
    <w:tmpl w:val="6C8429A5"/>
    <w:lvl w:ilvl="0" w:tentative="0">
      <w:start w:val="12"/>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4"/>
  </w:num>
  <w:num w:numId="2">
    <w:abstractNumId w:val="0"/>
  </w:num>
  <w:num w:numId="3">
    <w:abstractNumId w:val="2"/>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I5ZDY5ZDNjMmE2ZDcxYTFkMDY0Zjg5Mjg3YTE0YTgifQ=="/>
  </w:docVars>
  <w:rsids>
    <w:rsidRoot w:val="00172A27"/>
    <w:rsid w:val="0000043F"/>
    <w:rsid w:val="00003F56"/>
    <w:rsid w:val="000049DA"/>
    <w:rsid w:val="00004F40"/>
    <w:rsid w:val="000056B7"/>
    <w:rsid w:val="00012A13"/>
    <w:rsid w:val="000131F7"/>
    <w:rsid w:val="00016B6C"/>
    <w:rsid w:val="00017EC7"/>
    <w:rsid w:val="00020B57"/>
    <w:rsid w:val="00033B5B"/>
    <w:rsid w:val="00037DBE"/>
    <w:rsid w:val="00042139"/>
    <w:rsid w:val="00042B14"/>
    <w:rsid w:val="00044347"/>
    <w:rsid w:val="00044F49"/>
    <w:rsid w:val="000450C3"/>
    <w:rsid w:val="00046AFF"/>
    <w:rsid w:val="00050A3F"/>
    <w:rsid w:val="000530EC"/>
    <w:rsid w:val="000544DE"/>
    <w:rsid w:val="000648D2"/>
    <w:rsid w:val="00070E0E"/>
    <w:rsid w:val="00076DB7"/>
    <w:rsid w:val="00080B7B"/>
    <w:rsid w:val="00080FEB"/>
    <w:rsid w:val="00081B81"/>
    <w:rsid w:val="000868D6"/>
    <w:rsid w:val="000942BA"/>
    <w:rsid w:val="00094D41"/>
    <w:rsid w:val="00097CB9"/>
    <w:rsid w:val="000A3569"/>
    <w:rsid w:val="000A4640"/>
    <w:rsid w:val="000A6345"/>
    <w:rsid w:val="000A6693"/>
    <w:rsid w:val="000A6B73"/>
    <w:rsid w:val="000A7D94"/>
    <w:rsid w:val="000B1511"/>
    <w:rsid w:val="000B44D3"/>
    <w:rsid w:val="000B54F4"/>
    <w:rsid w:val="000C1DB1"/>
    <w:rsid w:val="000D3F37"/>
    <w:rsid w:val="000D431F"/>
    <w:rsid w:val="000E2208"/>
    <w:rsid w:val="000E3C74"/>
    <w:rsid w:val="000E3F9B"/>
    <w:rsid w:val="000E3FC3"/>
    <w:rsid w:val="000E6689"/>
    <w:rsid w:val="000F00A3"/>
    <w:rsid w:val="000F014C"/>
    <w:rsid w:val="000F172B"/>
    <w:rsid w:val="000F1C24"/>
    <w:rsid w:val="000F2198"/>
    <w:rsid w:val="000F39B6"/>
    <w:rsid w:val="000F6B7B"/>
    <w:rsid w:val="00100B0F"/>
    <w:rsid w:val="0010187C"/>
    <w:rsid w:val="001037E3"/>
    <w:rsid w:val="00110911"/>
    <w:rsid w:val="00116A70"/>
    <w:rsid w:val="0012143A"/>
    <w:rsid w:val="001222C6"/>
    <w:rsid w:val="00136D80"/>
    <w:rsid w:val="00137C7C"/>
    <w:rsid w:val="00140687"/>
    <w:rsid w:val="00141707"/>
    <w:rsid w:val="00142AAF"/>
    <w:rsid w:val="00146421"/>
    <w:rsid w:val="001467FF"/>
    <w:rsid w:val="001479CF"/>
    <w:rsid w:val="00150567"/>
    <w:rsid w:val="00155F64"/>
    <w:rsid w:val="00157148"/>
    <w:rsid w:val="00157856"/>
    <w:rsid w:val="00160729"/>
    <w:rsid w:val="00160D83"/>
    <w:rsid w:val="001644D1"/>
    <w:rsid w:val="00164D27"/>
    <w:rsid w:val="00166ED8"/>
    <w:rsid w:val="001714C9"/>
    <w:rsid w:val="001754E2"/>
    <w:rsid w:val="00177DAF"/>
    <w:rsid w:val="0018119B"/>
    <w:rsid w:val="001812B3"/>
    <w:rsid w:val="00181D07"/>
    <w:rsid w:val="001826D0"/>
    <w:rsid w:val="00183344"/>
    <w:rsid w:val="00183897"/>
    <w:rsid w:val="001844AB"/>
    <w:rsid w:val="00190F1F"/>
    <w:rsid w:val="001944B8"/>
    <w:rsid w:val="00195399"/>
    <w:rsid w:val="00196DA3"/>
    <w:rsid w:val="00197AC4"/>
    <w:rsid w:val="001A0DCD"/>
    <w:rsid w:val="001A5D34"/>
    <w:rsid w:val="001A68E5"/>
    <w:rsid w:val="001B21DF"/>
    <w:rsid w:val="001B2A54"/>
    <w:rsid w:val="001B5014"/>
    <w:rsid w:val="001B7327"/>
    <w:rsid w:val="001C1409"/>
    <w:rsid w:val="001C67F2"/>
    <w:rsid w:val="001D53B4"/>
    <w:rsid w:val="001E744D"/>
    <w:rsid w:val="001F28D2"/>
    <w:rsid w:val="001F2F45"/>
    <w:rsid w:val="001F3023"/>
    <w:rsid w:val="001F35F6"/>
    <w:rsid w:val="001F74CA"/>
    <w:rsid w:val="002003B6"/>
    <w:rsid w:val="002020CB"/>
    <w:rsid w:val="002049B4"/>
    <w:rsid w:val="0020520B"/>
    <w:rsid w:val="00213C55"/>
    <w:rsid w:val="002163CF"/>
    <w:rsid w:val="002168C4"/>
    <w:rsid w:val="002178B1"/>
    <w:rsid w:val="00223CF4"/>
    <w:rsid w:val="00224C4A"/>
    <w:rsid w:val="002338E2"/>
    <w:rsid w:val="0023407E"/>
    <w:rsid w:val="00240B40"/>
    <w:rsid w:val="002440D8"/>
    <w:rsid w:val="00244182"/>
    <w:rsid w:val="00246810"/>
    <w:rsid w:val="00260860"/>
    <w:rsid w:val="00260B94"/>
    <w:rsid w:val="00264F2E"/>
    <w:rsid w:val="00271245"/>
    <w:rsid w:val="00272E6E"/>
    <w:rsid w:val="00274A9E"/>
    <w:rsid w:val="00276292"/>
    <w:rsid w:val="00276BA1"/>
    <w:rsid w:val="00277094"/>
    <w:rsid w:val="00286BB6"/>
    <w:rsid w:val="002A1A1D"/>
    <w:rsid w:val="002A28AD"/>
    <w:rsid w:val="002A3AEE"/>
    <w:rsid w:val="002A400A"/>
    <w:rsid w:val="002B08E7"/>
    <w:rsid w:val="002B0C18"/>
    <w:rsid w:val="002B5318"/>
    <w:rsid w:val="002B5373"/>
    <w:rsid w:val="002B6D27"/>
    <w:rsid w:val="002C3776"/>
    <w:rsid w:val="002C4BA9"/>
    <w:rsid w:val="002D1258"/>
    <w:rsid w:val="002D128A"/>
    <w:rsid w:val="002D2965"/>
    <w:rsid w:val="002D3D02"/>
    <w:rsid w:val="002D4CB5"/>
    <w:rsid w:val="002D684B"/>
    <w:rsid w:val="002E3B26"/>
    <w:rsid w:val="002E4AB8"/>
    <w:rsid w:val="002F092B"/>
    <w:rsid w:val="002F5981"/>
    <w:rsid w:val="002F72EE"/>
    <w:rsid w:val="00310070"/>
    <w:rsid w:val="003110EC"/>
    <w:rsid w:val="00313029"/>
    <w:rsid w:val="00324D38"/>
    <w:rsid w:val="00327C92"/>
    <w:rsid w:val="0033245B"/>
    <w:rsid w:val="00333292"/>
    <w:rsid w:val="003344E7"/>
    <w:rsid w:val="0033580B"/>
    <w:rsid w:val="0033628B"/>
    <w:rsid w:val="003365E7"/>
    <w:rsid w:val="003378D5"/>
    <w:rsid w:val="003419E9"/>
    <w:rsid w:val="003447AE"/>
    <w:rsid w:val="003473D7"/>
    <w:rsid w:val="00351AC8"/>
    <w:rsid w:val="00353075"/>
    <w:rsid w:val="00363E02"/>
    <w:rsid w:val="00373A96"/>
    <w:rsid w:val="003826C2"/>
    <w:rsid w:val="00383728"/>
    <w:rsid w:val="00383B8D"/>
    <w:rsid w:val="00391586"/>
    <w:rsid w:val="00394128"/>
    <w:rsid w:val="003947A4"/>
    <w:rsid w:val="00395235"/>
    <w:rsid w:val="0039561A"/>
    <w:rsid w:val="00397C7D"/>
    <w:rsid w:val="003A004F"/>
    <w:rsid w:val="003B4130"/>
    <w:rsid w:val="003B67D3"/>
    <w:rsid w:val="003B6C76"/>
    <w:rsid w:val="003B715B"/>
    <w:rsid w:val="003C4630"/>
    <w:rsid w:val="003D1D14"/>
    <w:rsid w:val="003D6C7C"/>
    <w:rsid w:val="003D6EFB"/>
    <w:rsid w:val="003D7E52"/>
    <w:rsid w:val="003E25C6"/>
    <w:rsid w:val="003E6BEB"/>
    <w:rsid w:val="003F145B"/>
    <w:rsid w:val="003F2122"/>
    <w:rsid w:val="003F326A"/>
    <w:rsid w:val="004011AA"/>
    <w:rsid w:val="0040202C"/>
    <w:rsid w:val="00406508"/>
    <w:rsid w:val="0041456E"/>
    <w:rsid w:val="00414F7E"/>
    <w:rsid w:val="004164F8"/>
    <w:rsid w:val="00417FD0"/>
    <w:rsid w:val="00420B7F"/>
    <w:rsid w:val="004234BA"/>
    <w:rsid w:val="0042488B"/>
    <w:rsid w:val="004427B7"/>
    <w:rsid w:val="0044349F"/>
    <w:rsid w:val="00445F1F"/>
    <w:rsid w:val="00451F60"/>
    <w:rsid w:val="00452BB2"/>
    <w:rsid w:val="00455467"/>
    <w:rsid w:val="0045656D"/>
    <w:rsid w:val="00462D98"/>
    <w:rsid w:val="00472A44"/>
    <w:rsid w:val="00473A89"/>
    <w:rsid w:val="00474D3B"/>
    <w:rsid w:val="00475899"/>
    <w:rsid w:val="004802A8"/>
    <w:rsid w:val="00482C78"/>
    <w:rsid w:val="004874AE"/>
    <w:rsid w:val="00492E2B"/>
    <w:rsid w:val="00494D24"/>
    <w:rsid w:val="004951D1"/>
    <w:rsid w:val="004A27D0"/>
    <w:rsid w:val="004A4D67"/>
    <w:rsid w:val="004A6FD2"/>
    <w:rsid w:val="004B2D4C"/>
    <w:rsid w:val="004C7378"/>
    <w:rsid w:val="004D1030"/>
    <w:rsid w:val="004D3D4B"/>
    <w:rsid w:val="004D5498"/>
    <w:rsid w:val="004D66A5"/>
    <w:rsid w:val="004D6B00"/>
    <w:rsid w:val="004D7951"/>
    <w:rsid w:val="004E0AE0"/>
    <w:rsid w:val="004E1D50"/>
    <w:rsid w:val="004E502F"/>
    <w:rsid w:val="004F0396"/>
    <w:rsid w:val="00501382"/>
    <w:rsid w:val="00503E2F"/>
    <w:rsid w:val="005054B9"/>
    <w:rsid w:val="00506E4F"/>
    <w:rsid w:val="00510798"/>
    <w:rsid w:val="00514ED8"/>
    <w:rsid w:val="00515F12"/>
    <w:rsid w:val="00522B2E"/>
    <w:rsid w:val="00524A11"/>
    <w:rsid w:val="00527768"/>
    <w:rsid w:val="005327FB"/>
    <w:rsid w:val="00533FCA"/>
    <w:rsid w:val="00541C0B"/>
    <w:rsid w:val="0054317E"/>
    <w:rsid w:val="00544C2A"/>
    <w:rsid w:val="00546D49"/>
    <w:rsid w:val="00556D4C"/>
    <w:rsid w:val="005614B4"/>
    <w:rsid w:val="005616B5"/>
    <w:rsid w:val="00571315"/>
    <w:rsid w:val="00582075"/>
    <w:rsid w:val="00584A63"/>
    <w:rsid w:val="00585EB3"/>
    <w:rsid w:val="00591688"/>
    <w:rsid w:val="00592509"/>
    <w:rsid w:val="00594986"/>
    <w:rsid w:val="00597B15"/>
    <w:rsid w:val="005A044C"/>
    <w:rsid w:val="005B5C95"/>
    <w:rsid w:val="005B6740"/>
    <w:rsid w:val="005D0200"/>
    <w:rsid w:val="005D44EF"/>
    <w:rsid w:val="005D4814"/>
    <w:rsid w:val="005D5112"/>
    <w:rsid w:val="005F03E3"/>
    <w:rsid w:val="005F3914"/>
    <w:rsid w:val="005F3B5A"/>
    <w:rsid w:val="005F6AB4"/>
    <w:rsid w:val="00610A66"/>
    <w:rsid w:val="00613177"/>
    <w:rsid w:val="00613F7C"/>
    <w:rsid w:val="00614BF2"/>
    <w:rsid w:val="0061618E"/>
    <w:rsid w:val="00620560"/>
    <w:rsid w:val="006208CB"/>
    <w:rsid w:val="00623DE2"/>
    <w:rsid w:val="00627601"/>
    <w:rsid w:val="006300D0"/>
    <w:rsid w:val="00632012"/>
    <w:rsid w:val="00634694"/>
    <w:rsid w:val="00635F9D"/>
    <w:rsid w:val="00636517"/>
    <w:rsid w:val="00637690"/>
    <w:rsid w:val="00640E1E"/>
    <w:rsid w:val="0064389A"/>
    <w:rsid w:val="00645442"/>
    <w:rsid w:val="006525CD"/>
    <w:rsid w:val="00653353"/>
    <w:rsid w:val="00653F7F"/>
    <w:rsid w:val="00662EE8"/>
    <w:rsid w:val="00663813"/>
    <w:rsid w:val="00663C3B"/>
    <w:rsid w:val="00664AFD"/>
    <w:rsid w:val="00667567"/>
    <w:rsid w:val="0067391A"/>
    <w:rsid w:val="00674173"/>
    <w:rsid w:val="00674602"/>
    <w:rsid w:val="0067535A"/>
    <w:rsid w:val="00683CA0"/>
    <w:rsid w:val="00690DB1"/>
    <w:rsid w:val="00693404"/>
    <w:rsid w:val="006953D9"/>
    <w:rsid w:val="00697FE9"/>
    <w:rsid w:val="006A5FEE"/>
    <w:rsid w:val="006B1242"/>
    <w:rsid w:val="006B1DBC"/>
    <w:rsid w:val="006B63B7"/>
    <w:rsid w:val="006B7D9A"/>
    <w:rsid w:val="006C06D9"/>
    <w:rsid w:val="006C464F"/>
    <w:rsid w:val="006C5716"/>
    <w:rsid w:val="006C74A9"/>
    <w:rsid w:val="006D07DE"/>
    <w:rsid w:val="006D394E"/>
    <w:rsid w:val="006E06D9"/>
    <w:rsid w:val="006E1D40"/>
    <w:rsid w:val="006E2E1F"/>
    <w:rsid w:val="006E4BE8"/>
    <w:rsid w:val="006F5FFF"/>
    <w:rsid w:val="006F6E33"/>
    <w:rsid w:val="006F7AF3"/>
    <w:rsid w:val="00702CF1"/>
    <w:rsid w:val="00703635"/>
    <w:rsid w:val="007054AA"/>
    <w:rsid w:val="00706D4B"/>
    <w:rsid w:val="00707B8C"/>
    <w:rsid w:val="00710804"/>
    <w:rsid w:val="00711FC6"/>
    <w:rsid w:val="007130B1"/>
    <w:rsid w:val="00715071"/>
    <w:rsid w:val="0072140F"/>
    <w:rsid w:val="007231E9"/>
    <w:rsid w:val="00727C59"/>
    <w:rsid w:val="00734E5D"/>
    <w:rsid w:val="00735AF1"/>
    <w:rsid w:val="00736013"/>
    <w:rsid w:val="00737661"/>
    <w:rsid w:val="00755D75"/>
    <w:rsid w:val="00756245"/>
    <w:rsid w:val="0076130F"/>
    <w:rsid w:val="00761662"/>
    <w:rsid w:val="00764043"/>
    <w:rsid w:val="007757CF"/>
    <w:rsid w:val="00776FFC"/>
    <w:rsid w:val="0078128F"/>
    <w:rsid w:val="0078683C"/>
    <w:rsid w:val="00790EDB"/>
    <w:rsid w:val="00791538"/>
    <w:rsid w:val="007918F0"/>
    <w:rsid w:val="0079326E"/>
    <w:rsid w:val="00796EDE"/>
    <w:rsid w:val="00797A02"/>
    <w:rsid w:val="007A27A9"/>
    <w:rsid w:val="007A5A58"/>
    <w:rsid w:val="007A6740"/>
    <w:rsid w:val="007B1C56"/>
    <w:rsid w:val="007B4996"/>
    <w:rsid w:val="007C3CD5"/>
    <w:rsid w:val="007C61EF"/>
    <w:rsid w:val="007D1C0D"/>
    <w:rsid w:val="007D2D23"/>
    <w:rsid w:val="007D7644"/>
    <w:rsid w:val="007E27D6"/>
    <w:rsid w:val="007E3921"/>
    <w:rsid w:val="007E5DDE"/>
    <w:rsid w:val="00801028"/>
    <w:rsid w:val="00802CE2"/>
    <w:rsid w:val="00803793"/>
    <w:rsid w:val="0080643F"/>
    <w:rsid w:val="00814052"/>
    <w:rsid w:val="008149FD"/>
    <w:rsid w:val="00817A01"/>
    <w:rsid w:val="00824F21"/>
    <w:rsid w:val="0082500C"/>
    <w:rsid w:val="00825E35"/>
    <w:rsid w:val="008334F8"/>
    <w:rsid w:val="008341AA"/>
    <w:rsid w:val="00835D8E"/>
    <w:rsid w:val="008372F6"/>
    <w:rsid w:val="008377CA"/>
    <w:rsid w:val="00844D03"/>
    <w:rsid w:val="00847B0F"/>
    <w:rsid w:val="00852994"/>
    <w:rsid w:val="00873D89"/>
    <w:rsid w:val="00876659"/>
    <w:rsid w:val="00876677"/>
    <w:rsid w:val="0087734C"/>
    <w:rsid w:val="00882141"/>
    <w:rsid w:val="00887E3B"/>
    <w:rsid w:val="008922A8"/>
    <w:rsid w:val="00895728"/>
    <w:rsid w:val="00895BD5"/>
    <w:rsid w:val="0089742B"/>
    <w:rsid w:val="008A16C4"/>
    <w:rsid w:val="008A6FED"/>
    <w:rsid w:val="008B39C5"/>
    <w:rsid w:val="008B51AA"/>
    <w:rsid w:val="008B7932"/>
    <w:rsid w:val="008C4704"/>
    <w:rsid w:val="008C67F2"/>
    <w:rsid w:val="008D064A"/>
    <w:rsid w:val="008D0FDB"/>
    <w:rsid w:val="008D2B0F"/>
    <w:rsid w:val="008D30BC"/>
    <w:rsid w:val="008D4BC4"/>
    <w:rsid w:val="008E449E"/>
    <w:rsid w:val="008E7062"/>
    <w:rsid w:val="008F187F"/>
    <w:rsid w:val="008F402F"/>
    <w:rsid w:val="008F55FA"/>
    <w:rsid w:val="008F76E8"/>
    <w:rsid w:val="008F7CD0"/>
    <w:rsid w:val="00902902"/>
    <w:rsid w:val="00902A4B"/>
    <w:rsid w:val="009078A1"/>
    <w:rsid w:val="00911E9C"/>
    <w:rsid w:val="00915083"/>
    <w:rsid w:val="00917405"/>
    <w:rsid w:val="00920035"/>
    <w:rsid w:val="00920F7C"/>
    <w:rsid w:val="00934CAE"/>
    <w:rsid w:val="0094257D"/>
    <w:rsid w:val="00942F60"/>
    <w:rsid w:val="0095211B"/>
    <w:rsid w:val="0095467C"/>
    <w:rsid w:val="00954A61"/>
    <w:rsid w:val="00955C6F"/>
    <w:rsid w:val="00966C7B"/>
    <w:rsid w:val="009701DC"/>
    <w:rsid w:val="009715D8"/>
    <w:rsid w:val="00980D0D"/>
    <w:rsid w:val="00985C4B"/>
    <w:rsid w:val="00995BF9"/>
    <w:rsid w:val="00997C3C"/>
    <w:rsid w:val="009A0CAF"/>
    <w:rsid w:val="009A1474"/>
    <w:rsid w:val="009A2207"/>
    <w:rsid w:val="009A5147"/>
    <w:rsid w:val="009A74C4"/>
    <w:rsid w:val="009B02D2"/>
    <w:rsid w:val="009B6C42"/>
    <w:rsid w:val="009D31F7"/>
    <w:rsid w:val="009D32C2"/>
    <w:rsid w:val="009D50DB"/>
    <w:rsid w:val="009E3A0A"/>
    <w:rsid w:val="009F26D4"/>
    <w:rsid w:val="009F3E91"/>
    <w:rsid w:val="009F6CE7"/>
    <w:rsid w:val="009F7D7D"/>
    <w:rsid w:val="00A01670"/>
    <w:rsid w:val="00A1499B"/>
    <w:rsid w:val="00A20879"/>
    <w:rsid w:val="00A20AFC"/>
    <w:rsid w:val="00A23E47"/>
    <w:rsid w:val="00A314C2"/>
    <w:rsid w:val="00A43B9C"/>
    <w:rsid w:val="00A53155"/>
    <w:rsid w:val="00A56FFA"/>
    <w:rsid w:val="00A63E86"/>
    <w:rsid w:val="00A65A1C"/>
    <w:rsid w:val="00A757C3"/>
    <w:rsid w:val="00A75E5B"/>
    <w:rsid w:val="00A7684A"/>
    <w:rsid w:val="00A82AED"/>
    <w:rsid w:val="00A83B69"/>
    <w:rsid w:val="00A86533"/>
    <w:rsid w:val="00A9176A"/>
    <w:rsid w:val="00A91CA2"/>
    <w:rsid w:val="00A92FB8"/>
    <w:rsid w:val="00A948F1"/>
    <w:rsid w:val="00AA1D7D"/>
    <w:rsid w:val="00AA7525"/>
    <w:rsid w:val="00AB0EA9"/>
    <w:rsid w:val="00AB139D"/>
    <w:rsid w:val="00AB2C46"/>
    <w:rsid w:val="00AB3EFB"/>
    <w:rsid w:val="00AB5EF7"/>
    <w:rsid w:val="00AC0B05"/>
    <w:rsid w:val="00AC763F"/>
    <w:rsid w:val="00AD079A"/>
    <w:rsid w:val="00AD1890"/>
    <w:rsid w:val="00AE2149"/>
    <w:rsid w:val="00AE33AE"/>
    <w:rsid w:val="00AE3785"/>
    <w:rsid w:val="00AE3F91"/>
    <w:rsid w:val="00AE452F"/>
    <w:rsid w:val="00AE76E6"/>
    <w:rsid w:val="00B00ACC"/>
    <w:rsid w:val="00B039E3"/>
    <w:rsid w:val="00B043C1"/>
    <w:rsid w:val="00B22838"/>
    <w:rsid w:val="00B27D52"/>
    <w:rsid w:val="00B32BC1"/>
    <w:rsid w:val="00B33E95"/>
    <w:rsid w:val="00B34EE1"/>
    <w:rsid w:val="00B35B5E"/>
    <w:rsid w:val="00B3720B"/>
    <w:rsid w:val="00B40EE3"/>
    <w:rsid w:val="00B4535A"/>
    <w:rsid w:val="00B55271"/>
    <w:rsid w:val="00B5558A"/>
    <w:rsid w:val="00B56513"/>
    <w:rsid w:val="00B56B2E"/>
    <w:rsid w:val="00B64376"/>
    <w:rsid w:val="00B71533"/>
    <w:rsid w:val="00B7401F"/>
    <w:rsid w:val="00B806C3"/>
    <w:rsid w:val="00B838F5"/>
    <w:rsid w:val="00B84FCA"/>
    <w:rsid w:val="00B9089F"/>
    <w:rsid w:val="00B91AEE"/>
    <w:rsid w:val="00B94F71"/>
    <w:rsid w:val="00B95F5A"/>
    <w:rsid w:val="00B96EAD"/>
    <w:rsid w:val="00BA22AF"/>
    <w:rsid w:val="00BA4B42"/>
    <w:rsid w:val="00BA79F5"/>
    <w:rsid w:val="00BB02E8"/>
    <w:rsid w:val="00BB3AB6"/>
    <w:rsid w:val="00BB766D"/>
    <w:rsid w:val="00BC007B"/>
    <w:rsid w:val="00BC15E7"/>
    <w:rsid w:val="00BC26BA"/>
    <w:rsid w:val="00BC35F8"/>
    <w:rsid w:val="00BC49BF"/>
    <w:rsid w:val="00BC5043"/>
    <w:rsid w:val="00BC7140"/>
    <w:rsid w:val="00BD1B89"/>
    <w:rsid w:val="00BD3944"/>
    <w:rsid w:val="00BE1545"/>
    <w:rsid w:val="00BF376F"/>
    <w:rsid w:val="00BF46A6"/>
    <w:rsid w:val="00BF62CF"/>
    <w:rsid w:val="00BF6B98"/>
    <w:rsid w:val="00BF73D6"/>
    <w:rsid w:val="00C06545"/>
    <w:rsid w:val="00C1161C"/>
    <w:rsid w:val="00C17F66"/>
    <w:rsid w:val="00C220FC"/>
    <w:rsid w:val="00C23C86"/>
    <w:rsid w:val="00C24DFA"/>
    <w:rsid w:val="00C35561"/>
    <w:rsid w:val="00C4202A"/>
    <w:rsid w:val="00C4211F"/>
    <w:rsid w:val="00C46A36"/>
    <w:rsid w:val="00C47037"/>
    <w:rsid w:val="00C53625"/>
    <w:rsid w:val="00C602C1"/>
    <w:rsid w:val="00C61C98"/>
    <w:rsid w:val="00C63FC0"/>
    <w:rsid w:val="00C66392"/>
    <w:rsid w:val="00C74C5E"/>
    <w:rsid w:val="00C77487"/>
    <w:rsid w:val="00C827A2"/>
    <w:rsid w:val="00C82B69"/>
    <w:rsid w:val="00C85394"/>
    <w:rsid w:val="00C8657D"/>
    <w:rsid w:val="00C91B28"/>
    <w:rsid w:val="00C91F3A"/>
    <w:rsid w:val="00C94A6F"/>
    <w:rsid w:val="00CA06E3"/>
    <w:rsid w:val="00CA613C"/>
    <w:rsid w:val="00CB328B"/>
    <w:rsid w:val="00CB5797"/>
    <w:rsid w:val="00CB6050"/>
    <w:rsid w:val="00CC1202"/>
    <w:rsid w:val="00CC4099"/>
    <w:rsid w:val="00CC45C1"/>
    <w:rsid w:val="00CD09E1"/>
    <w:rsid w:val="00CD5078"/>
    <w:rsid w:val="00CD6202"/>
    <w:rsid w:val="00CE2486"/>
    <w:rsid w:val="00CE4913"/>
    <w:rsid w:val="00CE66BD"/>
    <w:rsid w:val="00CF0671"/>
    <w:rsid w:val="00CF44AD"/>
    <w:rsid w:val="00CF4FC0"/>
    <w:rsid w:val="00CF7642"/>
    <w:rsid w:val="00D03909"/>
    <w:rsid w:val="00D1072F"/>
    <w:rsid w:val="00D108A5"/>
    <w:rsid w:val="00D14585"/>
    <w:rsid w:val="00D20EFF"/>
    <w:rsid w:val="00D30F1B"/>
    <w:rsid w:val="00D30FC0"/>
    <w:rsid w:val="00D34F0D"/>
    <w:rsid w:val="00D3516E"/>
    <w:rsid w:val="00D4064C"/>
    <w:rsid w:val="00D40D69"/>
    <w:rsid w:val="00D47F9F"/>
    <w:rsid w:val="00D53ED8"/>
    <w:rsid w:val="00D56380"/>
    <w:rsid w:val="00D56A47"/>
    <w:rsid w:val="00D64857"/>
    <w:rsid w:val="00D6493A"/>
    <w:rsid w:val="00D64EE2"/>
    <w:rsid w:val="00D67875"/>
    <w:rsid w:val="00D71CBD"/>
    <w:rsid w:val="00D71E86"/>
    <w:rsid w:val="00D731C6"/>
    <w:rsid w:val="00D745C5"/>
    <w:rsid w:val="00D75327"/>
    <w:rsid w:val="00D76473"/>
    <w:rsid w:val="00D80C36"/>
    <w:rsid w:val="00D86779"/>
    <w:rsid w:val="00D86EE1"/>
    <w:rsid w:val="00D9120E"/>
    <w:rsid w:val="00D913B1"/>
    <w:rsid w:val="00D93793"/>
    <w:rsid w:val="00D96126"/>
    <w:rsid w:val="00DB4B1C"/>
    <w:rsid w:val="00DB5085"/>
    <w:rsid w:val="00DB7706"/>
    <w:rsid w:val="00DC1062"/>
    <w:rsid w:val="00DC132C"/>
    <w:rsid w:val="00DC774B"/>
    <w:rsid w:val="00DD43F0"/>
    <w:rsid w:val="00DD44DE"/>
    <w:rsid w:val="00DE09AB"/>
    <w:rsid w:val="00DE4A3F"/>
    <w:rsid w:val="00DE4E53"/>
    <w:rsid w:val="00DE7AE9"/>
    <w:rsid w:val="00DF4367"/>
    <w:rsid w:val="00E0574A"/>
    <w:rsid w:val="00E1243D"/>
    <w:rsid w:val="00E12742"/>
    <w:rsid w:val="00E12E4A"/>
    <w:rsid w:val="00E146D4"/>
    <w:rsid w:val="00E20976"/>
    <w:rsid w:val="00E22079"/>
    <w:rsid w:val="00E22B44"/>
    <w:rsid w:val="00E236D8"/>
    <w:rsid w:val="00E30ACD"/>
    <w:rsid w:val="00E3184B"/>
    <w:rsid w:val="00E32735"/>
    <w:rsid w:val="00E5391D"/>
    <w:rsid w:val="00E544E5"/>
    <w:rsid w:val="00E66E36"/>
    <w:rsid w:val="00E6781E"/>
    <w:rsid w:val="00E702ED"/>
    <w:rsid w:val="00E705CC"/>
    <w:rsid w:val="00E709A4"/>
    <w:rsid w:val="00E73822"/>
    <w:rsid w:val="00E772DB"/>
    <w:rsid w:val="00E86012"/>
    <w:rsid w:val="00E86BAB"/>
    <w:rsid w:val="00E901A1"/>
    <w:rsid w:val="00E94E10"/>
    <w:rsid w:val="00E954BD"/>
    <w:rsid w:val="00E96743"/>
    <w:rsid w:val="00E96A42"/>
    <w:rsid w:val="00EA0A36"/>
    <w:rsid w:val="00EA49C5"/>
    <w:rsid w:val="00EB1C1C"/>
    <w:rsid w:val="00EB5027"/>
    <w:rsid w:val="00EC1836"/>
    <w:rsid w:val="00EC3990"/>
    <w:rsid w:val="00EC484B"/>
    <w:rsid w:val="00ED15FA"/>
    <w:rsid w:val="00ED1E00"/>
    <w:rsid w:val="00EE228F"/>
    <w:rsid w:val="00EE238D"/>
    <w:rsid w:val="00EE6E9A"/>
    <w:rsid w:val="00EF0BF1"/>
    <w:rsid w:val="00EF27DA"/>
    <w:rsid w:val="00EF2AC4"/>
    <w:rsid w:val="00EF397E"/>
    <w:rsid w:val="00F06F68"/>
    <w:rsid w:val="00F1332D"/>
    <w:rsid w:val="00F1534B"/>
    <w:rsid w:val="00F1713B"/>
    <w:rsid w:val="00F212CB"/>
    <w:rsid w:val="00F23C7D"/>
    <w:rsid w:val="00F243DB"/>
    <w:rsid w:val="00F24C2D"/>
    <w:rsid w:val="00F24F1B"/>
    <w:rsid w:val="00F27356"/>
    <w:rsid w:val="00F32A81"/>
    <w:rsid w:val="00F46998"/>
    <w:rsid w:val="00F47100"/>
    <w:rsid w:val="00F5382D"/>
    <w:rsid w:val="00F53D9C"/>
    <w:rsid w:val="00F5462B"/>
    <w:rsid w:val="00F634AD"/>
    <w:rsid w:val="00F63677"/>
    <w:rsid w:val="00F63ABE"/>
    <w:rsid w:val="00F75B81"/>
    <w:rsid w:val="00F804C4"/>
    <w:rsid w:val="00F82F83"/>
    <w:rsid w:val="00F832E5"/>
    <w:rsid w:val="00F90F40"/>
    <w:rsid w:val="00F92B30"/>
    <w:rsid w:val="00F933B9"/>
    <w:rsid w:val="00F94674"/>
    <w:rsid w:val="00F94919"/>
    <w:rsid w:val="00F94A59"/>
    <w:rsid w:val="00FA25B6"/>
    <w:rsid w:val="00FA2FAF"/>
    <w:rsid w:val="00FA5CCF"/>
    <w:rsid w:val="00FA64B1"/>
    <w:rsid w:val="00FA70F3"/>
    <w:rsid w:val="00FA71CD"/>
    <w:rsid w:val="00FB0453"/>
    <w:rsid w:val="00FB0C07"/>
    <w:rsid w:val="00FB298D"/>
    <w:rsid w:val="00FC1439"/>
    <w:rsid w:val="00FC58BE"/>
    <w:rsid w:val="00FC7225"/>
    <w:rsid w:val="00FC724B"/>
    <w:rsid w:val="00FC767C"/>
    <w:rsid w:val="00FC7910"/>
    <w:rsid w:val="00FD0834"/>
    <w:rsid w:val="00FD6EA4"/>
    <w:rsid w:val="00FE13AD"/>
    <w:rsid w:val="00FE348D"/>
    <w:rsid w:val="00FE51C8"/>
    <w:rsid w:val="00FE53B6"/>
    <w:rsid w:val="00FE72A6"/>
    <w:rsid w:val="00FF0ABF"/>
    <w:rsid w:val="00FF0DA7"/>
    <w:rsid w:val="00FF44E0"/>
    <w:rsid w:val="00FF4CB6"/>
    <w:rsid w:val="00FF5834"/>
    <w:rsid w:val="00FF6C72"/>
    <w:rsid w:val="010F1DA1"/>
    <w:rsid w:val="014B7AE2"/>
    <w:rsid w:val="0188638F"/>
    <w:rsid w:val="01D34DB2"/>
    <w:rsid w:val="0214602E"/>
    <w:rsid w:val="02235CC1"/>
    <w:rsid w:val="02331ABF"/>
    <w:rsid w:val="02443869"/>
    <w:rsid w:val="02F37843"/>
    <w:rsid w:val="03486B27"/>
    <w:rsid w:val="03863E70"/>
    <w:rsid w:val="040A094E"/>
    <w:rsid w:val="041A2636"/>
    <w:rsid w:val="043164D2"/>
    <w:rsid w:val="049C3EC3"/>
    <w:rsid w:val="04AE367F"/>
    <w:rsid w:val="04E36C96"/>
    <w:rsid w:val="051E7727"/>
    <w:rsid w:val="0559183C"/>
    <w:rsid w:val="056800F4"/>
    <w:rsid w:val="056F201D"/>
    <w:rsid w:val="05850883"/>
    <w:rsid w:val="058D4B98"/>
    <w:rsid w:val="05A607FA"/>
    <w:rsid w:val="05B664D4"/>
    <w:rsid w:val="05CF5FA2"/>
    <w:rsid w:val="05D215EF"/>
    <w:rsid w:val="0633077A"/>
    <w:rsid w:val="065E56D7"/>
    <w:rsid w:val="06D118A6"/>
    <w:rsid w:val="070677A2"/>
    <w:rsid w:val="07076C01"/>
    <w:rsid w:val="071C12AC"/>
    <w:rsid w:val="074A3962"/>
    <w:rsid w:val="074E231E"/>
    <w:rsid w:val="076A196A"/>
    <w:rsid w:val="07921036"/>
    <w:rsid w:val="079A27C4"/>
    <w:rsid w:val="07A934B3"/>
    <w:rsid w:val="07D03DA8"/>
    <w:rsid w:val="07E129C9"/>
    <w:rsid w:val="07EB2663"/>
    <w:rsid w:val="083E11BD"/>
    <w:rsid w:val="08412444"/>
    <w:rsid w:val="08A92ADB"/>
    <w:rsid w:val="08B15E54"/>
    <w:rsid w:val="08CB2A51"/>
    <w:rsid w:val="08E458C1"/>
    <w:rsid w:val="09082248"/>
    <w:rsid w:val="09267C87"/>
    <w:rsid w:val="0966277A"/>
    <w:rsid w:val="097C3D4B"/>
    <w:rsid w:val="0980799C"/>
    <w:rsid w:val="099948FD"/>
    <w:rsid w:val="09A84B40"/>
    <w:rsid w:val="09DB5CCC"/>
    <w:rsid w:val="0A0F6376"/>
    <w:rsid w:val="0A1B5312"/>
    <w:rsid w:val="0A2E2D1E"/>
    <w:rsid w:val="0A353CEA"/>
    <w:rsid w:val="0A6A08B7"/>
    <w:rsid w:val="0A6A18DB"/>
    <w:rsid w:val="0A9849A9"/>
    <w:rsid w:val="0AB305F9"/>
    <w:rsid w:val="0AEF3828"/>
    <w:rsid w:val="0BBB665B"/>
    <w:rsid w:val="0BCD3D94"/>
    <w:rsid w:val="0C8353F1"/>
    <w:rsid w:val="0C963376"/>
    <w:rsid w:val="0CB7664E"/>
    <w:rsid w:val="0D4C612B"/>
    <w:rsid w:val="0D6B3773"/>
    <w:rsid w:val="0D9A6E96"/>
    <w:rsid w:val="0DAB2E51"/>
    <w:rsid w:val="0DD8176C"/>
    <w:rsid w:val="0E296B84"/>
    <w:rsid w:val="0E3E5A73"/>
    <w:rsid w:val="0E816EC5"/>
    <w:rsid w:val="0EEA6FC1"/>
    <w:rsid w:val="0F954485"/>
    <w:rsid w:val="0FA933C0"/>
    <w:rsid w:val="0FBF344F"/>
    <w:rsid w:val="0FE10DAC"/>
    <w:rsid w:val="10067CF4"/>
    <w:rsid w:val="101C0036"/>
    <w:rsid w:val="102869DB"/>
    <w:rsid w:val="103A04BC"/>
    <w:rsid w:val="10505F32"/>
    <w:rsid w:val="10563548"/>
    <w:rsid w:val="105A27E6"/>
    <w:rsid w:val="10B1077E"/>
    <w:rsid w:val="10CD30DE"/>
    <w:rsid w:val="10DB0369"/>
    <w:rsid w:val="11660CBD"/>
    <w:rsid w:val="11673533"/>
    <w:rsid w:val="117B00BB"/>
    <w:rsid w:val="119B0711"/>
    <w:rsid w:val="11BA02F0"/>
    <w:rsid w:val="12152F8F"/>
    <w:rsid w:val="12197477"/>
    <w:rsid w:val="12331667"/>
    <w:rsid w:val="1289059B"/>
    <w:rsid w:val="12D06431"/>
    <w:rsid w:val="12E7492B"/>
    <w:rsid w:val="130C43B0"/>
    <w:rsid w:val="13587E2C"/>
    <w:rsid w:val="13B50586"/>
    <w:rsid w:val="13D36C5E"/>
    <w:rsid w:val="13E744B7"/>
    <w:rsid w:val="142F5D29"/>
    <w:rsid w:val="143538C7"/>
    <w:rsid w:val="1466407E"/>
    <w:rsid w:val="14733F9D"/>
    <w:rsid w:val="14834E28"/>
    <w:rsid w:val="148E7D65"/>
    <w:rsid w:val="14CA62B3"/>
    <w:rsid w:val="14EF5D19"/>
    <w:rsid w:val="14F055ED"/>
    <w:rsid w:val="151D4243"/>
    <w:rsid w:val="15231BF9"/>
    <w:rsid w:val="15533B0A"/>
    <w:rsid w:val="157C32FC"/>
    <w:rsid w:val="15AA6950"/>
    <w:rsid w:val="15CA4090"/>
    <w:rsid w:val="16051EF8"/>
    <w:rsid w:val="160C28FB"/>
    <w:rsid w:val="161F43DC"/>
    <w:rsid w:val="162C3719"/>
    <w:rsid w:val="167209B0"/>
    <w:rsid w:val="16EB42BE"/>
    <w:rsid w:val="16FE3FF2"/>
    <w:rsid w:val="171E4694"/>
    <w:rsid w:val="172D64A6"/>
    <w:rsid w:val="17577E5E"/>
    <w:rsid w:val="178D35C8"/>
    <w:rsid w:val="179F5278"/>
    <w:rsid w:val="17B32F15"/>
    <w:rsid w:val="17D6540A"/>
    <w:rsid w:val="17E07B9B"/>
    <w:rsid w:val="185D743E"/>
    <w:rsid w:val="186270E4"/>
    <w:rsid w:val="188B5D2F"/>
    <w:rsid w:val="1990114D"/>
    <w:rsid w:val="19E02EBB"/>
    <w:rsid w:val="1A1E6C69"/>
    <w:rsid w:val="1A3B68AA"/>
    <w:rsid w:val="1A3E1C1E"/>
    <w:rsid w:val="1A4A39F2"/>
    <w:rsid w:val="1A4E703E"/>
    <w:rsid w:val="1A69644B"/>
    <w:rsid w:val="1AE31E7C"/>
    <w:rsid w:val="1AE856E5"/>
    <w:rsid w:val="1B105834"/>
    <w:rsid w:val="1B391A9C"/>
    <w:rsid w:val="1B843A53"/>
    <w:rsid w:val="1BB93E21"/>
    <w:rsid w:val="1BCA6B98"/>
    <w:rsid w:val="1BDD4B1E"/>
    <w:rsid w:val="1BEE63EC"/>
    <w:rsid w:val="1C042AFF"/>
    <w:rsid w:val="1C141836"/>
    <w:rsid w:val="1C7A236C"/>
    <w:rsid w:val="1C8F13B1"/>
    <w:rsid w:val="1C962F1E"/>
    <w:rsid w:val="1CB02232"/>
    <w:rsid w:val="1CC23D13"/>
    <w:rsid w:val="1D031584"/>
    <w:rsid w:val="1D0B7468"/>
    <w:rsid w:val="1D1B4B41"/>
    <w:rsid w:val="1D8F29E0"/>
    <w:rsid w:val="1D9E066F"/>
    <w:rsid w:val="1DA3702B"/>
    <w:rsid w:val="1DA376A1"/>
    <w:rsid w:val="1DB96EC4"/>
    <w:rsid w:val="1DD0420E"/>
    <w:rsid w:val="1DF0665E"/>
    <w:rsid w:val="1E1D4D68"/>
    <w:rsid w:val="1E450758"/>
    <w:rsid w:val="1E663337"/>
    <w:rsid w:val="1E6B6A14"/>
    <w:rsid w:val="1E8A7418"/>
    <w:rsid w:val="1E8B4C6A"/>
    <w:rsid w:val="1EAA6A05"/>
    <w:rsid w:val="1EBF49AE"/>
    <w:rsid w:val="1F244944"/>
    <w:rsid w:val="1F325180"/>
    <w:rsid w:val="1FE521F3"/>
    <w:rsid w:val="202E11BC"/>
    <w:rsid w:val="20550D9A"/>
    <w:rsid w:val="20EC5803"/>
    <w:rsid w:val="21584C46"/>
    <w:rsid w:val="21714B53"/>
    <w:rsid w:val="217521B6"/>
    <w:rsid w:val="21845A3B"/>
    <w:rsid w:val="218E2416"/>
    <w:rsid w:val="22097CEF"/>
    <w:rsid w:val="225B2C40"/>
    <w:rsid w:val="226915FE"/>
    <w:rsid w:val="22BE4F7D"/>
    <w:rsid w:val="22D24584"/>
    <w:rsid w:val="22DB758F"/>
    <w:rsid w:val="22E14C32"/>
    <w:rsid w:val="231828DF"/>
    <w:rsid w:val="23201794"/>
    <w:rsid w:val="23713D9D"/>
    <w:rsid w:val="23AE0B4E"/>
    <w:rsid w:val="23F46D37"/>
    <w:rsid w:val="24101808"/>
    <w:rsid w:val="241E5CD3"/>
    <w:rsid w:val="24681E07"/>
    <w:rsid w:val="246F29D3"/>
    <w:rsid w:val="24B97929"/>
    <w:rsid w:val="24D12D46"/>
    <w:rsid w:val="24D67C6F"/>
    <w:rsid w:val="24FF48BB"/>
    <w:rsid w:val="2520252D"/>
    <w:rsid w:val="25592D3B"/>
    <w:rsid w:val="25A8619C"/>
    <w:rsid w:val="26122A2E"/>
    <w:rsid w:val="26130602"/>
    <w:rsid w:val="2613131C"/>
    <w:rsid w:val="26163BC1"/>
    <w:rsid w:val="26357304"/>
    <w:rsid w:val="263712CE"/>
    <w:rsid w:val="266F6CBA"/>
    <w:rsid w:val="2685028B"/>
    <w:rsid w:val="26A225FF"/>
    <w:rsid w:val="26A64C5A"/>
    <w:rsid w:val="26D7485F"/>
    <w:rsid w:val="26DC4BB2"/>
    <w:rsid w:val="26F50752"/>
    <w:rsid w:val="27135D4E"/>
    <w:rsid w:val="2729330D"/>
    <w:rsid w:val="27675BE3"/>
    <w:rsid w:val="27D11B30"/>
    <w:rsid w:val="27D843EB"/>
    <w:rsid w:val="27DC037F"/>
    <w:rsid w:val="285F0CA7"/>
    <w:rsid w:val="285F40CA"/>
    <w:rsid w:val="28C01ECB"/>
    <w:rsid w:val="28C127EC"/>
    <w:rsid w:val="28D56B7C"/>
    <w:rsid w:val="28EC3ECC"/>
    <w:rsid w:val="29470893"/>
    <w:rsid w:val="296543A4"/>
    <w:rsid w:val="29BF71E3"/>
    <w:rsid w:val="29FC3482"/>
    <w:rsid w:val="2A1262DA"/>
    <w:rsid w:val="2A127B63"/>
    <w:rsid w:val="2A293624"/>
    <w:rsid w:val="2A510484"/>
    <w:rsid w:val="2AAA4765"/>
    <w:rsid w:val="2ABA427C"/>
    <w:rsid w:val="2AC21606"/>
    <w:rsid w:val="2AF63C5E"/>
    <w:rsid w:val="2AFE060C"/>
    <w:rsid w:val="2B7E7608"/>
    <w:rsid w:val="2B7F04E9"/>
    <w:rsid w:val="2BB533C1"/>
    <w:rsid w:val="2C0003B4"/>
    <w:rsid w:val="2C1520B2"/>
    <w:rsid w:val="2C305555"/>
    <w:rsid w:val="2C9A21B9"/>
    <w:rsid w:val="2CCE400E"/>
    <w:rsid w:val="2CE20523"/>
    <w:rsid w:val="2D484307"/>
    <w:rsid w:val="2D496D68"/>
    <w:rsid w:val="2D5B1D46"/>
    <w:rsid w:val="2DB90CBD"/>
    <w:rsid w:val="2DBB0A37"/>
    <w:rsid w:val="2DE51610"/>
    <w:rsid w:val="2DEF248E"/>
    <w:rsid w:val="2E6672CB"/>
    <w:rsid w:val="2E7A48DE"/>
    <w:rsid w:val="2E8E1CA7"/>
    <w:rsid w:val="2EDC3ED8"/>
    <w:rsid w:val="2F097580"/>
    <w:rsid w:val="2F2D046C"/>
    <w:rsid w:val="2F2F348A"/>
    <w:rsid w:val="2F3B5F94"/>
    <w:rsid w:val="2F5B427F"/>
    <w:rsid w:val="2F6351B4"/>
    <w:rsid w:val="2F77256D"/>
    <w:rsid w:val="2F9949A6"/>
    <w:rsid w:val="2FA64FEA"/>
    <w:rsid w:val="2FCF199E"/>
    <w:rsid w:val="2FD7142C"/>
    <w:rsid w:val="300F6E18"/>
    <w:rsid w:val="30483E83"/>
    <w:rsid w:val="304F5466"/>
    <w:rsid w:val="30793D93"/>
    <w:rsid w:val="30AA0E97"/>
    <w:rsid w:val="30BC42A9"/>
    <w:rsid w:val="31126BC0"/>
    <w:rsid w:val="314805C3"/>
    <w:rsid w:val="318854D0"/>
    <w:rsid w:val="31AB491E"/>
    <w:rsid w:val="31D9148B"/>
    <w:rsid w:val="32036508"/>
    <w:rsid w:val="3234700A"/>
    <w:rsid w:val="32821B23"/>
    <w:rsid w:val="32A41A99"/>
    <w:rsid w:val="334E4CD8"/>
    <w:rsid w:val="33802506"/>
    <w:rsid w:val="33956111"/>
    <w:rsid w:val="33DC1707"/>
    <w:rsid w:val="33F22ACC"/>
    <w:rsid w:val="33FC76B3"/>
    <w:rsid w:val="34136117"/>
    <w:rsid w:val="343C0775"/>
    <w:rsid w:val="348558FB"/>
    <w:rsid w:val="34AA76A9"/>
    <w:rsid w:val="34D10B40"/>
    <w:rsid w:val="355E5C87"/>
    <w:rsid w:val="356C50EC"/>
    <w:rsid w:val="35725E7F"/>
    <w:rsid w:val="35A547AD"/>
    <w:rsid w:val="35E87EEF"/>
    <w:rsid w:val="35EA010B"/>
    <w:rsid w:val="35EB79DF"/>
    <w:rsid w:val="35EF41BA"/>
    <w:rsid w:val="360B4679"/>
    <w:rsid w:val="361108CD"/>
    <w:rsid w:val="361F7F47"/>
    <w:rsid w:val="36525CB0"/>
    <w:rsid w:val="365E28A7"/>
    <w:rsid w:val="36624375"/>
    <w:rsid w:val="36DD1A1E"/>
    <w:rsid w:val="3700166C"/>
    <w:rsid w:val="37046461"/>
    <w:rsid w:val="3727617F"/>
    <w:rsid w:val="375969FE"/>
    <w:rsid w:val="375A306E"/>
    <w:rsid w:val="375F0685"/>
    <w:rsid w:val="37620175"/>
    <w:rsid w:val="37667C65"/>
    <w:rsid w:val="3781779A"/>
    <w:rsid w:val="37EA2644"/>
    <w:rsid w:val="3851430F"/>
    <w:rsid w:val="38694EE9"/>
    <w:rsid w:val="38804D57"/>
    <w:rsid w:val="38B8629F"/>
    <w:rsid w:val="38C54755"/>
    <w:rsid w:val="38D86941"/>
    <w:rsid w:val="390F1C37"/>
    <w:rsid w:val="3914724D"/>
    <w:rsid w:val="391905F6"/>
    <w:rsid w:val="39677CC5"/>
    <w:rsid w:val="39953223"/>
    <w:rsid w:val="399A3BF6"/>
    <w:rsid w:val="39A20CFD"/>
    <w:rsid w:val="39E76710"/>
    <w:rsid w:val="39F23A32"/>
    <w:rsid w:val="3A377697"/>
    <w:rsid w:val="3A7166BD"/>
    <w:rsid w:val="3A856654"/>
    <w:rsid w:val="3ABC7B9C"/>
    <w:rsid w:val="3AD60C5E"/>
    <w:rsid w:val="3B365CC9"/>
    <w:rsid w:val="3B4C2CCE"/>
    <w:rsid w:val="3B4C7172"/>
    <w:rsid w:val="3B5A363D"/>
    <w:rsid w:val="3B713BD8"/>
    <w:rsid w:val="3B8E59E5"/>
    <w:rsid w:val="3B9A7B88"/>
    <w:rsid w:val="3B9F3746"/>
    <w:rsid w:val="3BC114FF"/>
    <w:rsid w:val="3BDF3DFC"/>
    <w:rsid w:val="3BE41159"/>
    <w:rsid w:val="3BEC625F"/>
    <w:rsid w:val="3C0F436B"/>
    <w:rsid w:val="3C2660C6"/>
    <w:rsid w:val="3C495460"/>
    <w:rsid w:val="3C517B1A"/>
    <w:rsid w:val="3C7C5835"/>
    <w:rsid w:val="3C94492D"/>
    <w:rsid w:val="3CB642F5"/>
    <w:rsid w:val="3D2C7AC8"/>
    <w:rsid w:val="3D2D6B2F"/>
    <w:rsid w:val="3D344362"/>
    <w:rsid w:val="3D7F6D36"/>
    <w:rsid w:val="3D855D12"/>
    <w:rsid w:val="3D8B42FF"/>
    <w:rsid w:val="3D8C02DD"/>
    <w:rsid w:val="3D9170BE"/>
    <w:rsid w:val="3DC20089"/>
    <w:rsid w:val="3DF36A6E"/>
    <w:rsid w:val="3DFA2506"/>
    <w:rsid w:val="3E02162D"/>
    <w:rsid w:val="3E1D69B6"/>
    <w:rsid w:val="3E3D0FF4"/>
    <w:rsid w:val="3E6B3DB3"/>
    <w:rsid w:val="3EAE54E2"/>
    <w:rsid w:val="3F1138E1"/>
    <w:rsid w:val="3F2A1578"/>
    <w:rsid w:val="3F792F1E"/>
    <w:rsid w:val="3FF51B86"/>
    <w:rsid w:val="40824826"/>
    <w:rsid w:val="408C11D1"/>
    <w:rsid w:val="40C36AAA"/>
    <w:rsid w:val="40C91210"/>
    <w:rsid w:val="40D95004"/>
    <w:rsid w:val="40E63923"/>
    <w:rsid w:val="40E90D2E"/>
    <w:rsid w:val="414B735B"/>
    <w:rsid w:val="418F5DD2"/>
    <w:rsid w:val="41BE4CC7"/>
    <w:rsid w:val="41CA0DF1"/>
    <w:rsid w:val="4219017E"/>
    <w:rsid w:val="4267663F"/>
    <w:rsid w:val="42937435"/>
    <w:rsid w:val="42B443F4"/>
    <w:rsid w:val="42EB7271"/>
    <w:rsid w:val="42ED4D97"/>
    <w:rsid w:val="42F43FD4"/>
    <w:rsid w:val="4359067E"/>
    <w:rsid w:val="435B3335"/>
    <w:rsid w:val="43A51B15"/>
    <w:rsid w:val="43A91E5B"/>
    <w:rsid w:val="43E268C5"/>
    <w:rsid w:val="443E6CDE"/>
    <w:rsid w:val="448F2126"/>
    <w:rsid w:val="44BC3308"/>
    <w:rsid w:val="450D1720"/>
    <w:rsid w:val="45383C57"/>
    <w:rsid w:val="45813EBC"/>
    <w:rsid w:val="45BA48DB"/>
    <w:rsid w:val="45CD77AA"/>
    <w:rsid w:val="45E21D1F"/>
    <w:rsid w:val="45E42C1A"/>
    <w:rsid w:val="46030B23"/>
    <w:rsid w:val="46194743"/>
    <w:rsid w:val="463A3650"/>
    <w:rsid w:val="464C0026"/>
    <w:rsid w:val="469F0116"/>
    <w:rsid w:val="46C91677"/>
    <w:rsid w:val="475259B7"/>
    <w:rsid w:val="47867568"/>
    <w:rsid w:val="47B75973"/>
    <w:rsid w:val="47BC14BF"/>
    <w:rsid w:val="47DF0FED"/>
    <w:rsid w:val="47F44954"/>
    <w:rsid w:val="480D3A23"/>
    <w:rsid w:val="48496F13"/>
    <w:rsid w:val="48623B31"/>
    <w:rsid w:val="48831CF9"/>
    <w:rsid w:val="48EF3693"/>
    <w:rsid w:val="494E2307"/>
    <w:rsid w:val="49564F55"/>
    <w:rsid w:val="49580328"/>
    <w:rsid w:val="49874D6A"/>
    <w:rsid w:val="49A165B8"/>
    <w:rsid w:val="49B1408D"/>
    <w:rsid w:val="49CF51F6"/>
    <w:rsid w:val="4A7C1915"/>
    <w:rsid w:val="4A7D4FD2"/>
    <w:rsid w:val="4A913C9A"/>
    <w:rsid w:val="4AB67DF8"/>
    <w:rsid w:val="4AC565F9"/>
    <w:rsid w:val="4AE22D2F"/>
    <w:rsid w:val="4AE44CD1"/>
    <w:rsid w:val="4B1F70AC"/>
    <w:rsid w:val="4B240F94"/>
    <w:rsid w:val="4B38326F"/>
    <w:rsid w:val="4B386AE5"/>
    <w:rsid w:val="4B5005B9"/>
    <w:rsid w:val="4B610285"/>
    <w:rsid w:val="4B647BC0"/>
    <w:rsid w:val="4BA75287"/>
    <w:rsid w:val="4BE62CCB"/>
    <w:rsid w:val="4BED70D6"/>
    <w:rsid w:val="4C3C565C"/>
    <w:rsid w:val="4C46376A"/>
    <w:rsid w:val="4C542AA0"/>
    <w:rsid w:val="4C602AB7"/>
    <w:rsid w:val="4CCC79C7"/>
    <w:rsid w:val="4D1D44CA"/>
    <w:rsid w:val="4D7555C7"/>
    <w:rsid w:val="4D7F0CE1"/>
    <w:rsid w:val="4DB52955"/>
    <w:rsid w:val="4DF94F37"/>
    <w:rsid w:val="4E261AA5"/>
    <w:rsid w:val="4E3A10AC"/>
    <w:rsid w:val="4EAE6DA0"/>
    <w:rsid w:val="4EBE3A8B"/>
    <w:rsid w:val="4EC372F3"/>
    <w:rsid w:val="4ECF2AAF"/>
    <w:rsid w:val="4F22401A"/>
    <w:rsid w:val="4F2F3C65"/>
    <w:rsid w:val="4F3D70A6"/>
    <w:rsid w:val="4F692614"/>
    <w:rsid w:val="4F90367A"/>
    <w:rsid w:val="4FD037EF"/>
    <w:rsid w:val="5016514B"/>
    <w:rsid w:val="502857C7"/>
    <w:rsid w:val="5043249A"/>
    <w:rsid w:val="50461F8A"/>
    <w:rsid w:val="50476D3D"/>
    <w:rsid w:val="5105680D"/>
    <w:rsid w:val="51200A2D"/>
    <w:rsid w:val="51BB734E"/>
    <w:rsid w:val="51CB1C78"/>
    <w:rsid w:val="51D13AD5"/>
    <w:rsid w:val="51D55866"/>
    <w:rsid w:val="51DB6702"/>
    <w:rsid w:val="51EF5BB9"/>
    <w:rsid w:val="51FD6A51"/>
    <w:rsid w:val="52070FB5"/>
    <w:rsid w:val="524264A3"/>
    <w:rsid w:val="52466271"/>
    <w:rsid w:val="525B4979"/>
    <w:rsid w:val="526B680A"/>
    <w:rsid w:val="527C6CA6"/>
    <w:rsid w:val="528F15C5"/>
    <w:rsid w:val="52E33AC0"/>
    <w:rsid w:val="530D168E"/>
    <w:rsid w:val="53150D15"/>
    <w:rsid w:val="53172495"/>
    <w:rsid w:val="53185E60"/>
    <w:rsid w:val="531968C6"/>
    <w:rsid w:val="5352083E"/>
    <w:rsid w:val="536F5CA7"/>
    <w:rsid w:val="53B13BBE"/>
    <w:rsid w:val="53D30A5E"/>
    <w:rsid w:val="53EA467D"/>
    <w:rsid w:val="54196F7E"/>
    <w:rsid w:val="541A5D30"/>
    <w:rsid w:val="54921C42"/>
    <w:rsid w:val="54CA3B23"/>
    <w:rsid w:val="54D93F05"/>
    <w:rsid w:val="54F2448F"/>
    <w:rsid w:val="54F93A6F"/>
    <w:rsid w:val="553E632F"/>
    <w:rsid w:val="554A3878"/>
    <w:rsid w:val="55690BF5"/>
    <w:rsid w:val="55833339"/>
    <w:rsid w:val="55AE0106"/>
    <w:rsid w:val="55C0458D"/>
    <w:rsid w:val="55F068CD"/>
    <w:rsid w:val="561A6DC2"/>
    <w:rsid w:val="566B62A7"/>
    <w:rsid w:val="566C3136"/>
    <w:rsid w:val="568D04F2"/>
    <w:rsid w:val="56B0015D"/>
    <w:rsid w:val="56E246C3"/>
    <w:rsid w:val="570F757A"/>
    <w:rsid w:val="57256D9D"/>
    <w:rsid w:val="574216FD"/>
    <w:rsid w:val="578C63DF"/>
    <w:rsid w:val="57923F19"/>
    <w:rsid w:val="579D2DD8"/>
    <w:rsid w:val="579F69F6"/>
    <w:rsid w:val="57B40DFD"/>
    <w:rsid w:val="582F0470"/>
    <w:rsid w:val="585B234B"/>
    <w:rsid w:val="585E353C"/>
    <w:rsid w:val="588D6DD7"/>
    <w:rsid w:val="58DF2F7C"/>
    <w:rsid w:val="59065BDE"/>
    <w:rsid w:val="591A3FB4"/>
    <w:rsid w:val="5A0E1D6B"/>
    <w:rsid w:val="5A526582"/>
    <w:rsid w:val="5A5F5C77"/>
    <w:rsid w:val="5A7122F9"/>
    <w:rsid w:val="5AF905A1"/>
    <w:rsid w:val="5B073454"/>
    <w:rsid w:val="5B10566E"/>
    <w:rsid w:val="5B323837"/>
    <w:rsid w:val="5BBE39CD"/>
    <w:rsid w:val="5BC11A60"/>
    <w:rsid w:val="5C050F4B"/>
    <w:rsid w:val="5C201D6D"/>
    <w:rsid w:val="5C295359"/>
    <w:rsid w:val="5C4C0928"/>
    <w:rsid w:val="5C7A4D54"/>
    <w:rsid w:val="5C904CB9"/>
    <w:rsid w:val="5CA70254"/>
    <w:rsid w:val="5CD23B73"/>
    <w:rsid w:val="5D704AEA"/>
    <w:rsid w:val="5DB00E6A"/>
    <w:rsid w:val="5EC06CB8"/>
    <w:rsid w:val="5ED13367"/>
    <w:rsid w:val="5EFD3C0A"/>
    <w:rsid w:val="5F011414"/>
    <w:rsid w:val="5F127819"/>
    <w:rsid w:val="5F63752A"/>
    <w:rsid w:val="5FBC1D27"/>
    <w:rsid w:val="5FBF7663"/>
    <w:rsid w:val="5FE07D05"/>
    <w:rsid w:val="5FEB66AA"/>
    <w:rsid w:val="60D44997"/>
    <w:rsid w:val="60F1503F"/>
    <w:rsid w:val="61025188"/>
    <w:rsid w:val="61057D5F"/>
    <w:rsid w:val="61412A26"/>
    <w:rsid w:val="61483DB4"/>
    <w:rsid w:val="614D4977"/>
    <w:rsid w:val="61665FE8"/>
    <w:rsid w:val="61774699"/>
    <w:rsid w:val="61A05540"/>
    <w:rsid w:val="61B56F70"/>
    <w:rsid w:val="621F0E23"/>
    <w:rsid w:val="62514EEA"/>
    <w:rsid w:val="6287090C"/>
    <w:rsid w:val="62917095"/>
    <w:rsid w:val="629E7A04"/>
    <w:rsid w:val="62A63DB0"/>
    <w:rsid w:val="62CA6298"/>
    <w:rsid w:val="62CB6586"/>
    <w:rsid w:val="62CD5E9B"/>
    <w:rsid w:val="62EE098B"/>
    <w:rsid w:val="62F37D50"/>
    <w:rsid w:val="631A1780"/>
    <w:rsid w:val="631A194D"/>
    <w:rsid w:val="632154F3"/>
    <w:rsid w:val="63235EC9"/>
    <w:rsid w:val="632E0D88"/>
    <w:rsid w:val="634F0626"/>
    <w:rsid w:val="63504476"/>
    <w:rsid w:val="63C60FC0"/>
    <w:rsid w:val="63C96C0E"/>
    <w:rsid w:val="63F14E78"/>
    <w:rsid w:val="63FA3360"/>
    <w:rsid w:val="64632CB3"/>
    <w:rsid w:val="647E5D3F"/>
    <w:rsid w:val="64BA3D7A"/>
    <w:rsid w:val="64D54118"/>
    <w:rsid w:val="64F179BC"/>
    <w:rsid w:val="65357C58"/>
    <w:rsid w:val="65507AC7"/>
    <w:rsid w:val="65562818"/>
    <w:rsid w:val="65766A16"/>
    <w:rsid w:val="65945F13"/>
    <w:rsid w:val="65C94C55"/>
    <w:rsid w:val="662C3C0B"/>
    <w:rsid w:val="665704D3"/>
    <w:rsid w:val="66AC783F"/>
    <w:rsid w:val="66E75E1D"/>
    <w:rsid w:val="67002A3B"/>
    <w:rsid w:val="670047E9"/>
    <w:rsid w:val="673148E2"/>
    <w:rsid w:val="673A29F1"/>
    <w:rsid w:val="674A1F08"/>
    <w:rsid w:val="674E72EB"/>
    <w:rsid w:val="675445CD"/>
    <w:rsid w:val="67702665"/>
    <w:rsid w:val="67900263"/>
    <w:rsid w:val="679F2254"/>
    <w:rsid w:val="67C065A4"/>
    <w:rsid w:val="67C37CA9"/>
    <w:rsid w:val="67C779FD"/>
    <w:rsid w:val="67D359C9"/>
    <w:rsid w:val="67F53CE1"/>
    <w:rsid w:val="68155CD8"/>
    <w:rsid w:val="6849089E"/>
    <w:rsid w:val="68664E5D"/>
    <w:rsid w:val="68684436"/>
    <w:rsid w:val="686C5CBD"/>
    <w:rsid w:val="68A51AEC"/>
    <w:rsid w:val="68DB1440"/>
    <w:rsid w:val="68E63EB3"/>
    <w:rsid w:val="68FE36DD"/>
    <w:rsid w:val="692073C4"/>
    <w:rsid w:val="694E60FC"/>
    <w:rsid w:val="69693705"/>
    <w:rsid w:val="696E6382"/>
    <w:rsid w:val="69EF4042"/>
    <w:rsid w:val="6AF347B7"/>
    <w:rsid w:val="6C410A63"/>
    <w:rsid w:val="6C646557"/>
    <w:rsid w:val="6C675CE6"/>
    <w:rsid w:val="6C8B724B"/>
    <w:rsid w:val="6C8E2A92"/>
    <w:rsid w:val="6CA97D11"/>
    <w:rsid w:val="6CE64481"/>
    <w:rsid w:val="6CEF35AF"/>
    <w:rsid w:val="6D003795"/>
    <w:rsid w:val="6D1F7993"/>
    <w:rsid w:val="6D384CD5"/>
    <w:rsid w:val="6D452BB7"/>
    <w:rsid w:val="6D4F4321"/>
    <w:rsid w:val="6D8141AA"/>
    <w:rsid w:val="6DFF7360"/>
    <w:rsid w:val="6E0C43BB"/>
    <w:rsid w:val="6E602011"/>
    <w:rsid w:val="6E7A5F73"/>
    <w:rsid w:val="6E7C32EF"/>
    <w:rsid w:val="6EA025E7"/>
    <w:rsid w:val="6EC425A0"/>
    <w:rsid w:val="6EC86534"/>
    <w:rsid w:val="6F1104C5"/>
    <w:rsid w:val="6F1B7502"/>
    <w:rsid w:val="6F2E3798"/>
    <w:rsid w:val="6F463B6B"/>
    <w:rsid w:val="6F621672"/>
    <w:rsid w:val="6F675D4D"/>
    <w:rsid w:val="6FD74228"/>
    <w:rsid w:val="6FDC4FAB"/>
    <w:rsid w:val="701E15D0"/>
    <w:rsid w:val="70206492"/>
    <w:rsid w:val="702A0B29"/>
    <w:rsid w:val="7072622A"/>
    <w:rsid w:val="709F32C5"/>
    <w:rsid w:val="70FE5EDF"/>
    <w:rsid w:val="71297032"/>
    <w:rsid w:val="71633091"/>
    <w:rsid w:val="71957DA3"/>
    <w:rsid w:val="72203F91"/>
    <w:rsid w:val="72C50FCD"/>
    <w:rsid w:val="72D27981"/>
    <w:rsid w:val="72E70F53"/>
    <w:rsid w:val="73081CA5"/>
    <w:rsid w:val="73AB0341"/>
    <w:rsid w:val="73B61FEA"/>
    <w:rsid w:val="74545B7C"/>
    <w:rsid w:val="74571B2A"/>
    <w:rsid w:val="74842075"/>
    <w:rsid w:val="7487762D"/>
    <w:rsid w:val="74AD0280"/>
    <w:rsid w:val="74AD7D25"/>
    <w:rsid w:val="74E938A0"/>
    <w:rsid w:val="74F160B9"/>
    <w:rsid w:val="75145083"/>
    <w:rsid w:val="75385498"/>
    <w:rsid w:val="75954C96"/>
    <w:rsid w:val="759A2AA2"/>
    <w:rsid w:val="75C335B1"/>
    <w:rsid w:val="760342F6"/>
    <w:rsid w:val="76574C50"/>
    <w:rsid w:val="769962BD"/>
    <w:rsid w:val="76BC207F"/>
    <w:rsid w:val="76D42084"/>
    <w:rsid w:val="76EB4904"/>
    <w:rsid w:val="76F105F2"/>
    <w:rsid w:val="77194977"/>
    <w:rsid w:val="776112D4"/>
    <w:rsid w:val="777378F5"/>
    <w:rsid w:val="777A2D3C"/>
    <w:rsid w:val="777D1F12"/>
    <w:rsid w:val="77882D05"/>
    <w:rsid w:val="77B07ED5"/>
    <w:rsid w:val="77C41863"/>
    <w:rsid w:val="780D4FB8"/>
    <w:rsid w:val="782B182B"/>
    <w:rsid w:val="78537BEA"/>
    <w:rsid w:val="78561AB1"/>
    <w:rsid w:val="785726D7"/>
    <w:rsid w:val="78657FA9"/>
    <w:rsid w:val="78774B27"/>
    <w:rsid w:val="787B6E79"/>
    <w:rsid w:val="787E5EB6"/>
    <w:rsid w:val="78872FBC"/>
    <w:rsid w:val="789F482B"/>
    <w:rsid w:val="79074B81"/>
    <w:rsid w:val="793622EC"/>
    <w:rsid w:val="79413A08"/>
    <w:rsid w:val="794F0939"/>
    <w:rsid w:val="797A0886"/>
    <w:rsid w:val="79AF0FCA"/>
    <w:rsid w:val="79C74517"/>
    <w:rsid w:val="79E20016"/>
    <w:rsid w:val="79EF2560"/>
    <w:rsid w:val="79F24465"/>
    <w:rsid w:val="79F3642F"/>
    <w:rsid w:val="7A910122"/>
    <w:rsid w:val="7AB94608"/>
    <w:rsid w:val="7AC878BC"/>
    <w:rsid w:val="7ACB6A1D"/>
    <w:rsid w:val="7AF9279C"/>
    <w:rsid w:val="7B060A9A"/>
    <w:rsid w:val="7B42766E"/>
    <w:rsid w:val="7B4A207F"/>
    <w:rsid w:val="7B566C76"/>
    <w:rsid w:val="7BBA0FB3"/>
    <w:rsid w:val="7BE2675B"/>
    <w:rsid w:val="7C1648AD"/>
    <w:rsid w:val="7C2D79D7"/>
    <w:rsid w:val="7C615578"/>
    <w:rsid w:val="7CC51958"/>
    <w:rsid w:val="7CDD764F"/>
    <w:rsid w:val="7CE65DD7"/>
    <w:rsid w:val="7CEC40B6"/>
    <w:rsid w:val="7D556349"/>
    <w:rsid w:val="7D720A1D"/>
    <w:rsid w:val="7DC97BD3"/>
    <w:rsid w:val="7E2936C3"/>
    <w:rsid w:val="7E2E365C"/>
    <w:rsid w:val="7E6411B9"/>
    <w:rsid w:val="7E653D41"/>
    <w:rsid w:val="7EBE0350"/>
    <w:rsid w:val="7ED00AED"/>
    <w:rsid w:val="7F3217A8"/>
    <w:rsid w:val="7F6556D9"/>
    <w:rsid w:val="7F7F4398"/>
    <w:rsid w:val="7F9F166F"/>
    <w:rsid w:val="7FA75CF2"/>
    <w:rsid w:val="7FAC5D6F"/>
    <w:rsid w:val="DFEDFD8F"/>
    <w:rsid w:val="E7FF4633"/>
    <w:rsid w:val="EDECB0AB"/>
    <w:rsid w:val="EF9785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仿宋_GB2312" w:hAnsi="@仿宋_GB2312" w:eastAsia="@仿宋_GB2312" w:cs="@仿宋_GB2312"/>
      <w:kern w:val="2"/>
      <w:sz w:val="21"/>
      <w:lang w:val="en-US" w:eastAsia="zh-CN" w:bidi="ar-SA"/>
    </w:rPr>
  </w:style>
  <w:style w:type="paragraph" w:styleId="3">
    <w:name w:val="heading 1"/>
    <w:basedOn w:val="1"/>
    <w:next w:val="1"/>
    <w:link w:val="56"/>
    <w:qFormat/>
    <w:uiPriority w:val="9"/>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5" w:lineRule="auto"/>
      <w:outlineLvl w:val="1"/>
    </w:pPr>
    <w:rPr>
      <w:rFonts w:ascii="Arial" w:hAnsi="Arial" w:eastAsia="黑体" w:cs="Arial"/>
      <w:b/>
      <w:bCs/>
      <w:sz w:val="32"/>
      <w:szCs w:val="32"/>
    </w:rPr>
  </w:style>
  <w:style w:type="paragraph" w:styleId="5">
    <w:name w:val="heading 3"/>
    <w:basedOn w:val="1"/>
    <w:next w:val="1"/>
    <w:link w:val="58"/>
    <w:semiHidden/>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63"/>
    <w:qFormat/>
    <w:uiPriority w:val="0"/>
    <w:pPr>
      <w:keepNext/>
      <w:keepLines/>
      <w:spacing w:before="280" w:after="290" w:line="376" w:lineRule="auto"/>
      <w:outlineLvl w:val="3"/>
    </w:pPr>
    <w:rPr>
      <w:b/>
      <w:bCs/>
      <w:sz w:val="28"/>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qFormat/>
    <w:uiPriority w:val="0"/>
    <w:pPr>
      <w:spacing w:after="120"/>
    </w:pPr>
    <w:rPr>
      <w:rFonts w:ascii="@微软简标宋" w:hAnsi="@微软简标宋" w:eastAsia="@微软简标宋" w:cs="@微软简标宋"/>
      <w:szCs w:val="24"/>
      <w:lang w:val="zh-CN"/>
    </w:rPr>
  </w:style>
  <w:style w:type="paragraph" w:styleId="7">
    <w:name w:val="Normal Indent"/>
    <w:basedOn w:val="1"/>
    <w:qFormat/>
    <w:uiPriority w:val="0"/>
    <w:pPr>
      <w:autoSpaceDE w:val="0"/>
      <w:autoSpaceDN w:val="0"/>
      <w:adjustRightInd w:val="0"/>
      <w:ind w:firstLine="420"/>
      <w:jc w:val="left"/>
    </w:pPr>
    <w:rPr>
      <w:rFonts w:ascii="宋体" w:hAnsi="Times New Roman" w:eastAsia="宋体" w:cs="Times New Roman"/>
      <w:kern w:val="0"/>
      <w:sz w:val="24"/>
    </w:rPr>
  </w:style>
  <w:style w:type="paragraph" w:styleId="8">
    <w:name w:val="annotation text"/>
    <w:basedOn w:val="1"/>
    <w:link w:val="55"/>
    <w:qFormat/>
    <w:uiPriority w:val="0"/>
    <w:pPr>
      <w:jc w:val="left"/>
    </w:pPr>
    <w:rPr>
      <w:rFonts w:ascii="Arial" w:hAnsi="Arial" w:eastAsia="黑体" w:cs="Arial"/>
    </w:rPr>
  </w:style>
  <w:style w:type="paragraph" w:styleId="9">
    <w:name w:val="toc 3"/>
    <w:basedOn w:val="1"/>
    <w:next w:val="1"/>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45"/>
    <w:qFormat/>
    <w:uiPriority w:val="99"/>
    <w:rPr>
      <w:rFonts w:ascii="宋体" w:hAnsi="Courier New" w:eastAsiaTheme="minorEastAsia" w:cstheme="minorBidi"/>
      <w:szCs w:val="22"/>
    </w:rPr>
  </w:style>
  <w:style w:type="paragraph" w:styleId="11">
    <w:name w:val="Date"/>
    <w:basedOn w:val="1"/>
    <w:next w:val="1"/>
    <w:link w:val="52"/>
    <w:qFormat/>
    <w:uiPriority w:val="0"/>
    <w:rPr>
      <w:rFonts w:ascii="Arial" w:hAnsi="Arial" w:eastAsia="宋体" w:cs="Arial"/>
      <w:b/>
      <w:sz w:val="28"/>
    </w:rPr>
  </w:style>
  <w:style w:type="paragraph" w:styleId="12">
    <w:name w:val="Body Text Indent 2"/>
    <w:basedOn w:val="1"/>
    <w:semiHidden/>
    <w:unhideWhenUsed/>
    <w:qFormat/>
    <w:uiPriority w:val="99"/>
    <w:pPr>
      <w:keepNext w:val="0"/>
      <w:keepLines w:val="0"/>
      <w:widowControl w:val="0"/>
      <w:suppressLineNumbers w:val="0"/>
      <w:spacing w:after="120" w:afterAutospacing="0" w:line="480" w:lineRule="auto"/>
      <w:ind w:left="420" w:leftChars="200"/>
      <w:jc w:val="both"/>
    </w:pPr>
    <w:rPr>
      <w:rFonts w:hint="default" w:ascii="Times New Roman" w:hAnsi="Times New Roman" w:cs="Times New Roman"/>
      <w:kern w:val="2"/>
      <w:sz w:val="21"/>
      <w:szCs w:val="21"/>
      <w:lang w:val="en-US" w:eastAsia="zh-CN" w:bidi="ar"/>
    </w:rPr>
  </w:style>
  <w:style w:type="paragraph" w:styleId="13">
    <w:name w:val="Balloon Text"/>
    <w:basedOn w:val="1"/>
    <w:link w:val="39"/>
    <w:semiHidden/>
    <w:unhideWhenUsed/>
    <w:qFormat/>
    <w:uiPriority w:val="99"/>
    <w:rPr>
      <w:sz w:val="18"/>
      <w:szCs w:val="18"/>
    </w:rPr>
  </w:style>
  <w:style w:type="paragraph" w:styleId="14">
    <w:name w:val="footer"/>
    <w:basedOn w:val="1"/>
    <w:link w:val="44"/>
    <w:unhideWhenUsed/>
    <w:qFormat/>
    <w:uiPriority w:val="99"/>
    <w:pPr>
      <w:tabs>
        <w:tab w:val="center" w:pos="4153"/>
        <w:tab w:val="right" w:pos="8306"/>
      </w:tabs>
      <w:snapToGrid w:val="0"/>
      <w:jc w:val="left"/>
    </w:pPr>
    <w:rPr>
      <w:sz w:val="18"/>
      <w:szCs w:val="18"/>
    </w:rPr>
  </w:style>
  <w:style w:type="paragraph" w:styleId="15">
    <w:name w:val="header"/>
    <w:basedOn w:val="1"/>
    <w:link w:val="43"/>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widowControl/>
      <w:spacing w:after="100" w:line="276" w:lineRule="auto"/>
      <w:jc w:val="left"/>
    </w:pPr>
    <w:rPr>
      <w:rFonts w:asciiTheme="minorHAnsi" w:hAnsiTheme="minorHAnsi" w:eastAsiaTheme="minorEastAsia" w:cstheme="minorBidi"/>
      <w:kern w:val="0"/>
      <w:sz w:val="22"/>
      <w:szCs w:val="22"/>
    </w:rPr>
  </w:style>
  <w:style w:type="paragraph" w:styleId="17">
    <w:name w:val="toc 2"/>
    <w:basedOn w:val="1"/>
    <w:next w:val="1"/>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8">
    <w:name w:val="Normal (Web)"/>
    <w:basedOn w:val="1"/>
    <w:qFormat/>
    <w:uiPriority w:val="0"/>
    <w:pPr>
      <w:spacing w:before="100" w:beforeAutospacing="1" w:after="100" w:afterAutospacing="1"/>
      <w:jc w:val="left"/>
    </w:pPr>
    <w:rPr>
      <w:rFonts w:cs="Times New Roman"/>
      <w:kern w:val="0"/>
      <w:sz w:val="24"/>
    </w:rPr>
  </w:style>
  <w:style w:type="paragraph" w:styleId="19">
    <w:name w:val="index 1"/>
    <w:basedOn w:val="1"/>
    <w:next w:val="1"/>
    <w:qFormat/>
    <w:uiPriority w:val="0"/>
    <w:pPr>
      <w:jc w:val="center"/>
    </w:pPr>
    <w:rPr>
      <w:rFonts w:ascii="Arial" w:hAnsi="Arial" w:eastAsia="Arial" w:cs="Arial"/>
      <w:b/>
      <w:bCs/>
      <w:sz w:val="28"/>
    </w:rPr>
  </w:style>
  <w:style w:type="paragraph" w:styleId="20">
    <w:name w:val="annotation subject"/>
    <w:basedOn w:val="8"/>
    <w:next w:val="8"/>
    <w:link w:val="66"/>
    <w:semiHidden/>
    <w:unhideWhenUsed/>
    <w:qFormat/>
    <w:uiPriority w:val="99"/>
    <w:rPr>
      <w:rFonts w:ascii="@仿宋_GB2312" w:hAnsi="@仿宋_GB2312" w:eastAsia="@仿宋_GB2312" w:cs="@仿宋_GB2312"/>
      <w:b/>
      <w:bCs/>
    </w:rPr>
  </w:style>
  <w:style w:type="paragraph" w:styleId="21">
    <w:name w:val="Body Text First Indent"/>
    <w:basedOn w:val="2"/>
    <w:unhideWhenUsed/>
    <w:qFormat/>
    <w:uiPriority w:val="99"/>
    <w:pPr>
      <w:ind w:firstLine="420" w:firstLineChars="100"/>
    </w:pPr>
  </w:style>
  <w:style w:type="paragraph" w:styleId="22">
    <w:name w:val="Body Text First Indent 2"/>
    <w:semiHidden/>
    <w:unhideWhenUsed/>
    <w:qFormat/>
    <w:uiPriority w:val="99"/>
    <w:pPr>
      <w:keepNext w:val="0"/>
      <w:keepLines w:val="0"/>
      <w:widowControl w:val="0"/>
      <w:suppressLineNumbers w:val="0"/>
      <w:spacing w:before="0" w:beforeAutospacing="1" w:after="120" w:afterAutospacing="0"/>
      <w:ind w:left="420" w:leftChars="200" w:firstLine="420" w:firstLineChars="200"/>
      <w:jc w:val="both"/>
    </w:pPr>
    <w:rPr>
      <w:rFonts w:hint="default" w:ascii="Calibri" w:hAnsi="Calibri" w:eastAsia="宋体" w:cs="Times New Roman"/>
      <w:kern w:val="2"/>
      <w:sz w:val="21"/>
      <w:szCs w:val="21"/>
      <w:lang w:val="en-US" w:eastAsia="zh-CN" w:bidi="ar"/>
    </w:rPr>
  </w:style>
  <w:style w:type="table" w:styleId="24">
    <w:name w:val="Table Grid"/>
    <w:basedOn w:val="23"/>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qFormat/>
    <w:uiPriority w:val="0"/>
    <w:rPr>
      <w:b/>
      <w:bCs/>
    </w:rPr>
  </w:style>
  <w:style w:type="character" w:styleId="27">
    <w:name w:val="FollowedHyperlink"/>
    <w:basedOn w:val="25"/>
    <w:semiHidden/>
    <w:unhideWhenUsed/>
    <w:qFormat/>
    <w:uiPriority w:val="99"/>
    <w:rPr>
      <w:color w:val="5C5C5C"/>
      <w:u w:val="none"/>
    </w:rPr>
  </w:style>
  <w:style w:type="character" w:styleId="28">
    <w:name w:val="Emphasis"/>
    <w:basedOn w:val="25"/>
    <w:qFormat/>
    <w:uiPriority w:val="20"/>
    <w:rPr>
      <w:b/>
      <w:bCs/>
    </w:rPr>
  </w:style>
  <w:style w:type="character" w:styleId="29">
    <w:name w:val="HTML Definition"/>
    <w:basedOn w:val="25"/>
    <w:semiHidden/>
    <w:unhideWhenUsed/>
    <w:qFormat/>
    <w:uiPriority w:val="99"/>
  </w:style>
  <w:style w:type="character" w:styleId="30">
    <w:name w:val="HTML Typewriter"/>
    <w:basedOn w:val="25"/>
    <w:semiHidden/>
    <w:unhideWhenUsed/>
    <w:qFormat/>
    <w:uiPriority w:val="99"/>
    <w:rPr>
      <w:rFonts w:hint="default" w:ascii="monospace" w:hAnsi="monospace" w:eastAsia="monospace" w:cs="monospace"/>
      <w:sz w:val="20"/>
    </w:rPr>
  </w:style>
  <w:style w:type="character" w:styleId="31">
    <w:name w:val="HTML Acronym"/>
    <w:basedOn w:val="25"/>
    <w:semiHidden/>
    <w:unhideWhenUsed/>
    <w:qFormat/>
    <w:uiPriority w:val="99"/>
  </w:style>
  <w:style w:type="character" w:styleId="32">
    <w:name w:val="HTML Variable"/>
    <w:basedOn w:val="25"/>
    <w:semiHidden/>
    <w:unhideWhenUsed/>
    <w:qFormat/>
    <w:uiPriority w:val="99"/>
  </w:style>
  <w:style w:type="character" w:styleId="33">
    <w:name w:val="Hyperlink"/>
    <w:basedOn w:val="25"/>
    <w:unhideWhenUsed/>
    <w:qFormat/>
    <w:uiPriority w:val="99"/>
    <w:rPr>
      <w:color w:val="0000FF" w:themeColor="hyperlink"/>
      <w:u w:val="single"/>
      <w14:textFill>
        <w14:solidFill>
          <w14:schemeClr w14:val="hlink"/>
        </w14:solidFill>
      </w14:textFill>
    </w:rPr>
  </w:style>
  <w:style w:type="character" w:styleId="34">
    <w:name w:val="HTML Code"/>
    <w:basedOn w:val="25"/>
    <w:semiHidden/>
    <w:unhideWhenUsed/>
    <w:qFormat/>
    <w:uiPriority w:val="99"/>
    <w:rPr>
      <w:rFonts w:ascii="monospace" w:hAnsi="monospace" w:eastAsia="monospace" w:cs="monospace"/>
      <w:sz w:val="20"/>
    </w:rPr>
  </w:style>
  <w:style w:type="character" w:styleId="35">
    <w:name w:val="annotation reference"/>
    <w:basedOn w:val="25"/>
    <w:semiHidden/>
    <w:unhideWhenUsed/>
    <w:qFormat/>
    <w:uiPriority w:val="99"/>
    <w:rPr>
      <w:sz w:val="21"/>
      <w:szCs w:val="21"/>
    </w:rPr>
  </w:style>
  <w:style w:type="character" w:styleId="36">
    <w:name w:val="HTML Cite"/>
    <w:basedOn w:val="25"/>
    <w:semiHidden/>
    <w:unhideWhenUsed/>
    <w:qFormat/>
    <w:uiPriority w:val="99"/>
  </w:style>
  <w:style w:type="character" w:styleId="37">
    <w:name w:val="HTML Keyboard"/>
    <w:basedOn w:val="25"/>
    <w:semiHidden/>
    <w:unhideWhenUsed/>
    <w:qFormat/>
    <w:uiPriority w:val="99"/>
    <w:rPr>
      <w:rFonts w:hint="default" w:ascii="monospace" w:hAnsi="monospace" w:eastAsia="monospace" w:cs="monospace"/>
      <w:sz w:val="20"/>
    </w:rPr>
  </w:style>
  <w:style w:type="character" w:styleId="38">
    <w:name w:val="HTML Sample"/>
    <w:basedOn w:val="25"/>
    <w:semiHidden/>
    <w:unhideWhenUsed/>
    <w:qFormat/>
    <w:uiPriority w:val="99"/>
    <w:rPr>
      <w:rFonts w:hint="default" w:ascii="monospace" w:hAnsi="monospace" w:eastAsia="monospace" w:cs="monospace"/>
    </w:rPr>
  </w:style>
  <w:style w:type="character" w:customStyle="1" w:styleId="39">
    <w:name w:val="批注框文本 Char"/>
    <w:basedOn w:val="25"/>
    <w:link w:val="13"/>
    <w:semiHidden/>
    <w:qFormat/>
    <w:uiPriority w:val="99"/>
    <w:rPr>
      <w:rFonts w:ascii="@仿宋_GB2312" w:hAnsi="@仿宋_GB2312" w:eastAsia="@仿宋_GB2312" w:cs="@仿宋_GB2312"/>
      <w:sz w:val="18"/>
      <w:szCs w:val="18"/>
    </w:rPr>
  </w:style>
  <w:style w:type="paragraph" w:customStyle="1" w:styleId="40">
    <w:name w:val="正文（缩进）"/>
    <w:basedOn w:val="1"/>
    <w:qFormat/>
    <w:uiPriority w:val="0"/>
    <w:pPr>
      <w:widowControl/>
      <w:spacing w:before="156" w:after="156"/>
      <w:ind w:firstLine="480" w:firstLineChars="200"/>
      <w:jc w:val="left"/>
    </w:pPr>
    <w:rPr>
      <w:kern w:val="0"/>
      <w:sz w:val="24"/>
      <w:szCs w:val="24"/>
    </w:rPr>
  </w:style>
  <w:style w:type="paragraph" w:customStyle="1" w:styleId="41">
    <w:name w:val="xl31"/>
    <w:basedOn w:val="1"/>
    <w:qFormat/>
    <w:uiPriority w:val="0"/>
    <w:pPr>
      <w:widowControl/>
      <w:spacing w:before="100" w:beforeAutospacing="1" w:after="100" w:afterAutospacing="1"/>
      <w:jc w:val="center"/>
    </w:pPr>
    <w:rPr>
      <w:b/>
      <w:bCs/>
      <w:kern w:val="0"/>
      <w:sz w:val="28"/>
      <w:szCs w:val="28"/>
    </w:rPr>
  </w:style>
  <w:style w:type="paragraph" w:customStyle="1" w:styleId="42">
    <w:name w:val="D&amp;L"/>
    <w:basedOn w:val="15"/>
    <w:qFormat/>
    <w:uiPriority w:val="0"/>
    <w:pPr>
      <w:pBdr>
        <w:bottom w:val="thinThickSmallGap" w:color="auto" w:sz="18" w:space="1"/>
      </w:pBdr>
      <w:adjustRightInd w:val="0"/>
      <w:snapToGrid/>
      <w:spacing w:line="240" w:lineRule="atLeast"/>
      <w:textAlignment w:val="baseline"/>
    </w:pPr>
    <w:rPr>
      <w:kern w:val="0"/>
      <w:sz w:val="24"/>
      <w:szCs w:val="20"/>
    </w:rPr>
  </w:style>
  <w:style w:type="character" w:customStyle="1" w:styleId="43">
    <w:name w:val="页眉 Char"/>
    <w:basedOn w:val="25"/>
    <w:link w:val="15"/>
    <w:qFormat/>
    <w:uiPriority w:val="99"/>
    <w:rPr>
      <w:rFonts w:ascii="@仿宋_GB2312" w:hAnsi="@仿宋_GB2312" w:eastAsia="@仿宋_GB2312" w:cs="@仿宋_GB2312"/>
      <w:sz w:val="18"/>
      <w:szCs w:val="18"/>
    </w:rPr>
  </w:style>
  <w:style w:type="character" w:customStyle="1" w:styleId="44">
    <w:name w:val="页脚 Char"/>
    <w:basedOn w:val="25"/>
    <w:link w:val="14"/>
    <w:qFormat/>
    <w:uiPriority w:val="99"/>
    <w:rPr>
      <w:rFonts w:ascii="@仿宋_GB2312" w:hAnsi="@仿宋_GB2312" w:eastAsia="@仿宋_GB2312" w:cs="@仿宋_GB2312"/>
      <w:sz w:val="18"/>
      <w:szCs w:val="18"/>
    </w:rPr>
  </w:style>
  <w:style w:type="character" w:customStyle="1" w:styleId="45">
    <w:name w:val="纯文本 Char"/>
    <w:link w:val="10"/>
    <w:qFormat/>
    <w:uiPriority w:val="0"/>
    <w:rPr>
      <w:rFonts w:ascii="宋体" w:hAnsi="Courier New"/>
    </w:rPr>
  </w:style>
  <w:style w:type="character" w:customStyle="1" w:styleId="46">
    <w:name w:val="纯文本 字符1"/>
    <w:basedOn w:val="25"/>
    <w:semiHidden/>
    <w:qFormat/>
    <w:uiPriority w:val="99"/>
    <w:rPr>
      <w:rFonts w:hAnsi="Courier New" w:cs="Courier New" w:asciiTheme="minorEastAsia"/>
      <w:szCs w:val="20"/>
    </w:rPr>
  </w:style>
  <w:style w:type="character" w:customStyle="1" w:styleId="47">
    <w:name w:val="未处理的提及1"/>
    <w:basedOn w:val="25"/>
    <w:semiHidden/>
    <w:unhideWhenUsed/>
    <w:qFormat/>
    <w:uiPriority w:val="99"/>
    <w:rPr>
      <w:color w:val="605E5C"/>
      <w:shd w:val="clear" w:color="auto" w:fill="E1DFDD"/>
    </w:rPr>
  </w:style>
  <w:style w:type="paragraph" w:styleId="48">
    <w:name w:val="List Paragraph"/>
    <w:basedOn w:val="1"/>
    <w:qFormat/>
    <w:uiPriority w:val="34"/>
    <w:pPr>
      <w:ind w:firstLine="420" w:firstLineChars="200"/>
    </w:pPr>
  </w:style>
  <w:style w:type="paragraph" w:customStyle="1" w:styleId="49">
    <w:name w:val="Char Char Char Char Char Char Char1 Char"/>
    <w:basedOn w:val="1"/>
    <w:qFormat/>
    <w:uiPriority w:val="0"/>
    <w:rPr>
      <w:rFonts w:ascii="Arial" w:hAnsi="Arial" w:eastAsia="宋体" w:cs="Arial"/>
      <w:sz w:val="24"/>
    </w:rPr>
  </w:style>
  <w:style w:type="table" w:customStyle="1" w:styleId="50">
    <w:name w:val="网格表 1 浅色1"/>
    <w:basedOn w:val="23"/>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51">
    <w:name w:val="日期 字符"/>
    <w:basedOn w:val="25"/>
    <w:semiHidden/>
    <w:qFormat/>
    <w:uiPriority w:val="99"/>
    <w:rPr>
      <w:rFonts w:ascii="@仿宋_GB2312" w:hAnsi="@仿宋_GB2312" w:eastAsia="@仿宋_GB2312" w:cs="@仿宋_GB2312"/>
      <w:szCs w:val="20"/>
    </w:rPr>
  </w:style>
  <w:style w:type="character" w:customStyle="1" w:styleId="52">
    <w:name w:val="日期 Char"/>
    <w:link w:val="11"/>
    <w:qFormat/>
    <w:uiPriority w:val="0"/>
    <w:rPr>
      <w:rFonts w:ascii="Arial" w:hAnsi="Arial" w:eastAsia="宋体" w:cs="Arial"/>
      <w:b/>
      <w:sz w:val="28"/>
      <w:szCs w:val="20"/>
    </w:rPr>
  </w:style>
  <w:style w:type="character" w:customStyle="1" w:styleId="53">
    <w:name w:val="纯文本 Char1"/>
    <w:qFormat/>
    <w:locked/>
    <w:uiPriority w:val="99"/>
    <w:rPr>
      <w:rFonts w:ascii="Arial" w:hAnsi="Arial" w:eastAsia="Arial"/>
      <w:kern w:val="2"/>
      <w:sz w:val="21"/>
      <w:lang w:val="en-US" w:eastAsia="zh-CN" w:bidi="ar-SA"/>
    </w:rPr>
  </w:style>
  <w:style w:type="character" w:customStyle="1" w:styleId="54">
    <w:name w:val="批注文字 Char"/>
    <w:basedOn w:val="25"/>
    <w:semiHidden/>
    <w:qFormat/>
    <w:uiPriority w:val="99"/>
    <w:rPr>
      <w:rFonts w:ascii="@仿宋_GB2312" w:hAnsi="@仿宋_GB2312" w:eastAsia="@仿宋_GB2312" w:cs="@仿宋_GB2312"/>
      <w:szCs w:val="20"/>
    </w:rPr>
  </w:style>
  <w:style w:type="character" w:customStyle="1" w:styleId="55">
    <w:name w:val="批注文字 Char1"/>
    <w:link w:val="8"/>
    <w:qFormat/>
    <w:uiPriority w:val="0"/>
    <w:rPr>
      <w:rFonts w:ascii="Arial" w:hAnsi="Arial" w:eastAsia="黑体" w:cs="Arial"/>
      <w:szCs w:val="20"/>
    </w:rPr>
  </w:style>
  <w:style w:type="character" w:customStyle="1" w:styleId="56">
    <w:name w:val="标题 1 Char"/>
    <w:basedOn w:val="25"/>
    <w:link w:val="3"/>
    <w:qFormat/>
    <w:uiPriority w:val="9"/>
    <w:rPr>
      <w:rFonts w:ascii="@仿宋_GB2312" w:hAnsi="@仿宋_GB2312" w:eastAsia="@仿宋_GB2312" w:cs="@仿宋_GB2312"/>
      <w:b/>
      <w:bCs/>
      <w:kern w:val="44"/>
      <w:sz w:val="44"/>
      <w:szCs w:val="44"/>
    </w:rPr>
  </w:style>
  <w:style w:type="paragraph" w:customStyle="1" w:styleId="57">
    <w:name w:val="TOC 标题1"/>
    <w:basedOn w:val="3"/>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58">
    <w:name w:val="标题 3 Char"/>
    <w:basedOn w:val="25"/>
    <w:link w:val="5"/>
    <w:semiHidden/>
    <w:qFormat/>
    <w:uiPriority w:val="9"/>
    <w:rPr>
      <w:rFonts w:ascii="@仿宋_GB2312" w:hAnsi="@仿宋_GB2312" w:eastAsia="@仿宋_GB2312" w:cs="@仿宋_GB2312"/>
      <w:b/>
      <w:bCs/>
      <w:sz w:val="32"/>
      <w:szCs w:val="32"/>
    </w:rPr>
  </w:style>
  <w:style w:type="character" w:customStyle="1" w:styleId="59">
    <w:name w:val="fontstyle01"/>
    <w:basedOn w:val="25"/>
    <w:qFormat/>
    <w:uiPriority w:val="0"/>
    <w:rPr>
      <w:rFonts w:hint="eastAsia" w:ascii="宋体" w:hAnsi="宋体" w:eastAsia="宋体"/>
      <w:color w:val="000000"/>
      <w:sz w:val="22"/>
      <w:szCs w:val="22"/>
    </w:rPr>
  </w:style>
  <w:style w:type="character" w:customStyle="1" w:styleId="60">
    <w:name w:val="fontstyle21"/>
    <w:basedOn w:val="25"/>
    <w:qFormat/>
    <w:uiPriority w:val="0"/>
    <w:rPr>
      <w:rFonts w:hint="default" w:ascii="TimesNewRomanPSMT" w:hAnsi="TimesNewRomanPSMT"/>
      <w:color w:val="000000"/>
      <w:sz w:val="22"/>
      <w:szCs w:val="22"/>
    </w:rPr>
  </w:style>
  <w:style w:type="character" w:customStyle="1" w:styleId="61">
    <w:name w:val="正文文本 (2) + Sylfaen2"/>
    <w:qFormat/>
    <w:uiPriority w:val="99"/>
    <w:rPr>
      <w:rFonts w:ascii="Sylfaen" w:hAnsi="Sylfaen" w:eastAsia="MingLiU" w:cs="Sylfaen"/>
      <w:spacing w:val="0"/>
      <w:sz w:val="23"/>
      <w:szCs w:val="23"/>
      <w:shd w:val="clear" w:color="auto" w:fill="FFFFFF"/>
      <w:lang w:val="en-US" w:eastAsia="en-US"/>
    </w:rPr>
  </w:style>
  <w:style w:type="character" w:customStyle="1" w:styleId="62">
    <w:name w:val="标题 4 字符"/>
    <w:basedOn w:val="25"/>
    <w:semiHidden/>
    <w:qFormat/>
    <w:uiPriority w:val="9"/>
    <w:rPr>
      <w:rFonts w:asciiTheme="majorHAnsi" w:hAnsiTheme="majorHAnsi" w:eastAsiaTheme="majorEastAsia" w:cstheme="majorBidi"/>
      <w:b/>
      <w:bCs/>
      <w:sz w:val="28"/>
      <w:szCs w:val="28"/>
    </w:rPr>
  </w:style>
  <w:style w:type="character" w:customStyle="1" w:styleId="63">
    <w:name w:val="标题 4 Char1"/>
    <w:link w:val="6"/>
    <w:qFormat/>
    <w:uiPriority w:val="0"/>
    <w:rPr>
      <w:rFonts w:ascii="@仿宋_GB2312" w:hAnsi="@仿宋_GB2312" w:eastAsia="@仿宋_GB2312" w:cs="@仿宋_GB2312"/>
      <w:b/>
      <w:bCs/>
      <w:sz w:val="28"/>
      <w:szCs w:val="28"/>
    </w:rPr>
  </w:style>
  <w:style w:type="character" w:customStyle="1" w:styleId="64">
    <w:name w:val="标题 4 Char"/>
    <w:qFormat/>
    <w:uiPriority w:val="0"/>
    <w:rPr>
      <w:rFonts w:ascii="Arial" w:hAnsi="Arial" w:eastAsia="Arial"/>
      <w:b/>
      <w:bCs/>
      <w:kern w:val="2"/>
      <w:sz w:val="28"/>
      <w:szCs w:val="28"/>
      <w:lang w:val="en-US" w:eastAsia="zh-CN" w:bidi="ar-SA"/>
    </w:rPr>
  </w:style>
  <w:style w:type="table" w:customStyle="1" w:styleId="65">
    <w:name w:val="网格型1"/>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6">
    <w:name w:val="批注主题 Char"/>
    <w:basedOn w:val="55"/>
    <w:link w:val="20"/>
    <w:semiHidden/>
    <w:qFormat/>
    <w:uiPriority w:val="99"/>
    <w:rPr>
      <w:rFonts w:ascii="@仿宋_GB2312" w:hAnsi="@仿宋_GB2312" w:eastAsia="@仿宋_GB2312" w:cs="@仿宋_GB2312"/>
      <w:b/>
      <w:bCs/>
      <w:szCs w:val="20"/>
    </w:rPr>
  </w:style>
  <w:style w:type="table" w:customStyle="1" w:styleId="67">
    <w:name w:val="Table Normal"/>
    <w:semiHidden/>
    <w:unhideWhenUsed/>
    <w:qFormat/>
    <w:uiPriority w:val="0"/>
    <w:tblPr>
      <w:tblCellMar>
        <w:top w:w="0" w:type="dxa"/>
        <w:left w:w="0" w:type="dxa"/>
        <w:bottom w:w="0" w:type="dxa"/>
        <w:right w:w="0" w:type="dxa"/>
      </w:tblCellMar>
    </w:tblPr>
  </w:style>
  <w:style w:type="paragraph" w:customStyle="1" w:styleId="68">
    <w:name w:val="Table Text"/>
    <w:basedOn w:val="1"/>
    <w:semiHidden/>
    <w:qFormat/>
    <w:uiPriority w:val="0"/>
    <w:rPr>
      <w:rFonts w:ascii="Arial" w:hAnsi="Arial" w:eastAsia="Arial" w:cs="Arial"/>
      <w:sz w:val="21"/>
      <w:szCs w:val="21"/>
      <w:lang w:val="en-US" w:eastAsia="en-US" w:bidi="ar-SA"/>
    </w:rPr>
  </w:style>
  <w:style w:type="character" w:customStyle="1" w:styleId="69">
    <w:name w:val="15"/>
    <w:basedOn w:val="25"/>
    <w:qFormat/>
    <w:uiPriority w:val="0"/>
    <w:rPr>
      <w:rFonts w:hint="default" w:ascii="Times New Roman" w:hAnsi="Times New Roman" w:cs="Times New Roman"/>
      <w:b/>
      <w:bCs/>
      <w:kern w:val="44"/>
      <w:sz w:val="44"/>
      <w:szCs w:val="44"/>
    </w:rPr>
  </w:style>
  <w:style w:type="paragraph" w:customStyle="1" w:styleId="70">
    <w:name w:val="Plain Text"/>
    <w:basedOn w:val="1"/>
    <w:qFormat/>
    <w:uiPriority w:val="0"/>
    <w:pPr>
      <w:keepNext w:val="0"/>
      <w:keepLines w:val="0"/>
      <w:widowControl w:val="0"/>
      <w:suppressLineNumbers w:val="0"/>
      <w:adjustRightInd w:val="0"/>
      <w:spacing w:before="0" w:beforeAutospacing="0" w:after="0" w:afterAutospacing="0"/>
      <w:ind w:left="0" w:right="0"/>
      <w:jc w:val="both"/>
    </w:pPr>
    <w:rPr>
      <w:rFonts w:hint="eastAsia" w:ascii="宋体" w:hAnsi="Courier New" w:eastAsia="楷体_GB2312" w:cs="宋体"/>
      <w:kern w:val="2"/>
      <w:sz w:val="26"/>
      <w:szCs w:val="26"/>
      <w:lang w:val="en-US" w:eastAsia="zh-CN" w:bidi="ar"/>
    </w:rPr>
  </w:style>
  <w:style w:type="character" w:customStyle="1" w:styleId="71">
    <w:name w:val="10"/>
    <w:basedOn w:val="25"/>
    <w:qFormat/>
    <w:uiPriority w:val="0"/>
    <w:rPr>
      <w:rFonts w:hint="default" w:ascii="Verdana" w:hAnsi="Verdana" w:cs="Verdana"/>
      <w:sz w:val="30"/>
      <w:szCs w:val="30"/>
    </w:rPr>
  </w:style>
  <w:style w:type="character" w:customStyle="1" w:styleId="72">
    <w:name w:val="16"/>
    <w:basedOn w:val="25"/>
    <w:qFormat/>
    <w:uiPriority w:val="0"/>
    <w:rPr>
      <w:rFonts w:hint="default" w:ascii="Verdana" w:hAnsi="Verdana" w:cs="Verdana"/>
      <w:sz w:val="30"/>
      <w:szCs w:val="30"/>
    </w:rPr>
  </w:style>
  <w:style w:type="character" w:customStyle="1" w:styleId="73">
    <w:name w:val="font31"/>
    <w:basedOn w:val="25"/>
    <w:qFormat/>
    <w:uiPriority w:val="0"/>
    <w:rPr>
      <w:rFonts w:hint="default" w:ascii="方正书宋_GBK" w:hAnsi="方正书宋_GBK" w:eastAsia="方正书宋_GBK" w:cs="方正书宋_GBK"/>
      <w:color w:val="000000"/>
      <w:sz w:val="20"/>
      <w:szCs w:val="20"/>
      <w:u w:val="none"/>
    </w:rPr>
  </w:style>
  <w:style w:type="character" w:customStyle="1" w:styleId="74">
    <w:name w:val="font51"/>
    <w:basedOn w:val="25"/>
    <w:qFormat/>
    <w:uiPriority w:val="0"/>
    <w:rPr>
      <w:rFonts w:hint="default" w:ascii="Arial" w:hAnsi="Arial" w:cs="Arial"/>
      <w:color w:val="000000"/>
      <w:sz w:val="20"/>
      <w:szCs w:val="20"/>
      <w:u w:val="none"/>
    </w:rPr>
  </w:style>
  <w:style w:type="character" w:customStyle="1" w:styleId="75">
    <w:name w:val="font41"/>
    <w:basedOn w:val="25"/>
    <w:qFormat/>
    <w:uiPriority w:val="0"/>
    <w:rPr>
      <w:rFonts w:hint="default" w:ascii="Arial" w:hAnsi="Arial" w:cs="Arial"/>
      <w:color w:val="000000"/>
      <w:sz w:val="20"/>
      <w:szCs w:val="20"/>
      <w:u w:val="none"/>
    </w:rPr>
  </w:style>
  <w:style w:type="character" w:customStyle="1" w:styleId="76">
    <w:name w:val="font61"/>
    <w:basedOn w:val="25"/>
    <w:qFormat/>
    <w:uiPriority w:val="0"/>
    <w:rPr>
      <w:rFonts w:hint="default" w:ascii="方正书宋_GBK" w:hAnsi="方正书宋_GBK" w:eastAsia="方正书宋_GBK" w:cs="方正书宋_GBK"/>
      <w:color w:val="FF0000"/>
      <w:sz w:val="20"/>
      <w:szCs w:val="20"/>
      <w:u w:val="none"/>
    </w:rPr>
  </w:style>
  <w:style w:type="character" w:customStyle="1" w:styleId="77">
    <w:name w:val="font11"/>
    <w:basedOn w:val="25"/>
    <w:qFormat/>
    <w:uiPriority w:val="0"/>
    <w:rPr>
      <w:rFonts w:hint="eastAsia" w:ascii="宋体" w:hAnsi="宋体" w:eastAsia="宋体" w:cs="宋体"/>
      <w:color w:val="000000"/>
      <w:sz w:val="24"/>
      <w:szCs w:val="24"/>
      <w:u w:val="none"/>
    </w:rPr>
  </w:style>
  <w:style w:type="character" w:customStyle="1" w:styleId="78">
    <w:name w:val="font21"/>
    <w:basedOn w:val="25"/>
    <w:qFormat/>
    <w:uiPriority w:val="0"/>
    <w:rPr>
      <w:rFonts w:ascii="方正书宋_GBK" w:hAnsi="方正书宋_GBK" w:eastAsia="方正书宋_GBK" w:cs="方正书宋_GBK"/>
      <w:color w:val="000000"/>
      <w:sz w:val="20"/>
      <w:szCs w:val="20"/>
      <w:u w:val="none"/>
    </w:rPr>
  </w:style>
  <w:style w:type="character" w:customStyle="1" w:styleId="79">
    <w:name w:val="hover1"/>
    <w:basedOn w:val="25"/>
    <w:qFormat/>
    <w:uiPriority w:val="0"/>
    <w:rPr>
      <w:color w:val="2590EB"/>
    </w:rPr>
  </w:style>
  <w:style w:type="character" w:customStyle="1" w:styleId="80">
    <w:name w:val="hover2"/>
    <w:basedOn w:val="25"/>
    <w:qFormat/>
    <w:uiPriority w:val="0"/>
    <w:rPr>
      <w:color w:val="2590EB"/>
    </w:rPr>
  </w:style>
  <w:style w:type="character" w:customStyle="1" w:styleId="81">
    <w:name w:val="hover3"/>
    <w:basedOn w:val="25"/>
    <w:qFormat/>
    <w:uiPriority w:val="0"/>
  </w:style>
  <w:style w:type="character" w:customStyle="1" w:styleId="82">
    <w:name w:val="hover4"/>
    <w:basedOn w:val="25"/>
    <w:qFormat/>
    <w:uiPriority w:val="0"/>
    <w:rPr>
      <w:color w:val="2590EB"/>
      <w:shd w:val="clear" w:fill="E9F4FD"/>
    </w:rPr>
  </w:style>
  <w:style w:type="character" w:customStyle="1" w:styleId="83">
    <w:name w:val="hover"/>
    <w:basedOn w:val="25"/>
    <w:qFormat/>
    <w:uiPriority w:val="0"/>
    <w:rPr>
      <w:color w:val="2590EB"/>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akoosky</Company>
  <Pages>105</Pages>
  <Words>2579</Words>
  <Characters>2903</Characters>
  <Lines>1</Lines>
  <Paragraphs>1</Paragraphs>
  <TotalTime>1</TotalTime>
  <ScaleCrop>false</ScaleCrop>
  <LinksUpToDate>false</LinksUpToDate>
  <CharactersWithSpaces>2992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2019-05-06T22:32:00Z</dcterms:created>
  <dc:creator>Anakin</dc:creator>
  <cp:lastModifiedBy>这不科学</cp:lastModifiedBy>
  <cp:lastPrinted>2019-12-07T23:18:00Z</cp:lastPrinted>
  <dcterms:modified xsi:type="dcterms:W3CDTF">2025-08-26T03:38:16Z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1ECEA165F94845FFAF35C1C96E4FB9B0_12</vt:lpwstr>
  </property>
  <property fmtid="{D5CDD505-2E9C-101B-9397-08002B2CF9AE}" pid="4" name="KSOTemplateDocerSaveRecord">
    <vt:lpwstr>eyJoZGlkIjoiZmI5ZDY5ZDNjMmE2ZDcxYTFkMDY0Zjg5Mjg3YTE0YTgiLCJ1c2VySWQiOiI1MDM3MjkwOTMifQ==</vt:lpwstr>
  </property>
</Properties>
</file>