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78A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jc w:val="both"/>
        <w:textAlignment w:val="baseline"/>
        <w:rPr>
          <w:rFonts w:hint="eastAsia"/>
          <w:color w:val="auto"/>
          <w:sz w:val="44"/>
          <w:szCs w:val="44"/>
          <w:highlight w:val="none"/>
        </w:rPr>
      </w:pPr>
      <w:bookmarkStart w:id="225" w:name="_GoBack"/>
    </w:p>
    <w:p w14:paraId="7D757B08">
      <w:pPr>
        <w:widowControl/>
        <w:spacing w:line="400" w:lineRule="atLeast"/>
        <w:jc w:val="center"/>
        <w:textAlignment w:val="baseline"/>
        <w:rPr>
          <w:rFonts w:hint="eastAsia" w:ascii="宋体" w:hAnsi="宋体" w:eastAsia="宋体" w:cs="Times New Roman"/>
          <w:b/>
          <w:bCs/>
          <w:color w:val="auto"/>
          <w:spacing w:val="-10"/>
          <w:kern w:val="0"/>
          <w:sz w:val="52"/>
          <w:szCs w:val="52"/>
          <w:highlight w:val="none"/>
          <w:lang w:val="en-US" w:eastAsia="zh-CN"/>
        </w:rPr>
      </w:pPr>
      <w:r>
        <w:rPr>
          <w:rFonts w:hint="eastAsia" w:ascii="宋体" w:hAnsi="宋体" w:eastAsia="宋体" w:cs="Times New Roman"/>
          <w:b/>
          <w:bCs/>
          <w:color w:val="auto"/>
          <w:spacing w:val="-10"/>
          <w:kern w:val="0"/>
          <w:sz w:val="52"/>
          <w:szCs w:val="52"/>
          <w:highlight w:val="none"/>
          <w:lang w:val="en-US" w:eastAsia="zh-CN"/>
        </w:rPr>
        <w:t>滁州市公安局4G执法记录仪流量服务</w:t>
      </w:r>
    </w:p>
    <w:p w14:paraId="675464EE">
      <w:pPr>
        <w:pageBreakBefore w:val="0"/>
        <w:widowControl/>
        <w:kinsoku/>
        <w:topLinePunct w:val="0"/>
        <w:bidi w:val="0"/>
        <w:spacing w:line="360" w:lineRule="auto"/>
        <w:ind w:left="0" w:leftChars="0" w:right="0" w:rightChars="0" w:firstLine="1124" w:firstLineChars="200"/>
        <w:jc w:val="center"/>
        <w:textAlignment w:val="baseline"/>
        <w:rPr>
          <w:rFonts w:hint="eastAsia" w:ascii="宋体" w:hAnsi="宋体" w:cs="宋体"/>
          <w:b/>
          <w:color w:val="auto"/>
          <w:kern w:val="0"/>
          <w:sz w:val="56"/>
          <w:szCs w:val="56"/>
          <w:highlight w:val="none"/>
        </w:rPr>
      </w:pPr>
    </w:p>
    <w:p w14:paraId="34BF9BE2">
      <w:pPr>
        <w:widowControl/>
        <w:spacing w:line="400" w:lineRule="atLeast"/>
        <w:jc w:val="center"/>
        <w:textAlignment w:val="baseline"/>
        <w:rPr>
          <w:rFonts w:hint="eastAsia" w:ascii="宋体" w:hAnsi="宋体" w:eastAsia="宋体" w:cs="宋体"/>
          <w:b/>
          <w:bCs/>
          <w:color w:val="auto"/>
          <w:kern w:val="0"/>
          <w:sz w:val="98"/>
          <w:szCs w:val="98"/>
          <w:highlight w:val="none"/>
          <w:lang w:eastAsia="zh-CN"/>
        </w:rPr>
      </w:pPr>
    </w:p>
    <w:p w14:paraId="1B6B9C48">
      <w:pPr>
        <w:widowControl/>
        <w:spacing w:line="400" w:lineRule="atLeast"/>
        <w:jc w:val="center"/>
        <w:textAlignment w:val="baseline"/>
        <w:rPr>
          <w:rFonts w:hint="eastAsia" w:ascii="宋体" w:hAnsi="宋体" w:eastAsia="宋体" w:cs="宋体"/>
          <w:b/>
          <w:bCs/>
          <w:color w:val="auto"/>
          <w:kern w:val="0"/>
          <w:sz w:val="98"/>
          <w:szCs w:val="98"/>
          <w:highlight w:val="none"/>
        </w:rPr>
      </w:pPr>
      <w:r>
        <w:rPr>
          <w:rFonts w:hint="eastAsia" w:ascii="宋体" w:hAnsi="宋体" w:eastAsia="宋体" w:cs="宋体"/>
          <w:b/>
          <w:bCs/>
          <w:color w:val="auto"/>
          <w:kern w:val="0"/>
          <w:sz w:val="98"/>
          <w:szCs w:val="98"/>
          <w:highlight w:val="none"/>
          <w:lang w:eastAsia="zh-CN"/>
        </w:rPr>
        <w:t>竞争性谈判</w:t>
      </w:r>
      <w:r>
        <w:rPr>
          <w:rFonts w:hint="eastAsia" w:ascii="宋体" w:hAnsi="宋体" w:eastAsia="宋体" w:cs="宋体"/>
          <w:b/>
          <w:bCs/>
          <w:color w:val="auto"/>
          <w:kern w:val="0"/>
          <w:sz w:val="98"/>
          <w:szCs w:val="98"/>
          <w:highlight w:val="none"/>
        </w:rPr>
        <w:t>文件</w:t>
      </w:r>
    </w:p>
    <w:p w14:paraId="52C092DD">
      <w:pPr>
        <w:pStyle w:val="83"/>
        <w:pageBreakBefore w:val="0"/>
        <w:kinsoku/>
        <w:topLinePunct w:val="0"/>
        <w:bidi w:val="0"/>
        <w:ind w:left="0" w:leftChars="0" w:right="0" w:rightChars="0" w:firstLine="420" w:firstLineChars="200"/>
        <w:rPr>
          <w:rFonts w:hint="eastAsia"/>
          <w:color w:val="auto"/>
          <w:highlight w:val="none"/>
        </w:rPr>
      </w:pPr>
    </w:p>
    <w:p w14:paraId="4B04400C">
      <w:pPr>
        <w:widowControl/>
        <w:spacing w:line="480" w:lineRule="exact"/>
        <w:jc w:val="center"/>
        <w:textAlignment w:val="baseline"/>
        <w:rPr>
          <w:rFonts w:hint="eastAsia" w:ascii="宋体" w:hAnsi="宋体" w:eastAsia="宋体" w:cs="宋体"/>
          <w:color w:val="auto"/>
          <w:kern w:val="0"/>
          <w:sz w:val="32"/>
          <w:highlight w:val="none"/>
          <w:u w:val="none"/>
          <w:lang w:val="en-US" w:eastAsia="zh-CN"/>
        </w:rPr>
      </w:pPr>
      <w:r>
        <w:rPr>
          <w:rFonts w:hint="eastAsia" w:ascii="宋体" w:hAnsi="宋体" w:eastAsia="宋体" w:cs="宋体"/>
          <w:color w:val="auto"/>
          <w:kern w:val="0"/>
          <w:sz w:val="32"/>
          <w:highlight w:val="none"/>
          <w:u w:val="none"/>
          <w:lang w:val="en-US" w:eastAsia="zh-CN"/>
        </w:rPr>
        <w:t>项目编号：HXJY1110001042232001001</w:t>
      </w:r>
      <w:r>
        <w:rPr>
          <w:rFonts w:hint="eastAsia" w:ascii="宋体" w:hAnsi="宋体" w:eastAsia="宋体" w:cs="宋体"/>
          <w:color w:val="auto"/>
          <w:kern w:val="0"/>
          <w:sz w:val="32"/>
          <w:highlight w:val="none"/>
          <w:u w:val="none"/>
          <w:lang w:val="en-US" w:eastAsia="zh-CN"/>
        </w:rPr>
        <w:t xml:space="preserve">   </w:t>
      </w:r>
    </w:p>
    <w:p w14:paraId="1B48C6A2">
      <w:pPr>
        <w:pageBreakBefore w:val="0"/>
        <w:kinsoku/>
        <w:topLinePunct w:val="0"/>
        <w:bidi w:val="0"/>
        <w:spacing w:line="480" w:lineRule="exact"/>
        <w:ind w:left="0" w:leftChars="0" w:right="0" w:rightChars="0" w:firstLine="643" w:firstLineChars="200"/>
        <w:jc w:val="center"/>
        <w:rPr>
          <w:rFonts w:hint="eastAsia" w:ascii="宋体" w:hAnsi="宋体" w:cs="宋体"/>
          <w:b/>
          <w:color w:val="auto"/>
          <w:sz w:val="32"/>
          <w:highlight w:val="none"/>
        </w:rPr>
      </w:pPr>
    </w:p>
    <w:p w14:paraId="1A590D9D">
      <w:pPr>
        <w:pageBreakBefore w:val="0"/>
        <w:kinsoku/>
        <w:topLinePunct w:val="0"/>
        <w:bidi w:val="0"/>
        <w:spacing w:line="480" w:lineRule="exact"/>
        <w:ind w:left="0" w:leftChars="0" w:right="0" w:rightChars="0" w:firstLine="643" w:firstLineChars="200"/>
        <w:rPr>
          <w:rFonts w:hint="eastAsia" w:ascii="宋体" w:hAnsi="宋体" w:cs="宋体"/>
          <w:b/>
          <w:color w:val="auto"/>
          <w:sz w:val="32"/>
          <w:highlight w:val="none"/>
        </w:rPr>
      </w:pPr>
    </w:p>
    <w:p w14:paraId="410C4F69">
      <w:pPr>
        <w:pageBreakBefore w:val="0"/>
        <w:kinsoku/>
        <w:topLinePunct w:val="0"/>
        <w:bidi w:val="0"/>
        <w:spacing w:line="480" w:lineRule="exact"/>
        <w:ind w:right="0" w:rightChars="0"/>
        <w:rPr>
          <w:rFonts w:hint="eastAsia" w:ascii="宋体" w:hAnsi="宋体" w:cs="宋体"/>
          <w:b/>
          <w:color w:val="auto"/>
          <w:sz w:val="32"/>
          <w:highlight w:val="none"/>
        </w:rPr>
      </w:pPr>
    </w:p>
    <w:p w14:paraId="061B9694">
      <w:pPr>
        <w:pStyle w:val="4"/>
        <w:pageBreakBefore w:val="0"/>
        <w:kinsoku/>
        <w:topLinePunct w:val="0"/>
        <w:bidi w:val="0"/>
        <w:ind w:left="0" w:leftChars="0" w:right="0" w:rightChars="0" w:firstLine="643" w:firstLineChars="200"/>
        <w:rPr>
          <w:rFonts w:hint="eastAsia"/>
          <w:color w:val="auto"/>
          <w:szCs w:val="24"/>
          <w:highlight w:val="none"/>
        </w:rPr>
      </w:pPr>
    </w:p>
    <w:p w14:paraId="2F6F8788">
      <w:pPr>
        <w:pageBreakBefore w:val="0"/>
        <w:kinsoku/>
        <w:topLinePunct w:val="0"/>
        <w:bidi w:val="0"/>
        <w:spacing w:line="480" w:lineRule="exact"/>
        <w:ind w:left="0" w:leftChars="0" w:right="0" w:rightChars="0" w:firstLine="643" w:firstLineChars="200"/>
        <w:rPr>
          <w:rFonts w:hint="eastAsia" w:ascii="宋体" w:hAnsi="宋体" w:cs="宋体"/>
          <w:b/>
          <w:color w:val="auto"/>
          <w:sz w:val="32"/>
          <w:highlight w:val="none"/>
        </w:rPr>
      </w:pPr>
    </w:p>
    <w:p w14:paraId="09C92FAD">
      <w:pPr>
        <w:pageBreakBefore w:val="0"/>
        <w:kinsoku/>
        <w:topLinePunct w:val="0"/>
        <w:bidi w:val="0"/>
        <w:spacing w:line="800" w:lineRule="exact"/>
        <w:ind w:right="0" w:rightChars="0" w:firstLine="560" w:firstLineChars="200"/>
        <w:rPr>
          <w:rFonts w:hint="eastAsia" w:asciiTheme="majorEastAsia" w:hAnsiTheme="majorEastAsia" w:eastAsiaTheme="majorEastAsia" w:cstheme="majorEastAsia"/>
          <w:b w:val="0"/>
          <w:bCs/>
          <w:color w:val="auto"/>
          <w:sz w:val="28"/>
          <w:szCs w:val="28"/>
          <w:highlight w:val="none"/>
          <w:u w:val="single"/>
        </w:rPr>
      </w:pPr>
      <w:r>
        <w:rPr>
          <w:rFonts w:hint="eastAsia" w:asciiTheme="majorEastAsia" w:hAnsiTheme="majorEastAsia" w:eastAsiaTheme="majorEastAsia" w:cstheme="majorEastAsia"/>
          <w:b w:val="0"/>
          <w:bCs/>
          <w:color w:val="auto"/>
          <w:sz w:val="28"/>
          <w:szCs w:val="28"/>
          <w:highlight w:val="none"/>
        </w:rPr>
        <w:t>采  购 人 ：</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eastAsia="zh-CN"/>
        </w:rPr>
        <w:t>滁州市公安局</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（盖章）</w:t>
      </w:r>
    </w:p>
    <w:p w14:paraId="0073E898">
      <w:pPr>
        <w:pageBreakBefore w:val="0"/>
        <w:kinsoku/>
        <w:topLinePunct w:val="0"/>
        <w:bidi w:val="0"/>
        <w:spacing w:line="1000" w:lineRule="exact"/>
        <w:ind w:left="0" w:leftChars="0" w:right="0" w:rightChars="0" w:firstLine="560" w:firstLineChars="200"/>
        <w:jc w:val="left"/>
        <w:rPr>
          <w:rFonts w:hint="eastAsia" w:asciiTheme="majorEastAsia" w:hAnsiTheme="majorEastAsia" w:eastAsiaTheme="majorEastAsia" w:cstheme="majorEastAsia"/>
          <w:b w:val="0"/>
          <w:bCs/>
          <w:color w:val="auto"/>
          <w:sz w:val="28"/>
          <w:szCs w:val="28"/>
          <w:highlight w:val="none"/>
          <w:u w:val="thick"/>
        </w:rPr>
      </w:pPr>
      <w:r>
        <w:rPr>
          <w:rFonts w:hint="eastAsia" w:asciiTheme="majorEastAsia" w:hAnsiTheme="majorEastAsia" w:eastAsiaTheme="majorEastAsia" w:cstheme="majorEastAsia"/>
          <w:b w:val="0"/>
          <w:bCs/>
          <w:color w:val="auto"/>
          <w:sz w:val="28"/>
          <w:szCs w:val="28"/>
          <w:highlight w:val="none"/>
        </w:rPr>
        <w:t>采购代理机构：</w:t>
      </w:r>
      <w:r>
        <w:rPr>
          <w:rFonts w:hint="eastAsia" w:asciiTheme="majorEastAsia" w:hAnsiTheme="majorEastAsia" w:eastAsiaTheme="majorEastAsia" w:cstheme="majorEastAsia"/>
          <w:b w:val="0"/>
          <w:bCs/>
          <w:color w:val="auto"/>
          <w:sz w:val="28"/>
          <w:szCs w:val="28"/>
          <w:highlight w:val="none"/>
          <w:u w:val="single"/>
        </w:rPr>
        <w:t xml:space="preserve">  滁州市城投工程咨询管理有限公司 （盖章）</w:t>
      </w:r>
    </w:p>
    <w:p w14:paraId="1C29A03B">
      <w:pPr>
        <w:pageBreakBefore w:val="0"/>
        <w:kinsoku/>
        <w:topLinePunct w:val="0"/>
        <w:bidi w:val="0"/>
        <w:spacing w:line="560" w:lineRule="exact"/>
        <w:ind w:left="0" w:leftChars="0" w:right="0" w:rightChars="0" w:firstLine="480" w:firstLineChars="200"/>
        <w:rPr>
          <w:rFonts w:hint="eastAsia" w:asciiTheme="majorEastAsia" w:hAnsiTheme="majorEastAsia" w:eastAsiaTheme="majorEastAsia" w:cstheme="majorEastAsia"/>
          <w:b w:val="0"/>
          <w:bCs/>
          <w:color w:val="auto"/>
          <w:spacing w:val="-20"/>
          <w:sz w:val="28"/>
          <w:szCs w:val="28"/>
          <w:highlight w:val="none"/>
          <w:u w:val="thick"/>
        </w:rPr>
      </w:pPr>
    </w:p>
    <w:p w14:paraId="27055920">
      <w:pPr>
        <w:pageBreakBefore w:val="0"/>
        <w:kinsoku/>
        <w:topLinePunct w:val="0"/>
        <w:bidi w:val="0"/>
        <w:spacing w:line="560" w:lineRule="exact"/>
        <w:ind w:left="0" w:leftChars="0" w:right="0" w:rightChars="0" w:firstLine="480" w:firstLineChars="200"/>
        <w:rPr>
          <w:rFonts w:hint="eastAsia" w:asciiTheme="majorEastAsia" w:hAnsiTheme="majorEastAsia" w:eastAsiaTheme="majorEastAsia" w:cstheme="majorEastAsia"/>
          <w:b/>
          <w:color w:val="auto"/>
          <w:spacing w:val="20"/>
          <w:sz w:val="28"/>
          <w:szCs w:val="28"/>
          <w:highlight w:val="none"/>
          <w:u w:val="single"/>
        </w:rPr>
      </w:pPr>
      <w:r>
        <w:rPr>
          <w:rFonts w:hint="eastAsia" w:asciiTheme="majorEastAsia" w:hAnsiTheme="majorEastAsia" w:eastAsiaTheme="majorEastAsia" w:cstheme="majorEastAsia"/>
          <w:b w:val="0"/>
          <w:bCs/>
          <w:color w:val="auto"/>
          <w:spacing w:val="-20"/>
          <w:sz w:val="28"/>
          <w:szCs w:val="28"/>
          <w:highlight w:val="none"/>
        </w:rPr>
        <w:t xml:space="preserve"> 发 布 日 期</w:t>
      </w:r>
      <w:r>
        <w:rPr>
          <w:rFonts w:hint="eastAsia" w:asciiTheme="majorEastAsia" w:hAnsiTheme="majorEastAsia" w:eastAsiaTheme="majorEastAsia" w:cstheme="majorEastAsia"/>
          <w:b w:val="0"/>
          <w:bCs/>
          <w:color w:val="auto"/>
          <w:spacing w:val="-20"/>
          <w:sz w:val="28"/>
          <w:szCs w:val="28"/>
          <w:highlight w:val="none"/>
          <w:lang w:val="en-US" w:eastAsia="zh-CN"/>
        </w:rPr>
        <w:t xml:space="preserve">   </w:t>
      </w:r>
      <w:r>
        <w:rPr>
          <w:rFonts w:hint="eastAsia" w:asciiTheme="majorEastAsia" w:hAnsiTheme="majorEastAsia" w:eastAsiaTheme="majorEastAsia" w:cstheme="majorEastAsia"/>
          <w:b w:val="0"/>
          <w:bCs/>
          <w:color w:val="auto"/>
          <w:spacing w:val="-20"/>
          <w:sz w:val="28"/>
          <w:szCs w:val="28"/>
          <w:highlight w:val="none"/>
        </w:rPr>
        <w:t>：</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202</w:t>
      </w:r>
      <w:r>
        <w:rPr>
          <w:rFonts w:hint="eastAsia" w:asciiTheme="majorEastAsia" w:hAnsiTheme="majorEastAsia" w:eastAsiaTheme="majorEastAsia" w:cstheme="majorEastAsia"/>
          <w:b w:val="0"/>
          <w:bCs/>
          <w:color w:val="auto"/>
          <w:sz w:val="28"/>
          <w:szCs w:val="28"/>
          <w:highlight w:val="none"/>
          <w:u w:val="single"/>
          <w:lang w:val="en-US" w:eastAsia="zh-CN"/>
        </w:rPr>
        <w:t>5</w:t>
      </w:r>
      <w:r>
        <w:rPr>
          <w:rFonts w:hint="eastAsia" w:asciiTheme="majorEastAsia" w:hAnsiTheme="majorEastAsia" w:eastAsiaTheme="majorEastAsia" w:cstheme="majorEastAsia"/>
          <w:b w:val="0"/>
          <w:bCs/>
          <w:color w:val="auto"/>
          <w:sz w:val="28"/>
          <w:szCs w:val="28"/>
          <w:highlight w:val="none"/>
          <w:u w:val="single"/>
        </w:rPr>
        <w:t>年</w:t>
      </w:r>
      <w:r>
        <w:rPr>
          <w:rFonts w:hint="eastAsia" w:asciiTheme="majorEastAsia" w:hAnsiTheme="majorEastAsia" w:eastAsiaTheme="majorEastAsia" w:cstheme="majorEastAsia"/>
          <w:b w:val="0"/>
          <w:bCs/>
          <w:color w:val="auto"/>
          <w:sz w:val="28"/>
          <w:szCs w:val="28"/>
          <w:highlight w:val="none"/>
          <w:u w:val="single"/>
          <w:lang w:val="en-US" w:eastAsia="zh-CN"/>
        </w:rPr>
        <w:t>8</w:t>
      </w:r>
      <w:r>
        <w:rPr>
          <w:rFonts w:hint="eastAsia" w:asciiTheme="majorEastAsia" w:hAnsiTheme="majorEastAsia" w:eastAsiaTheme="majorEastAsia" w:cstheme="majorEastAsia"/>
          <w:b w:val="0"/>
          <w:bCs/>
          <w:color w:val="auto"/>
          <w:sz w:val="28"/>
          <w:szCs w:val="28"/>
          <w:highlight w:val="none"/>
          <w:u w:val="single"/>
        </w:rPr>
        <w:t xml:space="preserve">月                   </w:t>
      </w:r>
      <w:r>
        <w:rPr>
          <w:rFonts w:hint="eastAsia" w:asciiTheme="majorEastAsia" w:hAnsiTheme="majorEastAsia" w:eastAsiaTheme="majorEastAsia" w:cstheme="majorEastAsia"/>
          <w:b/>
          <w:color w:val="auto"/>
          <w:spacing w:val="-20"/>
          <w:sz w:val="28"/>
          <w:szCs w:val="28"/>
          <w:highlight w:val="none"/>
          <w:u w:val="single"/>
        </w:rPr>
        <w:t xml:space="preserve"> </w:t>
      </w:r>
    </w:p>
    <w:p w14:paraId="29C5263B">
      <w:pPr>
        <w:pStyle w:val="27"/>
        <w:pageBreakBefore w:val="0"/>
        <w:kinsoku/>
        <w:topLinePunct w:val="0"/>
        <w:bidi w:val="0"/>
        <w:ind w:left="0" w:leftChars="0" w:right="0" w:rightChars="0" w:firstLine="560" w:firstLineChars="200"/>
        <w:rPr>
          <w:rFonts w:hint="eastAsia" w:asciiTheme="majorEastAsia" w:hAnsiTheme="majorEastAsia" w:eastAsiaTheme="majorEastAsia" w:cstheme="majorEastAsia"/>
          <w:color w:val="auto"/>
          <w:sz w:val="28"/>
          <w:szCs w:val="28"/>
          <w:highlight w:val="none"/>
        </w:rPr>
      </w:pPr>
    </w:p>
    <w:p w14:paraId="7AC4B998">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2C7356CF">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459496B7">
      <w:pPr>
        <w:pStyle w:val="27"/>
        <w:rPr>
          <w:rFonts w:hint="eastAsia" w:ascii="宋体" w:hAnsi="宋体" w:eastAsia="宋体"/>
          <w:b/>
          <w:color w:val="auto"/>
          <w:sz w:val="28"/>
          <w:highlight w:val="none"/>
        </w:rPr>
      </w:pPr>
    </w:p>
    <w:p w14:paraId="64F6EBCB">
      <w:pPr>
        <w:rPr>
          <w:rFonts w:hint="eastAsia"/>
          <w:color w:val="auto"/>
          <w:highlight w:val="none"/>
        </w:rPr>
      </w:pPr>
    </w:p>
    <w:p w14:paraId="558A60A1">
      <w:pPr>
        <w:rPr>
          <w:rFonts w:hint="eastAsia"/>
          <w:color w:val="auto"/>
          <w:highlight w:val="none"/>
        </w:rPr>
      </w:pPr>
    </w:p>
    <w:p w14:paraId="1DA538E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9DE8FD2">
      <w:pPr>
        <w:pStyle w:val="20"/>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_Toc21914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谈判邀请</w:t>
      </w:r>
      <w:r>
        <w:rPr>
          <w:color w:val="auto"/>
          <w:highlight w:val="none"/>
        </w:rPr>
        <w:tab/>
      </w:r>
      <w:r>
        <w:rPr>
          <w:rFonts w:hint="eastAsia"/>
          <w:color w:val="auto"/>
          <w:highlight w:val="none"/>
          <w:lang w:val="en-US" w:eastAsia="zh-CN"/>
        </w:rPr>
        <w:t>3</w:t>
      </w:r>
      <w:r>
        <w:rPr>
          <w:rFonts w:asciiTheme="minorEastAsia" w:hAnsiTheme="minorEastAsia"/>
          <w:bCs/>
          <w:color w:val="auto"/>
          <w:szCs w:val="24"/>
          <w:highlight w:val="none"/>
        </w:rPr>
        <w:fldChar w:fldCharType="end"/>
      </w:r>
    </w:p>
    <w:p w14:paraId="1F0A2F4E">
      <w:pPr>
        <w:pStyle w:val="20"/>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_Toc5721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highlight w:val="none"/>
        </w:rPr>
        <w:tab/>
      </w:r>
      <w:r>
        <w:rPr>
          <w:rFonts w:hint="eastAsia"/>
          <w:color w:val="auto"/>
          <w:highlight w:val="none"/>
          <w:lang w:val="en-US" w:eastAsia="zh-CN"/>
        </w:rPr>
        <w:t>6</w:t>
      </w:r>
      <w:r>
        <w:rPr>
          <w:rFonts w:asciiTheme="minorEastAsia" w:hAnsiTheme="minorEastAsia"/>
          <w:bCs/>
          <w:color w:val="auto"/>
          <w:szCs w:val="24"/>
          <w:highlight w:val="none"/>
        </w:rPr>
        <w:fldChar w:fldCharType="end"/>
      </w:r>
    </w:p>
    <w:p w14:paraId="625DD243">
      <w:pPr>
        <w:pStyle w:val="20"/>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_Toc12846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_Toc12846 \h </w:instrText>
      </w:r>
      <w:r>
        <w:rPr>
          <w:color w:val="auto"/>
          <w:highlight w:val="none"/>
        </w:rPr>
        <w:fldChar w:fldCharType="separate"/>
      </w:r>
      <w:r>
        <w:rPr>
          <w:rFonts w:hint="eastAsia"/>
          <w:color w:val="auto"/>
          <w:highlight w:val="none"/>
          <w:lang w:val="en-US" w:eastAsia="zh-CN"/>
        </w:rPr>
        <w:t>18</w:t>
      </w:r>
      <w:r>
        <w:rPr>
          <w:color w:val="auto"/>
          <w:highlight w:val="none"/>
        </w:rPr>
        <w:fldChar w:fldCharType="end"/>
      </w:r>
      <w:r>
        <w:rPr>
          <w:rFonts w:asciiTheme="minorEastAsia" w:hAnsiTheme="minorEastAsia"/>
          <w:bCs/>
          <w:color w:val="auto"/>
          <w:szCs w:val="24"/>
          <w:highlight w:val="none"/>
        </w:rPr>
        <w:fldChar w:fldCharType="end"/>
      </w:r>
    </w:p>
    <w:p w14:paraId="6636BFD1">
      <w:pPr>
        <w:pStyle w:val="20"/>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_Toc23236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rFonts w:hint="eastAsia"/>
          <w:color w:val="auto"/>
          <w:highlight w:val="none"/>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0</w:t>
      </w:r>
    </w:p>
    <w:p w14:paraId="3A07B96F">
      <w:pPr>
        <w:pStyle w:val="20"/>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_Toc27310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rFonts w:hint="eastAsia"/>
          <w:color w:val="auto"/>
          <w:highlight w:val="none"/>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4A5E42A8">
      <w:pPr>
        <w:pStyle w:val="20"/>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_Toc29374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highlight w:val="none"/>
        </w:rPr>
        <w:tab/>
      </w:r>
      <w:r>
        <w:rPr>
          <w:rFonts w:hint="eastAsia"/>
          <w:color w:val="auto"/>
          <w:highlight w:val="none"/>
          <w:lang w:val="en-US" w:eastAsia="zh-CN"/>
        </w:rPr>
        <w:t>3</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3</w:t>
      </w:r>
    </w:p>
    <w:p w14:paraId="1F3BF413">
      <w:pPr>
        <w:pStyle w:val="20"/>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_Toc19945 </w:instrText>
      </w:r>
      <w:r>
        <w:rPr>
          <w:rFonts w:asciiTheme="minorEastAsia" w:hAnsiTheme="minorEastAsia"/>
          <w:bCs/>
          <w:color w:val="auto"/>
          <w:szCs w:val="24"/>
          <w:highlight w:val="none"/>
        </w:rPr>
        <w:fldChar w:fldCharType="separate"/>
      </w:r>
      <w:r>
        <w:rPr>
          <w:rFonts w:hint="eastAsia" w:ascii="宋体" w:hAnsi="宋体" w:eastAsia="宋体"/>
          <w:bCs/>
          <w:color w:val="auto"/>
          <w:highlight w:val="none"/>
        </w:rPr>
        <w:t>第</w:t>
      </w:r>
      <w:r>
        <w:rPr>
          <w:rFonts w:hint="eastAsia" w:ascii="宋体" w:hAnsi="宋体" w:eastAsia="宋体"/>
          <w:bCs/>
          <w:color w:val="auto"/>
          <w:highlight w:val="none"/>
          <w:lang w:val="en-US" w:eastAsia="zh-CN"/>
        </w:rPr>
        <w:t>七</w:t>
      </w:r>
      <w:r>
        <w:rPr>
          <w:rFonts w:hint="eastAsia" w:ascii="宋体" w:hAnsi="宋体" w:eastAsia="宋体"/>
          <w:bCs/>
          <w:color w:val="auto"/>
          <w:highlight w:val="none"/>
        </w:rPr>
        <w:t xml:space="preserve">章 </w:t>
      </w:r>
      <w:r>
        <w:rPr>
          <w:rFonts w:hint="eastAsia"/>
          <w:bCs/>
          <w:color w:val="auto"/>
          <w:highlight w:val="none"/>
        </w:rPr>
        <w:t xml:space="preserve"> </w:t>
      </w:r>
      <w:r>
        <w:rPr>
          <w:rFonts w:hint="eastAsia" w:ascii="宋体" w:hAnsi="宋体" w:eastAsia="宋体"/>
          <w:bCs/>
          <w:color w:val="auto"/>
          <w:highlight w:val="none"/>
        </w:rPr>
        <w:t>政府采购</w:t>
      </w:r>
      <w:r>
        <w:rPr>
          <w:rFonts w:hint="eastAsia" w:asciiTheme="minorEastAsia" w:hAnsiTheme="minorEastAsia" w:eastAsia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rFonts w:hint="eastAsia"/>
          <w:color w:val="auto"/>
          <w:highlight w:val="none"/>
          <w:lang w:val="en-US" w:eastAsia="zh-CN"/>
        </w:rPr>
        <w:t>4</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2BD706B4">
      <w:pPr>
        <w:pStyle w:val="21"/>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62B83D16">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8BF970C">
      <w:pPr>
        <w:spacing w:line="360" w:lineRule="auto"/>
        <w:jc w:val="center"/>
        <w:outlineLvl w:val="0"/>
        <w:rPr>
          <w:rFonts w:asciiTheme="minorEastAsia" w:hAnsiTheme="minorEastAsia" w:eastAsiaTheme="minorEastAsia"/>
          <w:b/>
          <w:color w:val="auto"/>
          <w:sz w:val="28"/>
          <w:highlight w:val="none"/>
        </w:rPr>
      </w:pPr>
      <w:bookmarkStart w:id="0" w:name="_Toc21914"/>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0"/>
    </w:p>
    <w:p w14:paraId="4DA47029">
      <w:pPr>
        <w:autoSpaceDE w:val="0"/>
        <w:autoSpaceDN w:val="0"/>
        <w:adjustRightInd w:val="0"/>
        <w:spacing w:line="480" w:lineRule="exact"/>
        <w:ind w:firstLine="439" w:firstLineChars="182"/>
        <w:jc w:val="left"/>
        <w:rPr>
          <w:rFonts w:ascii="宋体" w:hAnsi="宋体" w:eastAsia="宋体"/>
          <w:b/>
          <w:bCs/>
          <w:color w:val="auto"/>
          <w:sz w:val="24"/>
          <w:szCs w:val="18"/>
          <w:highlight w:val="none"/>
        </w:rPr>
      </w:pPr>
      <w:bookmarkStart w:id="1" w:name="_Toc21967"/>
      <w:bookmarkStart w:id="2" w:name="_Toc7340"/>
      <w:r>
        <w:rPr>
          <w:rFonts w:hint="eastAsia" w:ascii="宋体" w:hAnsi="宋体" w:eastAsia="宋体"/>
          <w:b/>
          <w:bCs/>
          <w:color w:val="auto"/>
          <w:sz w:val="24"/>
          <w:szCs w:val="18"/>
          <w:highlight w:val="none"/>
        </w:rPr>
        <w:t>项目概况</w:t>
      </w:r>
    </w:p>
    <w:p w14:paraId="35A6102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color w:val="auto"/>
          <w:sz w:val="24"/>
          <w:szCs w:val="18"/>
          <w:highlight w:val="none"/>
          <w:u w:val="single"/>
          <w:lang w:val="en-US" w:eastAsia="zh-CN"/>
        </w:rPr>
        <w:t>滁州市公安局4G执法记录仪流量服务</w:t>
      </w:r>
      <w:r>
        <w:rPr>
          <w:rFonts w:hint="eastAsia" w:ascii="宋体" w:hAnsi="宋体" w:eastAsia="宋体"/>
          <w:color w:val="auto"/>
          <w:sz w:val="24"/>
          <w:szCs w:val="18"/>
          <w:highlight w:val="none"/>
        </w:rPr>
        <w:t>的潜在供应商应在</w:t>
      </w:r>
      <w:r>
        <w:rPr>
          <w:rFonts w:hint="eastAsia" w:ascii="宋体" w:hAnsi="宋体" w:eastAsia="宋体"/>
          <w:color w:val="auto"/>
          <w:sz w:val="24"/>
          <w:szCs w:val="18"/>
          <w:highlight w:val="none"/>
          <w:u w:val="single"/>
          <w:lang w:val="en-US" w:eastAsia="zh-CN"/>
        </w:rPr>
        <w:t>滁州市城投工程咨询管理有限公司官网（https://www.czctgczx.com/）</w:t>
      </w:r>
      <w:r>
        <w:rPr>
          <w:rFonts w:hint="eastAsia" w:ascii="宋体" w:hAnsi="宋体" w:eastAsia="宋体"/>
          <w:color w:val="auto"/>
          <w:sz w:val="24"/>
          <w:szCs w:val="18"/>
          <w:highlight w:val="none"/>
        </w:rPr>
        <w:t>获取采购文件，并于202</w:t>
      </w:r>
      <w:r>
        <w:rPr>
          <w:rFonts w:hint="eastAsia" w:ascii="宋体" w:hAnsi="宋体" w:eastAsia="宋体"/>
          <w:color w:val="auto"/>
          <w:sz w:val="24"/>
          <w:szCs w:val="18"/>
          <w:highlight w:val="none"/>
          <w:lang w:val="en-US" w:eastAsia="zh-CN"/>
        </w:rPr>
        <w:t>5</w:t>
      </w:r>
      <w:r>
        <w:rPr>
          <w:rFonts w:hint="eastAsia" w:ascii="宋体" w:hAnsi="宋体" w:eastAsia="宋体"/>
          <w:color w:val="auto"/>
          <w:sz w:val="24"/>
          <w:szCs w:val="18"/>
          <w:highlight w:val="none"/>
        </w:rPr>
        <w:t>年</w:t>
      </w:r>
      <w:r>
        <w:rPr>
          <w:rFonts w:hint="eastAsia" w:ascii="宋体" w:hAnsi="宋体" w:eastAsia="宋体"/>
          <w:color w:val="auto"/>
          <w:sz w:val="24"/>
          <w:szCs w:val="18"/>
          <w:highlight w:val="none"/>
          <w:lang w:val="en-US" w:eastAsia="zh-CN"/>
        </w:rPr>
        <w:t>9</w:t>
      </w:r>
      <w:r>
        <w:rPr>
          <w:rFonts w:hint="eastAsia" w:ascii="宋体" w:hAnsi="宋体" w:eastAsia="宋体"/>
          <w:color w:val="auto"/>
          <w:sz w:val="24"/>
          <w:szCs w:val="18"/>
          <w:highlight w:val="none"/>
        </w:rPr>
        <w:t>月</w:t>
      </w:r>
      <w:r>
        <w:rPr>
          <w:rFonts w:hint="eastAsia" w:ascii="宋体" w:hAnsi="宋体" w:eastAsia="宋体"/>
          <w:color w:val="auto"/>
          <w:sz w:val="24"/>
          <w:szCs w:val="18"/>
          <w:highlight w:val="none"/>
          <w:lang w:val="en-US" w:eastAsia="zh-CN"/>
        </w:rPr>
        <w:t>3</w:t>
      </w:r>
      <w:r>
        <w:rPr>
          <w:rFonts w:hint="eastAsia" w:ascii="宋体" w:hAnsi="宋体" w:eastAsia="宋体"/>
          <w:color w:val="auto"/>
          <w:sz w:val="24"/>
          <w:szCs w:val="18"/>
          <w:highlight w:val="none"/>
        </w:rPr>
        <w:t>日</w:t>
      </w:r>
      <w:r>
        <w:rPr>
          <w:rFonts w:hint="eastAsia" w:ascii="宋体" w:hAnsi="宋体" w:eastAsia="宋体"/>
          <w:color w:val="auto"/>
          <w:sz w:val="24"/>
          <w:szCs w:val="18"/>
          <w:highlight w:val="none"/>
          <w:lang w:val="en-US" w:eastAsia="zh-CN"/>
        </w:rPr>
        <w:t>15</w:t>
      </w:r>
      <w:r>
        <w:rPr>
          <w:rFonts w:hint="eastAsia" w:ascii="宋体" w:hAnsi="宋体" w:eastAsia="宋体"/>
          <w:color w:val="auto"/>
          <w:sz w:val="24"/>
          <w:szCs w:val="18"/>
          <w:highlight w:val="none"/>
        </w:rPr>
        <w:t>点00分（北京时间）前递交响应文件。</w:t>
      </w:r>
    </w:p>
    <w:p w14:paraId="33CEDFAD">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一、项目名称及内容</w:t>
      </w:r>
      <w:bookmarkEnd w:id="1"/>
      <w:bookmarkEnd w:id="2"/>
    </w:p>
    <w:p w14:paraId="1EA65D3E">
      <w:pPr>
        <w:spacing w:line="48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项目编号：HXJY1110001042232001001</w:t>
      </w:r>
      <w:r>
        <w:rPr>
          <w:rFonts w:hint="eastAsia" w:asciiTheme="minorEastAsia" w:hAnsiTheme="minorEastAsia" w:eastAsiaTheme="minorEastAsia"/>
          <w:color w:val="auto"/>
          <w:sz w:val="24"/>
          <w:highlight w:val="none"/>
          <w:lang w:val="en-US" w:eastAsia="zh-CN"/>
        </w:rPr>
        <w:t xml:space="preserve">  </w:t>
      </w:r>
    </w:p>
    <w:p w14:paraId="3C31C8FB">
      <w:pPr>
        <w:autoSpaceDE w:val="0"/>
        <w:autoSpaceDN w:val="0"/>
        <w:adjustRightInd w:val="0"/>
        <w:spacing w:line="480" w:lineRule="exact"/>
        <w:ind w:firstLine="436" w:firstLineChars="182"/>
        <w:jc w:val="left"/>
        <w:rPr>
          <w:rFonts w:hint="eastAsia" w:ascii="宋体" w:hAnsi="宋体" w:eastAsia="宋体"/>
          <w:color w:val="auto"/>
          <w:sz w:val="24"/>
          <w:szCs w:val="18"/>
          <w:highlight w:val="none"/>
          <w:lang w:eastAsia="zh-CN"/>
        </w:rPr>
      </w:pPr>
      <w:r>
        <w:rPr>
          <w:rFonts w:hint="eastAsia" w:asciiTheme="minorEastAsia" w:hAnsiTheme="minorEastAsia" w:eastAsiaTheme="minorEastAsia"/>
          <w:color w:val="auto"/>
          <w:sz w:val="24"/>
          <w:highlight w:val="none"/>
        </w:rPr>
        <w:t>项目名称：</w:t>
      </w:r>
      <w:r>
        <w:rPr>
          <w:rFonts w:hint="eastAsia" w:ascii="宋体" w:hAnsi="宋体" w:eastAsia="宋体"/>
          <w:color w:val="auto"/>
          <w:sz w:val="24"/>
          <w:szCs w:val="18"/>
          <w:highlight w:val="none"/>
          <w:u w:val="none"/>
          <w:lang w:val="en-US" w:eastAsia="zh-CN"/>
        </w:rPr>
        <w:t>滁州市公安局4G执法记录仪流量服务</w:t>
      </w:r>
    </w:p>
    <w:p w14:paraId="39087830">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采购方式：竞争性谈判</w:t>
      </w:r>
    </w:p>
    <w:p w14:paraId="1A3F5257">
      <w:pPr>
        <w:spacing w:line="48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万元</w:t>
      </w:r>
    </w:p>
    <w:p w14:paraId="2AD6B17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r>
        <w:rPr>
          <w:rFonts w:hint="eastAsia" w:ascii="宋体" w:hAnsi="宋体" w:eastAsia="宋体"/>
          <w:color w:val="auto"/>
          <w:sz w:val="24"/>
          <w:szCs w:val="18"/>
          <w:highlight w:val="none"/>
          <w:lang w:val="en-US" w:eastAsia="zh-CN"/>
        </w:rPr>
        <w:t>本项目设置单价最高限价0.5元/G</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响应</w:t>
      </w:r>
      <w:r>
        <w:rPr>
          <w:rFonts w:hint="eastAsia" w:ascii="宋体" w:hAnsi="宋体" w:eastAsia="宋体"/>
          <w:color w:val="auto"/>
          <w:sz w:val="24"/>
          <w:szCs w:val="18"/>
          <w:highlight w:val="none"/>
        </w:rPr>
        <w:t>报价不得高于最高限价，否则按无效响应处理。</w:t>
      </w:r>
    </w:p>
    <w:p w14:paraId="2E65DEC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val="en-US" w:eastAsia="zh-CN"/>
        </w:rPr>
        <w:t>见采购需求。</w:t>
      </w:r>
    </w:p>
    <w:p w14:paraId="5EDF987E">
      <w:pPr>
        <w:spacing w:line="480" w:lineRule="exact"/>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val="en-US" w:eastAsia="zh-CN"/>
        </w:rPr>
        <w:t>一年</w:t>
      </w:r>
      <w:r>
        <w:rPr>
          <w:rFonts w:hint="eastAsia" w:ascii="宋体" w:hAnsi="宋体" w:eastAsia="宋体" w:cs="宋体"/>
          <w:color w:val="auto"/>
          <w:sz w:val="24"/>
          <w:szCs w:val="24"/>
          <w:highlight w:val="none"/>
        </w:rPr>
        <w:t>。</w:t>
      </w:r>
    </w:p>
    <w:p w14:paraId="37204915">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本项目不接受联合体。</w:t>
      </w:r>
    </w:p>
    <w:p w14:paraId="10AB0910">
      <w:pPr>
        <w:spacing w:line="360" w:lineRule="auto"/>
        <w:ind w:firstLine="435"/>
        <w:outlineLvl w:val="1"/>
        <w:rPr>
          <w:rFonts w:ascii="宋体" w:hAnsi="宋体" w:eastAsia="宋体"/>
          <w:b/>
          <w:bCs/>
          <w:color w:val="auto"/>
          <w:sz w:val="24"/>
          <w:szCs w:val="18"/>
          <w:highlight w:val="none"/>
        </w:rPr>
      </w:pPr>
      <w:bookmarkStart w:id="3" w:name="_Toc10226"/>
      <w:bookmarkStart w:id="4"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3"/>
      <w:r>
        <w:rPr>
          <w:rFonts w:hint="eastAsia" w:ascii="宋体" w:hAnsi="宋体" w:eastAsia="宋体"/>
          <w:b/>
          <w:bCs/>
          <w:color w:val="auto"/>
          <w:sz w:val="24"/>
          <w:szCs w:val="18"/>
          <w:highlight w:val="none"/>
        </w:rPr>
        <w:t>申请人的资格要求</w:t>
      </w:r>
      <w:bookmarkEnd w:id="4"/>
    </w:p>
    <w:p w14:paraId="67403BA6">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5ACFADBF">
      <w:pPr>
        <w:spacing w:line="360" w:lineRule="auto"/>
        <w:ind w:firstLine="435"/>
        <w:rPr>
          <w:rFonts w:hint="eastAsia"/>
          <w:color w:val="auto"/>
          <w:highlight w:val="none"/>
          <w:lang w:eastAsia="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须具有《中华人民共和国增值电信业务经营许可证》；</w:t>
      </w:r>
    </w:p>
    <w:p w14:paraId="736A3F0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bookmarkStart w:id="5" w:name="_Toc4607"/>
      <w:bookmarkStart w:id="6" w:name="_Toc31469"/>
      <w:r>
        <w:rPr>
          <w:rFonts w:hint="eastAsia" w:asciiTheme="minorEastAsia" w:hAnsiTheme="minorEastAsia" w:eastAsiaTheme="minorEastAsia"/>
          <w:color w:val="auto"/>
          <w:sz w:val="24"/>
          <w:highlight w:val="none"/>
        </w:rPr>
        <w:t>信誉要求：供应商不得存在以下情形：</w:t>
      </w:r>
    </w:p>
    <w:p w14:paraId="02CCF85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①供应商被人民法院列入失信被执行人的；</w:t>
      </w:r>
    </w:p>
    <w:p w14:paraId="2356813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②供应商或其法定代表人或拟派项目</w:t>
      </w:r>
      <w:r>
        <w:rPr>
          <w:rFonts w:hint="eastAsia" w:asciiTheme="minorEastAsia" w:hAnsiTheme="minorEastAsia" w:eastAsiaTheme="minorEastAsia"/>
          <w:color w:val="auto"/>
          <w:sz w:val="24"/>
          <w:highlight w:val="none"/>
          <w:lang w:val="en-US" w:eastAsia="zh-CN"/>
        </w:rPr>
        <w:t>负责人</w:t>
      </w:r>
      <w:r>
        <w:rPr>
          <w:rFonts w:hint="eastAsia" w:asciiTheme="minorEastAsia" w:hAnsiTheme="minorEastAsia" w:eastAsiaTheme="minorEastAsia"/>
          <w:color w:val="auto"/>
          <w:sz w:val="24"/>
          <w:highlight w:val="none"/>
        </w:rPr>
        <w:t>前三年有行贿犯罪行为的；</w:t>
      </w:r>
    </w:p>
    <w:p w14:paraId="7F38988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③供应商被市场监督管理部门列入经营异常名录或者严重违法企业名单，且未被移除的；</w:t>
      </w:r>
    </w:p>
    <w:p w14:paraId="32A48BD6">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④供应商被税务部门列入重大税收违法案件当事人的；</w:t>
      </w:r>
    </w:p>
    <w:p w14:paraId="4224E98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⑤供应商被政府采购监管部门列入政府采购严重违法失信行为记录名单的；</w:t>
      </w:r>
    </w:p>
    <w:p w14:paraId="0F6EEA6E">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⑥在“信用中国”网站上披露仍在公示期的严重失信行为的。</w:t>
      </w:r>
    </w:p>
    <w:p w14:paraId="46B7A291">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.供应商所属分公司、办事处等分支机构存在第</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款信誉要求①-⑥项情形之一的，接受供应商参加本项目。</w:t>
      </w:r>
    </w:p>
    <w:p w14:paraId="317E634B">
      <w:pPr>
        <w:spacing w:line="360" w:lineRule="auto"/>
        <w:ind w:firstLine="435"/>
        <w:outlineLvl w:val="1"/>
        <w:rPr>
          <w:rFonts w:hint="eastAsia" w:ascii="宋体" w:hAnsi="宋体" w:eastAsiaTheme="minorEastAsia"/>
          <w:b/>
          <w:bCs/>
          <w:color w:val="auto"/>
          <w:sz w:val="24"/>
          <w:szCs w:val="18"/>
          <w:highlight w:val="none"/>
          <w:lang w:eastAsia="zh-CN"/>
        </w:rPr>
      </w:pPr>
      <w:r>
        <w:rPr>
          <w:rFonts w:hint="eastAsia" w:asciiTheme="minorEastAsia" w:hAnsiTheme="minorEastAsia" w:eastAsiaTheme="minorEastAsia"/>
          <w:color w:val="auto"/>
          <w:sz w:val="24"/>
          <w:highlight w:val="none"/>
        </w:rPr>
        <w:t>备注：第</w:t>
      </w:r>
      <w:r>
        <w:rPr>
          <w:rFonts w:hint="eastAsia" w:asciiTheme="minorEastAsia" w:hAnsiTheme="minorEastAsia" w:eastAsiaTheme="minorEastAsia"/>
          <w:color w:val="auto"/>
          <w:sz w:val="24"/>
          <w:highlight w:val="none"/>
          <w:lang w:val="en-US" w:eastAsia="zh-CN"/>
        </w:rPr>
        <w:t>3、4</w:t>
      </w:r>
      <w:r>
        <w:rPr>
          <w:rFonts w:hint="eastAsia" w:asciiTheme="minorEastAsia" w:hAnsiTheme="minorEastAsia" w:eastAsiaTheme="minorEastAsia"/>
          <w:color w:val="auto"/>
          <w:sz w:val="24"/>
          <w:highlight w:val="none"/>
        </w:rPr>
        <w:t>条按照“关于联合惩戒失信行为加强信用查询管理的通知”查询或承诺</w:t>
      </w:r>
      <w:r>
        <w:rPr>
          <w:rFonts w:hint="eastAsia" w:asciiTheme="minorEastAsia" w:hAnsiTheme="minorEastAsia" w:eastAsiaTheme="minorEastAsia"/>
          <w:color w:val="auto"/>
          <w:sz w:val="24"/>
          <w:highlight w:val="none"/>
          <w:lang w:eastAsia="zh-CN"/>
        </w:rPr>
        <w:t>。</w:t>
      </w:r>
    </w:p>
    <w:p w14:paraId="551F470A">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5"/>
      <w:r>
        <w:rPr>
          <w:rFonts w:hint="eastAsia" w:asciiTheme="minorEastAsia" w:hAnsiTheme="minorEastAsia" w:eastAsiaTheme="minorEastAsia"/>
          <w:b/>
          <w:color w:val="auto"/>
          <w:sz w:val="24"/>
          <w:highlight w:val="none"/>
        </w:rPr>
        <w:t>获取采购文件</w:t>
      </w:r>
      <w:bookmarkEnd w:id="6"/>
    </w:p>
    <w:p w14:paraId="7181F4A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none"/>
        </w:rPr>
        <w:t>日</w:t>
      </w:r>
    </w:p>
    <w:p w14:paraId="100BCE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滁州市城投工程咨询管理有限公司官网（https://www.czctgczx.com/）</w:t>
      </w:r>
    </w:p>
    <w:p w14:paraId="7F09462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081F6FDE">
      <w:pPr>
        <w:keepNext w:val="0"/>
        <w:keepLines w:val="0"/>
        <w:pageBreakBefore w:val="0"/>
        <w:widowControl w:val="0"/>
        <w:numPr>
          <w:ilvl w:val="0"/>
          <w:numId w:val="2"/>
        </w:numPr>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供应商登录新点电子交易平台【滁州专区】获取采购文件及其它资料（含澄清和补充说明等）。如在采购文件获取过程中遇到系统问题，请拨打技术支持服务热线4009280095或者网站首页在线客服。</w:t>
      </w:r>
    </w:p>
    <w:p w14:paraId="6B0A7D0B">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售价：0元</w:t>
      </w:r>
    </w:p>
    <w:p w14:paraId="3BDE39B2">
      <w:pPr>
        <w:spacing w:line="360" w:lineRule="auto"/>
        <w:ind w:firstLine="435"/>
        <w:outlineLvl w:val="1"/>
        <w:rPr>
          <w:rFonts w:ascii="宋体" w:hAnsi="宋体" w:eastAsia="宋体"/>
          <w:b/>
          <w:bCs/>
          <w:color w:val="auto"/>
          <w:sz w:val="24"/>
          <w:szCs w:val="18"/>
          <w:highlight w:val="none"/>
        </w:rPr>
      </w:pPr>
      <w:bookmarkStart w:id="7" w:name="_Toc19753"/>
      <w:bookmarkStart w:id="8"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7"/>
      <w:r>
        <w:rPr>
          <w:rFonts w:hint="eastAsia" w:ascii="宋体" w:hAnsi="宋体" w:eastAsia="宋体"/>
          <w:b/>
          <w:bCs/>
          <w:color w:val="auto"/>
          <w:sz w:val="24"/>
          <w:highlight w:val="none"/>
        </w:rPr>
        <w:t>响应文件提交</w:t>
      </w:r>
      <w:bookmarkEnd w:id="8"/>
    </w:p>
    <w:p w14:paraId="445FE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截止时间：</w:t>
      </w:r>
      <w:r>
        <w:rPr>
          <w:rFonts w:hint="eastAsia" w:asciiTheme="minorEastAsia" w:hAnsiTheme="minorEastAsia" w:eastAsiaTheme="minorEastAsia" w:cstheme="minorEastAsia"/>
          <w:b/>
          <w:bCs w:val="0"/>
          <w:color w:val="auto"/>
          <w:sz w:val="24"/>
          <w:szCs w:val="24"/>
          <w:highlight w:val="none"/>
          <w:u w:val="single"/>
          <w:lang w:val="en-US" w:eastAsia="zh-CN"/>
        </w:rPr>
        <w:t>2025</w:t>
      </w:r>
      <w:r>
        <w:rPr>
          <w:rFonts w:hint="eastAsia" w:asciiTheme="minorEastAsia" w:hAnsiTheme="minorEastAsia" w:eastAsiaTheme="minorEastAsia" w:cstheme="minorEastAsia"/>
          <w:b/>
          <w:bCs w:val="0"/>
          <w:color w:val="auto"/>
          <w:sz w:val="24"/>
          <w:szCs w:val="24"/>
          <w:highlight w:val="none"/>
          <w:u w:val="none"/>
        </w:rPr>
        <w:t>年</w:t>
      </w:r>
      <w:r>
        <w:rPr>
          <w:rFonts w:hint="eastAsia" w:asciiTheme="minorEastAsia" w:hAnsiTheme="minorEastAsia" w:eastAsiaTheme="minorEastAsia" w:cstheme="minorEastAsia"/>
          <w:b/>
          <w:bCs w:val="0"/>
          <w:color w:val="auto"/>
          <w:sz w:val="24"/>
          <w:szCs w:val="24"/>
          <w:highlight w:val="none"/>
          <w:u w:val="single"/>
          <w:lang w:val="en-US" w:eastAsia="zh-CN"/>
        </w:rPr>
        <w:t>9</w:t>
      </w:r>
      <w:r>
        <w:rPr>
          <w:rFonts w:hint="eastAsia" w:asciiTheme="minorEastAsia" w:hAnsiTheme="minorEastAsia" w:eastAsiaTheme="minorEastAsia" w:cstheme="minorEastAsia"/>
          <w:b/>
          <w:bCs w:val="0"/>
          <w:color w:val="auto"/>
          <w:sz w:val="24"/>
          <w:szCs w:val="24"/>
          <w:highlight w:val="none"/>
          <w:u w:val="none"/>
        </w:rPr>
        <w:t>月</w:t>
      </w:r>
      <w:r>
        <w:rPr>
          <w:rFonts w:hint="eastAsia" w:asciiTheme="minorEastAsia" w:hAnsiTheme="minorEastAsia" w:eastAsiaTheme="minorEastAsia" w:cstheme="minorEastAsia"/>
          <w:b/>
          <w:bCs w:val="0"/>
          <w:color w:val="auto"/>
          <w:sz w:val="24"/>
          <w:szCs w:val="24"/>
          <w:highlight w:val="none"/>
          <w:u w:val="single"/>
          <w:lang w:val="en-US" w:eastAsia="zh-CN"/>
        </w:rPr>
        <w:t>3</w:t>
      </w:r>
      <w:r>
        <w:rPr>
          <w:rFonts w:hint="eastAsia" w:asciiTheme="minorEastAsia" w:hAnsiTheme="minorEastAsia" w:eastAsiaTheme="minorEastAsia" w:cstheme="minorEastAsia"/>
          <w:b/>
          <w:bCs w:val="0"/>
          <w:color w:val="auto"/>
          <w:sz w:val="24"/>
          <w:szCs w:val="24"/>
          <w:highlight w:val="none"/>
          <w:u w:val="none"/>
        </w:rPr>
        <w:t>日</w:t>
      </w:r>
      <w:r>
        <w:rPr>
          <w:rFonts w:hint="eastAsia" w:asciiTheme="minorEastAsia" w:hAnsiTheme="minorEastAsia" w:eastAsiaTheme="minorEastAsia" w:cstheme="minorEastAsia"/>
          <w:b/>
          <w:bCs w:val="0"/>
          <w:color w:val="auto"/>
          <w:sz w:val="24"/>
          <w:szCs w:val="24"/>
          <w:highlight w:val="none"/>
          <w:u w:val="single"/>
          <w:lang w:val="en-US" w:eastAsia="zh-CN"/>
        </w:rPr>
        <w:t>15</w:t>
      </w:r>
      <w:r>
        <w:rPr>
          <w:rFonts w:hint="eastAsia" w:asciiTheme="minorEastAsia" w:hAnsiTheme="minorEastAsia" w:eastAsiaTheme="minorEastAsia" w:cstheme="minorEastAsia"/>
          <w:b/>
          <w:bCs w:val="0"/>
          <w:color w:val="auto"/>
          <w:sz w:val="24"/>
          <w:szCs w:val="24"/>
          <w:highlight w:val="none"/>
          <w:u w:val="none"/>
        </w:rPr>
        <w:t>点</w:t>
      </w:r>
      <w:r>
        <w:rPr>
          <w:rFonts w:hint="eastAsia" w:asciiTheme="minorEastAsia" w:hAnsiTheme="minorEastAsia" w:eastAsiaTheme="minorEastAsia" w:cstheme="minorEastAsia"/>
          <w:b/>
          <w:bCs w:val="0"/>
          <w:color w:val="auto"/>
          <w:sz w:val="24"/>
          <w:szCs w:val="24"/>
          <w:highlight w:val="none"/>
          <w:u w:val="single"/>
          <w:lang w:val="en-US" w:eastAsia="zh-CN"/>
        </w:rPr>
        <w:t>00</w:t>
      </w:r>
      <w:r>
        <w:rPr>
          <w:rFonts w:hint="eastAsia" w:asciiTheme="minorEastAsia" w:hAnsiTheme="minorEastAsia" w:eastAsiaTheme="minorEastAsia" w:cstheme="minorEastAsia"/>
          <w:b/>
          <w:bCs w:val="0"/>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iCs/>
          <w:color w:val="auto"/>
          <w:sz w:val="24"/>
          <w:szCs w:val="24"/>
          <w:highlight w:val="none"/>
          <w:u w:val="none"/>
        </w:rPr>
        <w:t>（</w:t>
      </w:r>
      <w:r>
        <w:rPr>
          <w:rFonts w:hint="eastAsia" w:asciiTheme="minorEastAsia" w:hAnsiTheme="minorEastAsia" w:eastAsiaTheme="minorEastAsia" w:cstheme="minorEastAsia"/>
          <w:i/>
          <w:color w:val="auto"/>
          <w:sz w:val="24"/>
          <w:szCs w:val="24"/>
          <w:highlight w:val="none"/>
          <w:u w:val="none"/>
        </w:rPr>
        <w:t>从谈判文件开始发出之日起至供应商提交首次响应文件截止之日止不得少于3个工作日</w:t>
      </w:r>
      <w:r>
        <w:rPr>
          <w:rFonts w:hint="eastAsia" w:asciiTheme="minorEastAsia" w:hAnsiTheme="minorEastAsia" w:eastAsiaTheme="minorEastAsia" w:cstheme="minorEastAsia"/>
          <w:iCs/>
          <w:color w:val="auto"/>
          <w:sz w:val="24"/>
          <w:szCs w:val="24"/>
          <w:highlight w:val="none"/>
          <w:u w:val="none"/>
        </w:rPr>
        <w:t>）</w:t>
      </w:r>
    </w:p>
    <w:p w14:paraId="33DC184D">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Theme="minorEastAsia"/>
          <w:color w:val="auto"/>
          <w:sz w:val="24"/>
          <w:szCs w:val="18"/>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递交方式</w:t>
      </w:r>
      <w:r>
        <w:rPr>
          <w:rFonts w:hint="eastAsia" w:asciiTheme="minorEastAsia" w:hAnsiTheme="minorEastAsia" w:eastAsiaTheme="minorEastAsia" w:cstheme="minorEastAsia"/>
          <w:color w:val="auto"/>
          <w:sz w:val="24"/>
          <w:szCs w:val="24"/>
          <w:highlight w:val="none"/>
        </w:rPr>
        <w:t>：本项目仅接受供应商提交首次响应文件截止之日前登录新点电子交易平台【滁州专区】（https://www.etrading.cn/BREpointSSO/login/oauth2login?regioncode=DQ_ChuZhou）交易系统递交的加密电子响应文件</w:t>
      </w:r>
    </w:p>
    <w:p w14:paraId="3062808E">
      <w:pPr>
        <w:spacing w:line="360" w:lineRule="auto"/>
        <w:ind w:firstLine="435"/>
        <w:outlineLvl w:val="1"/>
        <w:rPr>
          <w:rFonts w:ascii="宋体" w:hAnsi="宋体" w:eastAsia="宋体"/>
          <w:b/>
          <w:bCs/>
          <w:color w:val="auto"/>
          <w:sz w:val="24"/>
          <w:szCs w:val="18"/>
          <w:highlight w:val="none"/>
        </w:rPr>
      </w:pPr>
      <w:bookmarkStart w:id="9" w:name="_Toc8953"/>
      <w:bookmarkStart w:id="10" w:name="_Toc7959"/>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9"/>
      <w:r>
        <w:rPr>
          <w:rFonts w:hint="eastAsia" w:ascii="宋体" w:hAnsi="宋体" w:eastAsia="宋体"/>
          <w:b/>
          <w:bCs/>
          <w:color w:val="auto"/>
          <w:sz w:val="24"/>
          <w:highlight w:val="none"/>
        </w:rPr>
        <w:t>开启</w:t>
      </w:r>
      <w:bookmarkEnd w:id="10"/>
    </w:p>
    <w:p w14:paraId="52752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u w:val="none"/>
        </w:rPr>
        <w:t>时间：</w:t>
      </w:r>
      <w:r>
        <w:rPr>
          <w:rFonts w:hint="eastAsia" w:asciiTheme="minorEastAsia" w:hAnsiTheme="minorEastAsia" w:eastAsiaTheme="minorEastAsia" w:cstheme="minorEastAsia"/>
          <w:b/>
          <w:bCs w:val="0"/>
          <w:color w:val="auto"/>
          <w:sz w:val="24"/>
          <w:szCs w:val="24"/>
          <w:highlight w:val="none"/>
          <w:u w:val="single"/>
          <w:lang w:val="en-US" w:eastAsia="zh-CN"/>
        </w:rPr>
        <w:t>2025</w:t>
      </w:r>
      <w:r>
        <w:rPr>
          <w:rFonts w:hint="eastAsia" w:asciiTheme="minorEastAsia" w:hAnsiTheme="minorEastAsia" w:eastAsiaTheme="minorEastAsia" w:cstheme="minorEastAsia"/>
          <w:b/>
          <w:bCs w:val="0"/>
          <w:color w:val="auto"/>
          <w:sz w:val="24"/>
          <w:szCs w:val="24"/>
          <w:highlight w:val="none"/>
          <w:u w:val="none"/>
        </w:rPr>
        <w:t>年</w:t>
      </w:r>
      <w:r>
        <w:rPr>
          <w:rFonts w:hint="eastAsia" w:asciiTheme="minorEastAsia" w:hAnsiTheme="minorEastAsia" w:eastAsiaTheme="minorEastAsia" w:cstheme="minorEastAsia"/>
          <w:b/>
          <w:bCs w:val="0"/>
          <w:color w:val="auto"/>
          <w:sz w:val="24"/>
          <w:szCs w:val="24"/>
          <w:highlight w:val="none"/>
          <w:u w:val="single"/>
          <w:lang w:val="en-US" w:eastAsia="zh-CN"/>
        </w:rPr>
        <w:t>9</w:t>
      </w:r>
      <w:r>
        <w:rPr>
          <w:rFonts w:hint="eastAsia" w:asciiTheme="minorEastAsia" w:hAnsiTheme="minorEastAsia" w:eastAsiaTheme="minorEastAsia" w:cstheme="minorEastAsia"/>
          <w:b/>
          <w:bCs w:val="0"/>
          <w:color w:val="auto"/>
          <w:sz w:val="24"/>
          <w:szCs w:val="24"/>
          <w:highlight w:val="none"/>
          <w:u w:val="none"/>
        </w:rPr>
        <w:t>月</w:t>
      </w:r>
      <w:r>
        <w:rPr>
          <w:rFonts w:hint="eastAsia" w:asciiTheme="minorEastAsia" w:hAnsiTheme="minorEastAsia" w:eastAsiaTheme="minorEastAsia" w:cstheme="minorEastAsia"/>
          <w:b/>
          <w:bCs w:val="0"/>
          <w:color w:val="auto"/>
          <w:sz w:val="24"/>
          <w:szCs w:val="24"/>
          <w:highlight w:val="none"/>
          <w:u w:val="single"/>
          <w:lang w:val="en-US" w:eastAsia="zh-CN"/>
        </w:rPr>
        <w:t>3</w:t>
      </w:r>
      <w:r>
        <w:rPr>
          <w:rFonts w:hint="eastAsia" w:asciiTheme="minorEastAsia" w:hAnsiTheme="minorEastAsia" w:eastAsiaTheme="minorEastAsia" w:cstheme="minorEastAsia"/>
          <w:b/>
          <w:bCs w:val="0"/>
          <w:color w:val="auto"/>
          <w:sz w:val="24"/>
          <w:szCs w:val="24"/>
          <w:highlight w:val="none"/>
          <w:u w:val="none"/>
        </w:rPr>
        <w:t>日</w:t>
      </w:r>
      <w:r>
        <w:rPr>
          <w:rFonts w:hint="eastAsia" w:asciiTheme="minorEastAsia" w:hAnsiTheme="minorEastAsia" w:eastAsiaTheme="minorEastAsia" w:cstheme="minorEastAsia"/>
          <w:b/>
          <w:bCs w:val="0"/>
          <w:color w:val="auto"/>
          <w:sz w:val="24"/>
          <w:szCs w:val="24"/>
          <w:highlight w:val="none"/>
          <w:u w:val="single"/>
          <w:lang w:val="en-US" w:eastAsia="zh-CN"/>
        </w:rPr>
        <w:t>15</w:t>
      </w:r>
      <w:r>
        <w:rPr>
          <w:rFonts w:hint="eastAsia" w:asciiTheme="minorEastAsia" w:hAnsiTheme="minorEastAsia" w:eastAsiaTheme="minorEastAsia" w:cstheme="minorEastAsia"/>
          <w:b/>
          <w:bCs w:val="0"/>
          <w:color w:val="auto"/>
          <w:sz w:val="24"/>
          <w:szCs w:val="24"/>
          <w:highlight w:val="none"/>
          <w:u w:val="none"/>
        </w:rPr>
        <w:t>点</w:t>
      </w:r>
      <w:r>
        <w:rPr>
          <w:rFonts w:hint="eastAsia" w:asciiTheme="minorEastAsia" w:hAnsiTheme="minorEastAsia" w:eastAsiaTheme="minorEastAsia" w:cstheme="minorEastAsia"/>
          <w:b/>
          <w:bCs w:val="0"/>
          <w:color w:val="auto"/>
          <w:sz w:val="24"/>
          <w:szCs w:val="24"/>
          <w:highlight w:val="none"/>
          <w:u w:val="single"/>
          <w:lang w:val="en-US" w:eastAsia="zh-CN"/>
        </w:rPr>
        <w:t>00</w:t>
      </w:r>
      <w:r>
        <w:rPr>
          <w:rFonts w:hint="eastAsia" w:asciiTheme="minorEastAsia" w:hAnsiTheme="minorEastAsia" w:eastAsiaTheme="minorEastAsia" w:cstheme="minorEastAsia"/>
          <w:b/>
          <w:bCs w:val="0"/>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p>
    <w:p w14:paraId="41640CA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Theme="minorEastAsia" w:hAnsiTheme="minorEastAsia" w:eastAsiaTheme="minorEastAsia" w:cstheme="minorEastAsia"/>
          <w:color w:val="auto"/>
          <w:sz w:val="24"/>
          <w:szCs w:val="24"/>
          <w:highlight w:val="none"/>
        </w:rPr>
        <w:t>地点：采用不见面开启，供应商登录滁州市城投工程咨询有限公司不见面开标系统参与网上开标（网址：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"http://js.etrading.cn/EpointBidOpening/bidopeninghallaction/hall/login）。"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http://js.etrading.cn/EpointBidOpening/bidopeninghallaction/hall/login）。</w:t>
      </w:r>
      <w:r>
        <w:rPr>
          <w:rFonts w:hint="eastAsia" w:asciiTheme="minorEastAsia" w:hAnsiTheme="minorEastAsia" w:eastAsiaTheme="minorEastAsia" w:cstheme="minorEastAsia"/>
          <w:color w:val="auto"/>
          <w:sz w:val="24"/>
          <w:szCs w:val="24"/>
          <w:highlight w:val="none"/>
        </w:rPr>
        <w:fldChar w:fldCharType="end"/>
      </w:r>
    </w:p>
    <w:p w14:paraId="5E97229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14575"/>
      <w:bookmarkStart w:id="12" w:name="_Toc16203"/>
      <w:r>
        <w:rPr>
          <w:rFonts w:hint="eastAsia" w:ascii="宋体" w:hAnsi="宋体" w:eastAsia="宋体"/>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11"/>
    </w:p>
    <w:p w14:paraId="7B75C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自本公告发布之日起3个工作日。</w:t>
      </w:r>
    </w:p>
    <w:p w14:paraId="03749FBE">
      <w:pPr>
        <w:spacing w:line="480" w:lineRule="exact"/>
        <w:ind w:firstLine="437"/>
        <w:outlineLvl w:val="1"/>
        <w:rPr>
          <w:rFonts w:ascii="宋体" w:hAnsi="宋体" w:eastAsia="宋体"/>
          <w:b/>
          <w:bCs/>
          <w:color w:val="auto"/>
          <w:sz w:val="24"/>
          <w:szCs w:val="18"/>
          <w:highlight w:val="none"/>
        </w:rPr>
      </w:pPr>
      <w:bookmarkStart w:id="13" w:name="_Toc10195"/>
      <w:bookmarkStart w:id="14" w:name="_Toc35393795"/>
      <w:bookmarkStart w:id="15" w:name="_Toc35393626"/>
      <w:bookmarkStart w:id="16" w:name="_Toc7755"/>
      <w:r>
        <w:rPr>
          <w:rFonts w:hint="eastAsia" w:ascii="宋体" w:hAnsi="宋体" w:eastAsia="宋体"/>
          <w:b/>
          <w:bCs/>
          <w:color w:val="auto"/>
          <w:sz w:val="24"/>
          <w:szCs w:val="18"/>
          <w:highlight w:val="none"/>
        </w:rPr>
        <w:t>七、保证金金额及缴纳账户</w:t>
      </w:r>
    </w:p>
    <w:p w14:paraId="43B9E2D5">
      <w:pPr>
        <w:adjustRightInd w:val="0"/>
        <w:snapToGrid w:val="0"/>
        <w:spacing w:line="48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是否要求供应商提交保证金：不要求。</w:t>
      </w:r>
    </w:p>
    <w:p w14:paraId="7F0F6DFF">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八</w:t>
      </w:r>
      <w:bookmarkEnd w:id="13"/>
      <w:bookmarkEnd w:id="14"/>
      <w:bookmarkEnd w:id="15"/>
      <w:r>
        <w:rPr>
          <w:rFonts w:hint="eastAsia" w:ascii="宋体" w:hAnsi="宋体" w:eastAsia="宋体"/>
          <w:b/>
          <w:bCs/>
          <w:color w:val="auto"/>
          <w:sz w:val="24"/>
          <w:szCs w:val="18"/>
          <w:highlight w:val="none"/>
          <w:lang w:val="en-US" w:eastAsia="zh-CN"/>
        </w:rPr>
        <w:t>、</w:t>
      </w:r>
      <w:bookmarkEnd w:id="12"/>
      <w:r>
        <w:rPr>
          <w:rFonts w:hint="eastAsia" w:ascii="宋体" w:hAnsi="宋体" w:eastAsia="宋体"/>
          <w:b/>
          <w:bCs/>
          <w:color w:val="auto"/>
          <w:sz w:val="24"/>
          <w:szCs w:val="18"/>
          <w:highlight w:val="none"/>
          <w:lang w:val="en-US" w:eastAsia="zh-CN"/>
        </w:rPr>
        <w:t>凡对本次采购提出询问，请按以下方式联系</w:t>
      </w:r>
      <w:bookmarkEnd w:id="16"/>
    </w:p>
    <w:p w14:paraId="24B295BC">
      <w:pPr>
        <w:spacing w:line="360" w:lineRule="auto"/>
        <w:ind w:firstLine="435"/>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D1F8213">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滁州市公安局</w:t>
      </w:r>
    </w:p>
    <w:p w14:paraId="55336586">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地址：</w:t>
      </w:r>
      <w:r>
        <w:rPr>
          <w:rFonts w:hint="eastAsia" w:ascii="宋体" w:hAnsi="宋体" w:eastAsia="宋体"/>
          <w:color w:val="auto"/>
          <w:sz w:val="24"/>
          <w:szCs w:val="18"/>
          <w:highlight w:val="none"/>
          <w:u w:val="none"/>
          <w:lang w:val="en-US" w:eastAsia="zh-CN"/>
        </w:rPr>
        <w:t>滁州市</w:t>
      </w:r>
      <w:r>
        <w:rPr>
          <w:rFonts w:hint="eastAsia" w:ascii="宋体" w:hAnsi="宋体" w:eastAsia="宋体"/>
          <w:color w:val="auto"/>
          <w:sz w:val="24"/>
          <w:szCs w:val="18"/>
          <w:highlight w:val="none"/>
          <w:u w:val="none"/>
        </w:rPr>
        <w:t>龙蟠大道</w:t>
      </w:r>
      <w:r>
        <w:rPr>
          <w:rFonts w:hint="eastAsia" w:ascii="宋体" w:hAnsi="宋体" w:eastAsia="宋体"/>
          <w:color w:val="auto"/>
          <w:sz w:val="24"/>
          <w:szCs w:val="18"/>
          <w:highlight w:val="none"/>
          <w:u w:val="none"/>
          <w:lang w:val="en-US" w:eastAsia="zh-CN"/>
        </w:rPr>
        <w:t>111</w:t>
      </w:r>
      <w:r>
        <w:rPr>
          <w:rFonts w:hint="eastAsia" w:ascii="宋体" w:hAnsi="宋体" w:eastAsia="宋体"/>
          <w:color w:val="auto"/>
          <w:sz w:val="24"/>
          <w:szCs w:val="18"/>
          <w:highlight w:val="none"/>
          <w:u w:val="none"/>
        </w:rPr>
        <w:t>号</w:t>
      </w:r>
    </w:p>
    <w:p w14:paraId="4B39E4F3">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联系人：张从明</w:t>
      </w:r>
    </w:p>
    <w:p w14:paraId="6E7444DC">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rPr>
        <w:t>13615506155</w:t>
      </w:r>
    </w:p>
    <w:p w14:paraId="1DC58682">
      <w:pPr>
        <w:spacing w:line="360" w:lineRule="auto"/>
        <w:ind w:firstLine="437"/>
        <w:outlineLvl w:val="9"/>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2.代理机构</w:t>
      </w:r>
      <w:r>
        <w:rPr>
          <w:rFonts w:hint="eastAsia" w:ascii="宋体" w:hAnsi="宋体" w:eastAsia="宋体"/>
          <w:color w:val="auto"/>
          <w:sz w:val="24"/>
          <w:szCs w:val="18"/>
          <w:highlight w:val="none"/>
          <w:lang w:val="en-US" w:eastAsia="zh-CN"/>
        </w:rPr>
        <w:t>信息</w:t>
      </w:r>
    </w:p>
    <w:p w14:paraId="001D1F7C">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滁州市城投工程咨询管理有限公司</w:t>
      </w:r>
    </w:p>
    <w:p w14:paraId="7BD98F0B">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址：</w:t>
      </w:r>
      <w:r>
        <w:rPr>
          <w:rFonts w:hint="eastAsia" w:ascii="宋体" w:hAnsi="宋体" w:eastAsia="宋体"/>
          <w:color w:val="auto"/>
          <w:sz w:val="24"/>
          <w:szCs w:val="18"/>
          <w:highlight w:val="none"/>
          <w:u w:val="none"/>
        </w:rPr>
        <w:t>滁州市龙蟠大道109号房产大厦6楼</w:t>
      </w:r>
      <w:r>
        <w:rPr>
          <w:rFonts w:hint="eastAsia" w:ascii="宋体" w:hAnsi="宋体" w:eastAsia="宋体"/>
          <w:color w:val="auto"/>
          <w:sz w:val="24"/>
          <w:szCs w:val="18"/>
          <w:highlight w:val="none"/>
          <w:u w:val="none"/>
          <w:lang w:val="en-US" w:eastAsia="zh-CN"/>
        </w:rPr>
        <w:t>620</w:t>
      </w:r>
      <w:r>
        <w:rPr>
          <w:rFonts w:hint="eastAsia" w:ascii="宋体" w:hAnsi="宋体" w:eastAsia="宋体"/>
          <w:color w:val="auto"/>
          <w:sz w:val="24"/>
          <w:szCs w:val="18"/>
          <w:highlight w:val="none"/>
          <w:u w:val="none"/>
        </w:rPr>
        <w:t>室</w:t>
      </w:r>
    </w:p>
    <w:p w14:paraId="4C3A3344">
      <w:pPr>
        <w:spacing w:line="360" w:lineRule="auto"/>
        <w:ind w:firstLine="435"/>
        <w:rPr>
          <w:rFonts w:hint="eastAsia" w:eastAsia="宋体"/>
          <w:color w:val="auto"/>
          <w:highlight w:val="none"/>
          <w:u w:val="none"/>
          <w:lang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none"/>
          <w:lang w:val="en-US" w:eastAsia="zh-CN"/>
        </w:rPr>
        <w:t>关勤勤</w:t>
      </w:r>
    </w:p>
    <w:p w14:paraId="4E814982">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18909605753</w:t>
      </w:r>
    </w:p>
    <w:p w14:paraId="311C3B5F">
      <w:pPr>
        <w:spacing w:line="360" w:lineRule="auto"/>
        <w:ind w:firstLine="435"/>
        <w:rPr>
          <w:rFonts w:ascii="宋体" w:hAnsi="宋体" w:eastAsia="宋体"/>
          <w:color w:val="auto"/>
          <w:sz w:val="24"/>
          <w:szCs w:val="18"/>
          <w:highlight w:val="none"/>
        </w:rPr>
      </w:pPr>
    </w:p>
    <w:p w14:paraId="75C32FB8">
      <w:pPr>
        <w:pStyle w:val="16"/>
        <w:rPr>
          <w:rFonts w:ascii="宋体" w:hAnsi="宋体" w:eastAsia="宋体"/>
          <w:color w:val="auto"/>
          <w:sz w:val="24"/>
          <w:szCs w:val="18"/>
          <w:highlight w:val="none"/>
        </w:rPr>
      </w:pPr>
    </w:p>
    <w:p w14:paraId="4072DB7C">
      <w:pPr>
        <w:rPr>
          <w:rFonts w:ascii="宋体" w:hAnsi="宋体" w:eastAsia="宋体"/>
          <w:color w:val="auto"/>
          <w:sz w:val="24"/>
          <w:szCs w:val="18"/>
          <w:highlight w:val="none"/>
        </w:rPr>
      </w:pPr>
    </w:p>
    <w:p w14:paraId="46E3FA7E">
      <w:pPr>
        <w:pStyle w:val="16"/>
        <w:rPr>
          <w:rFonts w:ascii="宋体" w:hAnsi="宋体" w:eastAsia="宋体"/>
          <w:color w:val="auto"/>
          <w:sz w:val="24"/>
          <w:szCs w:val="18"/>
          <w:highlight w:val="none"/>
        </w:rPr>
      </w:pPr>
    </w:p>
    <w:p w14:paraId="0E5E865C">
      <w:pPr>
        <w:rPr>
          <w:rFonts w:ascii="宋体" w:hAnsi="宋体" w:eastAsia="宋体"/>
          <w:color w:val="auto"/>
          <w:sz w:val="24"/>
          <w:szCs w:val="18"/>
          <w:highlight w:val="none"/>
        </w:rPr>
      </w:pPr>
    </w:p>
    <w:p w14:paraId="4F7449D6">
      <w:pPr>
        <w:pStyle w:val="16"/>
        <w:rPr>
          <w:rFonts w:ascii="宋体" w:hAnsi="宋体" w:eastAsia="宋体"/>
          <w:color w:val="auto"/>
          <w:sz w:val="24"/>
          <w:szCs w:val="18"/>
          <w:highlight w:val="none"/>
        </w:rPr>
      </w:pPr>
    </w:p>
    <w:p w14:paraId="2B1AFABE">
      <w:pPr>
        <w:rPr>
          <w:rFonts w:ascii="宋体" w:hAnsi="宋体" w:eastAsia="宋体"/>
          <w:color w:val="auto"/>
          <w:sz w:val="24"/>
          <w:szCs w:val="18"/>
          <w:highlight w:val="none"/>
        </w:rPr>
      </w:pPr>
    </w:p>
    <w:p w14:paraId="7D9124C9">
      <w:pPr>
        <w:pStyle w:val="16"/>
        <w:rPr>
          <w:rFonts w:ascii="宋体" w:hAnsi="宋体" w:eastAsia="宋体"/>
          <w:color w:val="auto"/>
          <w:sz w:val="24"/>
          <w:szCs w:val="18"/>
          <w:highlight w:val="none"/>
        </w:rPr>
      </w:pPr>
    </w:p>
    <w:p w14:paraId="41AB6733">
      <w:pPr>
        <w:rPr>
          <w:rFonts w:ascii="宋体" w:hAnsi="宋体" w:eastAsia="宋体"/>
          <w:color w:val="auto"/>
          <w:sz w:val="24"/>
          <w:szCs w:val="18"/>
          <w:highlight w:val="none"/>
        </w:rPr>
      </w:pPr>
    </w:p>
    <w:p w14:paraId="56C61501">
      <w:pPr>
        <w:pStyle w:val="16"/>
        <w:rPr>
          <w:rFonts w:ascii="宋体" w:hAnsi="宋体" w:eastAsia="宋体"/>
          <w:color w:val="auto"/>
          <w:sz w:val="24"/>
          <w:szCs w:val="18"/>
          <w:highlight w:val="none"/>
        </w:rPr>
      </w:pPr>
    </w:p>
    <w:p w14:paraId="7166AD5E">
      <w:pPr>
        <w:rPr>
          <w:rFonts w:ascii="宋体" w:hAnsi="宋体" w:eastAsia="宋体"/>
          <w:color w:val="auto"/>
          <w:sz w:val="24"/>
          <w:szCs w:val="18"/>
          <w:highlight w:val="none"/>
        </w:rPr>
      </w:pPr>
    </w:p>
    <w:p w14:paraId="629D3987">
      <w:pPr>
        <w:pStyle w:val="16"/>
        <w:rPr>
          <w:rFonts w:ascii="宋体" w:hAnsi="宋体" w:eastAsia="宋体"/>
          <w:color w:val="auto"/>
          <w:sz w:val="24"/>
          <w:szCs w:val="18"/>
          <w:highlight w:val="none"/>
        </w:rPr>
      </w:pPr>
    </w:p>
    <w:p w14:paraId="5E14CC61">
      <w:pPr>
        <w:rPr>
          <w:rFonts w:ascii="宋体" w:hAnsi="宋体" w:eastAsia="宋体"/>
          <w:color w:val="auto"/>
          <w:sz w:val="24"/>
          <w:szCs w:val="18"/>
          <w:highlight w:val="none"/>
        </w:rPr>
      </w:pPr>
    </w:p>
    <w:p w14:paraId="1DC49ABE">
      <w:pPr>
        <w:pStyle w:val="16"/>
        <w:rPr>
          <w:rFonts w:ascii="宋体" w:hAnsi="宋体" w:eastAsia="宋体"/>
          <w:color w:val="auto"/>
          <w:sz w:val="24"/>
          <w:szCs w:val="18"/>
          <w:highlight w:val="none"/>
        </w:rPr>
      </w:pPr>
    </w:p>
    <w:p w14:paraId="1788D582">
      <w:pPr>
        <w:rPr>
          <w:rFonts w:ascii="宋体" w:hAnsi="宋体" w:eastAsia="宋体"/>
          <w:color w:val="auto"/>
          <w:sz w:val="24"/>
          <w:szCs w:val="18"/>
          <w:highlight w:val="none"/>
        </w:rPr>
      </w:pPr>
    </w:p>
    <w:p w14:paraId="145EA6F6">
      <w:pPr>
        <w:pStyle w:val="16"/>
        <w:rPr>
          <w:rFonts w:ascii="宋体" w:hAnsi="宋体" w:eastAsia="宋体"/>
          <w:color w:val="auto"/>
          <w:sz w:val="24"/>
          <w:szCs w:val="18"/>
          <w:highlight w:val="none"/>
        </w:rPr>
      </w:pPr>
    </w:p>
    <w:p w14:paraId="419F4981">
      <w:pPr>
        <w:rPr>
          <w:rFonts w:ascii="宋体" w:hAnsi="宋体" w:eastAsia="宋体"/>
          <w:color w:val="auto"/>
          <w:sz w:val="24"/>
          <w:szCs w:val="18"/>
          <w:highlight w:val="none"/>
        </w:rPr>
      </w:pPr>
    </w:p>
    <w:p w14:paraId="13202534">
      <w:pPr>
        <w:pStyle w:val="16"/>
        <w:rPr>
          <w:rFonts w:ascii="宋体" w:hAnsi="宋体" w:eastAsia="宋体"/>
          <w:color w:val="auto"/>
          <w:sz w:val="24"/>
          <w:szCs w:val="18"/>
          <w:highlight w:val="none"/>
        </w:rPr>
      </w:pPr>
    </w:p>
    <w:p w14:paraId="0E7E09C7">
      <w:pPr>
        <w:rPr>
          <w:rFonts w:ascii="宋体" w:hAnsi="宋体" w:eastAsia="宋体"/>
          <w:color w:val="auto"/>
          <w:sz w:val="24"/>
          <w:szCs w:val="18"/>
          <w:highlight w:val="none"/>
        </w:rPr>
      </w:pPr>
    </w:p>
    <w:p w14:paraId="0BF2B0AC">
      <w:pPr>
        <w:pStyle w:val="16"/>
        <w:rPr>
          <w:rFonts w:ascii="宋体" w:hAnsi="宋体" w:eastAsia="宋体"/>
          <w:color w:val="auto"/>
          <w:sz w:val="24"/>
          <w:szCs w:val="18"/>
          <w:highlight w:val="none"/>
        </w:rPr>
      </w:pPr>
    </w:p>
    <w:p w14:paraId="1825A62D">
      <w:pPr>
        <w:rPr>
          <w:rFonts w:ascii="宋体" w:hAnsi="宋体" w:eastAsia="宋体"/>
          <w:color w:val="auto"/>
          <w:sz w:val="24"/>
          <w:szCs w:val="18"/>
          <w:highlight w:val="none"/>
        </w:rPr>
      </w:pPr>
    </w:p>
    <w:p w14:paraId="499B4AE1">
      <w:pPr>
        <w:pStyle w:val="16"/>
        <w:rPr>
          <w:rFonts w:ascii="宋体" w:hAnsi="宋体" w:eastAsia="宋体"/>
          <w:color w:val="auto"/>
          <w:sz w:val="24"/>
          <w:szCs w:val="18"/>
          <w:highlight w:val="none"/>
        </w:rPr>
      </w:pPr>
    </w:p>
    <w:p w14:paraId="55279F6D">
      <w:pPr>
        <w:rPr>
          <w:rFonts w:ascii="宋体" w:hAnsi="宋体" w:eastAsia="宋体"/>
          <w:color w:val="auto"/>
          <w:sz w:val="24"/>
          <w:szCs w:val="18"/>
          <w:highlight w:val="none"/>
        </w:rPr>
      </w:pPr>
    </w:p>
    <w:p w14:paraId="5E92818F">
      <w:pPr>
        <w:pStyle w:val="16"/>
        <w:rPr>
          <w:rFonts w:ascii="宋体" w:hAnsi="宋体" w:eastAsia="宋体"/>
          <w:color w:val="auto"/>
          <w:sz w:val="24"/>
          <w:szCs w:val="18"/>
          <w:highlight w:val="none"/>
        </w:rPr>
      </w:pPr>
    </w:p>
    <w:p w14:paraId="35532326">
      <w:pPr>
        <w:rPr>
          <w:rFonts w:ascii="宋体" w:hAnsi="宋体" w:eastAsia="宋体"/>
          <w:color w:val="auto"/>
          <w:sz w:val="24"/>
          <w:szCs w:val="18"/>
          <w:highlight w:val="none"/>
        </w:rPr>
      </w:pPr>
    </w:p>
    <w:p w14:paraId="393D2E39">
      <w:pPr>
        <w:pStyle w:val="16"/>
        <w:rPr>
          <w:rFonts w:ascii="宋体" w:hAnsi="宋体" w:eastAsia="宋体"/>
          <w:color w:val="auto"/>
          <w:sz w:val="24"/>
          <w:szCs w:val="18"/>
          <w:highlight w:val="none"/>
        </w:rPr>
      </w:pPr>
    </w:p>
    <w:p w14:paraId="6AA88BBD">
      <w:pPr>
        <w:rPr>
          <w:rFonts w:ascii="宋体" w:hAnsi="宋体" w:eastAsia="宋体"/>
          <w:color w:val="auto"/>
          <w:sz w:val="24"/>
          <w:szCs w:val="18"/>
          <w:highlight w:val="none"/>
        </w:rPr>
      </w:pPr>
    </w:p>
    <w:p w14:paraId="27E0D9C4">
      <w:pPr>
        <w:pStyle w:val="16"/>
        <w:rPr>
          <w:rFonts w:ascii="宋体" w:hAnsi="宋体" w:eastAsia="宋体"/>
          <w:color w:val="auto"/>
          <w:sz w:val="24"/>
          <w:szCs w:val="18"/>
          <w:highlight w:val="none"/>
        </w:rPr>
      </w:pPr>
    </w:p>
    <w:p w14:paraId="2C8F4C62">
      <w:pPr>
        <w:rPr>
          <w:rFonts w:ascii="宋体" w:hAnsi="宋体" w:eastAsia="宋体"/>
          <w:color w:val="auto"/>
          <w:sz w:val="24"/>
          <w:szCs w:val="18"/>
          <w:highlight w:val="none"/>
        </w:rPr>
      </w:pPr>
    </w:p>
    <w:p w14:paraId="478C8FCC">
      <w:pPr>
        <w:pStyle w:val="16"/>
        <w:rPr>
          <w:color w:val="auto"/>
          <w:highlight w:val="none"/>
        </w:rPr>
      </w:pPr>
    </w:p>
    <w:p w14:paraId="4A32344E">
      <w:pPr>
        <w:spacing w:line="360" w:lineRule="auto"/>
        <w:jc w:val="center"/>
        <w:outlineLvl w:val="0"/>
        <w:rPr>
          <w:rFonts w:asciiTheme="minorEastAsia" w:hAnsiTheme="minorEastAsia" w:eastAsiaTheme="minorEastAsia"/>
          <w:b/>
          <w:color w:val="auto"/>
          <w:sz w:val="28"/>
          <w:highlight w:val="none"/>
        </w:rPr>
      </w:pPr>
      <w:bookmarkStart w:id="17"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7"/>
    </w:p>
    <w:p w14:paraId="11DD15B5">
      <w:pPr>
        <w:spacing w:line="360" w:lineRule="auto"/>
        <w:jc w:val="center"/>
        <w:outlineLvl w:val="1"/>
        <w:rPr>
          <w:rFonts w:asciiTheme="minorEastAsia" w:hAnsiTheme="minorEastAsia" w:eastAsiaTheme="minorEastAsia"/>
          <w:b/>
          <w:color w:val="auto"/>
          <w:sz w:val="24"/>
          <w:highlight w:val="none"/>
        </w:rPr>
      </w:pPr>
      <w:bookmarkStart w:id="18" w:name="_Toc27956"/>
      <w:bookmarkStart w:id="19" w:name="_Toc16645"/>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06E62344">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8"/>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30"/>
        <w:gridCol w:w="5725"/>
      </w:tblGrid>
      <w:tr w14:paraId="7E6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4D4F2AD">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59" w:type="pct"/>
            <w:vAlign w:val="center"/>
          </w:tcPr>
          <w:p w14:paraId="7CFE8F7C">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8" w:type="pct"/>
            <w:vAlign w:val="center"/>
          </w:tcPr>
          <w:p w14:paraId="2F9B67AB">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25C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571D08">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1159" w:type="pct"/>
            <w:vAlign w:val="center"/>
          </w:tcPr>
          <w:p w14:paraId="1A6242A7">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68" w:type="pct"/>
            <w:vAlign w:val="center"/>
          </w:tcPr>
          <w:p w14:paraId="065BDEE9">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5292C12">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381D0767">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EB117C7">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lang w:val="en-US" w:eastAsia="zh-CN"/>
              </w:rPr>
              <w:t>/</w:t>
            </w:r>
          </w:p>
          <w:p w14:paraId="773C0C29">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lang w:val="en-US" w:eastAsia="zh-CN"/>
              </w:rPr>
              <w:t>/</w:t>
            </w:r>
          </w:p>
          <w:p w14:paraId="65DD78E7">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113C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B0F661B">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6.1</w:t>
            </w:r>
          </w:p>
        </w:tc>
        <w:tc>
          <w:tcPr>
            <w:tcW w:w="1159" w:type="pct"/>
            <w:vAlign w:val="center"/>
          </w:tcPr>
          <w:p w14:paraId="2E44F299">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8" w:type="pct"/>
            <w:vAlign w:val="center"/>
          </w:tcPr>
          <w:p w14:paraId="2AD70EAE">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bCs w:val="0"/>
                <w:color w:val="auto"/>
                <w:sz w:val="24"/>
                <w:highlight w:val="none"/>
                <w:u w:val="single"/>
                <w:lang w:val="en-US" w:eastAsia="zh-CN"/>
              </w:rPr>
              <w:t>2025</w:t>
            </w:r>
            <w:r>
              <w:rPr>
                <w:rFonts w:ascii="宋体" w:hAnsi="宋体" w:eastAsia="宋体"/>
                <w:b/>
                <w:bCs w:val="0"/>
                <w:color w:val="auto"/>
                <w:sz w:val="24"/>
                <w:highlight w:val="none"/>
              </w:rPr>
              <w:t>年</w:t>
            </w:r>
            <w:r>
              <w:rPr>
                <w:rFonts w:hint="eastAsia" w:ascii="宋体" w:hAnsi="宋体" w:eastAsia="宋体"/>
                <w:b/>
                <w:bCs w:val="0"/>
                <w:color w:val="auto"/>
                <w:sz w:val="24"/>
                <w:highlight w:val="none"/>
                <w:u w:val="single"/>
                <w:lang w:val="en-US" w:eastAsia="zh-CN"/>
              </w:rPr>
              <w:t>9</w:t>
            </w:r>
            <w:r>
              <w:rPr>
                <w:rFonts w:ascii="宋体" w:hAnsi="宋体" w:eastAsia="宋体"/>
                <w:b/>
                <w:bCs w:val="0"/>
                <w:color w:val="auto"/>
                <w:sz w:val="24"/>
                <w:highlight w:val="none"/>
              </w:rPr>
              <w:t>月</w:t>
            </w:r>
            <w:r>
              <w:rPr>
                <w:rFonts w:hint="eastAsia" w:ascii="宋体" w:hAnsi="宋体" w:eastAsia="宋体"/>
                <w:b/>
                <w:bCs w:val="0"/>
                <w:color w:val="auto"/>
                <w:sz w:val="24"/>
                <w:highlight w:val="none"/>
                <w:u w:val="single"/>
                <w:lang w:val="en-US" w:eastAsia="zh-CN"/>
              </w:rPr>
              <w:t>2</w:t>
            </w:r>
            <w:r>
              <w:rPr>
                <w:rFonts w:ascii="宋体" w:hAnsi="宋体" w:eastAsia="宋体"/>
                <w:b/>
                <w:bCs w:val="0"/>
                <w:color w:val="auto"/>
                <w:sz w:val="24"/>
                <w:highlight w:val="none"/>
              </w:rPr>
              <w:t>日</w:t>
            </w:r>
            <w:r>
              <w:rPr>
                <w:rFonts w:hint="eastAsia" w:ascii="宋体" w:hAnsi="宋体" w:eastAsia="宋体"/>
                <w:b/>
                <w:bCs w:val="0"/>
                <w:color w:val="auto"/>
                <w:sz w:val="24"/>
                <w:highlight w:val="none"/>
                <w:u w:val="single"/>
                <w:lang w:val="en-US" w:eastAsia="zh-CN"/>
              </w:rPr>
              <w:t>8</w:t>
            </w:r>
            <w:r>
              <w:rPr>
                <w:rFonts w:ascii="宋体" w:hAnsi="宋体" w:eastAsia="宋体"/>
                <w:b/>
                <w:bCs w:val="0"/>
                <w:color w:val="auto"/>
                <w:sz w:val="24"/>
                <w:highlight w:val="none"/>
              </w:rPr>
              <w:t>时</w:t>
            </w:r>
            <w:r>
              <w:rPr>
                <w:rFonts w:hint="eastAsia" w:ascii="宋体" w:hAnsi="宋体" w:eastAsia="宋体"/>
                <w:b/>
                <w:bCs w:val="0"/>
                <w:color w:val="auto"/>
                <w:sz w:val="24"/>
                <w:highlight w:val="none"/>
                <w:u w:val="single"/>
                <w:lang w:val="en-US" w:eastAsia="zh-CN"/>
              </w:rPr>
              <w:t>00</w:t>
            </w:r>
            <w:r>
              <w:rPr>
                <w:rFonts w:hint="eastAsia" w:ascii="宋体" w:hAnsi="宋体" w:eastAsia="宋体"/>
                <w:b/>
                <w:bCs w:val="0"/>
                <w:color w:val="auto"/>
                <w:sz w:val="24"/>
                <w:highlight w:val="none"/>
              </w:rPr>
              <w:t>分</w:t>
            </w:r>
          </w:p>
        </w:tc>
      </w:tr>
      <w:tr w14:paraId="035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6E2BC835">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59" w:type="pct"/>
            <w:vAlign w:val="center"/>
          </w:tcPr>
          <w:p w14:paraId="769F075D">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8" w:type="pct"/>
            <w:vAlign w:val="center"/>
          </w:tcPr>
          <w:p w14:paraId="0B791D4E">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hint="eastAsia" w:ascii="宋体" w:hAnsi="宋体" w:eastAsia="宋体"/>
                <w:b w:val="0"/>
                <w:color w:val="auto"/>
                <w:sz w:val="24"/>
                <w:highlight w:val="none"/>
                <w:lang w:val="en-US" w:eastAsia="zh-CN"/>
              </w:rPr>
              <w:t xml:space="preserve">  </w:t>
            </w:r>
            <w:r>
              <w:rPr>
                <w:rFonts w:ascii="宋体" w:hAnsi="宋体" w:eastAsia="宋体"/>
                <w:b w:val="0"/>
                <w:color w:val="auto"/>
                <w:sz w:val="24"/>
                <w:highlight w:val="none"/>
              </w:rPr>
              <w:t>个包</w:t>
            </w:r>
          </w:p>
          <w:p w14:paraId="3DD99DAE">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bCs w:val="0"/>
                <w:color w:val="auto"/>
                <w:sz w:val="24"/>
                <w:highlight w:val="none"/>
                <w:u w:val="single"/>
                <w:lang w:val="en-US" w:eastAsia="zh-CN"/>
              </w:rPr>
              <w:t>/</w:t>
            </w:r>
          </w:p>
        </w:tc>
      </w:tr>
      <w:tr w14:paraId="43AB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598ED81A">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10</w:t>
            </w:r>
            <w:r>
              <w:rPr>
                <w:rFonts w:ascii="宋体" w:hAnsi="宋体" w:eastAsia="宋体"/>
                <w:bCs/>
                <w:color w:val="auto"/>
                <w:kern w:val="2"/>
                <w:highlight w:val="none"/>
              </w:rPr>
              <w:t>.1</w:t>
            </w:r>
          </w:p>
        </w:tc>
        <w:tc>
          <w:tcPr>
            <w:tcW w:w="1159" w:type="pct"/>
            <w:vAlign w:val="center"/>
          </w:tcPr>
          <w:p w14:paraId="71CD4336">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8" w:type="pct"/>
            <w:vAlign w:val="center"/>
          </w:tcPr>
          <w:p w14:paraId="65074E04">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DE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6D747D">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59" w:type="pct"/>
            <w:vAlign w:val="center"/>
          </w:tcPr>
          <w:p w14:paraId="4D7A7E41">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8" w:type="pct"/>
            <w:vAlign w:val="center"/>
          </w:tcPr>
          <w:p w14:paraId="12D0BFE1">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1FD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B198A2C">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p>
        </w:tc>
        <w:tc>
          <w:tcPr>
            <w:tcW w:w="1159" w:type="pct"/>
            <w:vAlign w:val="center"/>
          </w:tcPr>
          <w:p w14:paraId="47C241FD">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8" w:type="pct"/>
            <w:vAlign w:val="center"/>
          </w:tcPr>
          <w:p w14:paraId="29B7BCB4">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bCs w:val="0"/>
                <w:color w:val="auto"/>
                <w:sz w:val="36"/>
                <w:szCs w:val="36"/>
                <w:highlight w:val="none"/>
                <w:u w:val="single"/>
                <w:lang w:val="en-US" w:eastAsia="zh-CN"/>
              </w:rPr>
              <w:t>30</w:t>
            </w:r>
            <w:r>
              <w:rPr>
                <w:rFonts w:hint="eastAsia" w:ascii="宋体" w:hAnsi="宋体" w:eastAsia="宋体"/>
                <w:b w:val="0"/>
                <w:color w:val="auto"/>
                <w:sz w:val="24"/>
                <w:highlight w:val="none"/>
              </w:rPr>
              <w:t>分钟内</w:t>
            </w:r>
            <w:r>
              <w:rPr>
                <w:rFonts w:hint="eastAsia" w:ascii="宋体" w:hAnsi="宋体" w:eastAsia="宋体"/>
                <w:color w:val="auto"/>
                <w:sz w:val="24"/>
                <w:highlight w:val="none"/>
              </w:rPr>
              <w:t>（以本项目网上招投标系统解密倒计时为准）</w:t>
            </w:r>
          </w:p>
        </w:tc>
      </w:tr>
      <w:tr w14:paraId="7E7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ED70F3">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14</w:t>
            </w:r>
            <w:r>
              <w:rPr>
                <w:rFonts w:hint="eastAsia" w:ascii="宋体" w:hAnsi="宋体" w:eastAsia="宋体"/>
                <w:bCs/>
                <w:color w:val="auto"/>
                <w:kern w:val="2"/>
                <w:highlight w:val="none"/>
              </w:rPr>
              <w:t>.3</w:t>
            </w:r>
          </w:p>
        </w:tc>
        <w:tc>
          <w:tcPr>
            <w:tcW w:w="1159" w:type="pct"/>
            <w:vAlign w:val="center"/>
          </w:tcPr>
          <w:p w14:paraId="530FA6CD">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8" w:type="pct"/>
            <w:vAlign w:val="center"/>
          </w:tcPr>
          <w:p w14:paraId="32726157">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u w:val="none"/>
              </w:rPr>
              <w:t>最低价法</w:t>
            </w:r>
          </w:p>
        </w:tc>
      </w:tr>
      <w:tr w14:paraId="100D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4BC6456F">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6A3132CE">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bCs/>
                <w:color w:val="auto"/>
                <w:kern w:val="2"/>
                <w:highlight w:val="none"/>
              </w:rPr>
            </w:pPr>
          </w:p>
        </w:tc>
        <w:tc>
          <w:tcPr>
            <w:tcW w:w="1159" w:type="pct"/>
            <w:vMerge w:val="restart"/>
            <w:vAlign w:val="center"/>
          </w:tcPr>
          <w:p w14:paraId="7882D0F9">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8" w:type="pct"/>
            <w:vAlign w:val="center"/>
          </w:tcPr>
          <w:p w14:paraId="3A223639">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 xml:space="preserve"> </w:t>
            </w:r>
            <w:r>
              <w:rPr>
                <w:rFonts w:hint="eastAsia" w:ascii="宋体" w:hAnsi="宋体" w:eastAsia="宋体"/>
                <w:b w:val="0"/>
                <w:color w:val="auto"/>
                <w:sz w:val="24"/>
                <w:highlight w:val="none"/>
              </w:rPr>
              <w:t>3家</w:t>
            </w:r>
          </w:p>
          <w:p w14:paraId="20B15733">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0892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29726A84">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bCs/>
                <w:color w:val="auto"/>
                <w:kern w:val="2"/>
                <w:highlight w:val="none"/>
              </w:rPr>
            </w:pPr>
          </w:p>
        </w:tc>
        <w:tc>
          <w:tcPr>
            <w:tcW w:w="1159" w:type="pct"/>
            <w:vMerge w:val="continue"/>
            <w:vAlign w:val="center"/>
          </w:tcPr>
          <w:p w14:paraId="6E06244F">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p>
        </w:tc>
        <w:tc>
          <w:tcPr>
            <w:tcW w:w="3268" w:type="pct"/>
            <w:vAlign w:val="center"/>
          </w:tcPr>
          <w:p w14:paraId="7915C89F">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7CDD0E22">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采购人确定</w:t>
            </w:r>
          </w:p>
        </w:tc>
      </w:tr>
      <w:tr w14:paraId="3449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5C0980B">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23</w:t>
            </w:r>
            <w:r>
              <w:rPr>
                <w:rFonts w:ascii="宋体" w:hAnsi="宋体" w:eastAsia="宋体"/>
                <w:bCs/>
                <w:color w:val="auto"/>
                <w:kern w:val="2"/>
                <w:highlight w:val="none"/>
              </w:rPr>
              <w:t>.1</w:t>
            </w:r>
          </w:p>
        </w:tc>
        <w:tc>
          <w:tcPr>
            <w:tcW w:w="1159" w:type="pct"/>
            <w:vAlign w:val="center"/>
          </w:tcPr>
          <w:p w14:paraId="4BC18719">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8" w:type="pct"/>
            <w:vAlign w:val="center"/>
          </w:tcPr>
          <w:p w14:paraId="7A5E2404">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数据电文</w:t>
            </w:r>
          </w:p>
        </w:tc>
      </w:tr>
      <w:tr w14:paraId="2A89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2F7D0B8">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24.1</w:t>
            </w:r>
          </w:p>
        </w:tc>
        <w:tc>
          <w:tcPr>
            <w:tcW w:w="1159" w:type="pct"/>
            <w:vAlign w:val="center"/>
          </w:tcPr>
          <w:p w14:paraId="0D5533CC">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告知谈判结果的形式</w:t>
            </w:r>
          </w:p>
        </w:tc>
        <w:tc>
          <w:tcPr>
            <w:tcW w:w="3268" w:type="pct"/>
            <w:vAlign w:val="center"/>
          </w:tcPr>
          <w:p w14:paraId="090298B3">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☑供应商自行登录滁州市城投工程咨询管理有限公司官网（https://www.czctgczx.com/）查看</w:t>
            </w:r>
          </w:p>
          <w:p w14:paraId="14297F25">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谈判现场告知</w:t>
            </w:r>
          </w:p>
        </w:tc>
      </w:tr>
      <w:tr w14:paraId="18D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CE8752C">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59" w:type="pct"/>
            <w:vAlign w:val="center"/>
          </w:tcPr>
          <w:p w14:paraId="65C50368">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8" w:type="pct"/>
          </w:tcPr>
          <w:p w14:paraId="714F2DE9">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bCs/>
                <w:color w:val="auto"/>
                <w:sz w:val="24"/>
                <w:szCs w:val="24"/>
                <w:highlight w:val="none"/>
              </w:rPr>
              <w:t>是否收取履约担保：□收取，☑不收取 。</w:t>
            </w:r>
          </w:p>
        </w:tc>
      </w:tr>
      <w:tr w14:paraId="341A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AFD40F8">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59" w:type="pct"/>
            <w:vAlign w:val="center"/>
          </w:tcPr>
          <w:p w14:paraId="11484AF8">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代理费用及专家评审费</w:t>
            </w:r>
          </w:p>
        </w:tc>
        <w:tc>
          <w:tcPr>
            <w:tcW w:w="3268" w:type="pct"/>
            <w:vAlign w:val="center"/>
          </w:tcPr>
          <w:p w14:paraId="6E6DD2F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color w:val="auto"/>
                <w:spacing w:val="14"/>
                <w:sz w:val="24"/>
                <w:szCs w:val="24"/>
                <w:highlight w:val="none"/>
                <w:lang w:val="en-US" w:eastAsia="zh-CN"/>
              </w:rPr>
              <w:t>供应商</w:t>
            </w:r>
          </w:p>
          <w:p w14:paraId="6059FD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7613C01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lang w:val="en-US" w:eastAsia="zh-CN"/>
              </w:rPr>
              <w:t>本项目代理费为1500元，专家评审费另计（以实际发生为准）。</w:t>
            </w:r>
          </w:p>
        </w:tc>
      </w:tr>
      <w:tr w14:paraId="7919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9C59C4">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59" w:type="pct"/>
            <w:vAlign w:val="center"/>
          </w:tcPr>
          <w:p w14:paraId="02905B4B">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w:t>
            </w:r>
          </w:p>
        </w:tc>
        <w:tc>
          <w:tcPr>
            <w:tcW w:w="3268" w:type="pct"/>
            <w:vAlign w:val="center"/>
          </w:tcPr>
          <w:p w14:paraId="4850BDDA">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bCs w:val="0"/>
                <w:color w:val="auto"/>
                <w:sz w:val="24"/>
                <w:highlight w:val="none"/>
                <w:lang w:val="en-US" w:eastAsia="zh-CN"/>
              </w:rPr>
              <w:t>采购人与成交供应商应当自发出成交通知书之</w:t>
            </w:r>
            <w:r>
              <w:rPr>
                <w:rFonts w:hint="eastAsia" w:ascii="宋体" w:hAnsi="宋体" w:eastAsia="宋体"/>
                <w:b/>
                <w:bCs w:val="0"/>
                <w:color w:val="auto"/>
                <w:sz w:val="24"/>
                <w:highlight w:val="none"/>
                <w:lang w:val="en-US" w:eastAsia="zh-CN"/>
              </w:rPr>
              <w:t>日起10日内签订合同。</w:t>
            </w:r>
          </w:p>
        </w:tc>
      </w:tr>
      <w:tr w14:paraId="302C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0B20C72">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59" w:type="pct"/>
            <w:vAlign w:val="center"/>
          </w:tcPr>
          <w:p w14:paraId="523AA2BD">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质疑函递交方式、接收部门、联系电话和通讯地址</w:t>
            </w:r>
          </w:p>
        </w:tc>
        <w:tc>
          <w:tcPr>
            <w:tcW w:w="3268" w:type="pct"/>
            <w:vAlign w:val="center"/>
          </w:tcPr>
          <w:p w14:paraId="627F78AF">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lang w:val="en-US" w:eastAsia="zh-CN"/>
              </w:rPr>
              <w:t>如供应商对谈判文件有质疑，依据中华人民共和国财政部令第94号《政府采购质疑和投诉办法》规定提出质疑；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lang w:val="en-US" w:eastAsia="zh-CN"/>
              </w:rPr>
              <w:t xml:space="preserve">以书面形式提出。一份质疑函只能针对一个项目提出质疑，且针对同一采购程序环节的质疑应当一次性提出。 </w:t>
            </w:r>
          </w:p>
          <w:p w14:paraId="66035E77">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lang w:val="en-US" w:eastAsia="zh-CN"/>
              </w:rPr>
              <w:t>滁州市公安局</w:t>
            </w:r>
            <w:r>
              <w:rPr>
                <w:rFonts w:hint="eastAsia" w:ascii="宋体" w:hAnsi="宋体" w:eastAsia="宋体" w:cs="宋体"/>
                <w:b w:val="0"/>
                <w:bCs w:val="0"/>
                <w:color w:val="auto"/>
                <w:sz w:val="24"/>
                <w:szCs w:val="24"/>
                <w:highlight w:val="none"/>
                <w:u w:val="single"/>
                <w:lang w:val="en-US" w:eastAsia="zh-CN"/>
              </w:rPr>
              <w:t>、滁州市城投工程咨询管理有限公司</w:t>
            </w:r>
          </w:p>
          <w:p w14:paraId="469CD112">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color w:val="auto"/>
                <w:sz w:val="24"/>
                <w:szCs w:val="24"/>
                <w:highlight w:val="none"/>
              </w:rPr>
              <w:t>：</w:t>
            </w:r>
            <w:r>
              <w:rPr>
                <w:rFonts w:hint="eastAsia" w:ascii="宋体" w:hAnsi="宋体" w:eastAsia="宋体" w:cs="宋体"/>
                <w:b w:val="0"/>
                <w:color w:val="auto"/>
                <w:sz w:val="24"/>
                <w:szCs w:val="24"/>
                <w:highlight w:val="none"/>
                <w:u w:val="single"/>
              </w:rPr>
              <w:t>0550- 3064711-2158</w:t>
            </w:r>
            <w:r>
              <w:rPr>
                <w:rFonts w:hint="eastAsia" w:ascii="宋体" w:hAnsi="宋体" w:eastAsia="宋体" w:cs="宋体"/>
                <w:b w:val="0"/>
                <w:bCs/>
                <w:color w:val="auto"/>
                <w:kern w:val="0"/>
                <w:sz w:val="24"/>
                <w:szCs w:val="24"/>
                <w:highlight w:val="none"/>
                <w:u w:val="single"/>
                <w:lang w:val="en-US" w:eastAsia="zh-CN"/>
              </w:rPr>
              <w:t>、</w:t>
            </w:r>
            <w:r>
              <w:rPr>
                <w:rFonts w:hint="eastAsia" w:ascii="宋体" w:hAnsi="宋体" w:eastAsia="宋体" w:cs="宋体"/>
                <w:b w:val="0"/>
                <w:bCs/>
                <w:color w:val="auto"/>
                <w:kern w:val="0"/>
                <w:sz w:val="24"/>
                <w:szCs w:val="24"/>
                <w:highlight w:val="none"/>
                <w:u w:val="single"/>
                <w:lang w:val="en-US" w:eastAsia="zh-CN"/>
              </w:rPr>
              <w:t>18909605753</w:t>
            </w:r>
            <w:r>
              <w:rPr>
                <w:rFonts w:hint="eastAsia" w:ascii="宋体" w:hAnsi="宋体" w:eastAsia="宋体" w:cs="宋体"/>
                <w:b w:val="0"/>
                <w:bCs/>
                <w:color w:val="auto"/>
                <w:kern w:val="0"/>
                <w:sz w:val="24"/>
                <w:szCs w:val="24"/>
                <w:highlight w:val="none"/>
                <w:u w:val="single"/>
              </w:rPr>
              <w:t xml:space="preserve"> </w:t>
            </w:r>
          </w:p>
          <w:p w14:paraId="09ED8327">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rPr>
              <w:t>通讯地址：</w:t>
            </w:r>
            <w:r>
              <w:rPr>
                <w:rFonts w:hint="eastAsia" w:ascii="宋体" w:hAnsi="宋体" w:eastAsia="宋体" w:cs="宋体"/>
                <w:b w:val="0"/>
                <w:bCs/>
                <w:color w:val="auto"/>
                <w:kern w:val="0"/>
                <w:sz w:val="24"/>
                <w:szCs w:val="24"/>
                <w:highlight w:val="none"/>
                <w:u w:val="single"/>
                <w:lang w:eastAsia="zh-CN"/>
              </w:rPr>
              <w:t>滁州市龙蟠大道</w:t>
            </w:r>
            <w:r>
              <w:rPr>
                <w:rFonts w:hint="eastAsia" w:ascii="宋体" w:hAnsi="宋体" w:eastAsia="宋体" w:cs="宋体"/>
                <w:b w:val="0"/>
                <w:bCs/>
                <w:color w:val="auto"/>
                <w:kern w:val="0"/>
                <w:sz w:val="24"/>
                <w:szCs w:val="24"/>
                <w:highlight w:val="none"/>
                <w:u w:val="single"/>
                <w:lang w:val="en-US" w:eastAsia="zh-CN"/>
              </w:rPr>
              <w:t>111</w:t>
            </w:r>
            <w:r>
              <w:rPr>
                <w:rFonts w:hint="eastAsia" w:ascii="宋体" w:hAnsi="宋体" w:eastAsia="宋体" w:cs="宋体"/>
                <w:b w:val="0"/>
                <w:bCs/>
                <w:color w:val="auto"/>
                <w:kern w:val="0"/>
                <w:sz w:val="24"/>
                <w:szCs w:val="24"/>
                <w:highlight w:val="none"/>
                <w:u w:val="single"/>
                <w:lang w:eastAsia="zh-CN"/>
              </w:rPr>
              <w:t>号、滁州市龙蟠大道109号房产大厦6楼</w:t>
            </w:r>
          </w:p>
        </w:tc>
      </w:tr>
      <w:tr w14:paraId="3212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5FC02EB">
            <w:pPr>
              <w:pStyle w:val="46"/>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30</w:t>
            </w:r>
          </w:p>
        </w:tc>
        <w:tc>
          <w:tcPr>
            <w:tcW w:w="1159" w:type="pct"/>
            <w:vAlign w:val="center"/>
          </w:tcPr>
          <w:p w14:paraId="08394BD7">
            <w:pPr>
              <w:pStyle w:val="45"/>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其他内容</w:t>
            </w:r>
          </w:p>
        </w:tc>
        <w:tc>
          <w:tcPr>
            <w:tcW w:w="3268" w:type="pct"/>
            <w:vAlign w:val="center"/>
          </w:tcPr>
          <w:p w14:paraId="0CCFBD36">
            <w:pPr>
              <w:pStyle w:val="45"/>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0E92143B">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谈判</w:t>
            </w:r>
            <w:r>
              <w:rPr>
                <w:rFonts w:asciiTheme="minorEastAsia" w:hAnsiTheme="minorEastAsia" w:eastAsiaTheme="minorEastAsia"/>
                <w:bCs/>
                <w:color w:val="auto"/>
                <w:sz w:val="24"/>
                <w:szCs w:val="24"/>
                <w:highlight w:val="none"/>
              </w:rPr>
              <w:t>文件的各个组成文件应互为解释，互为说明；</w:t>
            </w:r>
          </w:p>
          <w:p w14:paraId="7F5A2B33">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28B022">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9D2CEAF">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1CB5C83">
            <w:pPr>
              <w:pStyle w:val="45"/>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440" w:lineRule="exact"/>
              <w:jc w:val="both"/>
              <w:textAlignment w:val="auto"/>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tc>
      </w:tr>
      <w:tr w14:paraId="0BC8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0DCF03E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（1）供应商若为银行、保险、石油化工、电力、电信、邮政等有行业特殊情况的企业，接受总公司或其分支机构（分公司）参加谈判；</w:t>
            </w:r>
          </w:p>
          <w:p w14:paraId="53AB3170">
            <w:pPr>
              <w:pStyle w:val="14"/>
              <w:keepNext w:val="0"/>
              <w:keepLines w:val="0"/>
              <w:pageBreakBefore w:val="0"/>
              <w:widowControl w:val="0"/>
              <w:kinsoku/>
              <w:overflowPunct/>
              <w:topLinePunct w:val="0"/>
              <w:autoSpaceDE/>
              <w:autoSpaceDN/>
              <w:bidi w:val="0"/>
              <w:adjustRightInd/>
              <w:snapToGrid/>
              <w:spacing w:line="360" w:lineRule="exac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（2）若</w:t>
            </w:r>
            <w:r>
              <w:rPr>
                <w:rFonts w:hint="eastAsia" w:cs="@仿宋_GB2312" w:asciiTheme="minorEastAsia" w:hAnsiTheme="minorEastAsia" w:eastAsiaTheme="minorEastAsia"/>
                <w:b/>
                <w:bCs w:val="0"/>
                <w:color w:val="auto"/>
                <w:kern w:val="2"/>
                <w:sz w:val="24"/>
                <w:szCs w:val="24"/>
                <w:highlight w:val="none"/>
                <w:lang w:val="en-US" w:eastAsia="zh-CN" w:bidi="ar-SA"/>
              </w:rPr>
              <w:t>供应商</w:t>
            </w:r>
            <w:r>
              <w:rPr>
                <w:rFonts w:hint="eastAsia" w:cs="@仿宋_GB2312" w:asciiTheme="minorEastAsia" w:hAnsiTheme="minorEastAsia" w:eastAsiaTheme="minorEastAsia"/>
                <w:b/>
                <w:bCs w:val="0"/>
                <w:color w:val="auto"/>
                <w:kern w:val="2"/>
                <w:sz w:val="24"/>
                <w:szCs w:val="24"/>
                <w:highlight w:val="none"/>
                <w:lang w:val="en-US" w:eastAsia="zh-CN" w:bidi="ar-SA"/>
              </w:rPr>
              <w:t>为分支机构，</w:t>
            </w:r>
            <w:r>
              <w:rPr>
                <w:rFonts w:hint="eastAsia" w:cs="@仿宋_GB2312" w:asciiTheme="minorEastAsia" w:hAnsiTheme="minorEastAsia"/>
                <w:b/>
                <w:bCs w:val="0"/>
                <w:color w:val="auto"/>
                <w:kern w:val="2"/>
                <w:sz w:val="24"/>
                <w:szCs w:val="24"/>
                <w:highlight w:val="none"/>
                <w:lang w:val="en-US" w:eastAsia="zh-CN" w:bidi="ar-SA"/>
              </w:rPr>
              <w:t>谈判</w:t>
            </w:r>
            <w:r>
              <w:rPr>
                <w:rFonts w:hint="eastAsia" w:cs="@仿宋_GB2312" w:asciiTheme="minorEastAsia" w:hAnsiTheme="minorEastAsia" w:eastAsiaTheme="minorEastAsia"/>
                <w:b/>
                <w:bCs w:val="0"/>
                <w:color w:val="auto"/>
                <w:kern w:val="2"/>
                <w:sz w:val="24"/>
                <w:szCs w:val="24"/>
                <w:highlight w:val="none"/>
                <w:lang w:val="en-US" w:eastAsia="zh-CN" w:bidi="ar-SA"/>
              </w:rPr>
              <w:t>文件中对法定代表人的相关要求、材料及签字或盖章对应的为该分支机构负责人的相关要求、材料及签字或盖章。</w:t>
            </w:r>
          </w:p>
          <w:p w14:paraId="43AC4AD2">
            <w:pPr>
              <w:pStyle w:val="14"/>
              <w:keepNext w:val="0"/>
              <w:keepLines w:val="0"/>
              <w:pageBreakBefore w:val="0"/>
              <w:widowControl w:val="0"/>
              <w:kinsoku/>
              <w:overflowPunct/>
              <w:topLinePunct w:val="0"/>
              <w:autoSpaceDE/>
              <w:autoSpaceDN/>
              <w:bidi w:val="0"/>
              <w:adjustRightInd/>
              <w:snapToGrid/>
              <w:spacing w:line="360" w:lineRule="exac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（3）若</w:t>
            </w:r>
            <w:r>
              <w:rPr>
                <w:rFonts w:hint="eastAsia" w:cs="@仿宋_GB2312" w:asciiTheme="minorEastAsia" w:hAnsiTheme="minorEastAsia" w:eastAsiaTheme="minorEastAsia"/>
                <w:b/>
                <w:bCs w:val="0"/>
                <w:color w:val="auto"/>
                <w:kern w:val="2"/>
                <w:sz w:val="24"/>
                <w:szCs w:val="24"/>
                <w:highlight w:val="none"/>
                <w:lang w:val="en-US" w:eastAsia="zh-CN" w:bidi="ar-SA"/>
              </w:rPr>
              <w:t>供应商</w:t>
            </w:r>
            <w:r>
              <w:rPr>
                <w:rFonts w:hint="eastAsia" w:cs="@仿宋_GB2312" w:asciiTheme="minorEastAsia" w:hAnsiTheme="minorEastAsia" w:eastAsiaTheme="minorEastAsia"/>
                <w:b/>
                <w:bCs w:val="0"/>
                <w:color w:val="auto"/>
                <w:kern w:val="2"/>
                <w:sz w:val="24"/>
                <w:szCs w:val="24"/>
                <w:highlight w:val="none"/>
                <w:lang w:val="en-US" w:eastAsia="zh-CN" w:bidi="ar-SA"/>
              </w:rPr>
              <w:t>为分支机构，其提供的总公司与其各分公司的人员、证书均认可为</w:t>
            </w:r>
            <w:r>
              <w:rPr>
                <w:rFonts w:hint="eastAsia" w:cs="@仿宋_GB2312" w:asciiTheme="minorEastAsia" w:hAnsiTheme="minorEastAsia" w:eastAsiaTheme="minorEastAsia"/>
                <w:b/>
                <w:bCs w:val="0"/>
                <w:color w:val="auto"/>
                <w:kern w:val="2"/>
                <w:sz w:val="24"/>
                <w:szCs w:val="24"/>
                <w:highlight w:val="none"/>
                <w:lang w:val="en-US" w:eastAsia="zh-CN" w:bidi="ar-SA"/>
              </w:rPr>
              <w:t>供应商</w:t>
            </w:r>
            <w:r>
              <w:rPr>
                <w:rFonts w:hint="eastAsia" w:cs="@仿宋_GB2312" w:asciiTheme="minorEastAsia" w:hAnsiTheme="minorEastAsia" w:eastAsiaTheme="minorEastAsia"/>
                <w:b/>
                <w:bCs w:val="0"/>
                <w:color w:val="auto"/>
                <w:kern w:val="2"/>
                <w:sz w:val="24"/>
                <w:szCs w:val="24"/>
                <w:highlight w:val="none"/>
                <w:lang w:val="en-US" w:eastAsia="zh-CN" w:bidi="ar-SA"/>
              </w:rPr>
              <w:t>提供。</w:t>
            </w:r>
          </w:p>
          <w:p w14:paraId="4698849F">
            <w:pPr>
              <w:pStyle w:val="45"/>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（4）若</w:t>
            </w:r>
            <w:r>
              <w:rPr>
                <w:rFonts w:hint="eastAsia" w:cs="@仿宋_GB2312" w:asciiTheme="minorEastAsia" w:hAnsiTheme="minorEastAsia" w:eastAsiaTheme="minorEastAsia"/>
                <w:b/>
                <w:bCs w:val="0"/>
                <w:color w:val="auto"/>
                <w:kern w:val="2"/>
                <w:sz w:val="24"/>
                <w:szCs w:val="24"/>
                <w:highlight w:val="none"/>
                <w:lang w:val="en-US" w:eastAsia="zh-CN" w:bidi="ar-SA"/>
              </w:rPr>
              <w:t>供应商</w:t>
            </w:r>
            <w:r>
              <w:rPr>
                <w:rFonts w:hint="eastAsia" w:cs="@仿宋_GB2312" w:asciiTheme="minorEastAsia" w:hAnsiTheme="minorEastAsia" w:eastAsiaTheme="minorEastAsia"/>
                <w:b/>
                <w:bCs w:val="0"/>
                <w:color w:val="auto"/>
                <w:kern w:val="2"/>
                <w:sz w:val="24"/>
                <w:szCs w:val="24"/>
                <w:highlight w:val="none"/>
                <w:lang w:val="en-US" w:eastAsia="zh-CN" w:bidi="ar-SA"/>
              </w:rPr>
              <w:t>为分支机构，其总公司与其各分公司被认定为一个</w:t>
            </w:r>
            <w:r>
              <w:rPr>
                <w:rFonts w:hint="eastAsia" w:cs="@仿宋_GB2312" w:asciiTheme="minorEastAsia" w:hAnsiTheme="minorEastAsia" w:eastAsiaTheme="minorEastAsia"/>
                <w:b/>
                <w:bCs w:val="0"/>
                <w:color w:val="auto"/>
                <w:kern w:val="2"/>
                <w:sz w:val="24"/>
                <w:szCs w:val="24"/>
                <w:highlight w:val="none"/>
                <w:lang w:val="en-US" w:eastAsia="zh-CN" w:bidi="ar-SA"/>
              </w:rPr>
              <w:t>供应商</w:t>
            </w:r>
            <w:r>
              <w:rPr>
                <w:rFonts w:hint="eastAsia" w:cs="@仿宋_GB2312" w:asciiTheme="minorEastAsia" w:hAnsiTheme="minorEastAsia" w:eastAsiaTheme="minorEastAsia"/>
                <w:b/>
                <w:bCs w:val="0"/>
                <w:color w:val="auto"/>
                <w:kern w:val="2"/>
                <w:sz w:val="24"/>
                <w:szCs w:val="24"/>
                <w:highlight w:val="none"/>
                <w:lang w:val="en-US" w:eastAsia="zh-CN" w:bidi="ar-SA"/>
              </w:rPr>
              <w:t>。</w:t>
            </w:r>
          </w:p>
        </w:tc>
      </w:tr>
      <w:tr w14:paraId="397A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6BC375CC">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重要提醒</w:t>
            </w:r>
          </w:p>
          <w:p w14:paraId="726D0FD4">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66C2AE83">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4A9461BE">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3.供应商登录新点电子交易平台【滁州专区】获取招标文件及其它资料（含澄清和补充说明等）。如在采购文件获取过程中遇到系统问题，请拨打技术支持服务热线4009280095或者网站首页在线客服。</w:t>
            </w:r>
          </w:p>
          <w:p w14:paraId="012AFF19">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4.本项目采用不见面开标，投标人登录滁州市城投工程咨询有限公司不见面开标系统参与网上开标（网址：http://js.etrading.cn/EpointBidOpening/bidopeninghallaction/hall/login）。</w:t>
            </w:r>
          </w:p>
          <w:p w14:paraId="23DACBA7">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5.供应商应在投标截止时间之前，登录新点电子交易平台【滁州专区】上传响应文件。供应商逾期上传响应文件的，电子系统不予受理。</w:t>
            </w:r>
          </w:p>
          <w:p w14:paraId="6E63E71E">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6.供应商的联系人电话(手机)、电子邮箱等通讯方式在谈判过程中必须保持畅通，否则因上述原因造成的后果，责任自负。</w:t>
            </w:r>
          </w:p>
          <w:p w14:paraId="582A3E91">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本项目采用电子招投标方式，请供应商在“新点电子交易平台”常用下载专区下载“新点电子交易平台专用投标文件制作软件”，仔细阅读采购文件要求和相关操作手册，以免影响投标文件编制，因供应商未及时关注相关信息对投标造成的不利后果由其自行承担。投标软件制作工具下载：</w: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begin"/>
            </w:r>
            <w:r>
              <w:rPr>
                <w:rFonts w:hint="eastAsia" w:cs="@仿宋_GB2312" w:asciiTheme="minorEastAsia" w:hAnsiTheme="minorEastAsia" w:eastAsiaTheme="minorEastAsia"/>
                <w:b w:val="0"/>
                <w:bCs/>
                <w:color w:val="auto"/>
                <w:kern w:val="2"/>
                <w:sz w:val="24"/>
                <w:szCs w:val="24"/>
                <w:highlight w:val="none"/>
                <w:lang w:val="en-US" w:eastAsia="zh-CN" w:bidi="ar-SA"/>
              </w:rPr>
              <w:instrText xml:space="preserve"> HYPERLINK "https://download.bqpoint.com/download/downloaddetail.html?SourceFrom=Ztb&amp;ZtbSoftXiaQuCode=0128&amp;ZtbSoftType=tballinclusive。" </w:instrTex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separate"/>
            </w:r>
            <w:r>
              <w:rPr>
                <w:rFonts w:hint="eastAsia" w:cs="@仿宋_GB2312" w:asciiTheme="minorEastAsia" w:hAnsiTheme="minorEastAsia" w:eastAsiaTheme="minorEastAsia"/>
                <w:b w:val="0"/>
                <w:bCs/>
                <w:color w:val="auto"/>
                <w:kern w:val="2"/>
                <w:sz w:val="24"/>
                <w:szCs w:val="24"/>
                <w:highlight w:val="none"/>
                <w:lang w:val="en-US" w:eastAsia="zh-CN" w:bidi="ar-SA"/>
              </w:rPr>
              <w:t>https://download.bqpoint.com/download/downloaddetail.html?SourceFrom=Ztb&amp;ZtbSoftXiaQuCode=0128&amp;ZtbSoftType=tballinclusive。</w: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end"/>
            </w:r>
          </w:p>
          <w:p w14:paraId="589E8B14">
            <w:pPr>
              <w:pStyle w:val="4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本项目开评标实行全流程电子化，在线完成开评标活动。开启时供应商无需到达开标现场，不接受现场解密，实行远程解密和在线询标。各供应商认真学习《新点电子交易平台投标人操作手册》，务必掌握远程解密方法和在线回复询标方法。</w:t>
            </w:r>
          </w:p>
        </w:tc>
      </w:tr>
    </w:tbl>
    <w:p w14:paraId="492CE85C">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0" w:name="_Toc577"/>
      <w:bookmarkStart w:id="21" w:name="_Toc6109"/>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0"/>
      <w:bookmarkEnd w:id="21"/>
    </w:p>
    <w:p w14:paraId="3B8D82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574C58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w:t>
      </w:r>
      <w:r>
        <w:rPr>
          <w:rFonts w:hint="eastAsia" w:ascii="宋体" w:hAnsi="宋体" w:eastAsia="宋体"/>
          <w:color w:val="auto"/>
          <w:sz w:val="24"/>
          <w:highlight w:val="none"/>
          <w:lang w:val="en-US" w:eastAsia="zh-CN"/>
        </w:rPr>
        <w:t>滁州市公安局</w:t>
      </w:r>
      <w:r>
        <w:rPr>
          <w:rFonts w:ascii="宋体" w:hAnsi="宋体" w:eastAsia="宋体"/>
          <w:color w:val="auto"/>
          <w:sz w:val="24"/>
          <w:highlight w:val="none"/>
        </w:rPr>
        <w:t>。</w:t>
      </w:r>
    </w:p>
    <w:p w14:paraId="49B446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w:t>
      </w:r>
      <w:r>
        <w:rPr>
          <w:rFonts w:hint="eastAsia" w:asciiTheme="minorEastAsia" w:hAnsiTheme="minorEastAsia" w:eastAsiaTheme="minorEastAsia" w:cstheme="minorEastAsia"/>
          <w:color w:val="auto"/>
          <w:sz w:val="24"/>
          <w:szCs w:val="24"/>
          <w:highlight w:val="none"/>
          <w:lang w:val="en-US" w:eastAsia="zh-CN"/>
        </w:rPr>
        <w:t>滁州市城投工程咨询管理有限公司</w:t>
      </w:r>
      <w:r>
        <w:rPr>
          <w:rFonts w:ascii="宋体" w:hAnsi="宋体" w:eastAsia="宋体"/>
          <w:color w:val="auto"/>
          <w:sz w:val="24"/>
          <w:highlight w:val="none"/>
        </w:rPr>
        <w:t>。</w:t>
      </w:r>
    </w:p>
    <w:p w14:paraId="66323B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lang w:val="en-US" w:eastAsia="zh-CN"/>
        </w:rPr>
        <w:t>滁州市公安局同级纪检或监督部门</w:t>
      </w:r>
      <w:r>
        <w:rPr>
          <w:rFonts w:hint="eastAsia" w:ascii="宋体" w:hAnsi="宋体" w:eastAsia="宋体"/>
          <w:color w:val="auto"/>
          <w:sz w:val="24"/>
          <w:highlight w:val="none"/>
        </w:rPr>
        <w:t>。</w:t>
      </w:r>
    </w:p>
    <w:p w14:paraId="4737F1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22" w:name="_Hlk60610946"/>
      <w:r>
        <w:rPr>
          <w:rFonts w:ascii="宋体" w:hAnsi="宋体" w:eastAsia="宋体"/>
          <w:color w:val="auto"/>
          <w:sz w:val="24"/>
          <w:highlight w:val="none"/>
        </w:rPr>
        <w:t>本项目的</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须满足以下条件：</w:t>
      </w:r>
    </w:p>
    <w:p w14:paraId="240A09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79637E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谈判</w:t>
      </w:r>
      <w:r>
        <w:rPr>
          <w:rFonts w:ascii="宋体" w:hAnsi="宋体" w:eastAsia="宋体"/>
          <w:color w:val="auto"/>
          <w:sz w:val="24"/>
          <w:highlight w:val="none"/>
        </w:rPr>
        <w:t>文件。</w:t>
      </w:r>
    </w:p>
    <w:bookmarkEnd w:id="22"/>
    <w:p w14:paraId="63901C79">
      <w:pPr>
        <w:spacing w:line="360" w:lineRule="auto"/>
        <w:ind w:firstLine="435"/>
        <w:rPr>
          <w:rFonts w:hint="eastAsia" w:ascii="宋体" w:hAnsi="宋体" w:eastAsia="宋体"/>
          <w:b/>
          <w:bCs w:val="0"/>
          <w:color w:val="auto"/>
          <w:sz w:val="24"/>
          <w:highlight w:val="none"/>
          <w:lang w:val="en-US" w:eastAsia="zh-CN"/>
        </w:rPr>
      </w:pPr>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r>
        <w:rPr>
          <w:rFonts w:hint="eastAsia" w:ascii="宋体" w:hAnsi="宋体" w:eastAsia="宋体"/>
          <w:b/>
          <w:bCs w:val="0"/>
          <w:color w:val="auto"/>
          <w:kern w:val="0"/>
          <w:sz w:val="24"/>
          <w:szCs w:val="28"/>
          <w:highlight w:val="none"/>
          <w:lang w:eastAsia="zh-CN"/>
        </w:rPr>
        <w:t>（</w:t>
      </w:r>
      <w:r>
        <w:rPr>
          <w:rFonts w:hint="eastAsia" w:ascii="宋体" w:hAnsi="宋体" w:eastAsia="宋体"/>
          <w:b/>
          <w:bCs w:val="0"/>
          <w:color w:val="auto"/>
          <w:kern w:val="0"/>
          <w:sz w:val="24"/>
          <w:szCs w:val="28"/>
          <w:highlight w:val="none"/>
          <w:lang w:val="en-US" w:eastAsia="zh-CN"/>
        </w:rPr>
        <w:t>本项目不接受联合体</w:t>
      </w:r>
      <w:r>
        <w:rPr>
          <w:rFonts w:hint="eastAsia" w:ascii="宋体" w:hAnsi="宋体" w:eastAsia="宋体"/>
          <w:b/>
          <w:bCs w:val="0"/>
          <w:color w:val="auto"/>
          <w:kern w:val="0"/>
          <w:sz w:val="24"/>
          <w:szCs w:val="28"/>
          <w:highlight w:val="none"/>
          <w:lang w:eastAsia="zh-CN"/>
        </w:rPr>
        <w:t>）</w:t>
      </w:r>
    </w:p>
    <w:p w14:paraId="3F050487">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2B9D3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3768DFC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6DA6A3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0FA52E3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71FC36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41A85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1739D8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.1谈判文件包括下列内容：</w:t>
      </w:r>
    </w:p>
    <w:p w14:paraId="31B35B5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5089CBD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87F8DF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16042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19B2898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EF7F85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519C6E2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5E6040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2F1E8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2AABEF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6E9D6F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F71AABF">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滁州市城投工程咨询管理有限公司官网（https://www.czctgczx.com/）</w:t>
      </w:r>
      <w:r>
        <w:rPr>
          <w:rFonts w:hint="eastAsia" w:asciiTheme="minorEastAsia" w:hAnsiTheme="minorEastAsia" w:eastAsiaTheme="minorEastAsia"/>
          <w:color w:val="auto"/>
          <w:sz w:val="24"/>
          <w:highlight w:val="none"/>
        </w:rPr>
        <w:t>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28FD7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07147A0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1B2008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3A9379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87A0E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B9E80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217F8B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0F716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53DD4C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795F75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lang w:val="en-US" w:eastAsia="zh-CN"/>
        </w:rPr>
        <w:t>本项目</w:t>
      </w:r>
      <w:r>
        <w:rPr>
          <w:rFonts w:ascii="宋体" w:hAnsi="宋体" w:eastAsia="宋体"/>
          <w:color w:val="auto"/>
          <w:sz w:val="24"/>
          <w:highlight w:val="none"/>
        </w:rPr>
        <w:t>响应文件格式的相关内容。</w:t>
      </w:r>
    </w:p>
    <w:p w14:paraId="7DC3B9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3" w:name="_Hlk11703583"/>
      <w:r>
        <w:rPr>
          <w:rFonts w:hint="eastAsia" w:asciiTheme="minorEastAsia" w:hAnsiTheme="minorEastAsia" w:eastAsiaTheme="minorEastAsia"/>
          <w:color w:val="auto"/>
          <w:sz w:val="24"/>
          <w:highlight w:val="none"/>
        </w:rPr>
        <w:t>。</w:t>
      </w:r>
    </w:p>
    <w:bookmarkEnd w:id="23"/>
    <w:p w14:paraId="376837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545065F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90BB0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除谈判文件另有规定外，</w:t>
      </w:r>
      <w:r>
        <w:rPr>
          <w:rFonts w:hint="eastAsia" w:asciiTheme="minorEastAsia" w:hAnsiTheme="minorEastAsia" w:eastAsiaTheme="minorEastAsia"/>
          <w:color w:val="auto"/>
          <w:sz w:val="24"/>
          <w:highlight w:val="none"/>
        </w:rPr>
        <w:t>所有内容均应以人民币报价，供应商的谈判报价应遵守《中华人民共和国价格法》。</w:t>
      </w:r>
    </w:p>
    <w:p w14:paraId="281FB9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6ADBC0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0A745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6C073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7E1547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3745CD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.1本项目不收取谈判保证金。</w:t>
      </w:r>
    </w:p>
    <w:p w14:paraId="3596244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63C6AB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2DE539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4E5D47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230A8BB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ED8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8DB46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r>
        <w:rPr>
          <w:rFonts w:asciiTheme="minorEastAsia" w:hAnsiTheme="minorEastAsia" w:eastAsiaTheme="minorEastAsia"/>
          <w:color w:val="auto"/>
          <w:sz w:val="24"/>
          <w:highlight w:val="none"/>
        </w:rPr>
        <w:t>。</w:t>
      </w:r>
    </w:p>
    <w:p w14:paraId="26778F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r>
        <w:rPr>
          <w:rFonts w:hint="eastAsia" w:asciiTheme="minorEastAsia" w:hAnsiTheme="minorEastAsia" w:eastAsiaTheme="minorEastAsia"/>
          <w:color w:val="auto"/>
          <w:sz w:val="24"/>
          <w:highlight w:val="none"/>
          <w:lang w:val="en-US" w:eastAsia="zh-CN"/>
        </w:rPr>
        <w:t>。</w:t>
      </w:r>
    </w:p>
    <w:p w14:paraId="59A3AAE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p>
    <w:p w14:paraId="62FDFB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1BBB0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46832B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6A633E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45BE5787">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66423E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规定的时间和地点组织谈判。</w:t>
      </w:r>
    </w:p>
    <w:p w14:paraId="56FB8C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竞争性谈判采用最低评标价法评审。</w:t>
      </w:r>
    </w:p>
    <w:p w14:paraId="7776C9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56C5A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.3谈判小组将按照谈判文件规定的评审方法和标准对供应商独立进行评审。评审程序如下：</w:t>
      </w:r>
    </w:p>
    <w:p w14:paraId="61B8B6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.3.1初审。谈判小组对供应商必须满足和实质性响应的内容进行评审，供应商未实质性响应谈判文件要求导致响应无效的，谈判小组将以书面询标的方式告知有关供应商。</w:t>
      </w:r>
    </w:p>
    <w:p w14:paraId="48B08C5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E00D3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.3.2谈判。初审合格后，谈判小组将按网上加密电子响应文件提交顺序集中与单一供应商分别进行谈判，并给予所有参加谈判的供应商平等的谈判机会。</w:t>
      </w:r>
    </w:p>
    <w:p w14:paraId="0CC550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30D6B0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8E4E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37AB19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51B4B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F5DD3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7D3714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49504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2C6704D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40FB8E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114440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2000F9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8788A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AAE3A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3BBE4E9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E8522F6">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06ECB6C">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09437EE2">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02BB087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6937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r>
        <w:rPr>
          <w:rFonts w:hint="eastAsia" w:asciiTheme="minorEastAsia" w:hAnsiTheme="minorEastAsia" w:eastAsiaTheme="minorEastAsia"/>
          <w:b/>
          <w:bCs/>
          <w:color w:val="auto"/>
          <w:sz w:val="24"/>
          <w:highlight w:val="none"/>
        </w:rPr>
        <w:t>（本项目约定为二轮报价</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第二次报价即为最后报价</w:t>
      </w:r>
      <w:r>
        <w:rPr>
          <w:rFonts w:hint="eastAsia" w:asciiTheme="minorEastAsia" w:hAnsiTheme="minorEastAsia" w:eastAsiaTheme="minorEastAsia"/>
          <w:b/>
          <w:bCs/>
          <w:color w:val="auto"/>
          <w:sz w:val="24"/>
          <w:highlight w:val="none"/>
        </w:rPr>
        <w:t>）</w:t>
      </w:r>
    </w:p>
    <w:p w14:paraId="217C22B2">
      <w:pPr>
        <w:spacing w:line="360" w:lineRule="auto"/>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第一轮报价为供应商在响应文件中填报的报价，第二轮报价在响应文件通过评审后，由谈判小组通过评标系统以询标方式，向响应文件评审有效的各供应商进行询标，各供应商应在评标系统询标规定的时间内，通过“评标澄清回复”进行第二轮报价。各供应商应及时查看系统质询问题并及时进行第二轮报价，第二轮报价即为最后报价，若供应商未在系统询标规定的时间内进行第二轮报价（最后报价）或第二轮报价被谈判小组认为不符合要求的，谈判小组默认其响应文件中填报的价格为供应商的最后报价，谈判价格以供应商的最后报价为准。望各供应商务必全程在线，及时进行回复，否则，因此给其造成相关后果，自行承担。</w:t>
      </w:r>
    </w:p>
    <w:p w14:paraId="146D69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107F8F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0D2694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6C3F67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10AB78B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678AFFC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6DD4CC7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60D34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1F6643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F80D53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.1评审将在严格保密的情况下进行。</w:t>
      </w:r>
    </w:p>
    <w:p w14:paraId="5C95AE9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F22A2E5">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21BCBBF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w:t>
      </w:r>
      <w:r>
        <w:rPr>
          <w:rFonts w:hint="eastAsia" w:ascii="宋体" w:hAnsi="宋体" w:eastAsia="宋体"/>
          <w:color w:val="auto"/>
          <w:sz w:val="24"/>
          <w:szCs w:val="18"/>
          <w:highlight w:val="none"/>
          <w:lang w:val="en-US" w:eastAsia="zh-CN"/>
        </w:rPr>
        <w:t>滁州市城投工程咨询管理有限公司（https://www.czctgczx.com/）</w:t>
      </w:r>
      <w:r>
        <w:rPr>
          <w:rFonts w:hint="eastAsia" w:ascii="宋体" w:hAnsi="宋体" w:eastAsia="宋体"/>
          <w:color w:val="auto"/>
          <w:sz w:val="24"/>
          <w:szCs w:val="18"/>
          <w:highlight w:val="none"/>
        </w:rPr>
        <w:t>上</w:t>
      </w:r>
      <w:r>
        <w:rPr>
          <w:rFonts w:asciiTheme="minorEastAsia" w:hAnsiTheme="minorEastAsia" w:eastAsiaTheme="minorEastAsia"/>
          <w:color w:val="auto"/>
          <w:sz w:val="24"/>
          <w:highlight w:val="none"/>
        </w:rPr>
        <w:t>发布成交结果公告。</w:t>
      </w:r>
    </w:p>
    <w:p w14:paraId="64BBAFC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服务要求，成交结果公告期限以及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4D49A21">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.成交通知书</w:t>
      </w:r>
    </w:p>
    <w:p w14:paraId="716DCF9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Theme="minorEastAsia" w:hAnsiTheme="minorEastAsia" w:eastAsiaTheme="minorEastAsia"/>
          <w:color w:val="auto"/>
          <w:sz w:val="24"/>
          <w:highlight w:val="none"/>
        </w:rPr>
        <w:t>成交通知书须加盖采购人、采购代理机构公章后，方可发出。</w:t>
      </w:r>
    </w:p>
    <w:p w14:paraId="627D173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262B67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.3成交通知书是合同的组成部分。</w:t>
      </w:r>
    </w:p>
    <w:p w14:paraId="2DAB3F6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67EA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DEACD8B">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p>
    <w:p w14:paraId="4354F1E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6A601F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158A97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19D69AB0">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2664CD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6C560AF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.签订合同</w:t>
      </w:r>
    </w:p>
    <w:p w14:paraId="2C1D0401">
      <w:pPr>
        <w:spacing w:line="360" w:lineRule="auto"/>
        <w:ind w:firstLine="435"/>
        <w:rPr>
          <w:rFonts w:ascii="宋体" w:hAnsi="宋体" w:eastAsia="宋体"/>
          <w:color w:val="auto"/>
          <w:sz w:val="24"/>
          <w:highlight w:val="none"/>
        </w:rPr>
      </w:pPr>
      <w:bookmarkStart w:id="24" w:name="_Hlk60264926"/>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32D97B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.2谈判文件、成交供应商的响应文件及其澄清文件等，均为签订合同的依据。</w:t>
      </w:r>
    </w:p>
    <w:p w14:paraId="7619D3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w:t>
      </w:r>
      <w:r>
        <w:rPr>
          <w:rFonts w:hint="eastAsia" w:ascii="宋体" w:hAnsi="宋体" w:eastAsia="宋体"/>
          <w:color w:val="auto"/>
          <w:sz w:val="24"/>
          <w:highlight w:val="none"/>
          <w:lang w:val="en-US" w:eastAsia="zh-CN"/>
        </w:rPr>
        <w:t>采购人有权上报监管部门，并保留追责权</w:t>
      </w:r>
      <w:r>
        <w:rPr>
          <w:rFonts w:hint="eastAsia" w:ascii="宋体" w:hAnsi="宋体" w:eastAsia="宋体"/>
          <w:color w:val="auto"/>
          <w:sz w:val="24"/>
          <w:highlight w:val="none"/>
        </w:rPr>
        <w:t>。</w:t>
      </w:r>
    </w:p>
    <w:bookmarkEnd w:id="24"/>
    <w:p w14:paraId="27EB49B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.廉洁自律规定</w:t>
      </w:r>
    </w:p>
    <w:p w14:paraId="1BEB9E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4F0BCA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3B23E61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.质疑的提出与接收</w:t>
      </w:r>
    </w:p>
    <w:p w14:paraId="503553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29.1供应商认为谈判文件、采购过程和成交结果使自己的权益受到损害的，可以在知道或者应知其权益受到损害之日起七个工作日内，以书面形式向采购人或其委托的采购代理机构提出质疑。</w:t>
      </w:r>
    </w:p>
    <w:p w14:paraId="4B382F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7FBBFF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14B3D180">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p>
    <w:p w14:paraId="1AD68B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r>
        <w:rPr>
          <w:rFonts w:hint="eastAsia" w:ascii="宋体" w:hAnsi="宋体" w:eastAsia="宋体"/>
          <w:color w:val="auto"/>
          <w:sz w:val="24"/>
          <w:highlight w:val="none"/>
          <w:lang w:val="en-US" w:eastAsia="zh-CN"/>
        </w:rPr>
        <w:t>。</w:t>
      </w:r>
    </w:p>
    <w:p w14:paraId="35535D6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2E21DD4C">
      <w:pPr>
        <w:wordWrap w:val="0"/>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30.1质疑投标人对采购人、采购代理机构的答复不满意，或者采购人、采购代理机构未在规定的时间内答复的，可以在答复期满后十五个工作日内按有关规定，以书面形式向同级政府采购监督管理部门提出投诉。</w:t>
      </w:r>
    </w:p>
    <w:p w14:paraId="3637604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.需要补充的其他内容</w:t>
      </w:r>
    </w:p>
    <w:p w14:paraId="6F1573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40FA7FA">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5F0C5A6B">
      <w:pPr>
        <w:spacing w:line="360" w:lineRule="auto"/>
        <w:jc w:val="center"/>
        <w:outlineLvl w:val="0"/>
        <w:rPr>
          <w:rFonts w:asciiTheme="minorEastAsia" w:hAnsiTheme="minorEastAsia" w:eastAsiaTheme="minorEastAsia"/>
          <w:b/>
          <w:color w:val="auto"/>
          <w:sz w:val="28"/>
          <w:highlight w:val="none"/>
        </w:rPr>
      </w:pPr>
      <w:bookmarkStart w:id="25" w:name="_Toc12846"/>
      <w:r>
        <w:rPr>
          <w:rFonts w:hint="eastAsia" w:asciiTheme="minorEastAsia" w:hAnsiTheme="minorEastAsia" w:eastAsiaTheme="minorEastAsia"/>
          <w:b/>
          <w:color w:val="auto"/>
          <w:sz w:val="28"/>
          <w:highlight w:val="none"/>
        </w:rPr>
        <w:t>第三章  采购需求</w:t>
      </w:r>
      <w:bookmarkEnd w:id="25"/>
    </w:p>
    <w:p w14:paraId="42590815">
      <w:pPr>
        <w:spacing w:line="360" w:lineRule="auto"/>
        <w:ind w:firstLine="482" w:firstLineChars="200"/>
        <w:rPr>
          <w:rFonts w:hint="eastAsia" w:asciiTheme="minorEastAsia" w:hAnsiTheme="minorEastAsia" w:eastAsiaTheme="minorEastAsia"/>
          <w:b/>
          <w:bCs/>
          <w:color w:val="auto"/>
          <w:sz w:val="24"/>
          <w:highlight w:val="none"/>
          <w:lang w:val="en-US" w:eastAsia="zh-CN"/>
        </w:rPr>
      </w:pPr>
      <w:bookmarkStart w:id="26" w:name="_Hlk16461016"/>
      <w:bookmarkStart w:id="27" w:name="_Toc15927"/>
      <w:bookmarkStart w:id="28" w:name="_Toc30537"/>
      <w:r>
        <w:rPr>
          <w:rFonts w:hint="eastAsia" w:asciiTheme="minorEastAsia" w:hAnsiTheme="minorEastAsia" w:eastAsiaTheme="minorEastAsia"/>
          <w:b/>
          <w:bCs/>
          <w:color w:val="auto"/>
          <w:sz w:val="24"/>
          <w:highlight w:val="none"/>
          <w:lang w:val="en-US" w:eastAsia="zh-CN"/>
        </w:rPr>
        <w:t>一、服务内容</w:t>
      </w:r>
    </w:p>
    <w:p w14:paraId="1B8914F8">
      <w:pPr>
        <w:spacing w:line="360" w:lineRule="auto"/>
        <w:ind w:firstLine="480" w:firstLineChars="2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为了高标准的保障4G执法记录仪实时回传功能，进一步提高4G执法记录仪流量服务质量，供应商负责对采购人的518台4G执法记录仪（品牌科达、鼎桥）提供实时流量服务（信号全覆盖、无盲区），服务期限为：从签订合同时开始计算，为期一年。</w:t>
      </w:r>
    </w:p>
    <w:p w14:paraId="6942607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二、相关要求</w:t>
      </w:r>
    </w:p>
    <w:p w14:paraId="1015AF9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1、网络制式：必须全面支持4G网络（LTE Cat 1/Cat 4），并向下兼容3G/2G网络以确保在信号薄弱区域的连通性。优先支持5G网络，为未来设备升级预留空间。</w:t>
      </w:r>
    </w:p>
    <w:p w14:paraId="19A238E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2、流量套餐：</w:t>
      </w:r>
    </w:p>
    <w:p w14:paraId="4EA7943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套餐模式：</w:t>
      </w:r>
      <w:r>
        <w:rPr>
          <w:rFonts w:hint="eastAsia" w:asciiTheme="minorEastAsia" w:hAnsiTheme="minorEastAsia" w:eastAsiaTheme="minorEastAsia"/>
          <w:color w:val="auto"/>
          <w:sz w:val="24"/>
          <w:highlight w:val="none"/>
        </w:rPr>
        <w:t>采用“流量池共享模式”。供应商需提供一个总流量池，所有卡共享使用，按月结算</w:t>
      </w:r>
      <w:r>
        <w:rPr>
          <w:rFonts w:hint="eastAsia" w:asciiTheme="minorEastAsia" w:hAnsiTheme="minorEastAsia" w:eastAsiaTheme="minorEastAsia"/>
          <w:color w:val="auto"/>
          <w:sz w:val="24"/>
          <w:highlight w:val="none"/>
          <w:lang w:val="en-US" w:eastAsia="zh-CN"/>
        </w:rPr>
        <w:t>。</w:t>
      </w:r>
    </w:p>
    <w:p w14:paraId="69645A1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3、覆盖范围：</w:t>
      </w:r>
      <w:r>
        <w:rPr>
          <w:rFonts w:hint="eastAsia" w:asciiTheme="minorEastAsia" w:hAnsiTheme="minorEastAsia" w:eastAsiaTheme="minorEastAsia"/>
          <w:color w:val="auto"/>
          <w:sz w:val="24"/>
          <w:highlight w:val="none"/>
          <w:lang w:val="en-US" w:eastAsia="zh-CN"/>
        </w:rPr>
        <w:t>网络覆盖必须包括滁州市全境（含各县、区、乡镇、农村及主要高速公路、山区等），并确保在全国范围内（民警跨省办案、追逃时）无漫游附加费用。</w:t>
      </w:r>
    </w:p>
    <w:p w14:paraId="008E51ED">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4、网络质量要求：</w:t>
      </w:r>
    </w:p>
    <w:p w14:paraId="3F4D05F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稳定性：网络连接稳定，图传延迟低，语音通话清晰，无断连。</w:t>
      </w:r>
    </w:p>
    <w:p w14:paraId="0510EE3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优先级：建议提供APN专用网络通道，保障警务数据传输的优先性和带宽。</w:t>
      </w:r>
    </w:p>
    <w:p w14:paraId="7400B741">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上传速度：鉴于执法记录仪以视频上传为主要应用，需保证足够的上行带宽，平均上行速率需满足高清视频实时传输的要求。</w:t>
      </w:r>
    </w:p>
    <w:p w14:paraId="44C8A1C3">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三、 功能与服务要求</w:t>
      </w:r>
    </w:p>
    <w:p w14:paraId="61E176B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1、管理平台要求：</w:t>
      </w:r>
    </w:p>
    <w:p w14:paraId="7CE5940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供应商必须提供功能完善的物联网卡管理平台，支持Web端在线操作。</w:t>
      </w:r>
    </w:p>
    <w:p w14:paraId="7C50262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核心功能需包括：</w:t>
      </w:r>
    </w:p>
    <w:p w14:paraId="20F7C80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卡状态管理：实时查看每张SIM卡的在线状态、信号强度、当前位置（基于基站定位）。</w:t>
      </w:r>
    </w:p>
    <w:p w14:paraId="732D4E7C">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费用管理：清晰展示账户余额、月度消费明细。</w:t>
      </w:r>
    </w:p>
    <w:p w14:paraId="1A13EB2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远程操作：支持对单张或批量SIM卡进行“激活/停机/复机/流量充值/套餐变更”等操作。</w:t>
      </w:r>
    </w:p>
    <w:p w14:paraId="5141244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API接口：具备开放API接口，</w:t>
      </w:r>
      <w:r>
        <w:rPr>
          <w:rFonts w:hint="eastAsia" w:asciiTheme="minorEastAsia" w:hAnsiTheme="minorEastAsia" w:eastAsiaTheme="minorEastAsia"/>
          <w:color w:val="auto"/>
          <w:sz w:val="24"/>
          <w:highlight w:val="none"/>
          <w:lang w:val="en-US" w:eastAsia="zh-CN"/>
        </w:rPr>
        <w:t>支持与我局现有的警务云平台或执法记录仪管理平台进行数据对接。</w:t>
      </w:r>
    </w:p>
    <w:p w14:paraId="4A0F740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2、安全性与可靠性：</w:t>
      </w:r>
    </w:p>
    <w:p w14:paraId="28D847C5">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数据安全：采用运营商级VPN或APN专网技术，实现终端与公安内网之间的加密数据传输，防止数据泄露。</w:t>
      </w:r>
    </w:p>
    <w:p w14:paraId="7CB9E4E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卡的安全性：物联网卡需具备机卡绑定功能，防止被盗用。支持IMEI号白名单校验。</w:t>
      </w:r>
    </w:p>
    <w:p w14:paraId="13E138F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冗余备份：供应商需有网络故障应急方案，确保服务高可用性。</w:t>
      </w:r>
    </w:p>
    <w:p w14:paraId="7FA23500">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四、售后响应服务</w:t>
      </w:r>
    </w:p>
    <w:p w14:paraId="745F8AB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1、在接到基层反馈故障报修（信号、流量等问题）通知后1小时之内作出响应，并在12小时之内完成初步技术接触，24小时内完成修复，确保4G执法记录仪正常使用。</w:t>
      </w:r>
    </w:p>
    <w:p w14:paraId="35A9727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2、定期报告：每月提供详细的流量使用报告和服务质量报告。</w:t>
      </w:r>
    </w:p>
    <w:p w14:paraId="2E3CA2F8">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3、供应商负责前期4G执法记录仪所有信息录入工作，并负责对接到市公安局所需对接的全部系统，确保4G执法记录仪能够正常使用，市公安局不再支付任何费用；</w:t>
      </w:r>
    </w:p>
    <w:p w14:paraId="0231FF2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4、在当年新增加4G执法记录仪时，由供应商完成所有信息录入工作和系统对接工作，确保4G执法记录仪正常使用。</w:t>
      </w:r>
    </w:p>
    <w:p w14:paraId="5A6C318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5、当4G执法记录仪出现故障时，如因确定不了是设备或流量（信号）问题时，供应商要主动和4G执法记录仪售后对接，合作解决相关故障，不得推诿扯皮。</w:t>
      </w:r>
    </w:p>
    <w:p w14:paraId="7CDC306C">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w:t>
      </w:r>
      <w:r>
        <w:rPr>
          <w:rFonts w:hint="eastAsia" w:ascii="宋体" w:hAnsi="宋体" w:eastAsia="宋体"/>
          <w:b/>
          <w:color w:val="auto"/>
          <w:sz w:val="24"/>
          <w:szCs w:val="18"/>
          <w:highlight w:val="none"/>
        </w:rPr>
        <w:t>报价要求</w:t>
      </w:r>
    </w:p>
    <w:p w14:paraId="7CFD158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报价应包含：所有流量费用、技术服务费等全部费用。</w:t>
      </w:r>
    </w:p>
    <w:p w14:paraId="487CFEBC">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五、付款方式：</w:t>
      </w:r>
      <w:r>
        <w:rPr>
          <w:rFonts w:hint="eastAsia" w:asciiTheme="minorEastAsia" w:hAnsiTheme="minorEastAsia" w:eastAsiaTheme="minorEastAsia"/>
          <w:b/>
          <w:bCs/>
          <w:color w:val="auto"/>
          <w:sz w:val="24"/>
          <w:highlight w:val="none"/>
          <w:lang w:val="en-US" w:eastAsia="zh-CN"/>
        </w:rPr>
        <w:t>按月据实支付，甲方收到乙方流量使用明细并审核后，通知乙方开具发票，甲方按流程进行支付。</w:t>
      </w:r>
    </w:p>
    <w:bookmarkEnd w:id="26"/>
    <w:bookmarkEnd w:id="27"/>
    <w:bookmarkEnd w:id="28"/>
    <w:p w14:paraId="1482EF0A">
      <w:pPr>
        <w:spacing w:line="360" w:lineRule="auto"/>
        <w:jc w:val="center"/>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29" w:name="_Toc23236"/>
      <w:r>
        <w:rPr>
          <w:rFonts w:hint="eastAsia" w:asciiTheme="minorEastAsia" w:hAnsiTheme="minorEastAsia" w:eastAsiaTheme="minorEastAsia"/>
          <w:b/>
          <w:color w:val="auto"/>
          <w:sz w:val="28"/>
          <w:highlight w:val="none"/>
        </w:rPr>
        <w:t>第四章  评审方法和标准</w:t>
      </w:r>
      <w:bookmarkEnd w:id="29"/>
    </w:p>
    <w:p w14:paraId="7340748B">
      <w:pPr>
        <w:spacing w:line="360" w:lineRule="auto"/>
        <w:ind w:firstLine="437"/>
        <w:outlineLvl w:val="1"/>
        <w:rPr>
          <w:rFonts w:asciiTheme="minorEastAsia" w:hAnsiTheme="minorEastAsia" w:eastAsiaTheme="minorEastAsia"/>
          <w:b/>
          <w:color w:val="auto"/>
          <w:sz w:val="24"/>
          <w:highlight w:val="none"/>
        </w:rPr>
      </w:pPr>
      <w:bookmarkStart w:id="30" w:name="_Toc20577"/>
      <w:bookmarkStart w:id="31" w:name="_Toc16905"/>
      <w:r>
        <w:rPr>
          <w:rFonts w:hint="eastAsia" w:asciiTheme="minorEastAsia" w:hAnsiTheme="minorEastAsia" w:eastAsiaTheme="minorEastAsia"/>
          <w:b/>
          <w:color w:val="auto"/>
          <w:sz w:val="24"/>
          <w:highlight w:val="none"/>
        </w:rPr>
        <w:t>一、总则</w:t>
      </w:r>
      <w:bookmarkEnd w:id="30"/>
      <w:bookmarkEnd w:id="31"/>
    </w:p>
    <w:p w14:paraId="4F1059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44D5D08">
      <w:pPr>
        <w:spacing w:line="360" w:lineRule="auto"/>
        <w:ind w:firstLine="437"/>
        <w:outlineLvl w:val="1"/>
        <w:rPr>
          <w:rFonts w:asciiTheme="minorEastAsia" w:hAnsiTheme="minorEastAsia" w:eastAsiaTheme="minorEastAsia"/>
          <w:b/>
          <w:color w:val="auto"/>
          <w:sz w:val="24"/>
          <w:highlight w:val="none"/>
        </w:rPr>
      </w:pPr>
      <w:bookmarkStart w:id="32" w:name="_Toc14705"/>
      <w:bookmarkStart w:id="33" w:name="_Toc28634"/>
      <w:r>
        <w:rPr>
          <w:rFonts w:hint="eastAsia" w:asciiTheme="minorEastAsia" w:hAnsiTheme="minorEastAsia" w:eastAsiaTheme="minorEastAsia"/>
          <w:b/>
          <w:color w:val="auto"/>
          <w:sz w:val="24"/>
          <w:highlight w:val="none"/>
        </w:rPr>
        <w:t>二、评审方法</w:t>
      </w:r>
      <w:bookmarkEnd w:id="32"/>
      <w:bookmarkEnd w:id="33"/>
    </w:p>
    <w:p w14:paraId="32C325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67"/>
        <w:gridCol w:w="4379"/>
        <w:gridCol w:w="2083"/>
      </w:tblGrid>
      <w:tr w14:paraId="5AE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C660574">
            <w:pPr>
              <w:adjustRightInd w:val="0"/>
              <w:snapToGrid w:val="0"/>
              <w:spacing w:line="360" w:lineRule="auto"/>
              <w:ind w:right="-10"/>
              <w:jc w:val="center"/>
              <w:rPr>
                <w:rFonts w:ascii="宋体" w:hAnsi="宋体" w:eastAsia="宋体"/>
                <w:color w:val="auto"/>
                <w:sz w:val="24"/>
                <w:highlight w:val="none"/>
              </w:rPr>
            </w:pPr>
            <w:bookmarkStart w:id="34" w:name="_Hlk60612144"/>
            <w:r>
              <w:rPr>
                <w:rFonts w:hint="eastAsia" w:ascii="宋体" w:hAnsi="宋体" w:eastAsia="宋体"/>
                <w:b/>
                <w:color w:val="auto"/>
                <w:sz w:val="24"/>
                <w:szCs w:val="22"/>
                <w:highlight w:val="none"/>
              </w:rPr>
              <w:t>初审表</w:t>
            </w:r>
          </w:p>
        </w:tc>
      </w:tr>
      <w:tr w14:paraId="1B2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5308D3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802" w:type="pct"/>
            <w:tcBorders>
              <w:bottom w:val="single" w:color="auto" w:sz="4" w:space="0"/>
            </w:tcBorders>
            <w:vAlign w:val="center"/>
          </w:tcPr>
          <w:p w14:paraId="4EEAFAFF">
            <w:pPr>
              <w:pStyle w:val="46"/>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69" w:type="pct"/>
            <w:tcBorders>
              <w:bottom w:val="single" w:color="auto" w:sz="4" w:space="0"/>
            </w:tcBorders>
            <w:vAlign w:val="center"/>
          </w:tcPr>
          <w:p w14:paraId="60A03AA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220" w:type="pct"/>
            <w:tcBorders>
              <w:bottom w:val="single" w:color="auto" w:sz="4" w:space="0"/>
            </w:tcBorders>
            <w:vAlign w:val="center"/>
          </w:tcPr>
          <w:p w14:paraId="3298F7B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611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7" w:type="pct"/>
            <w:tcBorders>
              <w:bottom w:val="single" w:color="auto" w:sz="4" w:space="0"/>
            </w:tcBorders>
            <w:vAlign w:val="center"/>
          </w:tcPr>
          <w:p w14:paraId="7DE76299">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02" w:type="pct"/>
            <w:tcBorders>
              <w:bottom w:val="single" w:color="auto" w:sz="4" w:space="0"/>
            </w:tcBorders>
            <w:vAlign w:val="center"/>
          </w:tcPr>
          <w:p w14:paraId="0BDD290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69" w:type="pct"/>
            <w:tcBorders>
              <w:bottom w:val="single" w:color="auto" w:sz="4" w:space="0"/>
            </w:tcBorders>
            <w:vAlign w:val="center"/>
          </w:tcPr>
          <w:p w14:paraId="0EE54BDE">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FF43C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4D49E3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53E11C4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188544FB">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220" w:type="pct"/>
            <w:vAlign w:val="center"/>
          </w:tcPr>
          <w:p w14:paraId="1F22FBEC">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5B8F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61B93CF7">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02" w:type="pct"/>
            <w:tcBorders>
              <w:bottom w:val="single" w:color="auto" w:sz="4" w:space="0"/>
            </w:tcBorders>
            <w:vAlign w:val="center"/>
          </w:tcPr>
          <w:p w14:paraId="0D88B71A">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69" w:type="pct"/>
            <w:tcBorders>
              <w:bottom w:val="single" w:color="auto" w:sz="4" w:space="0"/>
            </w:tcBorders>
            <w:vAlign w:val="center"/>
          </w:tcPr>
          <w:p w14:paraId="261B1409">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220" w:type="pct"/>
            <w:tcBorders>
              <w:bottom w:val="single" w:color="auto" w:sz="4" w:space="0"/>
            </w:tcBorders>
            <w:vAlign w:val="center"/>
          </w:tcPr>
          <w:p w14:paraId="022A5EC0">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79C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307C2C0">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3</w:t>
            </w:r>
          </w:p>
        </w:tc>
        <w:tc>
          <w:tcPr>
            <w:tcW w:w="802" w:type="pct"/>
            <w:tcBorders>
              <w:bottom w:val="single" w:color="auto" w:sz="4" w:space="0"/>
            </w:tcBorders>
            <w:vAlign w:val="center"/>
          </w:tcPr>
          <w:p w14:paraId="6FFDE6EC">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69" w:type="pct"/>
            <w:tcBorders>
              <w:bottom w:val="single" w:color="auto" w:sz="4" w:space="0"/>
            </w:tcBorders>
            <w:vAlign w:val="center"/>
          </w:tcPr>
          <w:p w14:paraId="3BABE716">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第一章谈判邀请中申请人资格要求中的</w:t>
            </w:r>
            <w:r>
              <w:rPr>
                <w:rFonts w:hint="eastAsia" w:ascii="宋体" w:hAnsi="宋体" w:eastAsia="宋体"/>
                <w:color w:val="auto"/>
                <w:sz w:val="24"/>
                <w:szCs w:val="18"/>
                <w:highlight w:val="none"/>
              </w:rPr>
              <w:t>不良信用记录情形</w:t>
            </w:r>
          </w:p>
        </w:tc>
        <w:tc>
          <w:tcPr>
            <w:tcW w:w="1220" w:type="pct"/>
            <w:tcBorders>
              <w:bottom w:val="single" w:color="auto" w:sz="4" w:space="0"/>
            </w:tcBorders>
            <w:vAlign w:val="center"/>
          </w:tcPr>
          <w:p w14:paraId="7620D26D">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475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18FABB30">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4</w:t>
            </w:r>
          </w:p>
        </w:tc>
        <w:tc>
          <w:tcPr>
            <w:tcW w:w="802" w:type="pct"/>
            <w:vAlign w:val="center"/>
          </w:tcPr>
          <w:p w14:paraId="49874CC2">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ascii="宋体" w:hAnsi="宋体" w:eastAsia="宋体" w:cs="宋体"/>
                <w:color w:val="auto"/>
                <w:spacing w:val="10"/>
                <w:sz w:val="24"/>
                <w:szCs w:val="24"/>
                <w:highlight w:val="none"/>
              </w:rPr>
              <w:t>其他资格要求</w:t>
            </w:r>
          </w:p>
        </w:tc>
        <w:tc>
          <w:tcPr>
            <w:tcW w:w="2569" w:type="pct"/>
            <w:vAlign w:val="center"/>
          </w:tcPr>
          <w:p w14:paraId="31B2B5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kern w:val="2"/>
                <w:sz w:val="24"/>
                <w:szCs w:val="24"/>
                <w:highlight w:val="none"/>
                <w:lang w:val="en-US" w:eastAsia="zh-CN" w:bidi="ar-SA"/>
              </w:rPr>
              <w:t>《中华人民共和国增值电信业务经营许可证》</w:t>
            </w:r>
          </w:p>
        </w:tc>
        <w:tc>
          <w:tcPr>
            <w:tcW w:w="1220" w:type="pct"/>
            <w:vAlign w:val="center"/>
          </w:tcPr>
          <w:p w14:paraId="70E458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CE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FB7EE27">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5</w:t>
            </w:r>
          </w:p>
        </w:tc>
        <w:tc>
          <w:tcPr>
            <w:tcW w:w="802" w:type="pct"/>
            <w:vAlign w:val="center"/>
          </w:tcPr>
          <w:p w14:paraId="76F9762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谈判响应</w:t>
            </w:r>
            <w:r>
              <w:rPr>
                <w:rFonts w:hint="eastAsia" w:asciiTheme="minorEastAsia" w:hAnsiTheme="minorEastAsia" w:eastAsiaTheme="minorEastAsia"/>
                <w:color w:val="auto"/>
                <w:sz w:val="24"/>
                <w:szCs w:val="28"/>
                <w:highlight w:val="none"/>
              </w:rPr>
              <w:t>函</w:t>
            </w:r>
          </w:p>
        </w:tc>
        <w:tc>
          <w:tcPr>
            <w:tcW w:w="2569" w:type="pct"/>
            <w:vAlign w:val="center"/>
          </w:tcPr>
          <w:p w14:paraId="23E6C1C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20" w:type="pct"/>
            <w:vAlign w:val="center"/>
          </w:tcPr>
          <w:p w14:paraId="3A5B75D8">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94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C87692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802" w:type="pct"/>
            <w:vAlign w:val="center"/>
          </w:tcPr>
          <w:p w14:paraId="0D34806E">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69" w:type="pct"/>
            <w:vAlign w:val="center"/>
          </w:tcPr>
          <w:p w14:paraId="5405A49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20" w:type="pct"/>
            <w:vAlign w:val="center"/>
          </w:tcPr>
          <w:p w14:paraId="7884B484">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DF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3D073A8">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802" w:type="pct"/>
            <w:vAlign w:val="center"/>
          </w:tcPr>
          <w:p w14:paraId="5F4ED450">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569" w:type="pct"/>
            <w:vAlign w:val="center"/>
          </w:tcPr>
          <w:p w14:paraId="2246D79C">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220" w:type="pct"/>
            <w:vAlign w:val="center"/>
          </w:tcPr>
          <w:p w14:paraId="2151BADA">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9D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4456986C">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802" w:type="pct"/>
            <w:vAlign w:val="center"/>
          </w:tcPr>
          <w:p w14:paraId="49F5B321">
            <w:pPr>
              <w:spacing w:after="50" w:line="480" w:lineRule="exact"/>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商务响应情况</w:t>
            </w:r>
          </w:p>
        </w:tc>
        <w:tc>
          <w:tcPr>
            <w:tcW w:w="2569" w:type="pct"/>
            <w:vAlign w:val="center"/>
          </w:tcPr>
          <w:p w14:paraId="39FD1F80">
            <w:pPr>
              <w:spacing w:after="50" w:line="480" w:lineRule="exact"/>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eastAsia="zh-CN"/>
              </w:rPr>
              <w:t>服务期</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eastAsia="zh-CN"/>
              </w:rPr>
              <w:t>服务地点</w:t>
            </w:r>
            <w:r>
              <w:rPr>
                <w:rFonts w:hint="eastAsia" w:asciiTheme="minorEastAsia" w:hAnsiTheme="minorEastAsia" w:eastAsiaTheme="minorEastAsia"/>
                <w:color w:val="auto"/>
                <w:sz w:val="24"/>
                <w:szCs w:val="28"/>
                <w:highlight w:val="none"/>
              </w:rPr>
              <w:t>等实质性要求</w:t>
            </w:r>
          </w:p>
        </w:tc>
        <w:tc>
          <w:tcPr>
            <w:tcW w:w="1220" w:type="pct"/>
            <w:vAlign w:val="center"/>
          </w:tcPr>
          <w:p w14:paraId="4B43F5C1">
            <w:pPr>
              <w:adjustRightInd w:val="0"/>
              <w:snapToGrid w:val="0"/>
              <w:spacing w:line="480" w:lineRule="exact"/>
              <w:ind w:right="-10" w:rightChars="0"/>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详见第六章响应文件格式。</w:t>
            </w:r>
          </w:p>
        </w:tc>
      </w:tr>
      <w:bookmarkEnd w:id="34"/>
    </w:tbl>
    <w:p w14:paraId="64C2FB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49505B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BF1FCEA">
      <w:pPr>
        <w:spacing w:line="360" w:lineRule="auto"/>
        <w:ind w:firstLine="437"/>
        <w:outlineLvl w:val="1"/>
        <w:rPr>
          <w:rFonts w:asciiTheme="minorEastAsia" w:hAnsiTheme="minorEastAsia" w:eastAsiaTheme="minorEastAsia"/>
          <w:b/>
          <w:color w:val="auto"/>
          <w:sz w:val="24"/>
          <w:highlight w:val="none"/>
        </w:rPr>
      </w:pPr>
      <w:bookmarkStart w:id="35" w:name="_Toc27310"/>
      <w:bookmarkStart w:id="36" w:name="_Toc35526206"/>
      <w:r>
        <w:rPr>
          <w:rFonts w:hint="eastAsia" w:asciiTheme="minorEastAsia" w:hAnsiTheme="minorEastAsia" w:eastAsiaTheme="minorEastAsia"/>
          <w:b/>
          <w:color w:val="auto"/>
          <w:sz w:val="24"/>
          <w:highlight w:val="none"/>
        </w:rPr>
        <w:t>三、无效响应条款</w:t>
      </w:r>
    </w:p>
    <w:p w14:paraId="186222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62F056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08E1EA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w:t>
      </w:r>
    </w:p>
    <w:p w14:paraId="743315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62786A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3479F9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0A9018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66BC8B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（4）无法查看并检验电子响应文件中相关资料的；</w:t>
      </w:r>
    </w:p>
    <w:p w14:paraId="7F09B8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11DBE3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28CEFF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430E18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0F49F6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谈判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613B5C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）其它情形按无效响应处理；</w:t>
      </w:r>
    </w:p>
    <w:p w14:paraId="19CBDE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）供应商响应MAC地址或供应商联系人或联系电话相同的，由谈判小组否决其响应，并报告监管部门作不良行为处理和进一步调查；</w:t>
      </w:r>
    </w:p>
    <w:p w14:paraId="04E22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05B34C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）谈判文件规定的其它无效情形。</w:t>
      </w:r>
    </w:p>
    <w:p w14:paraId="341806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60D7DB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（1）响应文件签章不全，经谈判小组一致认定对响应内容有实质性影响；</w:t>
      </w:r>
    </w:p>
    <w:p w14:paraId="48B160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40CC29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（3）同一供应商提交两个或以上不同的响应文件或者报价，但谈判文件规定提交备选方案的除外；</w:t>
      </w:r>
    </w:p>
    <w:p w14:paraId="658371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（4）响应文件没有对谈判文件的实质性要求和条件作出响应；</w:t>
      </w:r>
    </w:p>
    <w:p w14:paraId="5A746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（5）报价超出规定的最高限价或公布的采购预算的或供应商的报价各项单价高于谈判文件给定的单价最高限价；</w:t>
      </w:r>
    </w:p>
    <w:p w14:paraId="18E009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（6）不按谈判小组要求澄清、说明或补正的，或者谈判小组根据谈判文件的规定对谈判文件的计算错误进行修正后，供应商不接受修正的报价的。</w:t>
      </w:r>
    </w:p>
    <w:p w14:paraId="486FE0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（7）其它情形，经谈判小组提出按无效响应处理；</w:t>
      </w:r>
    </w:p>
    <w:p w14:paraId="488F8B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13FD1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（9）谈判文件规定的其它无效响应情形。</w:t>
      </w:r>
    </w:p>
    <w:p w14:paraId="7B65B1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01544A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D586D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71A0A4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29E1C3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C1E17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（5）拒不确认谈判小组评审修正的响应无效；</w:t>
      </w:r>
    </w:p>
    <w:p w14:paraId="3CF08C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（6）其它情形，经谈判小组提出按无效响应处理；</w:t>
      </w:r>
    </w:p>
    <w:p w14:paraId="6266226D">
      <w:pPr>
        <w:spacing w:line="360" w:lineRule="auto"/>
        <w:ind w:firstLine="480" w:firstLineChars="200"/>
        <w:jc w:val="left"/>
        <w:outlineLvl w:val="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（7）谈判文件规定的其它无效响应情形</w:t>
      </w:r>
      <w:r>
        <w:rPr>
          <w:rFonts w:hint="eastAsia" w:asciiTheme="minorEastAsia" w:hAnsiTheme="minorEastAsia" w:eastAsiaTheme="minorEastAsia"/>
          <w:color w:val="auto"/>
          <w:sz w:val="24"/>
          <w:highlight w:val="none"/>
          <w:lang w:eastAsia="zh-CN"/>
        </w:rPr>
        <w:t>。</w:t>
      </w:r>
    </w:p>
    <w:p w14:paraId="3D043DDE">
      <w:pPr>
        <w:spacing w:line="360" w:lineRule="auto"/>
        <w:jc w:val="center"/>
        <w:outlineLvl w:val="0"/>
        <w:rPr>
          <w:rFonts w:hint="eastAsia" w:asciiTheme="minorEastAsia" w:hAnsiTheme="minorEastAsia" w:eastAsiaTheme="minorEastAsia"/>
          <w:color w:val="auto"/>
          <w:sz w:val="24"/>
          <w:highlight w:val="none"/>
          <w:lang w:eastAsia="zh-CN"/>
        </w:rPr>
      </w:pPr>
    </w:p>
    <w:p w14:paraId="130EF251">
      <w:pPr>
        <w:spacing w:line="360" w:lineRule="auto"/>
        <w:jc w:val="center"/>
        <w:outlineLvl w:val="0"/>
        <w:rPr>
          <w:rFonts w:hint="eastAsia" w:asciiTheme="minorEastAsia" w:hAnsiTheme="minorEastAsia" w:eastAsiaTheme="minorEastAsia"/>
          <w:color w:val="auto"/>
          <w:sz w:val="24"/>
          <w:highlight w:val="none"/>
          <w:lang w:eastAsia="zh-CN"/>
        </w:rPr>
      </w:pPr>
    </w:p>
    <w:p w14:paraId="6BB830E9">
      <w:pPr>
        <w:spacing w:line="360" w:lineRule="auto"/>
        <w:jc w:val="center"/>
        <w:outlineLvl w:val="0"/>
        <w:rPr>
          <w:rFonts w:hint="eastAsia" w:asciiTheme="minorEastAsia" w:hAnsiTheme="minorEastAsia" w:eastAsiaTheme="minorEastAsia"/>
          <w:color w:val="auto"/>
          <w:sz w:val="24"/>
          <w:highlight w:val="none"/>
          <w:lang w:eastAsia="zh-CN"/>
        </w:rPr>
      </w:pPr>
    </w:p>
    <w:p w14:paraId="5B350ABE">
      <w:pPr>
        <w:spacing w:line="360" w:lineRule="auto"/>
        <w:jc w:val="center"/>
        <w:outlineLvl w:val="0"/>
        <w:rPr>
          <w:rFonts w:hint="eastAsia" w:asciiTheme="minorEastAsia" w:hAnsiTheme="minorEastAsia" w:eastAsiaTheme="minorEastAsia"/>
          <w:color w:val="auto"/>
          <w:sz w:val="24"/>
          <w:highlight w:val="none"/>
          <w:lang w:eastAsia="zh-CN"/>
        </w:rPr>
      </w:pPr>
    </w:p>
    <w:p w14:paraId="5D4E78EC">
      <w:pPr>
        <w:spacing w:line="360" w:lineRule="auto"/>
        <w:jc w:val="center"/>
        <w:outlineLvl w:val="0"/>
        <w:rPr>
          <w:rFonts w:hint="eastAsia" w:asciiTheme="minorEastAsia" w:hAnsiTheme="minorEastAsia" w:eastAsiaTheme="minorEastAsia"/>
          <w:b/>
          <w:color w:val="auto"/>
          <w:sz w:val="28"/>
          <w:highlight w:val="none"/>
        </w:rPr>
      </w:pPr>
    </w:p>
    <w:p w14:paraId="3B7B5610">
      <w:pPr>
        <w:spacing w:line="360" w:lineRule="auto"/>
        <w:jc w:val="center"/>
        <w:outlineLvl w:val="0"/>
        <w:rPr>
          <w:rFonts w:hint="eastAsia" w:asciiTheme="minorEastAsia" w:hAnsiTheme="minorEastAsia" w:eastAsiaTheme="minorEastAsia"/>
          <w:b/>
          <w:color w:val="auto"/>
          <w:sz w:val="28"/>
          <w:highlight w:val="none"/>
        </w:rPr>
      </w:pPr>
    </w:p>
    <w:p w14:paraId="765CA1AC">
      <w:pPr>
        <w:spacing w:line="360" w:lineRule="auto"/>
        <w:jc w:val="center"/>
        <w:outlineLvl w:val="0"/>
        <w:rPr>
          <w:rFonts w:hint="eastAsia" w:asciiTheme="minorEastAsia" w:hAnsiTheme="minorEastAsia" w:eastAsiaTheme="minorEastAsia"/>
          <w:b/>
          <w:color w:val="auto"/>
          <w:sz w:val="28"/>
          <w:highlight w:val="none"/>
        </w:rPr>
      </w:pPr>
    </w:p>
    <w:p w14:paraId="0FFCD9FE">
      <w:pPr>
        <w:spacing w:line="360" w:lineRule="auto"/>
        <w:jc w:val="center"/>
        <w:outlineLvl w:val="0"/>
        <w:rPr>
          <w:rFonts w:hint="eastAsia" w:asciiTheme="minorEastAsia" w:hAnsiTheme="minorEastAsia" w:eastAsiaTheme="minorEastAsia"/>
          <w:b/>
          <w:color w:val="auto"/>
          <w:sz w:val="28"/>
          <w:highlight w:val="none"/>
        </w:rPr>
      </w:pPr>
    </w:p>
    <w:p w14:paraId="39710A91">
      <w:pPr>
        <w:spacing w:line="360" w:lineRule="auto"/>
        <w:jc w:val="center"/>
        <w:outlineLvl w:val="0"/>
        <w:rPr>
          <w:rFonts w:hint="eastAsia" w:asciiTheme="minorEastAsia" w:hAnsiTheme="minorEastAsia" w:eastAsiaTheme="minorEastAsia"/>
          <w:b/>
          <w:color w:val="auto"/>
          <w:sz w:val="28"/>
          <w:highlight w:val="none"/>
        </w:rPr>
      </w:pPr>
    </w:p>
    <w:p w14:paraId="5864AAFA">
      <w:pPr>
        <w:spacing w:line="360" w:lineRule="auto"/>
        <w:jc w:val="center"/>
        <w:outlineLvl w:val="0"/>
        <w:rPr>
          <w:rFonts w:hint="eastAsia" w:asciiTheme="minorEastAsia" w:hAnsiTheme="minorEastAsia" w:eastAsiaTheme="minorEastAsia"/>
          <w:b/>
          <w:color w:val="auto"/>
          <w:sz w:val="28"/>
          <w:highlight w:val="none"/>
        </w:rPr>
      </w:pPr>
    </w:p>
    <w:p w14:paraId="4391A57C">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5"/>
      <w:bookmarkEnd w:id="36"/>
    </w:p>
    <w:p w14:paraId="44EA432B">
      <w:pPr>
        <w:snapToGrid w:val="0"/>
        <w:spacing w:line="348" w:lineRule="auto"/>
        <w:jc w:val="center"/>
        <w:rPr>
          <w:rFonts w:hint="eastAsia" w:asciiTheme="majorEastAsia" w:hAnsiTheme="majorEastAsia" w:eastAsiaTheme="majorEastAsia" w:cstheme="majorEastAsia"/>
          <w:bCs/>
          <w:color w:val="auto"/>
          <w:sz w:val="24"/>
          <w:szCs w:val="24"/>
          <w:highlight w:val="none"/>
        </w:rPr>
      </w:pPr>
      <w:bookmarkStart w:id="37" w:name="_Toc29374"/>
    </w:p>
    <w:p w14:paraId="394EEF8B">
      <w:pPr>
        <w:snapToGrid w:val="0"/>
        <w:spacing w:line="348"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（签订合同时，仅以此文本为基准，补充条款双方协定）</w:t>
      </w:r>
    </w:p>
    <w:p w14:paraId="594D69F2">
      <w:pPr>
        <w:spacing w:line="480" w:lineRule="auto"/>
        <w:jc w:val="center"/>
        <w:rPr>
          <w:rFonts w:hint="eastAsia" w:asciiTheme="majorEastAsia" w:hAnsiTheme="majorEastAsia" w:eastAsiaTheme="majorEastAsia" w:cstheme="majorEastAsia"/>
          <w:b/>
          <w:color w:val="auto"/>
          <w:sz w:val="24"/>
          <w:szCs w:val="24"/>
          <w:highlight w:val="none"/>
        </w:rPr>
      </w:pPr>
    </w:p>
    <w:p w14:paraId="37E70E4C">
      <w:pPr>
        <w:spacing w:line="480" w:lineRule="auto"/>
        <w:jc w:val="center"/>
        <w:outlineLvl w:val="1"/>
        <w:rPr>
          <w:rFonts w:ascii="宋体" w:hAnsi="宋体"/>
          <w:b/>
          <w:color w:val="auto"/>
          <w:sz w:val="32"/>
          <w:szCs w:val="32"/>
          <w:highlight w:val="none"/>
        </w:rPr>
      </w:pPr>
      <w:bookmarkStart w:id="38" w:name="_Toc9456"/>
      <w:r>
        <w:rPr>
          <w:rFonts w:ascii="宋体" w:hAnsi="宋体"/>
          <w:b/>
          <w:color w:val="auto"/>
          <w:sz w:val="32"/>
          <w:szCs w:val="32"/>
          <w:highlight w:val="none"/>
        </w:rPr>
        <w:t>政府采购合同</w:t>
      </w:r>
      <w:r>
        <w:rPr>
          <w:rFonts w:hint="eastAsia" w:ascii="宋体" w:hAnsi="宋体"/>
          <w:b/>
          <w:color w:val="auto"/>
          <w:sz w:val="32"/>
          <w:szCs w:val="32"/>
          <w:highlight w:val="none"/>
        </w:rPr>
        <w:t>参考范本</w:t>
      </w:r>
      <w:bookmarkEnd w:id="38"/>
    </w:p>
    <w:p w14:paraId="284A5E71">
      <w:pPr>
        <w:spacing w:line="480" w:lineRule="auto"/>
        <w:jc w:val="center"/>
        <w:outlineLvl w:val="1"/>
        <w:rPr>
          <w:rFonts w:ascii="宋体" w:hAnsi="宋体"/>
          <w:b/>
          <w:color w:val="auto"/>
          <w:sz w:val="32"/>
          <w:szCs w:val="32"/>
          <w:highlight w:val="none"/>
        </w:rPr>
      </w:pPr>
      <w:bookmarkStart w:id="39" w:name="_Toc26618"/>
      <w:r>
        <w:rPr>
          <w:rFonts w:hint="eastAsia" w:ascii="宋体" w:hAnsi="宋体"/>
          <w:b/>
          <w:color w:val="auto"/>
          <w:sz w:val="32"/>
          <w:szCs w:val="32"/>
          <w:highlight w:val="none"/>
        </w:rPr>
        <w:t>（服务类）</w:t>
      </w:r>
      <w:bookmarkEnd w:id="39"/>
    </w:p>
    <w:p w14:paraId="31EF80A8">
      <w:pPr>
        <w:spacing w:line="480" w:lineRule="auto"/>
        <w:jc w:val="center"/>
        <w:rPr>
          <w:rFonts w:ascii="宋体" w:hAnsi="宋体"/>
          <w:b/>
          <w:color w:val="auto"/>
          <w:sz w:val="24"/>
          <w:highlight w:val="none"/>
        </w:rPr>
      </w:pPr>
    </w:p>
    <w:p w14:paraId="6B88F705">
      <w:pPr>
        <w:spacing w:line="480" w:lineRule="auto"/>
        <w:jc w:val="center"/>
        <w:rPr>
          <w:rFonts w:ascii="宋体" w:hAnsi="宋体"/>
          <w:b/>
          <w:color w:val="auto"/>
          <w:sz w:val="24"/>
          <w:highlight w:val="none"/>
        </w:rPr>
      </w:pPr>
    </w:p>
    <w:p w14:paraId="2051DF87">
      <w:pPr>
        <w:spacing w:line="480" w:lineRule="auto"/>
        <w:jc w:val="center"/>
        <w:rPr>
          <w:rFonts w:ascii="宋体" w:hAnsi="宋体"/>
          <w:b/>
          <w:color w:val="auto"/>
          <w:sz w:val="24"/>
          <w:highlight w:val="none"/>
        </w:rPr>
      </w:pPr>
    </w:p>
    <w:p w14:paraId="79010D69">
      <w:pPr>
        <w:spacing w:line="480" w:lineRule="auto"/>
        <w:jc w:val="center"/>
        <w:outlineLvl w:val="1"/>
        <w:rPr>
          <w:rFonts w:ascii="宋体" w:hAnsi="宋体"/>
          <w:b/>
          <w:color w:val="auto"/>
          <w:sz w:val="32"/>
          <w:szCs w:val="32"/>
          <w:highlight w:val="none"/>
        </w:rPr>
      </w:pPr>
      <w:bookmarkStart w:id="40" w:name="_Toc18055"/>
      <w:r>
        <w:rPr>
          <w:rFonts w:hint="eastAsia" w:ascii="宋体" w:hAnsi="宋体"/>
          <w:b/>
          <w:color w:val="auto"/>
          <w:sz w:val="32"/>
          <w:szCs w:val="32"/>
          <w:highlight w:val="none"/>
        </w:rPr>
        <w:t>第一部分 合同书</w:t>
      </w:r>
      <w:bookmarkEnd w:id="40"/>
    </w:p>
    <w:p w14:paraId="71302577">
      <w:pPr>
        <w:spacing w:line="480" w:lineRule="auto"/>
        <w:jc w:val="center"/>
        <w:rPr>
          <w:rFonts w:ascii="宋体" w:hAnsi="宋体"/>
          <w:b/>
          <w:color w:val="auto"/>
          <w:sz w:val="24"/>
          <w:highlight w:val="none"/>
        </w:rPr>
      </w:pPr>
    </w:p>
    <w:p w14:paraId="1B297039">
      <w:pPr>
        <w:spacing w:line="480" w:lineRule="auto"/>
        <w:jc w:val="center"/>
        <w:rPr>
          <w:rFonts w:ascii="宋体" w:hAnsi="宋体"/>
          <w:b/>
          <w:color w:val="auto"/>
          <w:sz w:val="24"/>
          <w:highlight w:val="none"/>
        </w:rPr>
      </w:pPr>
    </w:p>
    <w:p w14:paraId="0388C7A4">
      <w:pPr>
        <w:spacing w:line="480" w:lineRule="auto"/>
        <w:jc w:val="center"/>
        <w:rPr>
          <w:rFonts w:hint="eastAsia" w:asciiTheme="minorEastAsia" w:hAnsiTheme="minorEastAsia" w:eastAsiaTheme="minorEastAsia" w:cstheme="minorEastAsia"/>
          <w:b/>
          <w:color w:val="auto"/>
          <w:sz w:val="24"/>
          <w:highlight w:val="none"/>
        </w:rPr>
      </w:pPr>
    </w:p>
    <w:p w14:paraId="7E64A1DE">
      <w:pPr>
        <w:spacing w:before="120" w:line="480" w:lineRule="auto"/>
        <w:ind w:left="96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AEDCF0">
      <w:pPr>
        <w:spacing w:before="120" w:line="480" w:lineRule="auto"/>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甲方（采购人）：</w:t>
      </w:r>
      <w:r>
        <w:rPr>
          <w:rFonts w:hint="eastAsia" w:asciiTheme="minorEastAsia" w:hAnsiTheme="minorEastAsia" w:eastAsiaTheme="minorEastAsia" w:cstheme="minorEastAsia"/>
          <w:color w:val="auto"/>
          <w:sz w:val="24"/>
          <w:szCs w:val="24"/>
          <w:highlight w:val="none"/>
          <w:u w:val="single"/>
        </w:rPr>
        <w:t xml:space="preserve">                                 </w:t>
      </w:r>
    </w:p>
    <w:p w14:paraId="4DBE1FFA">
      <w:pPr>
        <w:spacing w:before="120" w:line="480" w:lineRule="auto"/>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乙方（成交供应商）：</w:t>
      </w:r>
      <w:r>
        <w:rPr>
          <w:rFonts w:hint="eastAsia" w:asciiTheme="minorEastAsia" w:hAnsiTheme="minorEastAsia" w:eastAsiaTheme="minorEastAsia" w:cstheme="minorEastAsia"/>
          <w:color w:val="auto"/>
          <w:sz w:val="24"/>
          <w:highlight w:val="none"/>
          <w:u w:val="single"/>
        </w:rPr>
        <w:t xml:space="preserve">                          </w:t>
      </w:r>
    </w:p>
    <w:p w14:paraId="4C099B1A">
      <w:pPr>
        <w:spacing w:before="120" w:line="480" w:lineRule="auto"/>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szCs w:val="24"/>
          <w:highlight w:val="none"/>
          <w:u w:val="single"/>
        </w:rPr>
        <w:t xml:space="preserve">                                  </w:t>
      </w:r>
    </w:p>
    <w:p w14:paraId="15C18978">
      <w:pPr>
        <w:spacing w:before="120" w:line="48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0D81350">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42AD88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以下简称：甲方</w:t>
      </w:r>
      <w:r>
        <w:rPr>
          <w:rFonts w:hint="eastAsia" w:ascii="宋体" w:hAnsi="宋体" w:eastAsia="宋体" w:cs="宋体"/>
          <w:color w:val="auto"/>
          <w:sz w:val="24"/>
          <w:highlight w:val="none"/>
        </w:rPr>
        <w:t xml:space="preserve">）通过 </w:t>
      </w:r>
      <w:r>
        <w:rPr>
          <w:rFonts w:hint="eastAsia" w:ascii="宋体" w:hAnsi="宋体" w:eastAsia="宋体" w:cs="宋体"/>
          <w:color w:val="auto"/>
          <w:sz w:val="24"/>
          <w:highlight w:val="none"/>
          <w:u w:val="single"/>
        </w:rPr>
        <w:t>滁州市城投工程咨询管理有限公司</w:t>
      </w:r>
      <w:r>
        <w:rPr>
          <w:rFonts w:hint="eastAsia" w:ascii="宋体" w:hAnsi="宋体" w:eastAsia="宋体" w:cs="宋体"/>
          <w:color w:val="auto"/>
          <w:sz w:val="24"/>
          <w:highlight w:val="none"/>
        </w:rPr>
        <w:t>组织的竞争性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小组评定，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以下简称：乙方</w:t>
      </w:r>
      <w:r>
        <w:rPr>
          <w:rFonts w:hint="eastAsia" w:ascii="宋体" w:hAnsi="宋体" w:eastAsia="宋体" w:cs="宋体"/>
          <w:color w:val="auto"/>
          <w:sz w:val="24"/>
          <w:highlight w:val="none"/>
        </w:rPr>
        <w:t>）为本项目成交供应商，现按照采购文件确定的事项签订本合同。</w:t>
      </w:r>
    </w:p>
    <w:p w14:paraId="2EBDD0A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参照《中华人民共和国民法典》、《中华人民共和国政府采购法》等相关法律法规之规定，按照平等、自愿、公平和诚实信用的原则，经甲方和乙方协商一致，约定以下合同条款，以兹共同遵守、全面履行。</w:t>
      </w:r>
    </w:p>
    <w:p w14:paraId="7895C7AB">
      <w:pPr>
        <w:spacing w:line="360" w:lineRule="auto"/>
        <w:ind w:firstLine="437"/>
        <w:outlineLvl w:val="2"/>
        <w:rPr>
          <w:rFonts w:hint="eastAsia" w:ascii="宋体" w:hAnsi="宋体" w:eastAsia="宋体" w:cs="宋体"/>
          <w:b/>
          <w:bCs/>
          <w:color w:val="auto"/>
          <w:sz w:val="24"/>
          <w:highlight w:val="none"/>
          <w:lang w:val="zh-CN"/>
        </w:rPr>
      </w:pPr>
      <w:bookmarkStart w:id="41" w:name="_Toc2232"/>
      <w:bookmarkStart w:id="42" w:name="_Toc24059"/>
      <w:bookmarkStart w:id="43" w:name="_Toc3029"/>
      <w:r>
        <w:rPr>
          <w:rFonts w:hint="eastAsia" w:ascii="宋体" w:hAnsi="宋体" w:eastAsia="宋体" w:cs="宋体"/>
          <w:b/>
          <w:bCs/>
          <w:color w:val="auto"/>
          <w:sz w:val="24"/>
          <w:highlight w:val="none"/>
          <w:lang w:val="zh-CN"/>
        </w:rPr>
        <w:t>1.1 合同组成部分</w:t>
      </w:r>
      <w:bookmarkEnd w:id="41"/>
      <w:bookmarkEnd w:id="42"/>
      <w:bookmarkEnd w:id="43"/>
    </w:p>
    <w:p w14:paraId="0BC330B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A72932">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1.1.1本合同及其补充合同、变更协议；</w:t>
      </w:r>
    </w:p>
    <w:p w14:paraId="00CCBC8F">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1.1.2成交通知书；</w:t>
      </w:r>
    </w:p>
    <w:p w14:paraId="0A168FD6">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1.1.3响应文件（含澄清或者说明文件）；</w:t>
      </w:r>
    </w:p>
    <w:p w14:paraId="2E3892A8">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1.1.4</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文件（含澄清或者修改文件）；</w:t>
      </w:r>
    </w:p>
    <w:p w14:paraId="0DB5F300">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1.1.5其他相关采购文件。</w:t>
      </w:r>
    </w:p>
    <w:p w14:paraId="2E2F6CFB">
      <w:pPr>
        <w:spacing w:line="360" w:lineRule="auto"/>
        <w:ind w:firstLine="437"/>
        <w:outlineLvl w:val="2"/>
        <w:rPr>
          <w:rFonts w:hint="eastAsia" w:ascii="宋体" w:hAnsi="宋体" w:eastAsia="宋体" w:cs="宋体"/>
          <w:b/>
          <w:bCs/>
          <w:color w:val="auto"/>
          <w:sz w:val="24"/>
          <w:highlight w:val="none"/>
          <w:lang w:val="zh-CN"/>
        </w:rPr>
      </w:pPr>
      <w:bookmarkStart w:id="44" w:name="_Toc21295"/>
      <w:bookmarkStart w:id="45" w:name="_Toc27126"/>
      <w:bookmarkStart w:id="46" w:name="_Toc24300"/>
      <w:r>
        <w:rPr>
          <w:rFonts w:hint="eastAsia" w:ascii="宋体" w:hAnsi="宋体" w:eastAsia="宋体" w:cs="宋体"/>
          <w:b/>
          <w:bCs/>
          <w:color w:val="auto"/>
          <w:sz w:val="24"/>
          <w:highlight w:val="none"/>
          <w:lang w:val="zh-CN"/>
        </w:rPr>
        <w:t xml:space="preserve">1.2 </w:t>
      </w:r>
      <w:bookmarkEnd w:id="44"/>
      <w:bookmarkEnd w:id="45"/>
      <w:bookmarkEnd w:id="46"/>
      <w:r>
        <w:rPr>
          <w:rFonts w:hint="eastAsia" w:ascii="宋体" w:hAnsi="宋体" w:eastAsia="宋体" w:cs="宋体"/>
          <w:b/>
          <w:bCs/>
          <w:color w:val="auto"/>
          <w:sz w:val="24"/>
          <w:highlight w:val="none"/>
          <w:lang w:val="zh-CN"/>
        </w:rPr>
        <w:t>服务</w:t>
      </w:r>
    </w:p>
    <w:p w14:paraId="4266A0B1">
      <w:pPr>
        <w:spacing w:line="360" w:lineRule="auto"/>
        <w:ind w:firstLine="435"/>
        <w:rPr>
          <w:rFonts w:hint="eastAsia" w:ascii="宋体" w:hAnsi="宋体" w:eastAsia="宋体" w:cs="宋体"/>
          <w:color w:val="auto"/>
          <w:sz w:val="24"/>
          <w:szCs w:val="24"/>
          <w:highlight w:val="none"/>
          <w:u w:val="single"/>
        </w:rPr>
      </w:pPr>
      <w:bookmarkStart w:id="47" w:name="_Toc21551"/>
      <w:bookmarkStart w:id="48" w:name="_Toc23292"/>
      <w:bookmarkStart w:id="49" w:name="_Toc21631"/>
      <w:r>
        <w:rPr>
          <w:rFonts w:hint="eastAsia" w:ascii="宋体" w:hAnsi="宋体" w:eastAsia="宋体" w:cs="宋体"/>
          <w:color w:val="auto"/>
          <w:sz w:val="24"/>
          <w:szCs w:val="24"/>
          <w:highlight w:val="none"/>
          <w:lang w:bidi="ar"/>
        </w:rPr>
        <w:t>1.2.1服务名称：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bidi="ar"/>
        </w:rPr>
        <w:t>；</w:t>
      </w:r>
    </w:p>
    <w:p w14:paraId="1D18283D">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1.2.2服务内容：</w:t>
      </w:r>
      <w:r>
        <w:rPr>
          <w:rFonts w:hint="eastAsia" w:ascii="宋体" w:hAnsi="宋体" w:eastAsia="宋体" w:cs="宋体"/>
          <w:color w:val="auto"/>
          <w:sz w:val="24"/>
          <w:highlight w:val="none"/>
          <w:u w:val="single"/>
          <w:lang w:val="en-US" w:eastAsia="zh-CN"/>
        </w:rPr>
        <w:t>谈判</w:t>
      </w:r>
      <w:r>
        <w:rPr>
          <w:rFonts w:hint="eastAsia" w:ascii="宋体" w:hAnsi="宋体" w:eastAsia="宋体" w:cs="宋体"/>
          <w:color w:val="auto"/>
          <w:sz w:val="24"/>
          <w:highlight w:val="none"/>
          <w:u w:val="single"/>
          <w:lang w:val="zh-CN"/>
        </w:rPr>
        <w:t>文件</w:t>
      </w:r>
      <w:r>
        <w:rPr>
          <w:rFonts w:hint="eastAsia" w:ascii="宋体" w:hAnsi="宋体" w:eastAsia="宋体" w:cs="宋体"/>
          <w:color w:val="auto"/>
          <w:sz w:val="24"/>
          <w:highlight w:val="none"/>
          <w:u w:val="single"/>
        </w:rPr>
        <w:t>采购需求全部内容</w:t>
      </w:r>
      <w:r>
        <w:rPr>
          <w:rFonts w:hint="eastAsia" w:ascii="宋体" w:hAnsi="宋体" w:eastAsia="宋体" w:cs="宋体"/>
          <w:color w:val="auto"/>
          <w:sz w:val="24"/>
          <w:szCs w:val="24"/>
          <w:highlight w:val="none"/>
          <w:lang w:bidi="ar"/>
        </w:rPr>
        <w:t>；</w:t>
      </w:r>
    </w:p>
    <w:p w14:paraId="37CAA55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1.2.3服务质量：</w:t>
      </w:r>
      <w:r>
        <w:rPr>
          <w:rFonts w:hint="eastAsia" w:ascii="宋体" w:hAnsi="宋体" w:eastAsia="宋体" w:cs="宋体"/>
          <w:color w:val="auto"/>
          <w:sz w:val="24"/>
          <w:szCs w:val="24"/>
          <w:highlight w:val="none"/>
          <w:u w:val="single"/>
        </w:rPr>
        <w:t>满足</w:t>
      </w:r>
      <w:r>
        <w:rPr>
          <w:rFonts w:hint="eastAsia" w:ascii="宋体" w:hAnsi="宋体" w:eastAsia="宋体" w:cs="宋体"/>
          <w:color w:val="auto"/>
          <w:sz w:val="24"/>
          <w:szCs w:val="24"/>
          <w:highlight w:val="none"/>
          <w:u w:val="single"/>
          <w:lang w:val="en-US" w:eastAsia="zh-CN"/>
        </w:rPr>
        <w:t>谈判</w:t>
      </w:r>
      <w:r>
        <w:rPr>
          <w:rFonts w:hint="eastAsia" w:ascii="宋体" w:hAnsi="宋体" w:eastAsia="宋体" w:cs="宋体"/>
          <w:color w:val="auto"/>
          <w:sz w:val="24"/>
          <w:szCs w:val="24"/>
          <w:highlight w:val="none"/>
          <w:u w:val="single"/>
          <w:lang w:val="zh-CN"/>
        </w:rPr>
        <w:t>文件</w:t>
      </w:r>
      <w:r>
        <w:rPr>
          <w:rFonts w:hint="eastAsia" w:ascii="宋体" w:hAnsi="宋体" w:eastAsia="宋体" w:cs="宋体"/>
          <w:color w:val="auto"/>
          <w:sz w:val="24"/>
          <w:szCs w:val="24"/>
          <w:highlight w:val="none"/>
          <w:u w:val="single"/>
        </w:rPr>
        <w:t>要求及采购人相关要求</w:t>
      </w:r>
      <w:r>
        <w:rPr>
          <w:rFonts w:hint="eastAsia" w:ascii="宋体" w:hAnsi="宋体" w:eastAsia="宋体" w:cs="宋体"/>
          <w:color w:val="auto"/>
          <w:sz w:val="24"/>
          <w:szCs w:val="24"/>
          <w:highlight w:val="none"/>
          <w:lang w:bidi="ar"/>
        </w:rPr>
        <w:t>。</w:t>
      </w:r>
    </w:p>
    <w:p w14:paraId="33E675E0">
      <w:pPr>
        <w:spacing w:line="360" w:lineRule="auto"/>
        <w:ind w:firstLine="437"/>
        <w:outlineLvl w:val="2"/>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1.3 价款</w:t>
      </w:r>
      <w:bookmarkEnd w:id="47"/>
      <w:bookmarkEnd w:id="48"/>
      <w:bookmarkEnd w:id="49"/>
    </w:p>
    <w:p w14:paraId="3F59E0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单价</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           元/G</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2052FD76">
      <w:pPr>
        <w:spacing w:line="360" w:lineRule="auto"/>
        <w:ind w:firstLine="437"/>
        <w:outlineLvl w:val="2"/>
        <w:rPr>
          <w:rFonts w:hint="eastAsia" w:ascii="宋体" w:hAnsi="宋体" w:eastAsia="宋体" w:cs="宋体"/>
          <w:b/>
          <w:bCs/>
          <w:color w:val="auto"/>
          <w:sz w:val="24"/>
          <w:highlight w:val="none"/>
          <w:lang w:val="zh-CN"/>
        </w:rPr>
      </w:pPr>
      <w:bookmarkStart w:id="50" w:name="_Toc10340"/>
      <w:bookmarkStart w:id="51" w:name="_Toc1814"/>
      <w:bookmarkStart w:id="52" w:name="_Toc22618"/>
      <w:r>
        <w:rPr>
          <w:rFonts w:hint="eastAsia" w:ascii="宋体" w:hAnsi="宋体" w:eastAsia="宋体" w:cs="宋体"/>
          <w:b/>
          <w:bCs/>
          <w:color w:val="auto"/>
          <w:sz w:val="24"/>
          <w:highlight w:val="none"/>
          <w:lang w:val="zh-CN"/>
        </w:rPr>
        <w:t>1.4 付款方式和发票开具方式</w:t>
      </w:r>
      <w:bookmarkEnd w:id="50"/>
      <w:bookmarkEnd w:id="51"/>
      <w:bookmarkEnd w:id="52"/>
    </w:p>
    <w:p w14:paraId="3AEB59D0">
      <w:pPr>
        <w:pStyle w:val="45"/>
        <w:widowControl w:val="0"/>
        <w:spacing w:before="0" w:beforeAutospacing="0" w:after="0" w:afterAutospacing="0" w:line="360" w:lineRule="auto"/>
        <w:ind w:firstLine="482" w:firstLineChars="200"/>
        <w:jc w:val="both"/>
        <w:rPr>
          <w:rFonts w:hint="eastAsia" w:ascii="宋体" w:hAnsi="宋体" w:eastAsia="宋体" w:cs="宋体"/>
          <w:b w:val="0"/>
          <w:color w:val="auto"/>
          <w:sz w:val="24"/>
          <w:highlight w:val="none"/>
        </w:rPr>
      </w:pPr>
      <w:r>
        <w:rPr>
          <w:rFonts w:hint="eastAsia" w:ascii="宋体" w:hAnsi="宋体" w:eastAsia="宋体" w:cs="宋体"/>
          <w:color w:val="auto"/>
          <w:sz w:val="24"/>
          <w:highlight w:val="none"/>
        </w:rPr>
        <w:t>1.4.1付款方式：</w:t>
      </w:r>
    </w:p>
    <w:p w14:paraId="735785A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4782037">
      <w:pPr>
        <w:spacing w:line="360" w:lineRule="auto"/>
        <w:ind w:firstLine="437"/>
        <w:outlineLvl w:val="2"/>
        <w:rPr>
          <w:rFonts w:hint="eastAsia" w:ascii="宋体" w:hAnsi="宋体" w:eastAsia="宋体" w:cs="宋体"/>
          <w:b/>
          <w:bCs/>
          <w:color w:val="auto"/>
          <w:sz w:val="24"/>
          <w:highlight w:val="none"/>
          <w:lang w:val="zh-CN"/>
        </w:rPr>
      </w:pPr>
      <w:bookmarkStart w:id="53" w:name="_Toc2846"/>
      <w:bookmarkStart w:id="54" w:name="_Toc32071"/>
      <w:bookmarkStart w:id="55" w:name="_Toc19304"/>
      <w:r>
        <w:rPr>
          <w:rFonts w:hint="eastAsia" w:ascii="宋体" w:hAnsi="宋体" w:eastAsia="宋体" w:cs="宋体"/>
          <w:b/>
          <w:bCs/>
          <w:color w:val="auto"/>
          <w:sz w:val="24"/>
          <w:highlight w:val="none"/>
          <w:lang w:val="zh-CN"/>
        </w:rPr>
        <w:t xml:space="preserve">1.5 </w:t>
      </w:r>
      <w:bookmarkEnd w:id="53"/>
      <w:bookmarkEnd w:id="54"/>
      <w:bookmarkEnd w:id="55"/>
      <w:r>
        <w:rPr>
          <w:rFonts w:hint="eastAsia" w:ascii="宋体" w:hAnsi="宋体" w:eastAsia="宋体" w:cs="宋体"/>
          <w:b/>
          <w:bCs/>
          <w:color w:val="auto"/>
          <w:sz w:val="24"/>
          <w:highlight w:val="none"/>
          <w:lang w:val="zh-CN"/>
        </w:rPr>
        <w:t>服务期限、地点和方式</w:t>
      </w:r>
    </w:p>
    <w:p w14:paraId="029FDC67">
      <w:pPr>
        <w:autoSpaceDE w:val="0"/>
        <w:autoSpaceDN w:val="0"/>
        <w:adjustRightInd w:val="0"/>
        <w:spacing w:line="480" w:lineRule="exact"/>
        <w:ind w:firstLine="436" w:firstLineChars="1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59379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1.5.2服务地点：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highlight w:val="none"/>
        </w:rPr>
        <w:t>；</w:t>
      </w:r>
    </w:p>
    <w:p w14:paraId="61E4BC8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1.5.3服务方式：</w:t>
      </w:r>
      <w:r>
        <w:rPr>
          <w:rFonts w:hint="eastAsia" w:ascii="宋体" w:hAnsi="宋体" w:eastAsia="宋体" w:cs="宋体"/>
          <w:color w:val="auto"/>
          <w:sz w:val="24"/>
          <w:szCs w:val="24"/>
          <w:highlight w:val="none"/>
          <w:u w:val="single"/>
        </w:rPr>
        <w:t>甲方指定方式</w:t>
      </w:r>
      <w:r>
        <w:rPr>
          <w:rFonts w:hint="eastAsia" w:ascii="宋体" w:hAnsi="宋体" w:eastAsia="宋体" w:cs="宋体"/>
          <w:color w:val="auto"/>
          <w:sz w:val="24"/>
          <w:highlight w:val="none"/>
        </w:rPr>
        <w:t>。</w:t>
      </w:r>
    </w:p>
    <w:p w14:paraId="70B3AA16">
      <w:pPr>
        <w:spacing w:line="360" w:lineRule="auto"/>
        <w:ind w:firstLine="437"/>
        <w:outlineLvl w:val="2"/>
        <w:rPr>
          <w:rFonts w:hint="eastAsia" w:ascii="宋体" w:hAnsi="宋体" w:eastAsia="宋体" w:cs="宋体"/>
          <w:b/>
          <w:bCs/>
          <w:color w:val="auto"/>
          <w:sz w:val="24"/>
          <w:highlight w:val="none"/>
          <w:lang w:val="zh-CN"/>
        </w:rPr>
      </w:pPr>
      <w:bookmarkStart w:id="56" w:name="_Toc27250"/>
      <w:bookmarkStart w:id="57" w:name="_Toc19554"/>
      <w:bookmarkStart w:id="58" w:name="_Toc21423"/>
      <w:r>
        <w:rPr>
          <w:rFonts w:hint="eastAsia" w:ascii="宋体" w:hAnsi="宋体" w:eastAsia="宋体" w:cs="宋体"/>
          <w:b/>
          <w:bCs/>
          <w:color w:val="auto"/>
          <w:sz w:val="24"/>
          <w:highlight w:val="none"/>
          <w:lang w:val="zh-CN"/>
        </w:rPr>
        <w:t>1.6 违约责任</w:t>
      </w:r>
      <w:bookmarkEnd w:id="56"/>
      <w:bookmarkEnd w:id="57"/>
      <w:bookmarkEnd w:id="58"/>
    </w:p>
    <w:p w14:paraId="599D58A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39EE66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5079C2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2E5A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EC7E4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9736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86497F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ascii="宋体" w:hAnsi="宋体" w:eastAsia="宋体" w:cs="宋体"/>
          <w:color w:val="auto"/>
          <w:sz w:val="24"/>
          <w:szCs w:val="24"/>
          <w:highlight w:val="none"/>
        </w:rPr>
        <w:t>。</w:t>
      </w:r>
    </w:p>
    <w:p w14:paraId="0650551C">
      <w:pPr>
        <w:spacing w:line="360" w:lineRule="auto"/>
        <w:ind w:firstLine="437"/>
        <w:outlineLvl w:val="2"/>
        <w:rPr>
          <w:rFonts w:hint="eastAsia" w:ascii="宋体" w:hAnsi="宋体" w:eastAsia="宋体" w:cs="宋体"/>
          <w:b/>
          <w:bCs/>
          <w:color w:val="auto"/>
          <w:sz w:val="24"/>
          <w:highlight w:val="none"/>
          <w:lang w:val="zh-CN"/>
        </w:rPr>
      </w:pPr>
      <w:bookmarkStart w:id="59" w:name="_Toc16021"/>
      <w:bookmarkStart w:id="60" w:name="_Toc15583"/>
      <w:bookmarkStart w:id="61" w:name="_Toc28375"/>
      <w:r>
        <w:rPr>
          <w:rFonts w:hint="eastAsia" w:ascii="宋体" w:hAnsi="宋体" w:eastAsia="宋体" w:cs="宋体"/>
          <w:b/>
          <w:bCs/>
          <w:color w:val="auto"/>
          <w:sz w:val="24"/>
          <w:highlight w:val="none"/>
          <w:lang w:val="zh-CN"/>
        </w:rPr>
        <w:t>1.7 合同争议的解决</w:t>
      </w:r>
      <w:bookmarkEnd w:id="59"/>
      <w:bookmarkEnd w:id="60"/>
      <w:bookmarkEnd w:id="61"/>
    </w:p>
    <w:p w14:paraId="10D497B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1FC6B5A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1.7.1将争议提交</w:t>
      </w:r>
      <w:r>
        <w:rPr>
          <w:rFonts w:hint="eastAsia" w:ascii="宋体" w:hAnsi="宋体" w:eastAsia="宋体" w:cs="宋体"/>
          <w:color w:val="auto"/>
          <w:sz w:val="24"/>
          <w:highlight w:val="none"/>
          <w:u w:val="single"/>
        </w:rPr>
        <w:t xml:space="preserve">  滁州 </w:t>
      </w:r>
      <w:r>
        <w:rPr>
          <w:rFonts w:hint="eastAsia" w:ascii="宋体" w:hAnsi="宋体" w:eastAsia="宋体" w:cs="宋体"/>
          <w:color w:val="auto"/>
          <w:sz w:val="24"/>
          <w:highlight w:val="none"/>
        </w:rPr>
        <w:t>仲裁委员会依申请仲裁时其现行有效的仲裁规则裁决；</w:t>
      </w:r>
    </w:p>
    <w:p w14:paraId="26485A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1.7.2向</w:t>
      </w:r>
      <w:r>
        <w:rPr>
          <w:rFonts w:hint="eastAsia" w:ascii="宋体" w:hAnsi="宋体" w:eastAsia="宋体" w:cs="宋体"/>
          <w:color w:val="auto"/>
          <w:sz w:val="24"/>
          <w:highlight w:val="none"/>
          <w:u w:val="single"/>
        </w:rPr>
        <w:t xml:space="preserve">  甲方（采购人）所在地  </w:t>
      </w:r>
      <w:r>
        <w:rPr>
          <w:rFonts w:hint="eastAsia" w:ascii="宋体" w:hAnsi="宋体" w:eastAsia="宋体" w:cs="宋体"/>
          <w:color w:val="auto"/>
          <w:sz w:val="24"/>
          <w:highlight w:val="none"/>
        </w:rPr>
        <w:t>人民法院起诉。</w:t>
      </w:r>
    </w:p>
    <w:p w14:paraId="0599BA51">
      <w:pPr>
        <w:spacing w:line="360" w:lineRule="auto"/>
        <w:ind w:firstLine="437"/>
        <w:outlineLvl w:val="2"/>
        <w:rPr>
          <w:rFonts w:hint="eastAsia" w:ascii="宋体" w:hAnsi="宋体" w:eastAsia="宋体" w:cs="宋体"/>
          <w:b/>
          <w:bCs/>
          <w:color w:val="auto"/>
          <w:sz w:val="24"/>
          <w:highlight w:val="none"/>
          <w:lang w:val="zh-CN"/>
        </w:rPr>
      </w:pPr>
      <w:bookmarkStart w:id="62" w:name="_Toc7245"/>
      <w:bookmarkStart w:id="63" w:name="_Toc11173"/>
      <w:bookmarkStart w:id="64" w:name="_Toc15322"/>
      <w:r>
        <w:rPr>
          <w:rFonts w:hint="eastAsia" w:ascii="宋体" w:hAnsi="宋体" w:eastAsia="宋体" w:cs="宋体"/>
          <w:b/>
          <w:bCs/>
          <w:color w:val="auto"/>
          <w:sz w:val="24"/>
          <w:highlight w:val="none"/>
          <w:lang w:val="zh-CN"/>
        </w:rPr>
        <w:t>1.8 合同生效</w:t>
      </w:r>
      <w:bookmarkEnd w:id="62"/>
      <w:bookmarkEnd w:id="63"/>
      <w:bookmarkEnd w:id="64"/>
    </w:p>
    <w:p w14:paraId="58A768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本合同自双方当事人盖章时生效。</w:t>
      </w:r>
    </w:p>
    <w:p w14:paraId="17980551">
      <w:pPr>
        <w:autoSpaceDE w:val="0"/>
        <w:autoSpaceDN w:val="0"/>
        <w:adjustRightInd w:val="0"/>
        <w:spacing w:line="560" w:lineRule="exact"/>
        <w:rPr>
          <w:rFonts w:hint="eastAsia" w:ascii="宋体" w:hAnsi="宋体" w:eastAsia="宋体" w:cs="宋体"/>
          <w:color w:val="auto"/>
          <w:sz w:val="24"/>
          <w:highlight w:val="none"/>
          <w:lang w:val="zh-CN"/>
        </w:rPr>
      </w:pPr>
    </w:p>
    <w:p w14:paraId="67576A21">
      <w:pPr>
        <w:autoSpaceDE w:val="0"/>
        <w:autoSpaceDN w:val="0"/>
        <w:adjustRightInd w:val="0"/>
        <w:spacing w:line="560" w:lineRule="exact"/>
        <w:rPr>
          <w:rFonts w:hint="eastAsia" w:ascii="宋体" w:hAnsi="宋体" w:eastAsia="宋体" w:cs="宋体"/>
          <w:bCs/>
          <w:color w:val="auto"/>
          <w:sz w:val="24"/>
          <w:szCs w:val="24"/>
          <w:highlight w:val="none"/>
          <w:lang w:val="zh-CN"/>
        </w:rPr>
      </w:pPr>
      <w:bookmarkStart w:id="65" w:name="_Toc331685783"/>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2CCE9703">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46EF1EBE">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29AD0219">
      <w:pPr>
        <w:widowControl/>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1B3C8583">
      <w:pPr>
        <w:widowControl/>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乙方账户信息</w:t>
      </w:r>
    </w:p>
    <w:p w14:paraId="5625E079">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户名：</w:t>
      </w:r>
      <w:r>
        <w:rPr>
          <w:rFonts w:hint="eastAsia" w:ascii="宋体" w:hAnsi="宋体" w:eastAsia="宋体" w:cs="宋体"/>
          <w:bCs/>
          <w:color w:val="auto"/>
          <w:sz w:val="24"/>
          <w:szCs w:val="24"/>
          <w:highlight w:val="none"/>
          <w:u w:val="single"/>
        </w:rPr>
        <w:t xml:space="preserve">                    </w:t>
      </w:r>
    </w:p>
    <w:p w14:paraId="325622A8">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账号：</w:t>
      </w:r>
      <w:r>
        <w:rPr>
          <w:rFonts w:hint="eastAsia" w:ascii="宋体" w:hAnsi="宋体" w:eastAsia="宋体" w:cs="宋体"/>
          <w:bCs/>
          <w:color w:val="auto"/>
          <w:sz w:val="24"/>
          <w:szCs w:val="24"/>
          <w:highlight w:val="none"/>
          <w:u w:val="single"/>
        </w:rPr>
        <w:t xml:space="preserve">                    </w:t>
      </w:r>
    </w:p>
    <w:p w14:paraId="3000592D">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3795565C">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54D9256">
      <w:pPr>
        <w:spacing w:line="360" w:lineRule="auto"/>
        <w:jc w:val="center"/>
        <w:outlineLvl w:val="1"/>
        <w:rPr>
          <w:rFonts w:ascii="宋体" w:hAnsi="宋体"/>
          <w:b/>
          <w:color w:val="auto"/>
          <w:sz w:val="24"/>
          <w:highlight w:val="none"/>
        </w:rPr>
      </w:pPr>
      <w:bookmarkStart w:id="66" w:name="_Toc20177"/>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65"/>
      <w:bookmarkEnd w:id="66"/>
    </w:p>
    <w:p w14:paraId="54BA3C79">
      <w:pPr>
        <w:spacing w:line="360" w:lineRule="auto"/>
        <w:ind w:firstLine="437"/>
        <w:outlineLvl w:val="2"/>
        <w:rPr>
          <w:rFonts w:hint="eastAsia" w:ascii="宋体" w:hAnsi="宋体" w:eastAsia="宋体" w:cs="宋体"/>
          <w:b/>
          <w:bCs/>
          <w:color w:val="auto"/>
          <w:sz w:val="24"/>
          <w:highlight w:val="none"/>
          <w:lang w:val="zh-CN"/>
        </w:rPr>
      </w:pPr>
      <w:bookmarkStart w:id="67" w:name="_Ref467379205"/>
      <w:bookmarkStart w:id="68" w:name="_Ref467378463"/>
      <w:bookmarkStart w:id="69" w:name="_Toc259093669"/>
      <w:bookmarkStart w:id="70" w:name="_Ref467379094"/>
      <w:bookmarkStart w:id="71" w:name="_Toc28763"/>
      <w:bookmarkStart w:id="72" w:name="_Ref467379195"/>
      <w:bookmarkStart w:id="73" w:name="_Ref467379214"/>
      <w:bookmarkStart w:id="74" w:name="_Toc19614"/>
      <w:bookmarkStart w:id="75" w:name="_Toc16917"/>
      <w:bookmarkStart w:id="76" w:name="_Ref467378499"/>
      <w:bookmarkStart w:id="77" w:name="_Toc487900349"/>
      <w:bookmarkStart w:id="78" w:name="_Ref467379109"/>
      <w:bookmarkStart w:id="79" w:name="_Ref467378404"/>
      <w:bookmarkStart w:id="80" w:name="_Ref467379225"/>
      <w:bookmarkStart w:id="81" w:name="_Toc279701240"/>
      <w:bookmarkStart w:id="82" w:name="_Ref467379101"/>
      <w:r>
        <w:rPr>
          <w:rFonts w:hint="eastAsia" w:ascii="宋体" w:hAnsi="宋体" w:eastAsia="宋体" w:cs="宋体"/>
          <w:b/>
          <w:bCs/>
          <w:color w:val="auto"/>
          <w:sz w:val="24"/>
          <w:highlight w:val="none"/>
          <w:lang w:val="zh-CN"/>
        </w:rPr>
        <w:t>2.1 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D3559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bookmarkStart w:id="83" w:name="_Ref467379436"/>
      <w:r>
        <w:rPr>
          <w:rFonts w:hint="eastAsia" w:ascii="宋体" w:hAnsi="宋体" w:eastAsia="宋体" w:cs="宋体"/>
          <w:color w:val="auto"/>
          <w:sz w:val="24"/>
          <w:highlight w:val="none"/>
        </w:rPr>
        <w:t>合同中的下列词语应按以下内容进行解释：</w:t>
      </w:r>
    </w:p>
    <w:p w14:paraId="0661D64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2.1.1“合同”系指采购人和中标人签订的载明双方当事人所达成的协议，并包括所有的附件、附录和构成合同的其他文件。</w:t>
      </w:r>
    </w:p>
    <w:p w14:paraId="62940A4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2.1.2“合同价”系指根据合同约定，中标人在完全履行合同义务后，采购人应支付给中标人的价格。</w:t>
      </w:r>
    </w:p>
    <w:p w14:paraId="3A8502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2.1.3“服务”系指中标人根据合同约定应向采购人履行的除货物和工程以外的其他政府采购对象，包括采购人自身需要的服务和向社会公众提供的公共服务。</w:t>
      </w:r>
    </w:p>
    <w:p w14:paraId="276749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2.1.4“甲方”系指与中标人签署合同的采购人；采购人委托采购代理机构代表其与乙方签订合同的，采购人的授权委托书作为合同附件。</w:t>
      </w:r>
    </w:p>
    <w:p w14:paraId="371AD1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4710B4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2.1.6“现场”系指合同约定提供服务的地点。</w:t>
      </w:r>
      <w:bookmarkEnd w:id="83"/>
    </w:p>
    <w:p w14:paraId="029F6A19">
      <w:pPr>
        <w:spacing w:line="360" w:lineRule="auto"/>
        <w:ind w:firstLine="437"/>
        <w:outlineLvl w:val="2"/>
        <w:rPr>
          <w:rFonts w:hint="eastAsia" w:ascii="宋体" w:hAnsi="宋体" w:eastAsia="宋体" w:cs="宋体"/>
          <w:b/>
          <w:bCs/>
          <w:color w:val="auto"/>
          <w:sz w:val="24"/>
          <w:highlight w:val="none"/>
          <w:lang w:val="zh-CN"/>
        </w:rPr>
      </w:pPr>
      <w:bookmarkStart w:id="84" w:name="_Toc27635"/>
      <w:bookmarkStart w:id="85" w:name="_Toc259093670"/>
      <w:bookmarkStart w:id="86" w:name="_Toc13336"/>
      <w:bookmarkStart w:id="87" w:name="_Toc279701241"/>
      <w:bookmarkStart w:id="88" w:name="_Toc487900350"/>
      <w:bookmarkStart w:id="89" w:name="_Toc32504"/>
      <w:r>
        <w:rPr>
          <w:rFonts w:hint="eastAsia" w:ascii="宋体" w:hAnsi="宋体" w:eastAsia="宋体" w:cs="宋体"/>
          <w:b/>
          <w:bCs/>
          <w:color w:val="auto"/>
          <w:sz w:val="24"/>
          <w:highlight w:val="none"/>
          <w:lang w:val="zh-CN"/>
        </w:rPr>
        <w:t>2.2 技术规范</w:t>
      </w:r>
      <w:bookmarkEnd w:id="84"/>
      <w:bookmarkEnd w:id="85"/>
      <w:bookmarkEnd w:id="86"/>
      <w:bookmarkEnd w:id="87"/>
      <w:bookmarkEnd w:id="88"/>
      <w:bookmarkEnd w:id="89"/>
    </w:p>
    <w:p w14:paraId="37EEF5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3125E8">
      <w:pPr>
        <w:spacing w:line="360" w:lineRule="auto"/>
        <w:ind w:firstLine="437"/>
        <w:outlineLvl w:val="2"/>
        <w:rPr>
          <w:rFonts w:hint="eastAsia" w:ascii="宋体" w:hAnsi="宋体" w:eastAsia="宋体" w:cs="宋体"/>
          <w:b/>
          <w:bCs/>
          <w:color w:val="auto"/>
          <w:sz w:val="24"/>
          <w:highlight w:val="none"/>
          <w:lang w:val="zh-CN"/>
        </w:rPr>
      </w:pPr>
      <w:bookmarkStart w:id="90" w:name="_Toc487900351"/>
      <w:bookmarkStart w:id="91" w:name="_Toc259093671"/>
      <w:bookmarkStart w:id="92" w:name="_Toc27853"/>
      <w:bookmarkStart w:id="93" w:name="_Toc9829"/>
      <w:bookmarkStart w:id="94" w:name="_Toc31634"/>
      <w:bookmarkStart w:id="95" w:name="_Toc279701242"/>
      <w:r>
        <w:rPr>
          <w:rFonts w:hint="eastAsia" w:ascii="宋体" w:hAnsi="宋体" w:eastAsia="宋体" w:cs="宋体"/>
          <w:b/>
          <w:bCs/>
          <w:color w:val="auto"/>
          <w:sz w:val="24"/>
          <w:highlight w:val="none"/>
          <w:lang w:val="zh-CN"/>
        </w:rPr>
        <w:t>2.3 知识产权</w:t>
      </w:r>
      <w:bookmarkEnd w:id="90"/>
      <w:bookmarkEnd w:id="91"/>
      <w:bookmarkEnd w:id="92"/>
      <w:bookmarkEnd w:id="93"/>
      <w:bookmarkEnd w:id="94"/>
      <w:bookmarkEnd w:id="95"/>
    </w:p>
    <w:p w14:paraId="55AC20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CBC86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C44EBC">
      <w:pPr>
        <w:spacing w:line="360" w:lineRule="auto"/>
        <w:ind w:firstLine="437"/>
        <w:outlineLvl w:val="2"/>
        <w:rPr>
          <w:rFonts w:hint="eastAsia" w:ascii="宋体" w:hAnsi="宋体" w:eastAsia="宋体" w:cs="宋体"/>
          <w:b/>
          <w:color w:val="auto"/>
          <w:sz w:val="24"/>
          <w:highlight w:val="none"/>
        </w:rPr>
      </w:pPr>
      <w:bookmarkStart w:id="96" w:name="_Toc29149"/>
      <w:bookmarkStart w:id="97" w:name="_Toc4194"/>
      <w:bookmarkStart w:id="98" w:name="_Toc11932"/>
      <w:r>
        <w:rPr>
          <w:rFonts w:hint="eastAsia" w:ascii="宋体" w:hAnsi="宋体" w:eastAsia="宋体" w:cs="宋体"/>
          <w:b/>
          <w:bCs/>
          <w:color w:val="auto"/>
          <w:sz w:val="24"/>
          <w:highlight w:val="none"/>
          <w:lang w:val="zh-CN"/>
        </w:rPr>
        <w:t xml:space="preserve">2.4 </w:t>
      </w:r>
      <w:bookmarkEnd w:id="96"/>
      <w:bookmarkEnd w:id="97"/>
      <w:bookmarkEnd w:id="98"/>
      <w:r>
        <w:rPr>
          <w:rFonts w:hint="eastAsia" w:ascii="宋体" w:hAnsi="宋体" w:eastAsia="宋体" w:cs="宋体"/>
          <w:b/>
          <w:bCs/>
          <w:color w:val="auto"/>
          <w:sz w:val="24"/>
          <w:highlight w:val="none"/>
          <w:lang w:val="zh-CN"/>
        </w:rPr>
        <w:t>履约检查和问题反馈</w:t>
      </w:r>
    </w:p>
    <w:p w14:paraId="2A51FB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22C39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p>
    <w:p w14:paraId="7A1562C6">
      <w:pPr>
        <w:spacing w:line="360" w:lineRule="auto"/>
        <w:ind w:firstLine="437"/>
        <w:outlineLvl w:val="2"/>
        <w:rPr>
          <w:rFonts w:hint="eastAsia" w:ascii="宋体" w:hAnsi="宋体" w:eastAsia="宋体" w:cs="宋体"/>
          <w:b/>
          <w:bCs/>
          <w:color w:val="auto"/>
          <w:sz w:val="24"/>
          <w:highlight w:val="none"/>
          <w:lang w:val="zh-CN"/>
        </w:rPr>
      </w:pPr>
      <w:bookmarkStart w:id="99" w:name="_Ref467379527"/>
      <w:bookmarkStart w:id="100" w:name="_Toc487900354"/>
      <w:bookmarkStart w:id="101" w:name="_Ref467379536"/>
      <w:bookmarkStart w:id="102" w:name="_Ref467379542"/>
      <w:bookmarkStart w:id="103" w:name="_Ref467378541"/>
      <w:bookmarkStart w:id="104" w:name="_Toc259093674"/>
      <w:bookmarkStart w:id="105" w:name="_Toc279701245"/>
      <w:bookmarkStart w:id="106" w:name="_Ref467378591"/>
      <w:bookmarkStart w:id="107" w:name="_Toc30272"/>
      <w:bookmarkStart w:id="108" w:name="_Toc19074"/>
      <w:bookmarkStart w:id="109" w:name="_Toc26182"/>
      <w:r>
        <w:rPr>
          <w:rFonts w:hint="eastAsia" w:ascii="宋体" w:hAnsi="宋体" w:eastAsia="宋体" w:cs="宋体"/>
          <w:b/>
          <w:bCs/>
          <w:color w:val="auto"/>
          <w:sz w:val="24"/>
          <w:highlight w:val="none"/>
          <w:lang w:val="zh-CN"/>
        </w:rPr>
        <w:t>2.</w:t>
      </w:r>
      <w:bookmarkEnd w:id="99"/>
      <w:bookmarkEnd w:id="100"/>
      <w:bookmarkEnd w:id="101"/>
      <w:bookmarkEnd w:id="102"/>
      <w:bookmarkEnd w:id="103"/>
      <w:bookmarkEnd w:id="104"/>
      <w:bookmarkEnd w:id="105"/>
      <w:bookmarkEnd w:id="106"/>
      <w:r>
        <w:rPr>
          <w:rFonts w:hint="eastAsia" w:ascii="宋体" w:hAnsi="宋体" w:eastAsia="宋体" w:cs="宋体"/>
          <w:b/>
          <w:bCs/>
          <w:color w:val="auto"/>
          <w:sz w:val="24"/>
          <w:highlight w:val="none"/>
          <w:lang w:val="zh-CN"/>
        </w:rPr>
        <w:t xml:space="preserve">5 </w:t>
      </w:r>
      <w:bookmarkEnd w:id="107"/>
      <w:bookmarkEnd w:id="108"/>
      <w:bookmarkEnd w:id="109"/>
      <w:bookmarkStart w:id="110" w:name="_Ref467379807"/>
      <w:bookmarkStart w:id="111" w:name="_Toc487900357"/>
      <w:bookmarkStart w:id="112" w:name="_Toc279701247"/>
      <w:bookmarkStart w:id="113" w:name="_Toc28451"/>
      <w:bookmarkStart w:id="114" w:name="_Ref467379793"/>
      <w:bookmarkStart w:id="115" w:name="_Toc7836"/>
      <w:bookmarkStart w:id="116" w:name="_Toc259093676"/>
      <w:bookmarkStart w:id="117" w:name="_Toc19219"/>
      <w:r>
        <w:rPr>
          <w:rFonts w:hint="eastAsia" w:ascii="宋体" w:hAnsi="宋体" w:eastAsia="宋体" w:cs="宋体"/>
          <w:b/>
          <w:bCs/>
          <w:color w:val="auto"/>
          <w:sz w:val="24"/>
          <w:highlight w:val="none"/>
          <w:lang w:val="zh-CN"/>
        </w:rPr>
        <w:t>结算方式和付款条件</w:t>
      </w:r>
      <w:bookmarkEnd w:id="110"/>
      <w:bookmarkEnd w:id="111"/>
      <w:bookmarkEnd w:id="112"/>
      <w:bookmarkEnd w:id="113"/>
      <w:bookmarkEnd w:id="114"/>
      <w:bookmarkEnd w:id="115"/>
      <w:bookmarkEnd w:id="116"/>
      <w:bookmarkEnd w:id="117"/>
    </w:p>
    <w:p w14:paraId="5FD004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8E2210">
      <w:pPr>
        <w:spacing w:line="360" w:lineRule="auto"/>
        <w:ind w:firstLine="437"/>
        <w:outlineLvl w:val="2"/>
        <w:rPr>
          <w:rFonts w:hint="eastAsia" w:ascii="宋体" w:hAnsi="宋体" w:eastAsia="宋体" w:cs="宋体"/>
          <w:b/>
          <w:bCs/>
          <w:color w:val="auto"/>
          <w:sz w:val="24"/>
          <w:highlight w:val="none"/>
          <w:lang w:val="zh-CN"/>
        </w:rPr>
      </w:pPr>
      <w:bookmarkStart w:id="118" w:name="_Toc487900358"/>
      <w:bookmarkStart w:id="119" w:name="_Toc259093677"/>
      <w:bookmarkStart w:id="120" w:name="_Ref467379923"/>
      <w:bookmarkStart w:id="121" w:name="_Toc279701248"/>
      <w:bookmarkStart w:id="122" w:name="_Ref467379863"/>
      <w:bookmarkStart w:id="123" w:name="_Ref467379852"/>
      <w:bookmarkStart w:id="124" w:name="_Toc774"/>
      <w:bookmarkStart w:id="125" w:name="_Toc16110"/>
      <w:bookmarkStart w:id="126" w:name="_Toc3225"/>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zh-CN"/>
        </w:rPr>
        <w:t xml:space="preserve"> 技术资料</w:t>
      </w:r>
      <w:bookmarkEnd w:id="118"/>
      <w:bookmarkEnd w:id="119"/>
      <w:bookmarkEnd w:id="120"/>
      <w:bookmarkEnd w:id="121"/>
      <w:bookmarkEnd w:id="122"/>
      <w:bookmarkEnd w:id="123"/>
      <w:r>
        <w:rPr>
          <w:rFonts w:hint="eastAsia" w:ascii="宋体" w:hAnsi="宋体" w:eastAsia="宋体" w:cs="宋体"/>
          <w:b/>
          <w:bCs/>
          <w:color w:val="auto"/>
          <w:sz w:val="24"/>
          <w:highlight w:val="none"/>
          <w:lang w:val="zh-CN"/>
        </w:rPr>
        <w:t>和保密义务</w:t>
      </w:r>
      <w:bookmarkEnd w:id="124"/>
      <w:bookmarkEnd w:id="125"/>
      <w:bookmarkEnd w:id="126"/>
    </w:p>
    <w:p w14:paraId="24701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10AC67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53FBA6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C36DC8">
      <w:pPr>
        <w:spacing w:line="360" w:lineRule="auto"/>
        <w:ind w:firstLine="437"/>
        <w:outlineLvl w:val="2"/>
        <w:rPr>
          <w:rFonts w:hint="eastAsia" w:ascii="宋体" w:hAnsi="宋体" w:eastAsia="宋体" w:cs="宋体"/>
          <w:b/>
          <w:bCs/>
          <w:color w:val="auto"/>
          <w:sz w:val="24"/>
          <w:highlight w:val="none"/>
          <w:lang w:val="zh-CN"/>
        </w:rPr>
      </w:pPr>
      <w:bookmarkStart w:id="127" w:name="_Toc7860"/>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zh-CN"/>
        </w:rPr>
        <w:t xml:space="preserve"> 质量保证</w:t>
      </w:r>
      <w:bookmarkEnd w:id="127"/>
    </w:p>
    <w:p w14:paraId="50FD708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0DFD78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5B26044A">
      <w:pPr>
        <w:spacing w:line="360" w:lineRule="auto"/>
        <w:ind w:firstLine="437"/>
        <w:outlineLvl w:val="2"/>
        <w:rPr>
          <w:rFonts w:hint="eastAsia" w:ascii="宋体" w:hAnsi="宋体" w:eastAsia="宋体" w:cs="宋体"/>
          <w:b/>
          <w:bCs/>
          <w:color w:val="auto"/>
          <w:sz w:val="24"/>
          <w:highlight w:val="none"/>
          <w:lang w:val="zh-CN"/>
        </w:rPr>
      </w:pPr>
      <w:bookmarkStart w:id="128" w:name="_Toc17244"/>
      <w:bookmarkStart w:id="129" w:name="_Toc259093681"/>
      <w:bookmarkStart w:id="130" w:name="_Toc487900362"/>
      <w:bookmarkStart w:id="131" w:name="_Toc279701252"/>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 xml:space="preserve"> </w:t>
      </w:r>
      <w:bookmarkEnd w:id="128"/>
      <w:bookmarkEnd w:id="129"/>
      <w:bookmarkEnd w:id="130"/>
      <w:bookmarkEnd w:id="131"/>
      <w:r>
        <w:rPr>
          <w:rFonts w:hint="eastAsia" w:ascii="宋体" w:hAnsi="宋体" w:eastAsia="宋体" w:cs="宋体"/>
          <w:b/>
          <w:bCs/>
          <w:color w:val="auto"/>
          <w:sz w:val="24"/>
          <w:highlight w:val="none"/>
          <w:lang w:val="zh-CN"/>
        </w:rPr>
        <w:t>延迟履行</w:t>
      </w:r>
    </w:p>
    <w:p w14:paraId="451AB8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5776E0A">
      <w:pPr>
        <w:spacing w:line="360" w:lineRule="auto"/>
        <w:ind w:firstLine="437"/>
        <w:outlineLvl w:val="2"/>
        <w:rPr>
          <w:rFonts w:hint="eastAsia" w:ascii="宋体" w:hAnsi="宋体" w:eastAsia="宋体" w:cs="宋体"/>
          <w:b/>
          <w:bCs/>
          <w:color w:val="auto"/>
          <w:sz w:val="24"/>
          <w:highlight w:val="none"/>
          <w:lang w:val="zh-CN"/>
        </w:rPr>
      </w:pPr>
      <w:bookmarkStart w:id="132" w:name="_Toc7502"/>
      <w:bookmarkStart w:id="133" w:name="_Toc259093683"/>
      <w:bookmarkStart w:id="134" w:name="_Ref467378121"/>
      <w:bookmarkStart w:id="135" w:name="_Toc487900364"/>
      <w:bookmarkStart w:id="136" w:name="_Toc27970125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9</w:t>
      </w:r>
      <w:r>
        <w:rPr>
          <w:rFonts w:hint="eastAsia" w:ascii="宋体" w:hAnsi="宋体" w:eastAsia="宋体" w:cs="宋体"/>
          <w:b/>
          <w:bCs/>
          <w:color w:val="auto"/>
          <w:sz w:val="24"/>
          <w:highlight w:val="none"/>
          <w:lang w:val="zh-CN"/>
        </w:rPr>
        <w:t xml:space="preserve"> 合同变更</w:t>
      </w:r>
      <w:bookmarkEnd w:id="132"/>
    </w:p>
    <w:p w14:paraId="5B655C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2.9.1双方当事人协商一致，可以签订书面补充合同的形式变更合同，但不得违背采购文件确定的事项；</w:t>
      </w:r>
    </w:p>
    <w:p w14:paraId="1C1FF4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37" w:name="_Toc259093688"/>
      <w:bookmarkStart w:id="138" w:name="_Toc487900369"/>
      <w:bookmarkStart w:id="139" w:name="_Toc279701259"/>
    </w:p>
    <w:p w14:paraId="47950258">
      <w:pPr>
        <w:spacing w:line="360" w:lineRule="auto"/>
        <w:ind w:firstLine="437"/>
        <w:outlineLvl w:val="2"/>
        <w:rPr>
          <w:rFonts w:hint="eastAsia" w:ascii="宋体" w:hAnsi="宋体" w:eastAsia="宋体" w:cs="宋体"/>
          <w:b/>
          <w:bCs/>
          <w:color w:val="auto"/>
          <w:sz w:val="24"/>
          <w:highlight w:val="none"/>
          <w:lang w:val="zh-CN"/>
        </w:rPr>
      </w:pPr>
      <w:bookmarkStart w:id="140" w:name="_Toc15237"/>
      <w:bookmarkStart w:id="141" w:name="_Toc10366"/>
      <w:bookmarkStart w:id="142" w:name="_Toc22955"/>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 xml:space="preserve"> 合同转让</w:t>
      </w:r>
      <w:bookmarkEnd w:id="137"/>
      <w:bookmarkEnd w:id="138"/>
      <w:bookmarkEnd w:id="139"/>
      <w:r>
        <w:rPr>
          <w:rFonts w:hint="eastAsia" w:ascii="宋体" w:hAnsi="宋体" w:eastAsia="宋体" w:cs="宋体"/>
          <w:b/>
          <w:bCs/>
          <w:color w:val="auto"/>
          <w:sz w:val="24"/>
          <w:highlight w:val="none"/>
          <w:lang w:val="zh-CN"/>
        </w:rPr>
        <w:t>和分包</w:t>
      </w:r>
      <w:bookmarkEnd w:id="140"/>
      <w:bookmarkEnd w:id="141"/>
      <w:bookmarkEnd w:id="142"/>
    </w:p>
    <w:p w14:paraId="09EAE9F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12298D">
      <w:pPr>
        <w:spacing w:line="360" w:lineRule="auto"/>
        <w:ind w:firstLine="437"/>
        <w:outlineLvl w:val="2"/>
        <w:rPr>
          <w:rFonts w:hint="eastAsia" w:ascii="宋体" w:hAnsi="宋体" w:eastAsia="宋体" w:cs="宋体"/>
          <w:b/>
          <w:bCs/>
          <w:color w:val="auto"/>
          <w:sz w:val="24"/>
          <w:highlight w:val="none"/>
          <w:lang w:val="zh-CN"/>
        </w:rPr>
      </w:pPr>
      <w:bookmarkStart w:id="143" w:name="_Toc13566"/>
      <w:bookmarkStart w:id="144" w:name="_Toc16508"/>
      <w:bookmarkStart w:id="145" w:name="_Toc1406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 xml:space="preserve"> 不可抗力</w:t>
      </w:r>
      <w:bookmarkEnd w:id="143"/>
      <w:bookmarkEnd w:id="144"/>
      <w:bookmarkEnd w:id="145"/>
    </w:p>
    <w:p w14:paraId="1CC8D3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0A04C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767C09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035A5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ACF203A">
      <w:pPr>
        <w:spacing w:line="360" w:lineRule="auto"/>
        <w:ind w:firstLine="437"/>
        <w:outlineLvl w:val="2"/>
        <w:rPr>
          <w:rFonts w:hint="eastAsia" w:ascii="宋体" w:hAnsi="宋体" w:eastAsia="宋体" w:cs="宋体"/>
          <w:b/>
          <w:bCs/>
          <w:color w:val="auto"/>
          <w:sz w:val="24"/>
          <w:highlight w:val="none"/>
          <w:lang w:val="zh-CN"/>
        </w:rPr>
      </w:pPr>
      <w:bookmarkStart w:id="146" w:name="_Toc259093684"/>
      <w:bookmarkStart w:id="147" w:name="_Toc689"/>
      <w:bookmarkStart w:id="148" w:name="_Toc279701255"/>
      <w:bookmarkStart w:id="149" w:name="_Toc487900365"/>
      <w:bookmarkStart w:id="150" w:name="_Toc6969"/>
      <w:bookmarkStart w:id="151" w:name="_Toc3067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税费</w:t>
      </w:r>
      <w:bookmarkEnd w:id="146"/>
      <w:bookmarkEnd w:id="147"/>
      <w:bookmarkEnd w:id="148"/>
      <w:bookmarkEnd w:id="149"/>
      <w:bookmarkEnd w:id="150"/>
      <w:bookmarkEnd w:id="151"/>
    </w:p>
    <w:p w14:paraId="300ABA4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7A277DB">
      <w:pPr>
        <w:spacing w:line="360" w:lineRule="auto"/>
        <w:ind w:firstLine="437"/>
        <w:outlineLvl w:val="2"/>
        <w:rPr>
          <w:rFonts w:hint="eastAsia" w:ascii="宋体" w:hAnsi="宋体" w:eastAsia="宋体" w:cs="宋体"/>
          <w:b/>
          <w:bCs/>
          <w:color w:val="auto"/>
          <w:sz w:val="24"/>
          <w:highlight w:val="none"/>
          <w:lang w:val="zh-CN"/>
        </w:rPr>
      </w:pPr>
      <w:bookmarkStart w:id="152" w:name="_Toc259093687"/>
      <w:bookmarkStart w:id="153" w:name="_Toc7102"/>
      <w:bookmarkStart w:id="154" w:name="_Toc487900368"/>
      <w:bookmarkStart w:id="155" w:name="_Toc16959"/>
      <w:bookmarkStart w:id="156" w:name="_Toc279701258"/>
      <w:bookmarkStart w:id="157" w:name="_Toc8298"/>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zh-CN"/>
        </w:rPr>
        <w:t xml:space="preserve"> 乙方破产</w:t>
      </w:r>
      <w:bookmarkEnd w:id="152"/>
      <w:bookmarkEnd w:id="153"/>
      <w:bookmarkEnd w:id="154"/>
      <w:bookmarkEnd w:id="155"/>
      <w:bookmarkEnd w:id="156"/>
      <w:bookmarkEnd w:id="157"/>
    </w:p>
    <w:p w14:paraId="22998B4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5F949D">
      <w:pPr>
        <w:spacing w:line="360" w:lineRule="auto"/>
        <w:ind w:firstLine="437"/>
        <w:outlineLvl w:val="2"/>
        <w:rPr>
          <w:rFonts w:hint="eastAsia" w:ascii="宋体" w:hAnsi="宋体" w:eastAsia="宋体" w:cs="宋体"/>
          <w:b/>
          <w:color w:val="auto"/>
          <w:sz w:val="24"/>
          <w:highlight w:val="none"/>
        </w:rPr>
      </w:pPr>
      <w:bookmarkStart w:id="158" w:name="_Toc15387"/>
      <w:bookmarkStart w:id="159" w:name="_Toc29333"/>
      <w:bookmarkStart w:id="160" w:name="_Toc6134"/>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val="zh-CN"/>
        </w:rPr>
        <w:t xml:space="preserve"> 合同中止、终止</w:t>
      </w:r>
      <w:bookmarkEnd w:id="158"/>
      <w:bookmarkEnd w:id="159"/>
      <w:bookmarkEnd w:id="160"/>
    </w:p>
    <w:p w14:paraId="782BDF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405825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E17C82">
      <w:pPr>
        <w:spacing w:line="360" w:lineRule="auto"/>
        <w:ind w:firstLine="437"/>
        <w:outlineLvl w:val="2"/>
        <w:rPr>
          <w:rFonts w:hint="eastAsia" w:ascii="宋体" w:hAnsi="宋体" w:eastAsia="宋体" w:cs="宋体"/>
          <w:b/>
          <w:bCs/>
          <w:color w:val="auto"/>
          <w:sz w:val="24"/>
          <w:highlight w:val="none"/>
          <w:lang w:val="zh-CN"/>
        </w:rPr>
      </w:pPr>
      <w:bookmarkStart w:id="161" w:name="_Toc1125"/>
      <w:bookmarkStart w:id="162" w:name="_Toc6596"/>
      <w:bookmarkStart w:id="163" w:name="_Toc14563"/>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zh-CN"/>
        </w:rPr>
        <w:t xml:space="preserve"> 检验和验收</w:t>
      </w:r>
      <w:bookmarkEnd w:id="161"/>
      <w:bookmarkEnd w:id="162"/>
      <w:bookmarkEnd w:id="163"/>
    </w:p>
    <w:p w14:paraId="39CEFC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1626D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69C3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2.15.3检验和验收标准、程序等具体内容以及前述验收书的效力详见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33"/>
    <w:bookmarkEnd w:id="134"/>
    <w:bookmarkEnd w:id="135"/>
    <w:bookmarkEnd w:id="136"/>
    <w:p w14:paraId="0C66C9D8">
      <w:pPr>
        <w:spacing w:line="360" w:lineRule="auto"/>
        <w:ind w:firstLine="437"/>
        <w:outlineLvl w:val="2"/>
        <w:rPr>
          <w:rFonts w:hint="eastAsia" w:ascii="宋体" w:hAnsi="宋体" w:eastAsia="宋体" w:cs="宋体"/>
          <w:b/>
          <w:bCs/>
          <w:color w:val="auto"/>
          <w:sz w:val="24"/>
          <w:highlight w:val="none"/>
        </w:rPr>
      </w:pPr>
      <w:bookmarkStart w:id="164" w:name="_Toc4355"/>
      <w:bookmarkStart w:id="165" w:name="_Toc279701262"/>
      <w:bookmarkStart w:id="166" w:name="_Toc259093691"/>
      <w:bookmarkStart w:id="167" w:name="_Toc487900372"/>
      <w:bookmarkStart w:id="168" w:name="_Toc30599"/>
      <w:bookmarkStart w:id="169" w:name="_Toc18540"/>
      <w:r>
        <w:rPr>
          <w:rFonts w:hint="eastAsia" w:ascii="宋体" w:hAnsi="宋体" w:eastAsia="宋体" w:cs="宋体"/>
          <w:b/>
          <w:bCs/>
          <w:color w:val="auto"/>
          <w:sz w:val="24"/>
          <w:highlight w:val="none"/>
        </w:rPr>
        <w:t>2.1</w:t>
      </w:r>
      <w:bookmarkEnd w:id="164"/>
      <w:bookmarkEnd w:id="165"/>
      <w:bookmarkEnd w:id="166"/>
      <w:bookmarkEnd w:id="167"/>
      <w:bookmarkEnd w:id="168"/>
      <w:bookmarkEnd w:id="169"/>
      <w:bookmarkStart w:id="170" w:name="_Toc279701263"/>
      <w:bookmarkStart w:id="171" w:name="_Toc18567"/>
      <w:bookmarkStart w:id="172" w:name="_Toc487900373"/>
      <w:bookmarkStart w:id="173" w:name="_Toc259093692"/>
      <w:bookmarkStart w:id="174" w:name="_Toc10330"/>
      <w:bookmarkStart w:id="175" w:name="_Toc12773"/>
      <w:r>
        <w:rPr>
          <w:rFonts w:hint="eastAsia" w:ascii="宋体" w:hAnsi="宋体" w:eastAsia="宋体" w:cs="宋体"/>
          <w:b/>
          <w:bCs/>
          <w:color w:val="auto"/>
          <w:sz w:val="24"/>
          <w:highlight w:val="none"/>
        </w:rPr>
        <w:t xml:space="preserve">6 </w:t>
      </w:r>
      <w:r>
        <w:rPr>
          <w:rFonts w:hint="eastAsia" w:ascii="宋体" w:hAnsi="宋体" w:eastAsia="宋体" w:cs="宋体"/>
          <w:b/>
          <w:bCs/>
          <w:color w:val="auto"/>
          <w:sz w:val="24"/>
          <w:highlight w:val="none"/>
          <w:lang w:val="zh-CN"/>
        </w:rPr>
        <w:t>合同使用的文字和适用的法律</w:t>
      </w:r>
      <w:bookmarkEnd w:id="170"/>
      <w:bookmarkEnd w:id="171"/>
      <w:bookmarkEnd w:id="172"/>
      <w:bookmarkEnd w:id="173"/>
      <w:bookmarkEnd w:id="174"/>
      <w:bookmarkEnd w:id="175"/>
    </w:p>
    <w:p w14:paraId="371503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2.16.1合同使用汉语书就、变更和解释；</w:t>
      </w:r>
    </w:p>
    <w:p w14:paraId="4156C76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2.16.2合同适用中华人民共和国法律。</w:t>
      </w:r>
    </w:p>
    <w:p w14:paraId="4269ACB4">
      <w:pPr>
        <w:spacing w:line="360" w:lineRule="auto"/>
        <w:ind w:firstLine="437"/>
        <w:outlineLvl w:val="2"/>
        <w:rPr>
          <w:rFonts w:hint="eastAsia" w:ascii="宋体" w:hAnsi="宋体" w:eastAsia="宋体" w:cs="宋体"/>
          <w:b/>
          <w:color w:val="auto"/>
          <w:sz w:val="24"/>
          <w:highlight w:val="none"/>
        </w:rPr>
      </w:pPr>
      <w:bookmarkStart w:id="176" w:name="_Toc279701264"/>
      <w:bookmarkStart w:id="177" w:name="_Toc12004"/>
      <w:bookmarkStart w:id="178" w:name="_Toc16673"/>
      <w:bookmarkStart w:id="179" w:name="_Toc3148"/>
      <w:bookmarkStart w:id="180" w:name="_Toc259093693"/>
      <w:bookmarkStart w:id="181" w:name="_Toc48790037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17</w:t>
      </w:r>
      <w:r>
        <w:rPr>
          <w:rFonts w:hint="eastAsia" w:ascii="宋体" w:hAnsi="宋体" w:eastAsia="宋体" w:cs="宋体"/>
          <w:b/>
          <w:bCs/>
          <w:color w:val="auto"/>
          <w:sz w:val="24"/>
          <w:highlight w:val="none"/>
          <w:lang w:val="zh-CN"/>
        </w:rPr>
        <w:t xml:space="preserve"> 履约保证金</w:t>
      </w:r>
      <w:bookmarkEnd w:id="176"/>
      <w:bookmarkEnd w:id="177"/>
      <w:bookmarkEnd w:id="178"/>
      <w:bookmarkEnd w:id="179"/>
      <w:bookmarkEnd w:id="180"/>
    </w:p>
    <w:p w14:paraId="670FA18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2.17.1采购文件要求乙方提交履约保证金的，乙方应按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w:t>
      </w:r>
    </w:p>
    <w:p w14:paraId="0F635D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2.17.2</w:t>
      </w:r>
      <w:r>
        <w:rPr>
          <w:rFonts w:hint="eastAsia" w:ascii="宋体" w:hAnsi="宋体" w:eastAsia="宋体" w:cs="宋体"/>
          <w:color w:val="auto"/>
          <w:sz w:val="24"/>
          <w:szCs w:val="24"/>
          <w:highlight w:val="none"/>
        </w:rPr>
        <w:t>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个工作日内，甲方应将履约保证金退还乙方，甲方逾期退还履约保证金应承担违约责任。</w:t>
      </w:r>
    </w:p>
    <w:p w14:paraId="01131DF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1"/>
    <w:p w14:paraId="4403CA9E">
      <w:pPr>
        <w:spacing w:line="360" w:lineRule="auto"/>
        <w:ind w:firstLine="437"/>
        <w:outlineLvl w:val="2"/>
        <w:rPr>
          <w:rFonts w:hint="eastAsia" w:ascii="宋体" w:hAnsi="宋体" w:eastAsia="宋体" w:cs="宋体"/>
          <w:b/>
          <w:color w:val="auto"/>
          <w:sz w:val="24"/>
          <w:highlight w:val="none"/>
        </w:rPr>
      </w:pPr>
      <w:bookmarkStart w:id="182" w:name="_Toc19890"/>
      <w:bookmarkStart w:id="183" w:name="_Toc6885"/>
      <w:bookmarkStart w:id="184" w:name="_Toc14001"/>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18</w:t>
      </w:r>
      <w:r>
        <w:rPr>
          <w:rFonts w:hint="eastAsia" w:ascii="宋体" w:hAnsi="宋体" w:eastAsia="宋体" w:cs="宋体"/>
          <w:b/>
          <w:bCs/>
          <w:color w:val="auto"/>
          <w:sz w:val="24"/>
          <w:highlight w:val="none"/>
          <w:lang w:val="zh-CN"/>
        </w:rPr>
        <w:t xml:space="preserve"> 合同份数</w:t>
      </w:r>
      <w:bookmarkEnd w:id="182"/>
      <w:bookmarkEnd w:id="183"/>
      <w:bookmarkEnd w:id="184"/>
    </w:p>
    <w:p w14:paraId="18FC77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FFAFF0B">
      <w:pPr>
        <w:spacing w:line="360" w:lineRule="auto"/>
        <w:jc w:val="center"/>
        <w:outlineLvl w:val="1"/>
        <w:rPr>
          <w:rFonts w:hint="eastAsia" w:ascii="宋体" w:hAnsi="宋体" w:eastAsia="宋体" w:cs="宋体"/>
          <w:b/>
          <w:color w:val="auto"/>
          <w:sz w:val="24"/>
          <w:highlight w:val="none"/>
        </w:rPr>
      </w:pPr>
      <w:r>
        <w:rPr>
          <w:rFonts w:ascii="宋体" w:hAnsi="宋体"/>
          <w:color w:val="auto"/>
          <w:sz w:val="24"/>
          <w:highlight w:val="none"/>
        </w:rPr>
        <w:br w:type="page"/>
      </w:r>
      <w:bookmarkStart w:id="185" w:name="_Toc331685784"/>
      <w:bookmarkStart w:id="186" w:name="_Toc14669"/>
      <w:r>
        <w:rPr>
          <w:rFonts w:hint="eastAsia" w:ascii="宋体" w:hAnsi="宋体" w:eastAsia="宋体" w:cs="宋体"/>
          <w:b/>
          <w:color w:val="auto"/>
          <w:sz w:val="24"/>
          <w:highlight w:val="none"/>
        </w:rPr>
        <w:t>第三部分 合同专用条款</w:t>
      </w:r>
      <w:bookmarkEnd w:id="185"/>
      <w:bookmarkEnd w:id="186"/>
    </w:p>
    <w:p w14:paraId="5D16B9C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5"/>
        <w:gridCol w:w="7507"/>
      </w:tblGrid>
      <w:tr w14:paraId="0BAFC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55" w:type="dxa"/>
            <w:tcBorders>
              <w:left w:val="single" w:color="auto" w:sz="4" w:space="0"/>
            </w:tcBorders>
            <w:noWrap w:val="0"/>
            <w:vAlign w:val="center"/>
          </w:tcPr>
          <w:p w14:paraId="63B3FF1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507" w:type="dxa"/>
            <w:noWrap w:val="0"/>
            <w:vAlign w:val="center"/>
          </w:tcPr>
          <w:p w14:paraId="4FECF37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FAB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58AE436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2.11.3</w:t>
            </w:r>
          </w:p>
        </w:tc>
        <w:tc>
          <w:tcPr>
            <w:tcW w:w="7507" w:type="dxa"/>
            <w:noWrap w:val="0"/>
            <w:vAlign w:val="center"/>
          </w:tcPr>
          <w:p w14:paraId="70778C6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120A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3C3DAC5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2.11.4</w:t>
            </w:r>
          </w:p>
        </w:tc>
        <w:tc>
          <w:tcPr>
            <w:tcW w:w="7507" w:type="dxa"/>
            <w:noWrap w:val="0"/>
            <w:vAlign w:val="center"/>
          </w:tcPr>
          <w:p w14:paraId="11B763C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0EF7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115A8A27">
            <w:pPr>
              <w:spacing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2.17</w:t>
            </w:r>
          </w:p>
        </w:tc>
        <w:tc>
          <w:tcPr>
            <w:tcW w:w="7507" w:type="dxa"/>
            <w:noWrap w:val="0"/>
            <w:vAlign w:val="center"/>
          </w:tcPr>
          <w:p w14:paraId="1DA3FEA5">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zh-CN"/>
              </w:rPr>
              <w:t>履约保证金</w:t>
            </w:r>
          </w:p>
        </w:tc>
      </w:tr>
      <w:tr w14:paraId="1D92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59C2CF3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2.18</w:t>
            </w:r>
          </w:p>
        </w:tc>
        <w:tc>
          <w:tcPr>
            <w:tcW w:w="7507" w:type="dxa"/>
            <w:noWrap w:val="0"/>
            <w:vAlign w:val="center"/>
          </w:tcPr>
          <w:p w14:paraId="798E45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合同一式陆份，甲乙双方各执叁份。</w:t>
            </w:r>
          </w:p>
        </w:tc>
      </w:tr>
      <w:tr w14:paraId="60CE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1F46B436">
            <w:pPr>
              <w:spacing w:line="440" w:lineRule="exact"/>
              <w:jc w:val="center"/>
              <w:rPr>
                <w:rFonts w:hint="eastAsia" w:ascii="宋体" w:hAnsi="宋体" w:eastAsia="宋体" w:cs="宋体"/>
                <w:color w:val="auto"/>
                <w:sz w:val="24"/>
                <w:highlight w:val="none"/>
              </w:rPr>
            </w:pPr>
          </w:p>
        </w:tc>
        <w:tc>
          <w:tcPr>
            <w:tcW w:w="7507" w:type="dxa"/>
            <w:noWrap w:val="0"/>
            <w:vAlign w:val="center"/>
          </w:tcPr>
          <w:p w14:paraId="3F693829">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（签订合同时可补充）</w:t>
            </w:r>
          </w:p>
        </w:tc>
      </w:tr>
      <w:tr w14:paraId="1B3E4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696491BC">
            <w:pPr>
              <w:spacing w:line="560" w:lineRule="exact"/>
              <w:jc w:val="center"/>
              <w:rPr>
                <w:rFonts w:hint="eastAsia" w:ascii="宋体" w:hAnsi="宋体" w:eastAsia="宋体" w:cs="宋体"/>
                <w:color w:val="auto"/>
                <w:sz w:val="24"/>
                <w:highlight w:val="none"/>
              </w:rPr>
            </w:pPr>
          </w:p>
        </w:tc>
        <w:tc>
          <w:tcPr>
            <w:tcW w:w="7507" w:type="dxa"/>
            <w:noWrap w:val="0"/>
            <w:vAlign w:val="center"/>
          </w:tcPr>
          <w:p w14:paraId="217C11C0">
            <w:pPr>
              <w:spacing w:line="440" w:lineRule="exact"/>
              <w:rPr>
                <w:rFonts w:hint="eastAsia" w:ascii="宋体" w:hAnsi="宋体" w:eastAsia="宋体" w:cs="宋体"/>
                <w:color w:val="auto"/>
                <w:sz w:val="24"/>
                <w:highlight w:val="none"/>
              </w:rPr>
            </w:pPr>
          </w:p>
        </w:tc>
      </w:tr>
      <w:tr w14:paraId="7C83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58555EA3">
            <w:pPr>
              <w:spacing w:line="560" w:lineRule="exact"/>
              <w:jc w:val="center"/>
              <w:rPr>
                <w:rFonts w:hint="eastAsia" w:ascii="宋体" w:hAnsi="宋体" w:eastAsia="宋体" w:cs="宋体"/>
                <w:color w:val="auto"/>
                <w:sz w:val="24"/>
                <w:highlight w:val="none"/>
              </w:rPr>
            </w:pPr>
          </w:p>
        </w:tc>
        <w:tc>
          <w:tcPr>
            <w:tcW w:w="7507" w:type="dxa"/>
            <w:noWrap w:val="0"/>
            <w:vAlign w:val="center"/>
          </w:tcPr>
          <w:p w14:paraId="6C3BA2C2">
            <w:pPr>
              <w:spacing w:line="440" w:lineRule="exact"/>
              <w:rPr>
                <w:rFonts w:hint="eastAsia" w:ascii="宋体" w:hAnsi="宋体" w:eastAsia="宋体" w:cs="宋体"/>
                <w:color w:val="auto"/>
                <w:sz w:val="24"/>
                <w:highlight w:val="none"/>
              </w:rPr>
            </w:pPr>
          </w:p>
        </w:tc>
      </w:tr>
      <w:tr w14:paraId="5CC9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01943EF3">
            <w:pPr>
              <w:spacing w:line="560" w:lineRule="exact"/>
              <w:rPr>
                <w:rFonts w:hint="eastAsia" w:ascii="宋体" w:hAnsi="宋体" w:eastAsia="宋体" w:cs="宋体"/>
                <w:color w:val="auto"/>
                <w:sz w:val="24"/>
                <w:highlight w:val="none"/>
              </w:rPr>
            </w:pPr>
          </w:p>
        </w:tc>
        <w:tc>
          <w:tcPr>
            <w:tcW w:w="7507" w:type="dxa"/>
            <w:noWrap w:val="0"/>
            <w:vAlign w:val="center"/>
          </w:tcPr>
          <w:p w14:paraId="6391B569">
            <w:pPr>
              <w:spacing w:line="560" w:lineRule="exact"/>
              <w:rPr>
                <w:rFonts w:hint="eastAsia" w:ascii="宋体" w:hAnsi="宋体" w:eastAsia="宋体" w:cs="宋体"/>
                <w:color w:val="auto"/>
                <w:sz w:val="24"/>
                <w:highlight w:val="none"/>
              </w:rPr>
            </w:pPr>
          </w:p>
        </w:tc>
      </w:tr>
      <w:tr w14:paraId="65CD9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top w:val="single" w:color="auto" w:sz="6" w:space="0"/>
              <w:left w:val="single" w:color="auto" w:sz="4" w:space="0"/>
              <w:bottom w:val="single" w:color="auto" w:sz="6" w:space="0"/>
              <w:right w:val="single" w:color="auto" w:sz="6" w:space="0"/>
            </w:tcBorders>
            <w:noWrap w:val="0"/>
            <w:vAlign w:val="center"/>
          </w:tcPr>
          <w:p w14:paraId="000F819B">
            <w:pPr>
              <w:spacing w:line="560" w:lineRule="exact"/>
              <w:rPr>
                <w:rFonts w:hint="eastAsia" w:ascii="宋体" w:hAnsi="宋体" w:eastAsia="宋体" w:cs="宋体"/>
                <w:color w:val="auto"/>
                <w:sz w:val="24"/>
                <w:highlight w:val="none"/>
              </w:rPr>
            </w:pPr>
          </w:p>
        </w:tc>
        <w:tc>
          <w:tcPr>
            <w:tcW w:w="7507" w:type="dxa"/>
            <w:tcBorders>
              <w:top w:val="single" w:color="auto" w:sz="6" w:space="0"/>
              <w:left w:val="single" w:color="auto" w:sz="6" w:space="0"/>
              <w:bottom w:val="single" w:color="auto" w:sz="6" w:space="0"/>
              <w:right w:val="single" w:color="auto" w:sz="6" w:space="0"/>
            </w:tcBorders>
            <w:noWrap w:val="0"/>
            <w:vAlign w:val="center"/>
          </w:tcPr>
          <w:p w14:paraId="548CC30D">
            <w:pPr>
              <w:spacing w:line="560" w:lineRule="exact"/>
              <w:rPr>
                <w:rFonts w:hint="eastAsia" w:ascii="宋体" w:hAnsi="宋体" w:eastAsia="宋体" w:cs="宋体"/>
                <w:color w:val="auto"/>
                <w:sz w:val="24"/>
                <w:highlight w:val="none"/>
              </w:rPr>
            </w:pPr>
          </w:p>
        </w:tc>
      </w:tr>
    </w:tbl>
    <w:p w14:paraId="07AE277C">
      <w:pPr>
        <w:rPr>
          <w:rFonts w:hint="eastAsia" w:ascii="宋体" w:hAnsi="宋体" w:eastAsia="宋体" w:cs="宋体"/>
          <w:color w:val="auto"/>
          <w:highlight w:val="none"/>
        </w:rPr>
      </w:pPr>
    </w:p>
    <w:p w14:paraId="2978D72A">
      <w:pPr>
        <w:spacing w:line="360" w:lineRule="auto"/>
        <w:jc w:val="center"/>
        <w:outlineLvl w:val="0"/>
        <w:rPr>
          <w:rFonts w:hint="eastAsia" w:ascii="宋体" w:hAnsi="宋体" w:eastAsia="宋体" w:cs="宋体"/>
          <w:b/>
          <w:color w:val="auto"/>
          <w:sz w:val="28"/>
          <w:highlight w:val="none"/>
        </w:rPr>
      </w:pPr>
    </w:p>
    <w:p w14:paraId="15C27822">
      <w:pPr>
        <w:pStyle w:val="16"/>
        <w:rPr>
          <w:rFonts w:hint="eastAsia" w:ascii="宋体" w:hAnsi="宋体" w:eastAsia="宋体" w:cs="宋体"/>
          <w:b/>
          <w:color w:val="auto"/>
          <w:sz w:val="28"/>
          <w:highlight w:val="none"/>
        </w:rPr>
      </w:pPr>
    </w:p>
    <w:p w14:paraId="30E7A8F8">
      <w:pPr>
        <w:rPr>
          <w:rFonts w:hint="eastAsia" w:ascii="宋体" w:hAnsi="宋体" w:eastAsia="宋体" w:cs="宋体"/>
          <w:b/>
          <w:color w:val="auto"/>
          <w:sz w:val="28"/>
          <w:highlight w:val="none"/>
        </w:rPr>
      </w:pPr>
    </w:p>
    <w:p w14:paraId="3CE808F3">
      <w:pPr>
        <w:pStyle w:val="16"/>
        <w:rPr>
          <w:rFonts w:hint="eastAsia" w:ascii="宋体" w:hAnsi="宋体" w:eastAsia="宋体" w:cs="宋体"/>
          <w:b/>
          <w:color w:val="auto"/>
          <w:sz w:val="28"/>
          <w:highlight w:val="none"/>
        </w:rPr>
      </w:pPr>
    </w:p>
    <w:p w14:paraId="545B2C9B">
      <w:pPr>
        <w:rPr>
          <w:rFonts w:hint="eastAsia" w:ascii="宋体" w:hAnsi="宋体" w:eastAsia="宋体" w:cs="宋体"/>
          <w:b/>
          <w:color w:val="auto"/>
          <w:sz w:val="28"/>
          <w:highlight w:val="none"/>
        </w:rPr>
      </w:pPr>
    </w:p>
    <w:p w14:paraId="4EBB7ED4">
      <w:pPr>
        <w:pStyle w:val="16"/>
        <w:rPr>
          <w:rFonts w:hint="eastAsia" w:ascii="宋体" w:hAnsi="宋体" w:eastAsia="宋体" w:cs="宋体"/>
          <w:b/>
          <w:color w:val="auto"/>
          <w:sz w:val="28"/>
          <w:highlight w:val="none"/>
        </w:rPr>
      </w:pPr>
    </w:p>
    <w:p w14:paraId="57725F5F">
      <w:pPr>
        <w:rPr>
          <w:rFonts w:hint="eastAsia"/>
          <w:color w:val="auto"/>
          <w:highlight w:val="none"/>
        </w:rPr>
      </w:pPr>
    </w:p>
    <w:p w14:paraId="7D832F05">
      <w:pPr>
        <w:rPr>
          <w:rFonts w:hint="eastAsia" w:ascii="宋体" w:hAnsi="宋体" w:eastAsia="宋体" w:cs="宋体"/>
          <w:b/>
          <w:color w:val="auto"/>
          <w:sz w:val="28"/>
          <w:highlight w:val="none"/>
        </w:rPr>
      </w:pPr>
    </w:p>
    <w:p w14:paraId="5C6F3AF2">
      <w:pPr>
        <w:pStyle w:val="16"/>
        <w:rPr>
          <w:rFonts w:hint="eastAsia" w:ascii="宋体" w:hAnsi="宋体" w:eastAsia="宋体" w:cs="宋体"/>
          <w:b/>
          <w:color w:val="auto"/>
          <w:sz w:val="28"/>
          <w:highlight w:val="none"/>
        </w:rPr>
      </w:pPr>
    </w:p>
    <w:p w14:paraId="700FAF38">
      <w:pPr>
        <w:rPr>
          <w:rFonts w:hint="eastAsia" w:ascii="宋体" w:hAnsi="宋体" w:eastAsia="宋体" w:cs="宋体"/>
          <w:b/>
          <w:color w:val="auto"/>
          <w:sz w:val="28"/>
          <w:highlight w:val="none"/>
        </w:rPr>
      </w:pPr>
    </w:p>
    <w:p w14:paraId="34E08B9A">
      <w:pPr>
        <w:pStyle w:val="16"/>
        <w:rPr>
          <w:rFonts w:hint="eastAsia"/>
          <w:color w:val="auto"/>
          <w:highlight w:val="none"/>
        </w:rPr>
      </w:pPr>
    </w:p>
    <w:p w14:paraId="4F1C669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37"/>
    </w:p>
    <w:p w14:paraId="4DD8492A">
      <w:pPr>
        <w:spacing w:line="500" w:lineRule="exact"/>
        <w:jc w:val="center"/>
        <w:outlineLvl w:val="1"/>
        <w:rPr>
          <w:rFonts w:asciiTheme="minorEastAsia" w:hAnsiTheme="minorEastAsia" w:eastAsiaTheme="minorEastAsia"/>
          <w:b/>
          <w:color w:val="auto"/>
          <w:sz w:val="32"/>
          <w:highlight w:val="none"/>
        </w:rPr>
      </w:pPr>
    </w:p>
    <w:p w14:paraId="15E9FA63">
      <w:pPr>
        <w:spacing w:line="900" w:lineRule="exact"/>
        <w:jc w:val="center"/>
        <w:rPr>
          <w:rFonts w:asciiTheme="minorEastAsia" w:hAnsiTheme="minorEastAsia" w:eastAsiaTheme="minorEastAsia"/>
          <w:b/>
          <w:color w:val="auto"/>
          <w:sz w:val="72"/>
          <w:highlight w:val="none"/>
        </w:rPr>
      </w:pPr>
    </w:p>
    <w:p w14:paraId="7F422F4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D80E148">
      <w:pPr>
        <w:spacing w:line="900" w:lineRule="exact"/>
        <w:jc w:val="center"/>
        <w:rPr>
          <w:rFonts w:asciiTheme="minorEastAsia" w:hAnsiTheme="minorEastAsia" w:eastAsiaTheme="minorEastAsia"/>
          <w:b/>
          <w:color w:val="auto"/>
          <w:sz w:val="72"/>
          <w:highlight w:val="none"/>
        </w:rPr>
      </w:pPr>
    </w:p>
    <w:p w14:paraId="59822D7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4618BE6">
      <w:pPr>
        <w:spacing w:line="900" w:lineRule="exact"/>
        <w:jc w:val="center"/>
        <w:rPr>
          <w:rFonts w:asciiTheme="minorEastAsia" w:hAnsiTheme="minorEastAsia" w:eastAsiaTheme="minorEastAsia"/>
          <w:b/>
          <w:color w:val="auto"/>
          <w:sz w:val="72"/>
          <w:highlight w:val="none"/>
        </w:rPr>
      </w:pPr>
    </w:p>
    <w:p w14:paraId="11CD3D1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DEE44D2">
      <w:pPr>
        <w:spacing w:line="900" w:lineRule="exact"/>
        <w:jc w:val="center"/>
        <w:rPr>
          <w:rFonts w:asciiTheme="minorEastAsia" w:hAnsiTheme="minorEastAsia" w:eastAsiaTheme="minorEastAsia"/>
          <w:b/>
          <w:color w:val="auto"/>
          <w:sz w:val="72"/>
          <w:highlight w:val="none"/>
        </w:rPr>
      </w:pPr>
    </w:p>
    <w:p w14:paraId="386A2716">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52F7FF6">
      <w:pPr>
        <w:spacing w:after="156" w:afterLines="50"/>
        <w:jc w:val="center"/>
        <w:rPr>
          <w:rFonts w:asciiTheme="minorEastAsia" w:hAnsiTheme="minorEastAsia" w:eastAsiaTheme="minorEastAsia"/>
          <w:b/>
          <w:color w:val="auto"/>
          <w:sz w:val="72"/>
          <w:highlight w:val="none"/>
        </w:rPr>
      </w:pPr>
    </w:p>
    <w:p w14:paraId="55AC6C56">
      <w:pPr>
        <w:spacing w:after="156" w:afterLines="50" w:line="500" w:lineRule="exact"/>
        <w:jc w:val="center"/>
        <w:rPr>
          <w:rFonts w:asciiTheme="minorEastAsia" w:hAnsiTheme="minorEastAsia" w:eastAsiaTheme="minorEastAsia"/>
          <w:b/>
          <w:color w:val="auto"/>
          <w:sz w:val="28"/>
          <w:szCs w:val="28"/>
          <w:highlight w:val="none"/>
        </w:rPr>
      </w:pPr>
    </w:p>
    <w:p w14:paraId="7B56F7A8">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9C1B31">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0DBAE3E">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A7600E8">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7" w:name="_Toc3338"/>
      <w:bookmarkStart w:id="188" w:name="_Toc2557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7"/>
      <w:bookmarkEnd w:id="188"/>
    </w:p>
    <w:p w14:paraId="7C01E914">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4E8F10A">
      <w:pPr>
        <w:spacing w:line="360" w:lineRule="auto"/>
        <w:jc w:val="center"/>
        <w:outlineLvl w:val="1"/>
        <w:rPr>
          <w:rFonts w:asciiTheme="minorEastAsia" w:hAnsiTheme="minorEastAsia" w:eastAsiaTheme="minorEastAsia"/>
          <w:b/>
          <w:color w:val="auto"/>
          <w:sz w:val="24"/>
          <w:highlight w:val="none"/>
        </w:rPr>
      </w:pPr>
      <w:bookmarkStart w:id="189" w:name="_Toc6837"/>
      <w:bookmarkStart w:id="190" w:name="_Toc17899"/>
      <w:r>
        <w:rPr>
          <w:rFonts w:hint="eastAsia" w:asciiTheme="minorEastAsia" w:hAnsiTheme="minorEastAsia" w:eastAsiaTheme="minorEastAsia"/>
          <w:b/>
          <w:color w:val="auto"/>
          <w:sz w:val="24"/>
          <w:highlight w:val="none"/>
        </w:rPr>
        <w:t>一、报价表格式</w:t>
      </w:r>
      <w:bookmarkEnd w:id="189"/>
      <w:bookmarkEnd w:id="190"/>
    </w:p>
    <w:p w14:paraId="57F581B1">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4D628D22">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00B1F31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E5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E924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79910C53">
            <w:pPr>
              <w:spacing w:line="360" w:lineRule="auto"/>
              <w:rPr>
                <w:rFonts w:ascii="宋体" w:hAnsi="宋体" w:eastAsia="宋体"/>
                <w:b/>
                <w:color w:val="auto"/>
                <w:sz w:val="24"/>
                <w:highlight w:val="none"/>
              </w:rPr>
            </w:pPr>
          </w:p>
        </w:tc>
      </w:tr>
      <w:tr w14:paraId="424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D031448">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733927A6">
            <w:pPr>
              <w:widowControl/>
              <w:spacing w:line="360" w:lineRule="exact"/>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全部</w:t>
            </w:r>
          </w:p>
        </w:tc>
      </w:tr>
      <w:tr w14:paraId="1F5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ED79AA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50D3E96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0A802BE">
            <w:pPr>
              <w:snapToGrid w:val="0"/>
              <w:spacing w:line="360" w:lineRule="auto"/>
              <w:rPr>
                <w:rFonts w:ascii="宋体" w:hAnsi="宋体" w:eastAsia="宋体"/>
                <w:color w:val="auto"/>
                <w:sz w:val="24"/>
                <w:szCs w:val="28"/>
                <w:highlight w:val="none"/>
              </w:rPr>
            </w:pPr>
          </w:p>
          <w:p w14:paraId="37A41E30">
            <w:pPr>
              <w:snapToGrid w:val="0"/>
              <w:spacing w:line="360" w:lineRule="auto"/>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
                <w:bCs w:val="0"/>
                <w:color w:val="auto"/>
                <w:szCs w:val="21"/>
                <w:highlight w:val="none"/>
                <w:lang w:val="en-US" w:eastAsia="zh-CN"/>
              </w:rPr>
              <w:t xml:space="preserve"> </w:t>
            </w:r>
          </w:p>
          <w:p w14:paraId="15B0C5F6">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
                <w:bCs w:val="0"/>
                <w:color w:val="auto"/>
                <w:szCs w:val="21"/>
                <w:highlight w:val="none"/>
              </w:rPr>
              <w:t>元/G</w:t>
            </w:r>
          </w:p>
          <w:p w14:paraId="75437F6A">
            <w:pPr>
              <w:snapToGrid w:val="0"/>
              <w:spacing w:line="360" w:lineRule="auto"/>
              <w:rPr>
                <w:rFonts w:ascii="宋体" w:hAnsi="宋体" w:eastAsia="宋体"/>
                <w:b/>
                <w:color w:val="auto"/>
                <w:sz w:val="24"/>
                <w:highlight w:val="none"/>
              </w:rPr>
            </w:pPr>
          </w:p>
        </w:tc>
      </w:tr>
      <w:tr w14:paraId="1438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56AA56D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4719243">
            <w:pPr>
              <w:spacing w:line="360" w:lineRule="auto"/>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本项目报价为流量单价，小数点保留两位小数，不得报0和负数。</w:t>
            </w:r>
          </w:p>
        </w:tc>
      </w:tr>
    </w:tbl>
    <w:p w14:paraId="30A686A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53A948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75A4ECAB">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3FEFAEE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4101192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1.特殊事项在备注中注明。</w:t>
      </w:r>
    </w:p>
    <w:p w14:paraId="66455A78">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3D5E5D2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7153345">
      <w:pPr>
        <w:spacing w:line="360" w:lineRule="auto"/>
        <w:jc w:val="center"/>
        <w:outlineLvl w:val="1"/>
        <w:rPr>
          <w:rFonts w:asciiTheme="minorEastAsia" w:hAnsiTheme="minorEastAsia" w:eastAsiaTheme="minorEastAsia"/>
          <w:b/>
          <w:color w:val="auto"/>
          <w:sz w:val="24"/>
          <w:highlight w:val="none"/>
        </w:rPr>
      </w:pPr>
      <w:bookmarkStart w:id="191" w:name="_Toc30153"/>
      <w:bookmarkStart w:id="192" w:name="_Toc16379"/>
      <w:r>
        <w:rPr>
          <w:rFonts w:hint="eastAsia" w:asciiTheme="minorEastAsia" w:hAnsiTheme="minorEastAsia" w:eastAsiaTheme="minorEastAsia"/>
          <w:b/>
          <w:color w:val="auto"/>
          <w:sz w:val="24"/>
          <w:highlight w:val="none"/>
        </w:rPr>
        <w:t>二、最后承诺报价表</w:t>
      </w:r>
      <w:bookmarkEnd w:id="191"/>
      <w:bookmarkEnd w:id="192"/>
    </w:p>
    <w:p w14:paraId="4AAD1BEF">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6109720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7D52DA60">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CF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63E608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2FE5BF7">
            <w:pPr>
              <w:spacing w:line="360" w:lineRule="auto"/>
              <w:rPr>
                <w:rFonts w:ascii="宋体" w:hAnsi="宋体" w:eastAsia="宋体"/>
                <w:b/>
                <w:color w:val="auto"/>
                <w:sz w:val="24"/>
                <w:highlight w:val="none"/>
              </w:rPr>
            </w:pPr>
          </w:p>
        </w:tc>
      </w:tr>
      <w:tr w14:paraId="0AC1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BC1EAB0">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5A39DDBF">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u w:val="single"/>
                <w:lang w:val="en-US" w:eastAsia="zh-CN"/>
              </w:rPr>
              <w:t>全部</w:t>
            </w:r>
          </w:p>
        </w:tc>
      </w:tr>
      <w:tr w14:paraId="70E9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80E930B">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1888DB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19D5A469">
            <w:pPr>
              <w:snapToGrid w:val="0"/>
              <w:spacing w:line="360" w:lineRule="auto"/>
              <w:rPr>
                <w:rFonts w:ascii="宋体" w:hAnsi="宋体" w:eastAsia="宋体"/>
                <w:color w:val="auto"/>
                <w:sz w:val="24"/>
                <w:szCs w:val="28"/>
                <w:highlight w:val="none"/>
              </w:rPr>
            </w:pPr>
          </w:p>
          <w:p w14:paraId="4FBCF2E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A77EE68">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
                <w:bCs w:val="0"/>
                <w:color w:val="auto"/>
                <w:szCs w:val="21"/>
                <w:highlight w:val="none"/>
              </w:rPr>
              <w:t>元/G</w:t>
            </w:r>
          </w:p>
          <w:p w14:paraId="3AC98287">
            <w:pPr>
              <w:snapToGrid w:val="0"/>
              <w:spacing w:line="360" w:lineRule="auto"/>
              <w:rPr>
                <w:rFonts w:ascii="宋体" w:hAnsi="宋体" w:eastAsia="宋体"/>
                <w:b/>
                <w:color w:val="auto"/>
                <w:sz w:val="24"/>
                <w:highlight w:val="none"/>
              </w:rPr>
            </w:pPr>
          </w:p>
        </w:tc>
      </w:tr>
      <w:tr w14:paraId="5B79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C339B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1572C868">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50A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19F10C45">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219CFE7D">
            <w:pPr>
              <w:spacing w:line="360" w:lineRule="auto"/>
              <w:rPr>
                <w:rFonts w:ascii="宋体" w:hAnsi="宋体" w:eastAsia="宋体"/>
                <w:b/>
                <w:color w:val="auto"/>
                <w:sz w:val="24"/>
                <w:highlight w:val="none"/>
              </w:rPr>
            </w:pPr>
          </w:p>
        </w:tc>
      </w:tr>
    </w:tbl>
    <w:p w14:paraId="456F6E1E">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40AC91FC">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4F19E">
      <w:pPr>
        <w:adjustRightInd w:val="0"/>
        <w:snapToGrid w:val="0"/>
        <w:spacing w:line="360" w:lineRule="auto"/>
        <w:ind w:firstLine="482" w:firstLineChars="200"/>
        <w:rPr>
          <w:rFonts w:ascii="宋体" w:hAnsi="宋体" w:eastAsia="宋体"/>
          <w:b/>
          <w:bCs/>
          <w:color w:val="auto"/>
          <w:sz w:val="24"/>
          <w:szCs w:val="28"/>
          <w:highlight w:val="none"/>
        </w:rPr>
      </w:pPr>
    </w:p>
    <w:p w14:paraId="75AFEE92">
      <w:pPr>
        <w:adjustRightInd w:val="0"/>
        <w:snapToGrid w:val="0"/>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p>
    <w:p w14:paraId="1E3FC548">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2.表中大写金额与小写金额不一致的，以大写金额为准。</w:t>
      </w:r>
    </w:p>
    <w:p w14:paraId="21F12BF7">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DC7B7DE">
      <w:pPr>
        <w:spacing w:line="360" w:lineRule="auto"/>
        <w:jc w:val="center"/>
        <w:outlineLvl w:val="1"/>
        <w:rPr>
          <w:rFonts w:asciiTheme="minorEastAsia" w:hAnsiTheme="minorEastAsia" w:eastAsiaTheme="minorEastAsia"/>
          <w:b/>
          <w:color w:val="auto"/>
          <w:sz w:val="24"/>
          <w:highlight w:val="none"/>
        </w:rPr>
      </w:pPr>
      <w:bookmarkStart w:id="193" w:name="_Toc10325"/>
      <w:bookmarkStart w:id="194" w:name="_Toc9887"/>
      <w:r>
        <w:rPr>
          <w:rFonts w:hint="eastAsia" w:asciiTheme="minorEastAsia" w:hAnsiTheme="minorEastAsia" w:eastAsiaTheme="minorEastAsia"/>
          <w:b/>
          <w:color w:val="auto"/>
          <w:sz w:val="24"/>
          <w:highlight w:val="none"/>
        </w:rPr>
        <w:t>三、谈判响应函</w:t>
      </w:r>
      <w:bookmarkEnd w:id="193"/>
      <w:bookmarkEnd w:id="194"/>
    </w:p>
    <w:p w14:paraId="5071E5B1">
      <w:pPr>
        <w:pStyle w:val="15"/>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采购人</w:t>
      </w:r>
    </w:p>
    <w:p w14:paraId="53B231D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95" w:name="_Hlk44287576"/>
      <w:r>
        <w:rPr>
          <w:rFonts w:hint="eastAsia" w:ascii="宋体" w:hAnsi="宋体" w:eastAsia="宋体"/>
          <w:color w:val="auto"/>
          <w:sz w:val="24"/>
          <w:highlight w:val="none"/>
        </w:rPr>
        <w:t>竞争性谈判公告和谈判邀请</w:t>
      </w:r>
      <w:bookmarkEnd w:id="195"/>
      <w:r>
        <w:rPr>
          <w:rFonts w:hint="eastAsia" w:ascii="宋体" w:hAnsi="宋体" w:eastAsia="宋体"/>
          <w:color w:val="auto"/>
          <w:sz w:val="24"/>
          <w:highlight w:val="none"/>
        </w:rPr>
        <w:t>，我方兹宣布同意如下：</w:t>
      </w:r>
    </w:p>
    <w:p w14:paraId="249AE73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75BE663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2019C6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346B5485">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47832D6C">
      <w:pPr>
        <w:spacing w:line="360" w:lineRule="auto"/>
        <w:ind w:firstLine="3600" w:firstLineChars="1500"/>
        <w:rPr>
          <w:rFonts w:ascii="宋体" w:hAnsi="宋体" w:eastAsia="宋体"/>
          <w:color w:val="auto"/>
          <w:sz w:val="24"/>
          <w:highlight w:val="none"/>
        </w:rPr>
      </w:pPr>
    </w:p>
    <w:p w14:paraId="735FEF9E">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E3D1248">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4FB007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C14991F">
      <w:pPr>
        <w:spacing w:line="360" w:lineRule="auto"/>
        <w:jc w:val="center"/>
        <w:outlineLvl w:val="1"/>
        <w:rPr>
          <w:rFonts w:hint="eastAsia" w:asciiTheme="minorEastAsia" w:hAnsiTheme="minorEastAsia" w:eastAsiaTheme="minorEastAsia"/>
          <w:b/>
          <w:color w:val="auto"/>
          <w:sz w:val="24"/>
          <w:highlight w:val="none"/>
        </w:rPr>
      </w:pPr>
      <w:bookmarkStart w:id="196" w:name="_Toc15886"/>
      <w:bookmarkStart w:id="197" w:name="_Toc27496"/>
      <w:r>
        <w:rPr>
          <w:rFonts w:hint="eastAsia" w:asciiTheme="minorEastAsia" w:hAnsiTheme="minorEastAsia" w:eastAsiaTheme="minorEastAsia"/>
          <w:b/>
          <w:color w:val="auto"/>
          <w:sz w:val="24"/>
          <w:highlight w:val="none"/>
        </w:rPr>
        <w:t>四、</w:t>
      </w:r>
      <w:bookmarkEnd w:id="196"/>
      <w:r>
        <w:rPr>
          <w:rFonts w:hint="eastAsia" w:asciiTheme="minorEastAsia" w:hAnsiTheme="minorEastAsia" w:eastAsiaTheme="minorEastAsia"/>
          <w:b/>
          <w:color w:val="auto"/>
          <w:sz w:val="24"/>
          <w:highlight w:val="none"/>
          <w:lang w:val="en-US" w:eastAsia="zh-CN"/>
        </w:rPr>
        <w:t>供应商资格声明书</w:t>
      </w:r>
      <w:bookmarkEnd w:id="197"/>
      <w:r>
        <w:rPr>
          <w:rFonts w:hint="eastAsia" w:asciiTheme="minorEastAsia" w:hAnsiTheme="minorEastAsia" w:eastAsiaTheme="minorEastAsia"/>
          <w:b/>
          <w:color w:val="auto"/>
          <w:sz w:val="24"/>
          <w:highlight w:val="none"/>
          <w:lang w:val="en-US" w:eastAsia="zh-CN"/>
        </w:rPr>
        <w:t xml:space="preserve"> </w:t>
      </w:r>
    </w:p>
    <w:p w14:paraId="1B9CEB06">
      <w:pPr>
        <w:pStyle w:val="15"/>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eastAsia="zh-CN"/>
        </w:rPr>
        <w:t>采购人</w:t>
      </w:r>
    </w:p>
    <w:p w14:paraId="6D86D2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在参与本次项目谈判中，我单位承诺：</w:t>
      </w:r>
    </w:p>
    <w:p w14:paraId="31D7B9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3A771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3BE8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26054C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461D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8E369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0EF6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7E15F95">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608" w:type="pct"/>
            <w:vAlign w:val="center"/>
          </w:tcPr>
          <w:p w14:paraId="03892C16">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1667" w:type="pct"/>
            <w:vAlign w:val="center"/>
          </w:tcPr>
          <w:p w14:paraId="187B8F90">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9AC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A6FD362">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608" w:type="pct"/>
            <w:vAlign w:val="center"/>
          </w:tcPr>
          <w:p w14:paraId="4EA2C11A">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1C89F7FD">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4910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21F73847">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608" w:type="pct"/>
            <w:vAlign w:val="center"/>
          </w:tcPr>
          <w:p w14:paraId="4DA45946">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206AB086">
            <w:pPr>
              <w:pStyle w:val="10"/>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33353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91389D6">
      <w:pPr>
        <w:spacing w:line="360" w:lineRule="auto"/>
        <w:ind w:firstLine="4800" w:firstLineChars="2000"/>
        <w:rPr>
          <w:rFonts w:hint="eastAsia" w:ascii="宋体" w:hAnsi="宋体" w:eastAsia="宋体"/>
          <w:color w:val="auto"/>
          <w:sz w:val="24"/>
          <w:highlight w:val="none"/>
          <w:lang w:val="en-US" w:eastAsia="zh-CN"/>
        </w:rPr>
      </w:pPr>
    </w:p>
    <w:p w14:paraId="0B16551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489A8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8EE360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8A7C03E">
      <w:pPr>
        <w:spacing w:line="360" w:lineRule="auto"/>
        <w:jc w:val="center"/>
        <w:outlineLvl w:val="1"/>
        <w:rPr>
          <w:rFonts w:asciiTheme="minorEastAsia" w:hAnsiTheme="minorEastAsia" w:eastAsiaTheme="minorEastAsia"/>
          <w:b/>
          <w:color w:val="auto"/>
          <w:sz w:val="24"/>
          <w:highlight w:val="none"/>
        </w:rPr>
      </w:pPr>
      <w:bookmarkStart w:id="198" w:name="_Toc19132"/>
      <w:bookmarkStart w:id="199" w:name="_Toc3425"/>
      <w:r>
        <w:rPr>
          <w:rFonts w:hint="eastAsia" w:asciiTheme="minorEastAsia" w:hAnsiTheme="minorEastAsia" w:eastAsiaTheme="minorEastAsia"/>
          <w:b/>
          <w:color w:val="auto"/>
          <w:sz w:val="24"/>
          <w:highlight w:val="none"/>
        </w:rPr>
        <w:t>五、授权书</w:t>
      </w:r>
      <w:bookmarkEnd w:id="198"/>
      <w:bookmarkEnd w:id="199"/>
    </w:p>
    <w:p w14:paraId="20AF3A0F">
      <w:pPr>
        <w:pStyle w:val="14"/>
        <w:snapToGrid w:val="0"/>
        <w:spacing w:line="360" w:lineRule="auto"/>
        <w:ind w:firstLine="480" w:firstLineChars="200"/>
        <w:jc w:val="left"/>
        <w:rPr>
          <w:rFonts w:hAnsi="宋体" w:eastAsia="宋体"/>
          <w:color w:val="auto"/>
          <w:sz w:val="24"/>
          <w:szCs w:val="28"/>
          <w:highlight w:val="none"/>
        </w:rPr>
      </w:pPr>
    </w:p>
    <w:p w14:paraId="6ECA2698">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10DEDE5">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D9857D8">
      <w:pPr>
        <w:pStyle w:val="14"/>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2D750829">
      <w:pPr>
        <w:pStyle w:val="14"/>
        <w:snapToGrid w:val="0"/>
        <w:spacing w:line="360" w:lineRule="auto"/>
        <w:ind w:firstLine="480" w:firstLineChars="200"/>
        <w:jc w:val="left"/>
        <w:rPr>
          <w:rFonts w:hAnsi="宋体" w:eastAsia="宋体"/>
          <w:color w:val="auto"/>
          <w:sz w:val="24"/>
          <w:highlight w:val="none"/>
        </w:rPr>
      </w:pPr>
    </w:p>
    <w:p w14:paraId="5DED6EEA">
      <w:pPr>
        <w:pStyle w:val="14"/>
        <w:snapToGrid w:val="0"/>
        <w:spacing w:line="360" w:lineRule="auto"/>
        <w:ind w:firstLine="480" w:firstLineChars="200"/>
        <w:jc w:val="left"/>
        <w:rPr>
          <w:rFonts w:hAnsi="宋体" w:eastAsia="宋体"/>
          <w:color w:val="auto"/>
          <w:sz w:val="24"/>
          <w:highlight w:val="none"/>
        </w:rPr>
      </w:pPr>
    </w:p>
    <w:p w14:paraId="55F9C92E">
      <w:pPr>
        <w:pStyle w:val="14"/>
        <w:snapToGrid w:val="0"/>
        <w:spacing w:line="360" w:lineRule="auto"/>
        <w:ind w:firstLine="480" w:firstLineChars="200"/>
        <w:jc w:val="left"/>
        <w:rPr>
          <w:rFonts w:hAnsi="宋体" w:eastAsia="宋体"/>
          <w:color w:val="auto"/>
          <w:sz w:val="24"/>
          <w:highlight w:val="none"/>
        </w:rPr>
      </w:pPr>
    </w:p>
    <w:p w14:paraId="0D913859">
      <w:pPr>
        <w:pStyle w:val="14"/>
        <w:snapToGrid w:val="0"/>
        <w:spacing w:line="360" w:lineRule="auto"/>
        <w:ind w:firstLine="480" w:firstLineChars="200"/>
        <w:jc w:val="left"/>
        <w:rPr>
          <w:rFonts w:hAnsi="宋体" w:eastAsia="宋体"/>
          <w:color w:val="auto"/>
          <w:sz w:val="24"/>
          <w:highlight w:val="none"/>
        </w:rPr>
      </w:pPr>
    </w:p>
    <w:p w14:paraId="794FE19E">
      <w:pPr>
        <w:pStyle w:val="14"/>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222D906">
      <w:pPr>
        <w:pStyle w:val="14"/>
        <w:snapToGrid w:val="0"/>
        <w:spacing w:line="360" w:lineRule="auto"/>
        <w:ind w:firstLine="480" w:firstLineChars="200"/>
        <w:jc w:val="left"/>
        <w:rPr>
          <w:rFonts w:hAnsi="宋体" w:eastAsia="宋体"/>
          <w:color w:val="auto"/>
          <w:sz w:val="24"/>
          <w:szCs w:val="28"/>
          <w:highlight w:val="none"/>
        </w:rPr>
      </w:pPr>
    </w:p>
    <w:p w14:paraId="0E8EF6FD">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48F2A5B">
      <w:pPr>
        <w:spacing w:line="360" w:lineRule="auto"/>
        <w:rPr>
          <w:rFonts w:ascii="宋体" w:hAnsi="宋体" w:eastAsia="宋体"/>
          <w:color w:val="auto"/>
          <w:sz w:val="24"/>
          <w:szCs w:val="28"/>
          <w:highlight w:val="none"/>
        </w:rPr>
      </w:pPr>
    </w:p>
    <w:p w14:paraId="5EAAAD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44A4D6B">
      <w:pPr>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17DDC1E">
      <w:pPr>
        <w:spacing w:line="360" w:lineRule="auto"/>
        <w:rPr>
          <w:rFonts w:ascii="宋体" w:hAnsi="宋体" w:eastAsia="宋体"/>
          <w:color w:val="auto"/>
          <w:sz w:val="24"/>
          <w:szCs w:val="28"/>
          <w:highlight w:val="none"/>
        </w:rPr>
      </w:pPr>
    </w:p>
    <w:p w14:paraId="66CB1D94">
      <w:pPr>
        <w:spacing w:line="360" w:lineRule="auto"/>
        <w:rPr>
          <w:rFonts w:ascii="宋体" w:hAnsi="宋体" w:eastAsia="宋体"/>
          <w:color w:val="auto"/>
          <w:sz w:val="24"/>
          <w:szCs w:val="28"/>
          <w:highlight w:val="none"/>
        </w:rPr>
      </w:pPr>
    </w:p>
    <w:p w14:paraId="4A7973FB">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A6ADFE9">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02993164">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5953388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FC59BAC">
      <w:pPr>
        <w:spacing w:line="360" w:lineRule="auto"/>
        <w:jc w:val="center"/>
        <w:outlineLvl w:val="1"/>
        <w:rPr>
          <w:rFonts w:asciiTheme="minorEastAsia" w:hAnsiTheme="minorEastAsia" w:eastAsiaTheme="minorEastAsia"/>
          <w:b/>
          <w:color w:val="auto"/>
          <w:sz w:val="24"/>
          <w:highlight w:val="none"/>
        </w:rPr>
      </w:pPr>
      <w:bookmarkStart w:id="200" w:name="_Toc1834"/>
      <w:bookmarkStart w:id="201" w:name="_Toc31060"/>
      <w:r>
        <w:rPr>
          <w:rFonts w:hint="eastAsia" w:asciiTheme="minorEastAsia" w:hAnsiTheme="minorEastAsia" w:eastAsiaTheme="minorEastAsia"/>
          <w:b/>
          <w:color w:val="auto"/>
          <w:sz w:val="24"/>
          <w:highlight w:val="none"/>
        </w:rPr>
        <w:t>六、</w:t>
      </w:r>
      <w:bookmarkEnd w:id="200"/>
      <w:bookmarkEnd w:id="201"/>
      <w:r>
        <w:rPr>
          <w:rFonts w:hint="eastAsia" w:asciiTheme="minorEastAsia" w:hAnsiTheme="minorEastAsia" w:eastAsiaTheme="minorEastAsia"/>
          <w:b/>
          <w:color w:val="auto"/>
          <w:sz w:val="24"/>
          <w:highlight w:val="none"/>
          <w:lang w:val="en-US" w:eastAsia="zh-CN"/>
        </w:rPr>
        <w:t>谈判</w:t>
      </w:r>
      <w:r>
        <w:rPr>
          <w:rFonts w:hint="eastAsia" w:asciiTheme="minorEastAsia" w:hAnsiTheme="minorEastAsia" w:eastAsiaTheme="minorEastAsia"/>
          <w:b/>
          <w:color w:val="auto"/>
          <w:sz w:val="24"/>
          <w:highlight w:val="none"/>
        </w:rPr>
        <w:t>响应表</w:t>
      </w:r>
    </w:p>
    <w:p w14:paraId="62B0B14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5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6AD6CC8">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7803CE11">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095A624C">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谈判文件</w:t>
            </w:r>
            <w:r>
              <w:rPr>
                <w:rFonts w:hint="eastAsia" w:cs="Wingdings" w:asciiTheme="minorEastAsia" w:hAnsiTheme="minorEastAsia"/>
                <w:b/>
                <w:color w:val="auto"/>
                <w:sz w:val="24"/>
                <w:highlight w:val="none"/>
              </w:rPr>
              <w:t>要求</w:t>
            </w:r>
          </w:p>
        </w:tc>
        <w:tc>
          <w:tcPr>
            <w:tcW w:w="1510" w:type="pct"/>
            <w:vAlign w:val="center"/>
          </w:tcPr>
          <w:p w14:paraId="14AB3F75">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70407828">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C06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DA5BB8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3A179F9">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A4D055F">
            <w:pPr>
              <w:jc w:val="center"/>
              <w:rPr>
                <w:rFonts w:asciiTheme="minorEastAsia" w:hAnsiTheme="minorEastAsia" w:eastAsiaTheme="minorEastAsia"/>
                <w:color w:val="auto"/>
                <w:sz w:val="24"/>
                <w:highlight w:val="none"/>
              </w:rPr>
            </w:pPr>
          </w:p>
        </w:tc>
        <w:tc>
          <w:tcPr>
            <w:tcW w:w="1510" w:type="pct"/>
            <w:vAlign w:val="center"/>
          </w:tcPr>
          <w:p w14:paraId="0FBD20B7">
            <w:pPr>
              <w:jc w:val="center"/>
              <w:rPr>
                <w:rFonts w:asciiTheme="minorEastAsia" w:hAnsiTheme="minorEastAsia" w:eastAsiaTheme="minorEastAsia"/>
                <w:color w:val="auto"/>
                <w:sz w:val="24"/>
                <w:highlight w:val="none"/>
              </w:rPr>
            </w:pPr>
          </w:p>
        </w:tc>
        <w:tc>
          <w:tcPr>
            <w:tcW w:w="475" w:type="pct"/>
            <w:vAlign w:val="center"/>
          </w:tcPr>
          <w:p w14:paraId="34830BBA">
            <w:pPr>
              <w:jc w:val="center"/>
              <w:rPr>
                <w:rFonts w:asciiTheme="minorEastAsia" w:hAnsiTheme="minorEastAsia" w:eastAsiaTheme="minorEastAsia"/>
                <w:color w:val="auto"/>
                <w:sz w:val="24"/>
                <w:highlight w:val="none"/>
              </w:rPr>
            </w:pPr>
          </w:p>
        </w:tc>
      </w:tr>
      <w:tr w14:paraId="50B3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C9244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03B5F02">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3C10013C">
            <w:pPr>
              <w:jc w:val="center"/>
              <w:rPr>
                <w:rFonts w:asciiTheme="minorEastAsia" w:hAnsiTheme="minorEastAsia" w:eastAsiaTheme="minorEastAsia"/>
                <w:color w:val="auto"/>
                <w:sz w:val="24"/>
                <w:highlight w:val="none"/>
              </w:rPr>
            </w:pPr>
          </w:p>
        </w:tc>
        <w:tc>
          <w:tcPr>
            <w:tcW w:w="1510" w:type="pct"/>
            <w:vAlign w:val="center"/>
          </w:tcPr>
          <w:p w14:paraId="71DF51CE">
            <w:pPr>
              <w:jc w:val="center"/>
              <w:rPr>
                <w:rFonts w:asciiTheme="minorEastAsia" w:hAnsiTheme="minorEastAsia" w:eastAsiaTheme="minorEastAsia"/>
                <w:color w:val="auto"/>
                <w:sz w:val="24"/>
                <w:highlight w:val="none"/>
              </w:rPr>
            </w:pPr>
          </w:p>
        </w:tc>
        <w:tc>
          <w:tcPr>
            <w:tcW w:w="475" w:type="pct"/>
            <w:vAlign w:val="center"/>
          </w:tcPr>
          <w:p w14:paraId="6621CD20">
            <w:pPr>
              <w:jc w:val="center"/>
              <w:rPr>
                <w:rFonts w:asciiTheme="minorEastAsia" w:hAnsiTheme="minorEastAsia" w:eastAsiaTheme="minorEastAsia"/>
                <w:color w:val="auto"/>
                <w:sz w:val="24"/>
                <w:highlight w:val="none"/>
              </w:rPr>
            </w:pPr>
          </w:p>
        </w:tc>
      </w:tr>
      <w:tr w14:paraId="0915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92C57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67B55C8">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4FC7BA0">
            <w:pPr>
              <w:jc w:val="center"/>
              <w:rPr>
                <w:rFonts w:asciiTheme="minorEastAsia" w:hAnsiTheme="minorEastAsia" w:eastAsiaTheme="minorEastAsia"/>
                <w:color w:val="auto"/>
                <w:sz w:val="24"/>
                <w:highlight w:val="none"/>
              </w:rPr>
            </w:pPr>
          </w:p>
        </w:tc>
        <w:tc>
          <w:tcPr>
            <w:tcW w:w="1510" w:type="pct"/>
            <w:vAlign w:val="center"/>
          </w:tcPr>
          <w:p w14:paraId="0AD81D87">
            <w:pPr>
              <w:pStyle w:val="53"/>
              <w:jc w:val="center"/>
              <w:rPr>
                <w:rFonts w:asciiTheme="minorEastAsia" w:hAnsiTheme="minorEastAsia" w:eastAsiaTheme="minorEastAsia"/>
                <w:color w:val="auto"/>
                <w:highlight w:val="none"/>
              </w:rPr>
            </w:pPr>
          </w:p>
        </w:tc>
        <w:tc>
          <w:tcPr>
            <w:tcW w:w="475" w:type="pct"/>
            <w:vAlign w:val="center"/>
          </w:tcPr>
          <w:p w14:paraId="4B1DC8AE">
            <w:pPr>
              <w:jc w:val="center"/>
              <w:rPr>
                <w:rFonts w:asciiTheme="minorEastAsia" w:hAnsiTheme="minorEastAsia" w:eastAsiaTheme="minorEastAsia"/>
                <w:color w:val="auto"/>
                <w:sz w:val="24"/>
                <w:highlight w:val="none"/>
              </w:rPr>
            </w:pPr>
          </w:p>
        </w:tc>
      </w:tr>
      <w:tr w14:paraId="529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0B8E9E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9A65C63">
            <w:pPr>
              <w:jc w:val="center"/>
              <w:rPr>
                <w:rFonts w:ascii="宋体" w:hAnsi="宋体" w:eastAsia="宋体"/>
                <w:color w:val="auto"/>
                <w:sz w:val="24"/>
                <w:highlight w:val="none"/>
              </w:rPr>
            </w:pPr>
          </w:p>
        </w:tc>
        <w:tc>
          <w:tcPr>
            <w:tcW w:w="1465" w:type="pct"/>
            <w:vAlign w:val="center"/>
          </w:tcPr>
          <w:p w14:paraId="26AEDEB3">
            <w:pPr>
              <w:jc w:val="center"/>
              <w:rPr>
                <w:rFonts w:asciiTheme="minorEastAsia" w:hAnsiTheme="minorEastAsia" w:eastAsiaTheme="minorEastAsia"/>
                <w:color w:val="auto"/>
                <w:sz w:val="24"/>
                <w:highlight w:val="none"/>
              </w:rPr>
            </w:pPr>
          </w:p>
        </w:tc>
        <w:tc>
          <w:tcPr>
            <w:tcW w:w="1510" w:type="pct"/>
            <w:vAlign w:val="center"/>
          </w:tcPr>
          <w:p w14:paraId="1A811D76">
            <w:pPr>
              <w:jc w:val="center"/>
              <w:rPr>
                <w:rFonts w:asciiTheme="minorEastAsia" w:hAnsiTheme="minorEastAsia" w:eastAsiaTheme="minorEastAsia"/>
                <w:color w:val="auto"/>
                <w:sz w:val="24"/>
                <w:highlight w:val="none"/>
              </w:rPr>
            </w:pPr>
          </w:p>
        </w:tc>
        <w:tc>
          <w:tcPr>
            <w:tcW w:w="475" w:type="pct"/>
            <w:vAlign w:val="center"/>
          </w:tcPr>
          <w:p w14:paraId="5F564D21">
            <w:pPr>
              <w:jc w:val="center"/>
              <w:rPr>
                <w:rFonts w:asciiTheme="minorEastAsia" w:hAnsiTheme="minorEastAsia" w:eastAsiaTheme="minorEastAsia"/>
                <w:color w:val="auto"/>
                <w:sz w:val="24"/>
                <w:highlight w:val="none"/>
              </w:rPr>
            </w:pPr>
          </w:p>
        </w:tc>
      </w:tr>
    </w:tbl>
    <w:p w14:paraId="45A067C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CC8A6BC">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4904C58">
      <w:pPr>
        <w:pStyle w:val="15"/>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2F86C322">
      <w:pPr>
        <w:spacing w:line="360" w:lineRule="auto"/>
        <w:jc w:val="center"/>
        <w:outlineLvl w:val="1"/>
        <w:rPr>
          <w:rFonts w:asciiTheme="minorEastAsia" w:hAnsiTheme="minorEastAsia" w:eastAsiaTheme="minorEastAsia"/>
          <w:b/>
          <w:color w:val="auto"/>
          <w:sz w:val="24"/>
          <w:highlight w:val="none"/>
        </w:rPr>
      </w:pPr>
      <w:bookmarkStart w:id="202" w:name="_Toc19745"/>
      <w:bookmarkStart w:id="203" w:name="_Toc25481"/>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202"/>
      <w:bookmarkEnd w:id="203"/>
    </w:p>
    <w:p w14:paraId="73B2D349">
      <w:pPr>
        <w:spacing w:line="360" w:lineRule="auto"/>
        <w:rPr>
          <w:rFonts w:asciiTheme="minorEastAsia" w:hAnsiTheme="minorEastAsia" w:eastAsiaTheme="minorEastAsia"/>
          <w:b/>
          <w:bCs/>
          <w:color w:val="auto"/>
          <w:sz w:val="24"/>
          <w:highlight w:val="none"/>
        </w:rPr>
      </w:pPr>
    </w:p>
    <w:p w14:paraId="0CBAE29E">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none"/>
          <w:lang w:eastAsia="zh-CN"/>
        </w:rPr>
        <w:t>采购人</w:t>
      </w:r>
    </w:p>
    <w:p w14:paraId="73AE550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97669A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8B816A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2D7F99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E6B86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C02CC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AE539C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29D812">
      <w:pPr>
        <w:spacing w:line="360" w:lineRule="auto"/>
        <w:rPr>
          <w:rFonts w:asciiTheme="minorEastAsia" w:hAnsiTheme="minorEastAsia" w:eastAsiaTheme="minorEastAsia"/>
          <w:bCs/>
          <w:color w:val="auto"/>
          <w:sz w:val="24"/>
          <w:highlight w:val="none"/>
        </w:rPr>
      </w:pPr>
    </w:p>
    <w:p w14:paraId="138CD5CF">
      <w:pPr>
        <w:spacing w:line="360" w:lineRule="auto"/>
        <w:rPr>
          <w:rFonts w:asciiTheme="minorEastAsia" w:hAnsiTheme="minorEastAsia" w:eastAsiaTheme="minorEastAsia"/>
          <w:bCs/>
          <w:color w:val="auto"/>
          <w:sz w:val="24"/>
          <w:highlight w:val="none"/>
        </w:rPr>
      </w:pPr>
    </w:p>
    <w:p w14:paraId="4B2F6AFE">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6BE706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28BE82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21889E0">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诚信响应承诺书</w:t>
      </w:r>
    </w:p>
    <w:p w14:paraId="1D901F68">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23D9F37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E46A7F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618DC8E">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D41A3C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0194D022">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30F1577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六、我公司没有下列情形 1、被人民法院列入失信被执行人的；2、我公司及其法定代表人、拟派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0C4BE61">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七、我公司没有下列情形：被滁州市县两级公管部门记入不良行为记录且在披露期内。</w:t>
      </w:r>
    </w:p>
    <w:p w14:paraId="3F484C7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八、严格遵守谈判现场纪律，服从监管人员管理；</w:t>
      </w:r>
    </w:p>
    <w:p w14:paraId="7CC6E23F">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九、保证成交后不转包，若有分包征得采购人同意；</w:t>
      </w:r>
    </w:p>
    <w:p w14:paraId="1B9ADE4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十、保证成交之后，按照响应文件要求提供相关后续服务；</w:t>
      </w:r>
    </w:p>
    <w:p w14:paraId="2731CEE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十一、保证企业及所属相关人员在本次响应中无行贿等犯罪行为；</w:t>
      </w:r>
    </w:p>
    <w:p w14:paraId="24B9250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DF987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5F492B72">
      <w:pPr>
        <w:spacing w:line="560" w:lineRule="exact"/>
        <w:ind w:firstLine="480" w:firstLineChars="200"/>
        <w:jc w:val="left"/>
        <w:rPr>
          <w:rFonts w:ascii="宋体" w:hAnsi="宋体" w:eastAsia="宋体" w:cs="宋体"/>
          <w:color w:val="auto"/>
          <w:sz w:val="24"/>
          <w:szCs w:val="24"/>
          <w:highlight w:val="none"/>
        </w:rPr>
      </w:pPr>
    </w:p>
    <w:p w14:paraId="56F704F4">
      <w:pPr>
        <w:spacing w:line="520" w:lineRule="exact"/>
        <w:jc w:val="left"/>
        <w:rPr>
          <w:rFonts w:ascii="宋体" w:hAnsi="宋体" w:eastAsia="宋体" w:cs="宋体"/>
          <w:color w:val="auto"/>
          <w:sz w:val="24"/>
          <w:szCs w:val="24"/>
          <w:highlight w:val="none"/>
        </w:rPr>
      </w:pPr>
    </w:p>
    <w:p w14:paraId="173ADBD2">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6FF0B21D">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42B2AC69">
      <w:pPr>
        <w:spacing w:line="600" w:lineRule="exact"/>
        <w:ind w:firstLine="4095" w:firstLineChars="1950"/>
        <w:rPr>
          <w:rFonts w:ascii="宋体" w:hAnsi="宋体"/>
          <w:color w:val="auto"/>
          <w:szCs w:val="21"/>
          <w:highlight w:val="none"/>
        </w:rPr>
      </w:pPr>
    </w:p>
    <w:p w14:paraId="7F7C3251">
      <w:pPr>
        <w:spacing w:line="600" w:lineRule="exact"/>
        <w:ind w:firstLine="4680" w:firstLineChars="19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14:paraId="3C0ABED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3E15CB93">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25E717C">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6CBA8CD4">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0807480F">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760D7E8E">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0CFE464E">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327531CD">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79B6DD5F">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368EB6C7">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55140962">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52AB7026">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4AFFEE84">
      <w:pPr>
        <w:pStyle w:val="10"/>
        <w:spacing w:before="98" w:line="219" w:lineRule="auto"/>
        <w:jc w:val="center"/>
        <w:rPr>
          <w:rFonts w:hint="eastAsia" w:asciiTheme="minorEastAsia" w:hAnsiTheme="minorEastAsia" w:eastAsiaTheme="minorEastAsia"/>
          <w:b/>
          <w:color w:val="auto"/>
          <w:sz w:val="24"/>
          <w:highlight w:val="none"/>
          <w:lang w:val="en-US" w:eastAsia="zh-CN"/>
        </w:rPr>
      </w:pPr>
    </w:p>
    <w:p w14:paraId="351C6F4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p>
    <w:p w14:paraId="093B292A">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72323735">
      <w:pPr>
        <w:spacing w:line="360" w:lineRule="auto"/>
        <w:ind w:firstLine="435"/>
        <w:rPr>
          <w:rFonts w:asciiTheme="minorEastAsia" w:hAnsiTheme="minorEastAsia" w:eastAsiaTheme="minorEastAsia"/>
          <w:color w:val="auto"/>
          <w:sz w:val="24"/>
          <w:highlight w:val="none"/>
        </w:rPr>
      </w:pPr>
    </w:p>
    <w:p w14:paraId="4E2DE6F3">
      <w:pPr>
        <w:spacing w:line="360" w:lineRule="auto"/>
        <w:ind w:firstLine="480" w:firstLineChars="200"/>
        <w:rPr>
          <w:rFonts w:asciiTheme="minorEastAsia" w:hAnsiTheme="minorEastAsia" w:eastAsiaTheme="minorEastAsia"/>
          <w:color w:val="auto"/>
          <w:sz w:val="24"/>
          <w:highlight w:val="none"/>
        </w:rPr>
      </w:pPr>
    </w:p>
    <w:p w14:paraId="2160CC5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03113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930CB5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E5BBEE6">
      <w:pPr>
        <w:spacing w:line="360" w:lineRule="auto"/>
        <w:jc w:val="center"/>
        <w:outlineLvl w:val="0"/>
        <w:rPr>
          <w:rFonts w:ascii="宋体" w:hAnsi="宋体" w:eastAsia="宋体"/>
          <w:b/>
          <w:bCs/>
          <w:color w:val="auto"/>
          <w:sz w:val="28"/>
          <w:highlight w:val="none"/>
        </w:rPr>
      </w:pPr>
      <w:bookmarkStart w:id="204" w:name="_Toc60608832"/>
      <w:bookmarkStart w:id="205" w:name="_Toc32294"/>
      <w:bookmarkStart w:id="206" w:name="_Toc1994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 xml:space="preserve">章 </w:t>
      </w:r>
      <w:r>
        <w:rPr>
          <w:rFonts w:hint="eastAsia"/>
          <w:b/>
          <w:bCs/>
          <w:color w:val="auto"/>
          <w:sz w:val="28"/>
          <w:highlight w:val="none"/>
        </w:rPr>
        <w:t xml:space="preserve"> </w:t>
      </w:r>
      <w:bookmarkEnd w:id="204"/>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05"/>
      <w:bookmarkEnd w:id="206"/>
    </w:p>
    <w:p w14:paraId="72B27C0E">
      <w:pPr>
        <w:spacing w:line="360" w:lineRule="auto"/>
        <w:jc w:val="center"/>
        <w:outlineLvl w:val="1"/>
        <w:rPr>
          <w:rFonts w:ascii="仿宋" w:hAnsi="仿宋" w:eastAsia="仿宋" w:cs="仿宋"/>
          <w:b/>
          <w:bCs/>
          <w:color w:val="auto"/>
          <w:sz w:val="32"/>
          <w:szCs w:val="44"/>
          <w:highlight w:val="none"/>
        </w:rPr>
      </w:pPr>
      <w:bookmarkStart w:id="207" w:name="_Toc29598"/>
      <w:bookmarkStart w:id="208" w:name="_Toc15965"/>
      <w:r>
        <w:rPr>
          <w:rFonts w:hint="eastAsia" w:ascii="仿宋" w:hAnsi="仿宋" w:eastAsia="仿宋" w:cs="仿宋"/>
          <w:b/>
          <w:bCs/>
          <w:color w:val="auto"/>
          <w:sz w:val="32"/>
          <w:szCs w:val="44"/>
          <w:highlight w:val="none"/>
        </w:rPr>
        <w:t>询问函范本</w:t>
      </w:r>
      <w:bookmarkEnd w:id="207"/>
      <w:bookmarkEnd w:id="208"/>
    </w:p>
    <w:p w14:paraId="2725A589">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ED4AFAF">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099EE45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i/>
          <w:iCs/>
          <w:color w:val="auto"/>
          <w:sz w:val="24"/>
          <w:szCs w:val="24"/>
          <w:highlight w:val="none"/>
          <w:u w:val="none"/>
        </w:rPr>
        <w:t>项目</w:t>
      </w:r>
      <w:r>
        <w:rPr>
          <w:rFonts w:hint="eastAsia" w:cs="仿宋" w:asciiTheme="minorEastAsia" w:hAnsiTheme="minorEastAsia" w:eastAsiaTheme="minorEastAsia"/>
          <w:i/>
          <w:iCs/>
          <w:color w:val="auto"/>
          <w:sz w:val="24"/>
          <w:szCs w:val="24"/>
          <w:highlight w:val="none"/>
          <w:u w:val="none"/>
          <w:lang w:val="en-US" w:eastAsia="zh-CN"/>
        </w:rPr>
        <w:t>名称、</w:t>
      </w:r>
      <w:r>
        <w:rPr>
          <w:rFonts w:hint="eastAsia" w:cs="仿宋" w:asciiTheme="minorEastAsia" w:hAnsiTheme="minorEastAsia" w:eastAsiaTheme="minorEastAsia"/>
          <w:i/>
          <w:iCs/>
          <w:color w:val="auto"/>
          <w:sz w:val="24"/>
          <w:szCs w:val="24"/>
          <w:highlight w:val="none"/>
          <w:u w:val="none"/>
        </w:rPr>
        <w:t>编号</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2CA3CA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09" w:name="_Toc11903"/>
      <w:bookmarkStart w:id="210" w:name="_Toc29988"/>
      <w:r>
        <w:rPr>
          <w:rFonts w:hint="eastAsia" w:cs="仿宋" w:asciiTheme="minorEastAsia" w:hAnsiTheme="minorEastAsia" w:eastAsiaTheme="minorEastAsia"/>
          <w:color w:val="auto"/>
          <w:sz w:val="24"/>
          <w:szCs w:val="24"/>
          <w:highlight w:val="none"/>
        </w:rPr>
        <w:t>一、(事项一)</w:t>
      </w:r>
      <w:bookmarkEnd w:id="209"/>
      <w:bookmarkEnd w:id="210"/>
    </w:p>
    <w:p w14:paraId="37D1280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3E67C0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F556A7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ADB2B2E">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11" w:name="_Toc2942"/>
      <w:bookmarkStart w:id="212" w:name="_Toc31894"/>
      <w:r>
        <w:rPr>
          <w:rFonts w:hint="eastAsia" w:cs="仿宋" w:asciiTheme="minorEastAsia" w:hAnsiTheme="minorEastAsia" w:eastAsiaTheme="minorEastAsia"/>
          <w:color w:val="auto"/>
          <w:sz w:val="24"/>
          <w:szCs w:val="24"/>
          <w:highlight w:val="none"/>
        </w:rPr>
        <w:t>二、(事项二)</w:t>
      </w:r>
      <w:bookmarkEnd w:id="211"/>
      <w:bookmarkEnd w:id="212"/>
    </w:p>
    <w:p w14:paraId="5A21D35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A3C2DB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F61878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C906D8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651CA5C">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D0F2D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09D0EDD">
      <w:pPr>
        <w:jc w:val="center"/>
        <w:outlineLvl w:val="1"/>
        <w:rPr>
          <w:rFonts w:ascii="仿宋" w:hAnsi="仿宋" w:eastAsia="仿宋" w:cs="仿宋"/>
          <w:b/>
          <w:bCs/>
          <w:color w:val="auto"/>
          <w:sz w:val="32"/>
          <w:szCs w:val="44"/>
          <w:highlight w:val="none"/>
        </w:rPr>
      </w:pPr>
      <w:bookmarkStart w:id="213" w:name="_Toc22109"/>
      <w:bookmarkStart w:id="214" w:name="_Toc26062"/>
      <w:r>
        <w:rPr>
          <w:rFonts w:hint="eastAsia" w:ascii="仿宋" w:hAnsi="仿宋" w:eastAsia="仿宋" w:cs="仿宋"/>
          <w:b/>
          <w:bCs/>
          <w:color w:val="auto"/>
          <w:sz w:val="32"/>
          <w:szCs w:val="44"/>
          <w:highlight w:val="none"/>
        </w:rPr>
        <w:t>质疑函范本</w:t>
      </w:r>
      <w:bookmarkEnd w:id="213"/>
      <w:bookmarkEnd w:id="214"/>
    </w:p>
    <w:p w14:paraId="081F683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15" w:name="_Toc29798"/>
      <w:bookmarkStart w:id="216" w:name="_Toc24159"/>
      <w:r>
        <w:rPr>
          <w:rFonts w:hint="eastAsia" w:cs="仿宋" w:asciiTheme="minorEastAsia" w:hAnsiTheme="minorEastAsia" w:eastAsiaTheme="minorEastAsia"/>
          <w:b/>
          <w:bCs/>
          <w:color w:val="auto"/>
          <w:sz w:val="24"/>
          <w:szCs w:val="24"/>
          <w:highlight w:val="none"/>
        </w:rPr>
        <w:t>一、质疑供应商基本信息</w:t>
      </w:r>
      <w:bookmarkEnd w:id="215"/>
      <w:bookmarkEnd w:id="216"/>
    </w:p>
    <w:p w14:paraId="30B1DFC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867F19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F665A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A53B5C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C7C37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64E53D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B96DC7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7" w:name="_Toc23479"/>
      <w:bookmarkStart w:id="218" w:name="_Toc5445"/>
      <w:r>
        <w:rPr>
          <w:rFonts w:hint="eastAsia" w:cs="仿宋" w:asciiTheme="minorEastAsia" w:hAnsiTheme="minorEastAsia" w:eastAsiaTheme="minorEastAsia"/>
          <w:b/>
          <w:bCs/>
          <w:color w:val="auto"/>
          <w:sz w:val="24"/>
          <w:szCs w:val="24"/>
          <w:highlight w:val="none"/>
        </w:rPr>
        <w:t>二、质疑项目基本情况</w:t>
      </w:r>
      <w:bookmarkEnd w:id="217"/>
      <w:bookmarkEnd w:id="218"/>
    </w:p>
    <w:p w14:paraId="1C694DE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6A353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945C5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3C86BF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9C32F30">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9" w:name="_Toc26982"/>
      <w:bookmarkStart w:id="220" w:name="_Toc5891"/>
      <w:r>
        <w:rPr>
          <w:rFonts w:hint="eastAsia" w:cs="仿宋" w:asciiTheme="minorEastAsia" w:hAnsiTheme="minorEastAsia" w:eastAsiaTheme="minorEastAsia"/>
          <w:b/>
          <w:bCs/>
          <w:color w:val="auto"/>
          <w:sz w:val="24"/>
          <w:szCs w:val="24"/>
          <w:highlight w:val="none"/>
        </w:rPr>
        <w:t>三、质疑事项具体内容</w:t>
      </w:r>
      <w:bookmarkEnd w:id="219"/>
      <w:bookmarkEnd w:id="220"/>
    </w:p>
    <w:p w14:paraId="712B19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620317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A0FEA3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C2A87B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ED2C2F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CB62D0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28CF8A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17EEAE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21" w:name="_Toc9453"/>
      <w:bookmarkStart w:id="222" w:name="_Toc16039"/>
      <w:r>
        <w:rPr>
          <w:rFonts w:hint="eastAsia" w:cs="仿宋" w:asciiTheme="minorEastAsia" w:hAnsiTheme="minorEastAsia" w:eastAsiaTheme="minorEastAsia"/>
          <w:b/>
          <w:bCs/>
          <w:color w:val="auto"/>
          <w:sz w:val="24"/>
          <w:szCs w:val="24"/>
          <w:highlight w:val="none"/>
        </w:rPr>
        <w:t>四、与质疑事项相关的质疑请求</w:t>
      </w:r>
      <w:bookmarkEnd w:id="221"/>
      <w:bookmarkEnd w:id="222"/>
    </w:p>
    <w:p w14:paraId="070FCD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1BAFE4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6CEC2D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651005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F2D028F">
      <w:pPr>
        <w:outlineLvl w:val="0"/>
        <w:rPr>
          <w:rFonts w:asciiTheme="minorEastAsia" w:hAnsiTheme="minorEastAsia" w:eastAsiaTheme="minorEastAsia"/>
          <w:b/>
          <w:color w:val="auto"/>
          <w:sz w:val="28"/>
          <w:szCs w:val="32"/>
          <w:highlight w:val="none"/>
        </w:rPr>
      </w:pPr>
      <w:bookmarkStart w:id="223" w:name="_Toc10345"/>
      <w:bookmarkStart w:id="224" w:name="_Toc28276"/>
      <w:r>
        <w:rPr>
          <w:rFonts w:hint="eastAsia" w:asciiTheme="minorEastAsia" w:hAnsiTheme="minorEastAsia" w:eastAsiaTheme="minorEastAsia"/>
          <w:b/>
          <w:color w:val="auto"/>
          <w:sz w:val="28"/>
          <w:szCs w:val="32"/>
          <w:highlight w:val="none"/>
        </w:rPr>
        <w:t>质疑函制作说明：</w:t>
      </w:r>
      <w:bookmarkEnd w:id="223"/>
      <w:bookmarkEnd w:id="224"/>
    </w:p>
    <w:p w14:paraId="286150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0934D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EA7A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FA95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B25D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3EBE6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778B5D">
      <w:pPr>
        <w:spacing w:line="360" w:lineRule="auto"/>
        <w:ind w:firstLine="435"/>
        <w:rPr>
          <w:rFonts w:hint="eastAsia" w:asciiTheme="minorEastAsia" w:hAnsiTheme="minorEastAsia" w:eastAsiaTheme="minorEastAsia"/>
          <w:color w:val="auto"/>
          <w:sz w:val="24"/>
          <w:highlight w:val="none"/>
        </w:rPr>
      </w:pPr>
    </w:p>
    <w:p w14:paraId="33F50078">
      <w:pPr>
        <w:spacing w:line="360" w:lineRule="auto"/>
        <w:ind w:firstLine="435"/>
        <w:rPr>
          <w:rFonts w:hint="eastAsia" w:asciiTheme="minorEastAsia" w:hAnsiTheme="minorEastAsia" w:eastAsiaTheme="minorEastAsia"/>
          <w:color w:val="auto"/>
          <w:sz w:val="24"/>
          <w:highlight w:val="none"/>
        </w:rPr>
      </w:pPr>
    </w:p>
    <w:p w14:paraId="5EFA33DA">
      <w:pPr>
        <w:spacing w:line="360" w:lineRule="auto"/>
        <w:ind w:firstLine="435"/>
        <w:rPr>
          <w:rFonts w:hint="eastAsia" w:asciiTheme="minorEastAsia" w:hAnsiTheme="minorEastAsia" w:eastAsiaTheme="minorEastAsia"/>
          <w:color w:val="auto"/>
          <w:sz w:val="24"/>
          <w:highlight w:val="none"/>
        </w:rPr>
      </w:pPr>
    </w:p>
    <w:p w14:paraId="22B4D7A7">
      <w:pPr>
        <w:spacing w:line="360" w:lineRule="auto"/>
        <w:ind w:firstLine="435"/>
        <w:rPr>
          <w:rFonts w:hint="eastAsia" w:asciiTheme="minorEastAsia" w:hAnsiTheme="minorEastAsia" w:eastAsiaTheme="minorEastAsia"/>
          <w:color w:val="auto"/>
          <w:sz w:val="24"/>
          <w:highlight w:val="none"/>
        </w:rPr>
      </w:pPr>
    </w:p>
    <w:p w14:paraId="0351A268">
      <w:pPr>
        <w:spacing w:line="360" w:lineRule="auto"/>
        <w:ind w:firstLine="435"/>
        <w:rPr>
          <w:rFonts w:hint="eastAsia" w:asciiTheme="minorEastAsia" w:hAnsiTheme="minorEastAsia" w:eastAsiaTheme="minorEastAsia"/>
          <w:color w:val="auto"/>
          <w:sz w:val="24"/>
          <w:highlight w:val="none"/>
        </w:rPr>
      </w:pPr>
    </w:p>
    <w:p w14:paraId="6423EE7B">
      <w:pPr>
        <w:spacing w:line="360" w:lineRule="auto"/>
        <w:ind w:firstLine="435"/>
        <w:rPr>
          <w:rFonts w:hint="eastAsia" w:asciiTheme="minorEastAsia" w:hAnsiTheme="minorEastAsia" w:eastAsiaTheme="minorEastAsia"/>
          <w:color w:val="auto"/>
          <w:sz w:val="24"/>
          <w:highlight w:val="none"/>
        </w:rPr>
      </w:pPr>
    </w:p>
    <w:p w14:paraId="79997D72">
      <w:pPr>
        <w:spacing w:line="360" w:lineRule="auto"/>
        <w:ind w:firstLine="435"/>
        <w:rPr>
          <w:rFonts w:hint="eastAsia" w:asciiTheme="minorEastAsia" w:hAnsiTheme="minorEastAsia" w:eastAsiaTheme="minorEastAsia"/>
          <w:color w:val="auto"/>
          <w:sz w:val="24"/>
          <w:highlight w:val="none"/>
        </w:rPr>
      </w:pPr>
    </w:p>
    <w:p w14:paraId="5FC0837E">
      <w:pPr>
        <w:spacing w:line="360" w:lineRule="auto"/>
        <w:ind w:firstLine="435"/>
        <w:rPr>
          <w:rFonts w:hint="eastAsia" w:asciiTheme="minorEastAsia" w:hAnsiTheme="minorEastAsia" w:eastAsiaTheme="minorEastAsia"/>
          <w:color w:val="auto"/>
          <w:sz w:val="24"/>
          <w:highlight w:val="none"/>
        </w:rPr>
      </w:pPr>
    </w:p>
    <w:p w14:paraId="52AA8BFB">
      <w:pPr>
        <w:spacing w:line="360" w:lineRule="auto"/>
        <w:ind w:firstLine="435"/>
        <w:rPr>
          <w:rFonts w:hint="eastAsia" w:asciiTheme="minorEastAsia" w:hAnsiTheme="minorEastAsia" w:eastAsiaTheme="minorEastAsia"/>
          <w:color w:val="auto"/>
          <w:sz w:val="24"/>
          <w:highlight w:val="none"/>
        </w:rPr>
      </w:pPr>
    </w:p>
    <w:p w14:paraId="2AF923CC">
      <w:pPr>
        <w:spacing w:line="360" w:lineRule="auto"/>
        <w:ind w:firstLine="435"/>
        <w:rPr>
          <w:rFonts w:hint="eastAsia" w:asciiTheme="minorEastAsia" w:hAnsiTheme="minorEastAsia" w:eastAsiaTheme="minorEastAsia"/>
          <w:color w:val="auto"/>
          <w:sz w:val="24"/>
          <w:highlight w:val="none"/>
        </w:rPr>
      </w:pPr>
    </w:p>
    <w:p w14:paraId="424CF0C1">
      <w:pPr>
        <w:spacing w:line="360" w:lineRule="auto"/>
        <w:ind w:firstLine="435"/>
        <w:rPr>
          <w:rFonts w:hint="eastAsia" w:asciiTheme="minorEastAsia" w:hAnsiTheme="minorEastAsia" w:eastAsiaTheme="minorEastAsia"/>
          <w:color w:val="auto"/>
          <w:sz w:val="24"/>
          <w:highlight w:val="none"/>
        </w:rPr>
      </w:pPr>
    </w:p>
    <w:p w14:paraId="5E533DAF">
      <w:pPr>
        <w:spacing w:line="360" w:lineRule="auto"/>
        <w:ind w:firstLine="435"/>
        <w:rPr>
          <w:rFonts w:hint="eastAsia" w:asciiTheme="minorEastAsia" w:hAnsiTheme="minorEastAsia" w:eastAsiaTheme="minorEastAsia"/>
          <w:color w:val="auto"/>
          <w:sz w:val="24"/>
          <w:highlight w:val="none"/>
        </w:rPr>
      </w:pPr>
    </w:p>
    <w:p w14:paraId="57B5618A">
      <w:pPr>
        <w:spacing w:line="360" w:lineRule="auto"/>
        <w:ind w:firstLine="435"/>
        <w:rPr>
          <w:rFonts w:hint="eastAsia" w:asciiTheme="minorEastAsia" w:hAnsiTheme="minorEastAsia" w:eastAsiaTheme="minorEastAsia"/>
          <w:color w:val="auto"/>
          <w:sz w:val="24"/>
          <w:highlight w:val="none"/>
        </w:rPr>
      </w:pPr>
    </w:p>
    <w:p w14:paraId="71D0D1B1">
      <w:pPr>
        <w:spacing w:line="360" w:lineRule="auto"/>
        <w:ind w:firstLine="435"/>
        <w:rPr>
          <w:rFonts w:hint="eastAsia" w:asciiTheme="minorEastAsia" w:hAnsiTheme="minorEastAsia" w:eastAsiaTheme="minorEastAsia"/>
          <w:color w:val="auto"/>
          <w:sz w:val="24"/>
          <w:highlight w:val="none"/>
        </w:rPr>
      </w:pPr>
    </w:p>
    <w:p w14:paraId="079BB64B">
      <w:pPr>
        <w:spacing w:line="360" w:lineRule="auto"/>
        <w:ind w:firstLine="435"/>
        <w:rPr>
          <w:rFonts w:hint="eastAsia" w:asciiTheme="minorEastAsia" w:hAnsiTheme="minorEastAsia" w:eastAsiaTheme="minorEastAsia"/>
          <w:color w:val="auto"/>
          <w:sz w:val="24"/>
          <w:highlight w:val="none"/>
        </w:rPr>
      </w:pPr>
    </w:p>
    <w:p w14:paraId="472D3083">
      <w:pPr>
        <w:spacing w:line="360" w:lineRule="auto"/>
        <w:ind w:firstLine="435"/>
        <w:rPr>
          <w:rFonts w:hint="eastAsia" w:asciiTheme="minorEastAsia" w:hAnsiTheme="minorEastAsia" w:eastAsiaTheme="minorEastAsia"/>
          <w:color w:val="auto"/>
          <w:sz w:val="24"/>
          <w:highlight w:val="none"/>
        </w:rPr>
      </w:pPr>
    </w:p>
    <w:p w14:paraId="23A39128">
      <w:pPr>
        <w:spacing w:line="360" w:lineRule="auto"/>
        <w:ind w:firstLine="435"/>
        <w:rPr>
          <w:rFonts w:hint="eastAsia" w:asciiTheme="minorEastAsia" w:hAnsiTheme="minorEastAsia" w:eastAsiaTheme="minorEastAsia"/>
          <w:color w:val="auto"/>
          <w:sz w:val="24"/>
          <w:highlight w:val="none"/>
        </w:rPr>
      </w:pPr>
    </w:p>
    <w:p w14:paraId="3A303209">
      <w:pPr>
        <w:spacing w:line="360" w:lineRule="auto"/>
        <w:ind w:firstLine="435"/>
        <w:rPr>
          <w:rFonts w:hint="eastAsia" w:asciiTheme="minorEastAsia" w:hAnsiTheme="minorEastAsia" w:eastAsiaTheme="minorEastAsia"/>
          <w:color w:val="auto"/>
          <w:sz w:val="24"/>
          <w:highlight w:val="none"/>
        </w:rPr>
      </w:pPr>
    </w:p>
    <w:p w14:paraId="605EE50E">
      <w:pPr>
        <w:spacing w:line="360" w:lineRule="auto"/>
        <w:ind w:firstLine="435"/>
        <w:rPr>
          <w:rFonts w:hint="eastAsia" w:asciiTheme="minorEastAsia" w:hAnsiTheme="minorEastAsia" w:eastAsiaTheme="minorEastAsia"/>
          <w:color w:val="auto"/>
          <w:sz w:val="24"/>
          <w:highlight w:val="none"/>
        </w:rPr>
      </w:pPr>
    </w:p>
    <w:p w14:paraId="47EAAAFC">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附件</w:t>
      </w:r>
      <w:r>
        <w:rPr>
          <w:rFonts w:ascii="Times New Roman" w:hAnsi="Times New Roman" w:eastAsia="宋体" w:cs="Times New Roman"/>
          <w:b/>
          <w:color w:val="auto"/>
          <w:sz w:val="28"/>
          <w:szCs w:val="28"/>
          <w:highlight w:val="none"/>
        </w:rPr>
        <w:t>1</w:t>
      </w:r>
    </w:p>
    <w:p w14:paraId="0D61CCA0">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rPr>
        <w:t>关于联合惩戒失信行为 加强信用查询管理的通知</w:t>
      </w:r>
    </w:p>
    <w:p w14:paraId="4B3461F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73C9222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在我市公共资源交易活动中对存在下列失信行为的投标人、法定代表人及其项目经理（建造师）实施联合惩戒，禁止参与我市公共资源交易活动。</w:t>
      </w:r>
    </w:p>
    <w:p w14:paraId="29F4635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（一）工程建设项目</w:t>
      </w:r>
    </w:p>
    <w:p w14:paraId="74984E65">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6E75D94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204641F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482219D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③投标人被人力资源社会保障主管部门列入拖欠农民工工资“黑名单”的；</w:t>
      </w:r>
    </w:p>
    <w:p w14:paraId="13469E5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④在“信用中国”网站上披露的仍在公示期的严重失信行为的。</w:t>
      </w:r>
    </w:p>
    <w:p w14:paraId="5EA8EB0E">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24E5D1E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004A58D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3、滁州市公共资源交易中心网站（http://ggzy.chuzhou.gov.cn/）查询以下失信行为：</w:t>
      </w:r>
    </w:p>
    <w:p w14:paraId="2DF0130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①被滁州市县两级公管部门取消在一定期限内的投标资格且在取消期限内的；</w:t>
      </w:r>
    </w:p>
    <w:p w14:paraId="5DCC7B4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②被滁州市县两级公管部门记入不良行为记录或者信用信息记录，且在披露期内的。</w:t>
      </w:r>
    </w:p>
    <w:p w14:paraId="6EB05E6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0887356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44653D1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②被滁州市县两级各行业主管部门取消在一定期限内的投标资格且在取消期限内的；</w:t>
      </w:r>
    </w:p>
    <w:p w14:paraId="4BE54CC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③因拖欠农民工工资被县级及以上有关行政主管部门限制投标资格且在限制期限内的；</w:t>
      </w:r>
    </w:p>
    <w:p w14:paraId="5B5CAA4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1541E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（二）政府采购项目</w:t>
      </w:r>
    </w:p>
    <w:p w14:paraId="01D0E2F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14419B2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496B2D6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73C7E5E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③在“信用中国”网站上披露的仍在公示期的严重失信行为的。</w:t>
      </w:r>
    </w:p>
    <w:p w14:paraId="305B4090">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4464573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0826EE6F">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3、中国政府采购网站（www.ccgp.gov.cn）查询以下失信行为：</w:t>
      </w:r>
    </w:p>
    <w:p w14:paraId="1D77F4F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①政府采购严重违法失信行为</w:t>
      </w:r>
    </w:p>
    <w:p w14:paraId="078B564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6C7A7ED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7071F22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二、在开评标活动中的查询程序</w:t>
      </w:r>
    </w:p>
    <w:p w14:paraId="4693298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26FBDB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0A14BA8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3、项目单位及其委托的代理机构应当做好信用查询结果截图和记录留存。</w:t>
      </w:r>
    </w:p>
    <w:p w14:paraId="2B84D24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三、相关要求</w:t>
      </w:r>
    </w:p>
    <w:p w14:paraId="5072762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4142771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6B0106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3769CBE">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2、“信用中国”查询的严重失信行为判定依据为各行业主管部门下发的联合惩戒文件中规定的行为（按附件2执行）。</w:t>
      </w:r>
    </w:p>
    <w:p w14:paraId="2BEC677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3、资格预审的项目以递交资格预审申请文件截止时间查询为准；资格后审的项目以递交投标文件截止时间查询为准。</w:t>
      </w:r>
    </w:p>
    <w:p w14:paraId="7C89CA86">
      <w:pPr>
        <w:spacing w:line="440" w:lineRule="exact"/>
        <w:rPr>
          <w:rFonts w:hint="eastAsia" w:ascii="宋体" w:hAnsi="宋体" w:eastAsia="宋体" w:cs="宋体"/>
          <w:b/>
          <w:color w:val="auto"/>
          <w:sz w:val="24"/>
          <w:szCs w:val="24"/>
          <w:highlight w:val="none"/>
        </w:rPr>
      </w:pPr>
    </w:p>
    <w:p w14:paraId="260348CF">
      <w:pPr>
        <w:pStyle w:val="27"/>
        <w:widowControl/>
        <w:spacing w:beforeAutospacing="1"/>
        <w:rPr>
          <w:rFonts w:eastAsia="宋体"/>
          <w:color w:val="auto"/>
          <w:highlight w:val="none"/>
        </w:rPr>
      </w:pPr>
    </w:p>
    <w:p w14:paraId="36B08DB3">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w:t>
      </w:r>
      <w:r>
        <w:rPr>
          <w:rFonts w:ascii="Times New Roman" w:hAnsi="Times New Roman" w:eastAsia="宋体" w:cs="Times New Roman"/>
          <w:b/>
          <w:color w:val="auto"/>
          <w:sz w:val="24"/>
          <w:szCs w:val="24"/>
          <w:highlight w:val="none"/>
        </w:rPr>
        <w:t>2</w:t>
      </w:r>
    </w:p>
    <w:p w14:paraId="00A3BEF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“信用中国”查询的严重失信行为类别及判定依据</w:t>
      </w:r>
    </w:p>
    <w:p w14:paraId="4FB3A13C">
      <w:pPr>
        <w:spacing w:line="440" w:lineRule="exact"/>
        <w:jc w:val="center"/>
        <w:rPr>
          <w:rFonts w:hint="eastAsia" w:ascii="宋体" w:hAnsi="宋体" w:eastAsia="宋体" w:cs="宋体"/>
          <w:b/>
          <w:color w:val="auto"/>
          <w:sz w:val="24"/>
          <w:szCs w:val="24"/>
          <w:highlight w:val="none"/>
        </w:rPr>
      </w:pPr>
    </w:p>
    <w:p w14:paraId="30750F5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“信用中国”查询的严重失信行为判定依据为各行业主管部门下发的联合惩戒文件中规定的行为。下面将部分类别的严重失信行为列举如下：</w:t>
      </w:r>
    </w:p>
    <w:p w14:paraId="79CA455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0310F331">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一、安全生产领域严重失信行为：</w:t>
      </w:r>
    </w:p>
    <w:p w14:paraId="24F4CD3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（一）发生较大及以上生产安全责任事故，或1年内累计发生3起及以上造成人员死亡的一般生产安全责任事故的；</w:t>
      </w:r>
    </w:p>
    <w:p w14:paraId="6CDCF9F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（二）未按规定取得安全生产许可，擅自开展生产经营建设活动的；</w:t>
      </w:r>
    </w:p>
    <w:p w14:paraId="4E9D2CA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（三）发现重大生产安全事故隐患，或职业病危害严重超标，不及时整改，仍组织从业人员冒险作业的；</w:t>
      </w:r>
    </w:p>
    <w:p w14:paraId="25C191C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（四）采取隐蔽、欺骗或阻碍等方式逃避、对抗安全监管监察的;</w:t>
      </w:r>
    </w:p>
    <w:p w14:paraId="2CB3C70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（五）被责令停产停业整顿，仍然从事生产经营建设活动的；</w:t>
      </w:r>
    </w:p>
    <w:p w14:paraId="5D3B767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（六）瞒报、谎报、迟报生产安全事故的；</w:t>
      </w:r>
    </w:p>
    <w:p w14:paraId="2B6DF04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（七）矿山、危险化学品、金属冶炼等高危行业建设项目安全设施未经验收合格即投入生产和使用的；</w:t>
      </w:r>
    </w:p>
    <w:p w14:paraId="5F821BF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（八）矿山生产经营单位存在超层越界开采、以探代采行为的；</w:t>
      </w:r>
    </w:p>
    <w:p w14:paraId="26A0C93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（九）发生事故后，故意破坏事故现场，伪造有关证据资料，妨碍、对抗事故调查，或主要负责人逃逸的；</w:t>
      </w:r>
    </w:p>
    <w:p w14:paraId="49E7060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（十）安全生产和职业健康技术服务机构出具虚假报告或证明，违规转让或出借资质的。</w:t>
      </w:r>
    </w:p>
    <w:p w14:paraId="6F9BBDA8">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依据：《对安全生产领域失信行为开展联合惩戒的实施办法》（安监总办〔2017〕49号）第二条</w:t>
      </w:r>
    </w:p>
    <w:p w14:paraId="4209D888">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00A9B7B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二、环境保护领域严重失信行为：</w:t>
      </w:r>
    </w:p>
    <w:p w14:paraId="300288B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（一）因为环境违法构成环境犯罪的；</w:t>
      </w:r>
    </w:p>
    <w:p w14:paraId="66F5925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（二）建设项目环境影响评价文件未按规定通过审批，擅自开工建设的；</w:t>
      </w:r>
    </w:p>
    <w:p w14:paraId="40526EB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（三）建设项目环保设施未建成、环保措施未落实、未通过竣工环保验收或者验收不合格，主体工程正式投入生产或者使用的；</w:t>
      </w:r>
    </w:p>
    <w:p w14:paraId="7EB7EE2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（四）建设项目性质、规模、地点、采用的生产工艺或者防治污染、防止生态破坏的措施发生重大变动，未重新报批环境影响评价文件，擅自投入生产或者使用的；</w:t>
      </w:r>
    </w:p>
    <w:p w14:paraId="62F77F8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（五）主要污染物排放总量超过控制指标的；</w:t>
      </w:r>
    </w:p>
    <w:p w14:paraId="76F47F2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（六）私设暗管或者利用渗井、渗坑、裂隙、溶洞等排放、倾倒、处置水污染物，或者通过私设旁路排放大气污染物的；</w:t>
      </w:r>
    </w:p>
    <w:p w14:paraId="7BD8E8E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（七）非法排放、倾倒、处置危险废物，或者向无经营许可证或者超出经营许可范围的单位或个人提供或者委托其收集、贮存、利用、处置危险废物的；</w:t>
      </w:r>
    </w:p>
    <w:p w14:paraId="16CC1BF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（八）环境违法行为造成集中式生活饮用水水源取水中断的；</w:t>
      </w:r>
    </w:p>
    <w:p w14:paraId="0BB2121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（九）环境违法行为对生活饮用水水源保护区、自然保护区、国家重点生态功能区、风景名胜区、居住功能区、基本农田保护区等环境敏感区造成重大不利影响的；</w:t>
      </w:r>
    </w:p>
    <w:p w14:paraId="19110E1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（十）违法从事自然资源开发、交通基础设施建设，以及其他开发建设活动，造成严重生态破坏的；</w:t>
      </w:r>
    </w:p>
    <w:p w14:paraId="4EA6065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（十一）发生较大及以上突发环境事件的；</w:t>
      </w:r>
    </w:p>
    <w:p w14:paraId="30AA8D6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（十二）被环保部门挂牌督办，整改逾期未完成的；</w:t>
      </w:r>
    </w:p>
    <w:p w14:paraId="3807259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（十三）以暴力、威胁等方式拒绝、阻挠环保部门工作人员现场检查的；</w:t>
      </w:r>
    </w:p>
    <w:p w14:paraId="2BD2BA3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（十四）违反重污染天气应急预案有关规定，对重污染天气响应不力的。</w:t>
      </w:r>
    </w:p>
    <w:p w14:paraId="24E6F43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依据：《关于对环境保护领域失信生产经营单位及其有关人员开展联合惩戒的合作备忘录》、《企业环境信用评价办法（试行）》（环发〔2013〕150号）</w:t>
      </w:r>
    </w:p>
    <w:p w14:paraId="268B3FB3">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7A045FD1">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三、公共资源交易领域严重失信行为</w:t>
      </w:r>
    </w:p>
    <w:p w14:paraId="0B000D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（一）违反法律规定，必须进行招标的项目而不招标的，将必须进行招标的项目化整为零或者以其他任何方式规避招标的；</w:t>
      </w:r>
    </w:p>
    <w:p w14:paraId="6CAE9E3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（二）招标代理机构违反法律规定，泄露应当保密的与招标投标活动有关的情况和资料的，或者与招标人、投标人串通损害国家利益、社会公共利益或者他人合法权益的；</w:t>
      </w:r>
    </w:p>
    <w:p w14:paraId="2E7CA20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（三）招标人以不合理的条件限制或者排斥潜在投标人的，对潜在投标人实行歧视待遇的，强制要求投标人组成联合体共同投标的，或者限制投标人之间竞争的；</w:t>
      </w:r>
    </w:p>
    <w:p w14:paraId="3745F776">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（四）依法必须进行招标的项目的招标人向他人透露已获取招标文件的潜在投标人的名称、数量或者可能影响公平竞争的有关招标投标的其他情况的，或者泄露标底的；</w:t>
      </w:r>
    </w:p>
    <w:p w14:paraId="747585D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（五）投标人相互串通投标或者与招标人串通投标的，投标人以向招标人或者评标委员会成员行贿的手段谋取中标的；</w:t>
      </w:r>
    </w:p>
    <w:p w14:paraId="6F02E26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（六）投标人以他人名义投标或者以其他方式弄虚作假，骗取中标的；</w:t>
      </w:r>
    </w:p>
    <w:p w14:paraId="2BB6035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（七）依法必须进行招标的项目，招标人违反法律规定，与投标人就投标价格、投标方案等实质性内容进行谈判的；</w:t>
      </w:r>
    </w:p>
    <w:p w14:paraId="5AD4449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（八）评标委员会成员收受投标人的财物或者其他好处的，评标委员会成员或者参加评标的有关工作人员向他人透露对投标文件的评审和比较、中标候选人的推荐以及与评标有关的其他情况的；</w:t>
      </w:r>
    </w:p>
    <w:p w14:paraId="6ABE39B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（九）招标人在评标委员会依法推荐的中标候选人以外确定中标人的，依法必须进行招标的项目在所有投标被评标委员会否决后自行确定中标人的；</w:t>
      </w:r>
    </w:p>
    <w:p w14:paraId="7DB1E88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（十）中标人将中标项目转让给他人的，将中标项目肢解后分别转让给他人的，违反法律规定将中标项目的部分主体、关键性工作分包给他人的，或者分包人再次分包的；</w:t>
      </w:r>
    </w:p>
    <w:p w14:paraId="7E3D987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（十一）招标人与中标人不按照招标文件和中标人的投标文件订立合同的，或者招标人、中标人订立背离合同实质性内容的协议的；</w:t>
      </w:r>
    </w:p>
    <w:p w14:paraId="072DC5A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（十二）中标人不按照与招标人订立的合同履行义务，情节严重的；</w:t>
      </w:r>
    </w:p>
    <w:p w14:paraId="534A91A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108E9644">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7B0E966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（十五）采购人对应当实行集中采购的政府采购项目，不委托集中采购机构实行集中采购的；</w:t>
      </w:r>
    </w:p>
    <w:p w14:paraId="1A60FDF8">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（十六）采购人、采购代理机构违反法律规定隐匿、销毁应当保存的采购文件或者伪造、变造采购文件的；</w:t>
      </w:r>
    </w:p>
    <w:p w14:paraId="4A22B261">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14:paraId="7DB2B96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（十八）疫苗生产企业向县级疾病预防控制机构以外的单位或者个人销售第二类疫苗的；</w:t>
      </w:r>
    </w:p>
    <w:p w14:paraId="6302DA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（十九）存在其他违反公共资源交易法律法规行为的。</w:t>
      </w:r>
    </w:p>
    <w:p w14:paraId="5DF8817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依据：《关于对公共资源交易领域严重失信主体开展联合惩戒的备忘录》（发改法规〔2018〕457号）</w:t>
      </w:r>
    </w:p>
    <w:p w14:paraId="2725CB0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36D40EF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四、社会保险领域严重失信行为</w:t>
      </w:r>
    </w:p>
    <w:p w14:paraId="052006D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（一）用人单位未按相关规定参加社会保险且拒不整改的； </w:t>
      </w:r>
    </w:p>
    <w:p w14:paraId="561B61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（二）用人单位未如实申报社会保险缴费基数且拒不整改的； </w:t>
      </w:r>
    </w:p>
    <w:p w14:paraId="31FFE72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（三）应缴纳社会保险费却拒不缴纳的； </w:t>
      </w:r>
    </w:p>
    <w:p w14:paraId="6F6EFF8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（四）隐匿、转移、侵占、挪用社会保险费款、基金或者违规投资运营的；</w:t>
      </w:r>
    </w:p>
    <w:p w14:paraId="6922786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（五）以欺诈、伪造证明材料或者其他手段参加、申报社会保险和骗取社会保险基金支出或社会保险待遇的； </w:t>
      </w:r>
    </w:p>
    <w:p w14:paraId="2D10206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（六）非法获取、出售或变相交易社会保险个人权益数据的； </w:t>
      </w:r>
    </w:p>
    <w:p w14:paraId="506DE4E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（七）社会保险服务机构违反服务协议或相关规定的； </w:t>
      </w:r>
    </w:p>
    <w:p w14:paraId="283C40B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00F6B58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（九）其他违反法律法规规定的。</w:t>
      </w:r>
    </w:p>
    <w:p w14:paraId="1A9C2A7B">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依据：《关于对社会保险领域严重失信企业及其有关人员实施联合惩戒的合作备忘录》（发改财金〔2018〕1704号）</w:t>
      </w:r>
    </w:p>
    <w:p w14:paraId="48F405C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3881EF2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五、建筑市场领域严重失信行为</w:t>
      </w:r>
    </w:p>
    <w:p w14:paraId="1D51625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（一）利用虚假材料、以欺骗手段取得企业资质的；</w:t>
      </w:r>
    </w:p>
    <w:p w14:paraId="1332C3D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（二）发生转包、出借资质，受到行政处罚的；</w:t>
      </w:r>
    </w:p>
    <w:p w14:paraId="1ADC7BD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6D98C89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（四）经法院判决或仲裁机构裁决，认定为拖欠工程款,且拒不履行生效法律文书确定的义务的。</w:t>
      </w:r>
    </w:p>
    <w:p w14:paraId="7E385A2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各级住房城乡建设主管部门应当参照建筑市场主体“黑名单”，对被人力资源社会保障行政部门列入拖欠农民工工资“黑名单”的建筑市场各方主体加强监管。</w:t>
      </w:r>
    </w:p>
    <w:p w14:paraId="795C389A">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依据：《建筑市场信用管理暂行办法》（建市〔2017〕241号）</w:t>
      </w:r>
    </w:p>
    <w:p w14:paraId="7FD4570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1A84910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六、政府采购严重失信行为</w:t>
      </w:r>
    </w:p>
    <w:p w14:paraId="4B94510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供应商、采购代理机构在三年内受到财政部门作出下列情形之一的行政处罚，列入政府采购严重违法失信行为记录名单。</w:t>
      </w:r>
    </w:p>
    <w:p w14:paraId="65840A1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（一）三万元以上罚款；</w:t>
      </w:r>
    </w:p>
    <w:p w14:paraId="15F8EB9F">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（二）在一至三年内禁止参加政府采购活动（处罚期限届满的除外）；</w:t>
      </w:r>
    </w:p>
    <w:p w14:paraId="34EACDE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（三）在一至三年内禁止代理政府采购业务（处罚期限届满的除外）；</w:t>
      </w:r>
    </w:p>
    <w:p w14:paraId="6A4D027F">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（四）撤销政府采购代理机构资格（仅针对《政府采购法》第78条修改前作出的处罚决定）。。</w:t>
      </w:r>
    </w:p>
    <w:p w14:paraId="48FBAB6B">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依据：《关于报送政府采购严重违法失信行为信息记录的通知》（财办库〔2014〕526号）</w:t>
      </w:r>
    </w:p>
    <w:p w14:paraId="519B411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530A8B5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七、水利建设领域严重失信行为</w:t>
      </w:r>
    </w:p>
    <w:p w14:paraId="0AAF41C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（一）1年内不良行为记录累计扣分达到20分的；</w:t>
      </w:r>
    </w:p>
    <w:p w14:paraId="258FB7A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（二）"重点关注名单"公开期满后仍不整改的；</w:t>
      </w:r>
    </w:p>
    <w:p w14:paraId="48DD7CD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（三）存在以下严重危害人民群众身体健康、生命安全和工程质量，以及特别严重违规行为之一的：</w:t>
      </w:r>
    </w:p>
    <w:p w14:paraId="70F4B6E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1.发生重大、特大质量或安全事故，并负有直接责任的；</w:t>
      </w:r>
    </w:p>
    <w:p w14:paraId="1243A983">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2.在单位公开信息、工程相关技术成果和工程建设过程中隐瞒真实情况、弄虚作假，提供虚假材料，谋取不正当利益的；</w:t>
      </w:r>
    </w:p>
    <w:p w14:paraId="1E4145D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3.违反有关法律、法规、规章、政策、技术标准、设计文件、合同等有关规定开展工作造成的工程质量问题，经处理后仍影响工程正常使用或减少工程使用寿命的；</w:t>
      </w:r>
    </w:p>
    <w:p w14:paraId="4634F8D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4.违反规定施工，造成生态环境严重破坏且拒不修复的；</w:t>
      </w:r>
    </w:p>
    <w:p w14:paraId="2F231C1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5.被证实恶意制造工程质量缺陷或质量隐患的；</w:t>
      </w:r>
    </w:p>
    <w:p w14:paraId="55DBB24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6.其他违反法律法规，造成严重后果或社会危害较大的。</w:t>
      </w:r>
    </w:p>
    <w:p w14:paraId="0E4C564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（四）存在以下严重破坏市场公平竞争秩序和社会正常秩序行为之一的：</w:t>
      </w:r>
    </w:p>
    <w:p w14:paraId="667852D6">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1.不按合同约定，恶意拖欠承包人项目款的；</w:t>
      </w:r>
    </w:p>
    <w:p w14:paraId="0443238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2.隐瞒有关情况或者提供虚假材料申请资质的，在全国水利建设市场监管服务平台公开虚假信息的，以欺骗、贿赂等不正当手段取得资质等级证书的；</w:t>
      </w:r>
    </w:p>
    <w:p w14:paraId="69666BA8">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3.出借、借用资质证书,允许他人以本单位名义或借用他人名义等弄虚作假方式承揽业务的；</w:t>
      </w:r>
    </w:p>
    <w:p w14:paraId="5F379C9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4.未取得相应资质或超越资质证书核定范围、营业范围承揽业务的；</w:t>
      </w:r>
    </w:p>
    <w:p w14:paraId="6F56E6C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5.操纵招标过程，谋取不正当利益的；</w:t>
      </w:r>
    </w:p>
    <w:p w14:paraId="1DF2782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6.与招标人或投标人串通投标的；</w:t>
      </w:r>
    </w:p>
    <w:p w14:paraId="74D6952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7.以向招标人或评标委员会成员行贿的手段谋取中标的；</w:t>
      </w:r>
    </w:p>
    <w:p w14:paraId="7DDF933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8.中标后，无正当理由不签订合同的；</w:t>
      </w:r>
    </w:p>
    <w:p w14:paraId="2096461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9.转包或违法分包所承揽业务的；</w:t>
      </w:r>
    </w:p>
    <w:p w14:paraId="3E60EC5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10.弄虚作假，以欺诈手段降低工程或设备质量的；</w:t>
      </w:r>
    </w:p>
    <w:p w14:paraId="4F9673F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11.单位行贿、受贿，受到刑事处罚的；</w:t>
      </w:r>
    </w:p>
    <w:p w14:paraId="45540D0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12.逃税骗税、恶意逃废债务的；</w:t>
      </w:r>
    </w:p>
    <w:p w14:paraId="55E2D79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13.参与非法集资，受到刑事处罚的；</w:t>
      </w:r>
    </w:p>
    <w:p w14:paraId="697CFE5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14.在签订、履行合同过程中，存在合同欺诈行为，受到刑事处罚的；</w:t>
      </w:r>
    </w:p>
    <w:p w14:paraId="351EDF7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15.虚构工程项目，套取资金的；</w:t>
      </w:r>
    </w:p>
    <w:p w14:paraId="42F8BC7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16.克扣、无故拖欠农民工工资报酬，数额达到认定拒不支付劳动报酬罪数额标准的；</w:t>
      </w:r>
    </w:p>
    <w:p w14:paraId="49100F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17.发生社会公共事件，影响较大，并负有直接责任的。</w:t>
      </w:r>
    </w:p>
    <w:p w14:paraId="0433D3A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（五）存在以下拒不履行法定义务，严重影响司法机关、行政机关公信力行为之一的：</w:t>
      </w:r>
    </w:p>
    <w:p w14:paraId="5DFFF74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1.发生事故拒绝接受调查或拒绝提供有关资料的；</w:t>
      </w:r>
    </w:p>
    <w:p w14:paraId="6080308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2.拒不执行生效的行政处罚决定的；</w:t>
      </w:r>
    </w:p>
    <w:p w14:paraId="2A7480E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3.拒不执行仲裁、法院判决结果的。</w:t>
      </w:r>
    </w:p>
    <w:p w14:paraId="026FD37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（六）被相关联合惩戒部门列入"黑名单"，符合联合惩戒措施的。</w:t>
      </w:r>
    </w:p>
    <w:p w14:paraId="2F83AA93">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生产建设项目水土保持市场主体"黑名单"列入标准见《水利建设市场主体信用信息管理办法》附件。</w:t>
      </w:r>
    </w:p>
    <w:p w14:paraId="4ECBE8CA">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依据：《水利建设市场主体信用评价管理办法》水建设〔2019〕307号、《水利建设市场主体信用信息管理办法》水建设〔2019〕306号</w:t>
      </w:r>
    </w:p>
    <w:p w14:paraId="4B9D7263">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p>
    <w:p w14:paraId="23150FCF">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b/>
          <w:bCs/>
          <w:color w:val="auto"/>
          <w:kern w:val="0"/>
          <w:sz w:val="24"/>
          <w:szCs w:val="24"/>
          <w:highlight w:val="none"/>
        </w:rPr>
        <w:t>未列出的其他类别严重失信行为，由招标人（代理机构）根据各类别行业主管部门下发的联合惩戒文件进行判断</w:t>
      </w:r>
      <w:r>
        <w:rPr>
          <w:rFonts w:hint="eastAsia" w:ascii="宋体" w:hAnsi="宋体" w:eastAsia="宋体" w:cs="宋体"/>
          <w:b/>
          <w:color w:val="auto"/>
          <w:sz w:val="24"/>
          <w:highlight w:val="none"/>
        </w:rPr>
        <w:t>。</w:t>
      </w:r>
    </w:p>
    <w:bookmarkEnd w:id="225"/>
    <w:sectPr>
      <w:headerReference r:id="rId5" w:type="default"/>
      <w:footerReference r:id="rId6"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9E6B">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0B02">
    <w:pPr>
      <w:spacing w:line="189" w:lineRule="auto"/>
      <w:ind w:left="4430"/>
      <w:rPr>
        <w:rFonts w:hint="eastAsia" w:cs="@仿宋_GB2312" w:asciiTheme="minorEastAsia" w:hAnsiTheme="minorEastAsia" w:eastAsiaTheme="minorEastAsia"/>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FBB9F">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BFBB9F">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B993">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D81F">
    <w:pPr>
      <w:pStyle w:val="19"/>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223C"/>
    <w:multiLevelType w:val="singleLevel"/>
    <w:tmpl w:val="BCA2223C"/>
    <w:lvl w:ilvl="0" w:tentative="0">
      <w:start w:val="2"/>
      <w:numFmt w:val="decimal"/>
      <w:suff w:val="nothing"/>
      <w:lvlText w:val="（%1）"/>
      <w:lvlJc w:val="left"/>
    </w:lvl>
  </w:abstractNum>
  <w:abstractNum w:abstractNumId="1">
    <w:nsid w:val="2323379E"/>
    <w:multiLevelType w:val="multilevel"/>
    <w:tmpl w:val="2323379E"/>
    <w:lvl w:ilvl="0" w:tentative="0">
      <w:start w:val="1"/>
      <w:numFmt w:val="chineseCountingThousand"/>
      <w:pStyle w:val="25"/>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5BF1420"/>
    <w:rsid w:val="078220FB"/>
    <w:rsid w:val="09C30F57"/>
    <w:rsid w:val="0A3B3C8B"/>
    <w:rsid w:val="0B45552B"/>
    <w:rsid w:val="0BF263F6"/>
    <w:rsid w:val="0CF629FC"/>
    <w:rsid w:val="0D596940"/>
    <w:rsid w:val="0D7E0499"/>
    <w:rsid w:val="0D981BB8"/>
    <w:rsid w:val="0F3932BC"/>
    <w:rsid w:val="105E794E"/>
    <w:rsid w:val="106B05B6"/>
    <w:rsid w:val="119360D6"/>
    <w:rsid w:val="11EB3D39"/>
    <w:rsid w:val="1354798A"/>
    <w:rsid w:val="137B35AF"/>
    <w:rsid w:val="14782AA2"/>
    <w:rsid w:val="149A64B1"/>
    <w:rsid w:val="1505027F"/>
    <w:rsid w:val="15134287"/>
    <w:rsid w:val="16CE15A3"/>
    <w:rsid w:val="177B0705"/>
    <w:rsid w:val="17A4173D"/>
    <w:rsid w:val="1A324115"/>
    <w:rsid w:val="1A540717"/>
    <w:rsid w:val="1CAF384D"/>
    <w:rsid w:val="1D814AA5"/>
    <w:rsid w:val="1DB84F1E"/>
    <w:rsid w:val="1DD73BCF"/>
    <w:rsid w:val="1EB6048B"/>
    <w:rsid w:val="1EF65EF6"/>
    <w:rsid w:val="1F234C0C"/>
    <w:rsid w:val="210755B4"/>
    <w:rsid w:val="22FB276D"/>
    <w:rsid w:val="2446477A"/>
    <w:rsid w:val="249D2C56"/>
    <w:rsid w:val="25566745"/>
    <w:rsid w:val="261F6D61"/>
    <w:rsid w:val="28386F2E"/>
    <w:rsid w:val="28AA1076"/>
    <w:rsid w:val="28EA52FA"/>
    <w:rsid w:val="29107F53"/>
    <w:rsid w:val="2AF730C2"/>
    <w:rsid w:val="2BA57BBC"/>
    <w:rsid w:val="2BEE4B94"/>
    <w:rsid w:val="2CE37EB5"/>
    <w:rsid w:val="2D113502"/>
    <w:rsid w:val="2DE86E74"/>
    <w:rsid w:val="2F2470D2"/>
    <w:rsid w:val="2F5B716B"/>
    <w:rsid w:val="307A0C5E"/>
    <w:rsid w:val="31A751BC"/>
    <w:rsid w:val="3252638A"/>
    <w:rsid w:val="33057DFC"/>
    <w:rsid w:val="337203AE"/>
    <w:rsid w:val="343B3DBB"/>
    <w:rsid w:val="36000CFE"/>
    <w:rsid w:val="36C2526A"/>
    <w:rsid w:val="376641A4"/>
    <w:rsid w:val="3811168E"/>
    <w:rsid w:val="38D41769"/>
    <w:rsid w:val="39A42568"/>
    <w:rsid w:val="3A022862"/>
    <w:rsid w:val="3B3A3330"/>
    <w:rsid w:val="3B537311"/>
    <w:rsid w:val="3BBF0A71"/>
    <w:rsid w:val="3D1E454A"/>
    <w:rsid w:val="3F2324C1"/>
    <w:rsid w:val="41221750"/>
    <w:rsid w:val="42124D27"/>
    <w:rsid w:val="422549D8"/>
    <w:rsid w:val="43885228"/>
    <w:rsid w:val="44AA183B"/>
    <w:rsid w:val="44DD67C7"/>
    <w:rsid w:val="45690CD5"/>
    <w:rsid w:val="45952195"/>
    <w:rsid w:val="488302E7"/>
    <w:rsid w:val="4BD97CE6"/>
    <w:rsid w:val="4BDD4185"/>
    <w:rsid w:val="4C6729B1"/>
    <w:rsid w:val="4D2D3004"/>
    <w:rsid w:val="4D424C15"/>
    <w:rsid w:val="4DBF2D2F"/>
    <w:rsid w:val="4F0831A5"/>
    <w:rsid w:val="4F771487"/>
    <w:rsid w:val="517B52CE"/>
    <w:rsid w:val="522E0650"/>
    <w:rsid w:val="56866803"/>
    <w:rsid w:val="56F1196D"/>
    <w:rsid w:val="59282FEE"/>
    <w:rsid w:val="5AFE591D"/>
    <w:rsid w:val="5CFE3670"/>
    <w:rsid w:val="5D7B027C"/>
    <w:rsid w:val="5E131117"/>
    <w:rsid w:val="5E4E4E2C"/>
    <w:rsid w:val="5FE91B00"/>
    <w:rsid w:val="60956786"/>
    <w:rsid w:val="617A39AA"/>
    <w:rsid w:val="61876A50"/>
    <w:rsid w:val="62EA5F8F"/>
    <w:rsid w:val="633352E7"/>
    <w:rsid w:val="63576604"/>
    <w:rsid w:val="642B3B2B"/>
    <w:rsid w:val="68682E9A"/>
    <w:rsid w:val="69B52012"/>
    <w:rsid w:val="6A942F72"/>
    <w:rsid w:val="6C43379D"/>
    <w:rsid w:val="6E292BB9"/>
    <w:rsid w:val="6E4F3D89"/>
    <w:rsid w:val="70142E12"/>
    <w:rsid w:val="705C5240"/>
    <w:rsid w:val="72633030"/>
    <w:rsid w:val="72E12639"/>
    <w:rsid w:val="731A4031"/>
    <w:rsid w:val="74162BD4"/>
    <w:rsid w:val="749156AA"/>
    <w:rsid w:val="755F0D14"/>
    <w:rsid w:val="757177C2"/>
    <w:rsid w:val="76940F17"/>
    <w:rsid w:val="77577866"/>
    <w:rsid w:val="78E41947"/>
    <w:rsid w:val="79312F71"/>
    <w:rsid w:val="794A3C60"/>
    <w:rsid w:val="797E3D39"/>
    <w:rsid w:val="79D9001D"/>
    <w:rsid w:val="7A4A3CF9"/>
    <w:rsid w:val="7BAB6A04"/>
    <w:rsid w:val="7D776DF5"/>
    <w:rsid w:val="7F5D4FE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szCs w:val="20"/>
    </w:rPr>
  </w:style>
  <w:style w:type="paragraph" w:styleId="7">
    <w:name w:val="toc 7"/>
    <w:basedOn w:val="1"/>
    <w:next w:val="1"/>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60"/>
    <w:autoRedefine/>
    <w:qFormat/>
    <w:uiPriority w:val="0"/>
    <w:pPr>
      <w:jc w:val="left"/>
    </w:pPr>
    <w:rPr>
      <w:rFonts w:ascii="Arial" w:hAnsi="Arial" w:eastAsia="黑体" w:cs="Arial"/>
    </w:rPr>
  </w:style>
  <w:style w:type="paragraph" w:styleId="10">
    <w:name w:val="Body Text"/>
    <w:basedOn w:val="1"/>
    <w:link w:val="69"/>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49"/>
    <w:autoRedefine/>
    <w:qFormat/>
    <w:uiPriority w:val="99"/>
    <w:rPr>
      <w:rFonts w:ascii="宋体" w:hAnsi="Courier New" w:eastAsiaTheme="minorEastAsia" w:cstheme="minorBidi"/>
      <w:szCs w:val="22"/>
    </w:rPr>
  </w:style>
  <w:style w:type="paragraph" w:styleId="15">
    <w:name w:val="Date"/>
    <w:basedOn w:val="1"/>
    <w:next w:val="1"/>
    <w:link w:val="56"/>
    <w:autoRedefine/>
    <w:qFormat/>
    <w:uiPriority w:val="0"/>
    <w:rPr>
      <w:rFonts w:ascii="Arial" w:hAnsi="Arial" w:eastAsia="宋体" w:cs="Arial"/>
      <w:b/>
      <w:sz w:val="28"/>
    </w:rPr>
  </w:style>
  <w:style w:type="paragraph" w:styleId="16">
    <w:name w:val="Body Text Indent 2"/>
    <w:basedOn w:val="1"/>
    <w:next w:val="1"/>
    <w:qFormat/>
    <w:uiPriority w:val="0"/>
    <w:pPr>
      <w:spacing w:line="360" w:lineRule="exact"/>
      <w:ind w:firstLine="600" w:firstLineChars="250"/>
      <w:jc w:val="left"/>
    </w:pPr>
    <w:rPr>
      <w:rFonts w:ascii="Times New Roman" w:hAnsi="Times New Roman" w:eastAsia="宋体" w:cs="Times New Roman"/>
      <w:sz w:val="24"/>
    </w:rPr>
  </w:style>
  <w:style w:type="paragraph" w:styleId="17">
    <w:name w:val="Balloon Text"/>
    <w:basedOn w:val="1"/>
    <w:link w:val="43"/>
    <w:autoRedefine/>
    <w:semiHidden/>
    <w:unhideWhenUsed/>
    <w:qFormat/>
    <w:uiPriority w:val="99"/>
    <w:rPr>
      <w:sz w:val="18"/>
      <w:szCs w:val="18"/>
    </w:rPr>
  </w:style>
  <w:style w:type="paragraph" w:styleId="18">
    <w:name w:val="footer"/>
    <w:basedOn w:val="1"/>
    <w:link w:val="48"/>
    <w:autoRedefine/>
    <w:unhideWhenUsed/>
    <w:qFormat/>
    <w:uiPriority w:val="99"/>
    <w:pPr>
      <w:tabs>
        <w:tab w:val="center" w:pos="4153"/>
        <w:tab w:val="right" w:pos="8306"/>
      </w:tabs>
      <w:snapToGrid w:val="0"/>
      <w:jc w:val="left"/>
    </w:pPr>
    <w:rPr>
      <w:sz w:val="18"/>
      <w:szCs w:val="18"/>
    </w:rPr>
  </w:style>
  <w:style w:type="paragraph" w:styleId="19">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next w:val="23"/>
    <w:autoRedefine/>
    <w:qFormat/>
    <w:uiPriority w:val="0"/>
    <w:pPr>
      <w:spacing w:before="100" w:beforeAutospacing="1" w:after="100" w:afterAutospacing="1"/>
      <w:jc w:val="left"/>
    </w:pPr>
    <w:rPr>
      <w:rFonts w:cs="Times New Roman"/>
      <w:kern w:val="0"/>
      <w:sz w:val="24"/>
    </w:rPr>
  </w:style>
  <w:style w:type="paragraph" w:customStyle="1" w:styleId="23">
    <w:name w:val="正文文字 8"/>
    <w:basedOn w:val="1"/>
    <w:next w:val="1"/>
    <w:autoRedefine/>
    <w:qFormat/>
    <w:uiPriority w:val="0"/>
    <w:pPr>
      <w:ind w:left="240"/>
    </w:pPr>
    <w:rPr>
      <w:sz w:val="16"/>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6">
    <w:name w:val="Body Text First Indent"/>
    <w:basedOn w:val="10"/>
    <w:autoRedefine/>
    <w:semiHidden/>
    <w:unhideWhenUsed/>
    <w:qFormat/>
    <w:uiPriority w:val="99"/>
    <w:pPr>
      <w:ind w:firstLine="420" w:firstLineChars="100"/>
    </w:pPr>
  </w:style>
  <w:style w:type="paragraph" w:styleId="27">
    <w:name w:val="Body Text First Indent 2"/>
    <w:basedOn w:val="11"/>
    <w:next w:val="1"/>
    <w:qFormat/>
    <w:uiPriority w:val="0"/>
    <w:pPr>
      <w:ind w:firstLine="420" w:firstLineChars="200"/>
    </w:pPr>
    <w:rPr>
      <w:rFonts w:ascii="Times New Roman" w:hAnsi="Times New Roman" w:cs="Times New Roman"/>
      <w:szCs w:val="21"/>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rPr>
      <w:color w:val="D6D6D6"/>
    </w:rPr>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HTML Cite"/>
    <w:basedOn w:val="30"/>
    <w:semiHidden/>
    <w:unhideWhenUsed/>
    <w:qFormat/>
    <w:uiPriority w:val="99"/>
  </w:style>
  <w:style w:type="character" w:styleId="41">
    <w:name w:val="HTML Keyboard"/>
    <w:basedOn w:val="30"/>
    <w:semiHidden/>
    <w:unhideWhenUsed/>
    <w:qFormat/>
    <w:uiPriority w:val="99"/>
    <w:rPr>
      <w:rFonts w:hint="default" w:ascii="monospace" w:hAnsi="monospace" w:eastAsia="monospace" w:cs="monospace"/>
      <w:sz w:val="20"/>
    </w:rPr>
  </w:style>
  <w:style w:type="character" w:styleId="42">
    <w:name w:val="HTML Sample"/>
    <w:basedOn w:val="30"/>
    <w:semiHidden/>
    <w:unhideWhenUsed/>
    <w:qFormat/>
    <w:uiPriority w:val="99"/>
    <w:rPr>
      <w:rFonts w:ascii="monospace" w:hAnsi="monospace" w:eastAsia="monospace" w:cs="monospace"/>
    </w:rPr>
  </w:style>
  <w:style w:type="character" w:customStyle="1" w:styleId="43">
    <w:name w:val="批注框文本 Char"/>
    <w:basedOn w:val="30"/>
    <w:link w:val="17"/>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30"/>
    <w:link w:val="19"/>
    <w:autoRedefine/>
    <w:qFormat/>
    <w:uiPriority w:val="0"/>
    <w:rPr>
      <w:rFonts w:ascii="@仿宋_GB2312" w:hAnsi="@仿宋_GB2312" w:eastAsia="@仿宋_GB2312" w:cs="@仿宋_GB2312"/>
      <w:sz w:val="18"/>
      <w:szCs w:val="18"/>
    </w:rPr>
  </w:style>
  <w:style w:type="character" w:customStyle="1" w:styleId="48">
    <w:name w:val="页脚 Char"/>
    <w:basedOn w:val="30"/>
    <w:link w:val="18"/>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30"/>
    <w:autoRedefine/>
    <w:semiHidden/>
    <w:qFormat/>
    <w:uiPriority w:val="99"/>
    <w:rPr>
      <w:rFonts w:hAnsi="Courier New" w:cs="Courier New" w:asciiTheme="minorEastAsia"/>
      <w:szCs w:val="20"/>
    </w:rPr>
  </w:style>
  <w:style w:type="character" w:customStyle="1" w:styleId="51">
    <w:name w:val="未处理的提及1"/>
    <w:basedOn w:val="30"/>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30"/>
    <w:autoRedefine/>
    <w:semiHidden/>
    <w:qFormat/>
    <w:uiPriority w:val="99"/>
    <w:rPr>
      <w:rFonts w:ascii="@仿宋_GB2312" w:hAnsi="@仿宋_GB2312" w:eastAsia="@仿宋_GB2312" w:cs="@仿宋_GB2312"/>
      <w:szCs w:val="20"/>
    </w:rPr>
  </w:style>
  <w:style w:type="character" w:customStyle="1" w:styleId="56">
    <w:name w:val="日期 Char"/>
    <w:link w:val="15"/>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rPr>
  </w:style>
  <w:style w:type="character" w:customStyle="1" w:styleId="59">
    <w:name w:val="批注文字 Char"/>
    <w:basedOn w:val="30"/>
    <w:autoRedefine/>
    <w:semiHidden/>
    <w:qFormat/>
    <w:uiPriority w:val="99"/>
    <w:rPr>
      <w:rFonts w:ascii="@仿宋_GB2312" w:hAnsi="@仿宋_GB2312" w:eastAsia="@仿宋_GB2312" w:cs="@仿宋_GB2312"/>
      <w:szCs w:val="20"/>
    </w:rPr>
  </w:style>
  <w:style w:type="character" w:customStyle="1" w:styleId="60">
    <w:name w:val="批注文字 Char1"/>
    <w:link w:val="9"/>
    <w:autoRedefine/>
    <w:qFormat/>
    <w:uiPriority w:val="0"/>
    <w:rPr>
      <w:rFonts w:ascii="Arial" w:hAnsi="Arial" w:eastAsia="黑体" w:cs="Arial"/>
      <w:szCs w:val="20"/>
    </w:rPr>
  </w:style>
  <w:style w:type="character" w:customStyle="1" w:styleId="61">
    <w:name w:val="标题 1 Char"/>
    <w:basedOn w:val="30"/>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30"/>
    <w:link w:val="5"/>
    <w:autoRedefine/>
    <w:semiHidden/>
    <w:qFormat/>
    <w:uiPriority w:val="9"/>
    <w:rPr>
      <w:rFonts w:ascii="@仿宋_GB2312" w:hAnsi="@仿宋_GB2312" w:eastAsia="@仿宋_GB2312" w:cs="@仿宋_GB2312"/>
      <w:b/>
      <w:bCs/>
      <w:sz w:val="32"/>
      <w:szCs w:val="32"/>
    </w:rPr>
  </w:style>
  <w:style w:type="character" w:customStyle="1" w:styleId="64">
    <w:name w:val="fontstyle01"/>
    <w:basedOn w:val="30"/>
    <w:autoRedefine/>
    <w:qFormat/>
    <w:uiPriority w:val="0"/>
    <w:rPr>
      <w:rFonts w:hint="eastAsia" w:ascii="宋体" w:hAnsi="宋体" w:eastAsia="宋体"/>
      <w:color w:val="000000"/>
      <w:sz w:val="22"/>
      <w:szCs w:val="22"/>
    </w:rPr>
  </w:style>
  <w:style w:type="character" w:customStyle="1" w:styleId="65">
    <w:name w:val="fontstyle21"/>
    <w:basedOn w:val="30"/>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6"/>
    <w:autoRedefine/>
    <w:qFormat/>
    <w:uiPriority w:val="0"/>
    <w:rPr>
      <w:rFonts w:ascii="@仿宋_GB2312" w:hAnsi="@仿宋_GB2312" w:eastAsia="@仿宋_GB2312" w:cs="@仿宋_GB2312"/>
      <w:b/>
      <w:bCs/>
      <w:sz w:val="28"/>
      <w:szCs w:val="28"/>
    </w:rPr>
  </w:style>
  <w:style w:type="character" w:customStyle="1" w:styleId="69">
    <w:name w:val="正文文本 Char"/>
    <w:basedOn w:val="30"/>
    <w:link w:val="10"/>
    <w:autoRedefine/>
    <w:qFormat/>
    <w:uiPriority w:val="0"/>
    <w:rPr>
      <w:rFonts w:ascii="@微软简标宋" w:hAnsi="@微软简标宋" w:eastAsia="@微软简标宋" w:cs="@微软简标宋"/>
      <w:szCs w:val="24"/>
      <w:lang w:val="zh-CN" w:eastAsia="zh-CN"/>
    </w:rPr>
  </w:style>
  <w:style w:type="table" w:customStyle="1" w:styleId="70">
    <w:name w:val="网格型1"/>
    <w:basedOn w:val="28"/>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 w:val="21"/>
      <w:szCs w:val="21"/>
      <w:lang w:val="en-US" w:eastAsia="en-US" w:bidi="ar-SA"/>
    </w:rPr>
  </w:style>
  <w:style w:type="character" w:customStyle="1" w:styleId="73">
    <w:name w:val="hover"/>
    <w:basedOn w:val="30"/>
    <w:qFormat/>
    <w:uiPriority w:val="0"/>
    <w:rPr>
      <w:color w:val="2590EB"/>
    </w:rPr>
  </w:style>
  <w:style w:type="character" w:customStyle="1" w:styleId="74">
    <w:name w:val="hover1"/>
    <w:basedOn w:val="30"/>
    <w:qFormat/>
    <w:uiPriority w:val="0"/>
    <w:rPr>
      <w:color w:val="2590EB"/>
    </w:rPr>
  </w:style>
  <w:style w:type="character" w:customStyle="1" w:styleId="75">
    <w:name w:val="hover2"/>
    <w:basedOn w:val="30"/>
    <w:qFormat/>
    <w:uiPriority w:val="0"/>
  </w:style>
  <w:style w:type="character" w:customStyle="1" w:styleId="76">
    <w:name w:val="hover3"/>
    <w:basedOn w:val="30"/>
    <w:qFormat/>
    <w:uiPriority w:val="0"/>
    <w:rPr>
      <w:color w:val="2590EB"/>
      <w:shd w:val="clear" w:fill="E9F4FD"/>
    </w:rPr>
  </w:style>
  <w:style w:type="character" w:customStyle="1" w:styleId="77">
    <w:name w:val="first-child"/>
    <w:basedOn w:val="30"/>
    <w:qFormat/>
    <w:uiPriority w:val="0"/>
  </w:style>
  <w:style w:type="character" w:customStyle="1" w:styleId="78">
    <w:name w:val="layui-this"/>
    <w:basedOn w:val="30"/>
    <w:qFormat/>
    <w:uiPriority w:val="0"/>
    <w:rPr>
      <w:bdr w:val="single" w:color="EEEEEE" w:sz="6" w:space="0"/>
      <w:shd w:val="clear" w:fill="FFFFFF"/>
    </w:rPr>
  </w:style>
  <w:style w:type="character" w:customStyle="1" w:styleId="79">
    <w:name w:val="hover4"/>
    <w:basedOn w:val="30"/>
    <w:qFormat/>
    <w:uiPriority w:val="0"/>
    <w:rPr>
      <w:color w:val="2590EB"/>
      <w:shd w:val="clear" w:fill="E9F4FD"/>
    </w:rPr>
  </w:style>
  <w:style w:type="character" w:customStyle="1" w:styleId="80">
    <w:name w:val="mini-outputtext1"/>
    <w:basedOn w:val="30"/>
    <w:qFormat/>
    <w:uiPriority w:val="0"/>
  </w:style>
  <w:style w:type="paragraph" w:customStyle="1" w:styleId="81">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82">
    <w:name w:val="card-title"/>
    <w:basedOn w:val="1"/>
    <w:qFormat/>
    <w:uiPriority w:val="0"/>
    <w:pPr>
      <w:spacing w:line="543" w:lineRule="atLeast"/>
      <w:ind w:right="679"/>
      <w:jc w:val="left"/>
    </w:pPr>
    <w:rPr>
      <w:color w:val="666666"/>
      <w:kern w:val="0"/>
      <w:lang w:val="en-US" w:eastAsia="zh-CN" w:bidi="ar"/>
    </w:rPr>
  </w:style>
  <w:style w:type="paragraph" w:customStyle="1" w:styleId="83">
    <w:name w:val="段"/>
    <w:next w:val="1"/>
    <w:qFormat/>
    <w:uiPriority w:val="0"/>
    <w:pPr>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84">
    <w:name w:val="status"/>
    <w:basedOn w:val="30"/>
    <w:uiPriority w:val="0"/>
    <w:rPr>
      <w:color w:val="0776DD"/>
    </w:rPr>
  </w:style>
  <w:style w:type="character" w:customStyle="1" w:styleId="85">
    <w:name w:val="time"/>
    <w:basedOn w:val="30"/>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56</Pages>
  <Words>26539</Words>
  <Characters>28221</Characters>
  <Lines>206</Lines>
  <Paragraphs>58</Paragraphs>
  <TotalTime>10</TotalTime>
  <ScaleCrop>false</ScaleCrop>
  <LinksUpToDate>false</LinksUpToDate>
  <CharactersWithSpaces>30624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代理</cp:lastModifiedBy>
  <cp:lastPrinted>2019-12-07T15:21:00Z</cp:lastPrinted>
  <dcterms:modified xsi:type="dcterms:W3CDTF">2025-08-29T00:58:58Z</dcterms:modified>
  <cp:revision>3589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6D9C63AD4BAE4DBA93E1C7199DC26730_13</vt:lpwstr>
  </property>
  <property fmtid="{D5CDD505-2E9C-101B-9397-08002B2CF9AE}" pid="4" name="KSOTemplateDocerSaveRecord">
    <vt:lpwstr>eyJoZGlkIjoiOTc5MDNjMmIyODczM2YwMGZkZTNjYWY1NjIxZTY5YjciLCJ1c2VySWQiOiI1MDM3MjkwOTMifQ==</vt:lpwstr>
  </property>
</Properties>
</file>