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F1F6C2">
      <w:pPr>
        <w:spacing w:line="400" w:lineRule="atLeast"/>
        <w:jc w:val="center"/>
        <w:rPr>
          <w:rFonts w:hint="eastAsia" w:ascii="宋体" w:hAnsi="宋体" w:cs="宋体"/>
          <w:b/>
          <w:bCs/>
          <w:color w:val="auto"/>
          <w:spacing w:val="-10"/>
          <w:sz w:val="48"/>
          <w:szCs w:val="48"/>
          <w:highlight w:val="none"/>
          <w:lang w:val="en-US" w:eastAsia="zh-CN"/>
        </w:rPr>
      </w:pPr>
    </w:p>
    <w:p w14:paraId="5997ACA2">
      <w:pPr>
        <w:spacing w:line="400" w:lineRule="atLeast"/>
        <w:jc w:val="center"/>
        <w:rPr>
          <w:rFonts w:hint="default" w:ascii="宋体" w:hAnsi="宋体" w:eastAsia="宋体" w:cs="宋体"/>
          <w:b/>
          <w:bCs/>
          <w:color w:val="auto"/>
          <w:sz w:val="98"/>
          <w:szCs w:val="98"/>
          <w:highlight w:val="none"/>
          <w:lang w:val="en-US"/>
        </w:rPr>
      </w:pPr>
      <w:r>
        <w:rPr>
          <w:rFonts w:hint="eastAsia" w:ascii="宋体" w:hAnsi="宋体" w:cs="宋体"/>
          <w:b/>
          <w:bCs/>
          <w:color w:val="auto"/>
          <w:spacing w:val="-10"/>
          <w:sz w:val="48"/>
          <w:szCs w:val="48"/>
          <w:highlight w:val="none"/>
          <w:lang w:val="en-US" w:eastAsia="zh-CN"/>
        </w:rPr>
        <w:t>2026年校园周边安全护学提升工程（一批次）工程量清单及最高投标限价编制服务项目</w:t>
      </w:r>
    </w:p>
    <w:p w14:paraId="7DC230C6">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7FF27D73">
      <w:pPr>
        <w:wordWrap w:val="0"/>
        <w:spacing w:line="800" w:lineRule="exact"/>
        <w:ind w:right="480"/>
        <w:jc w:val="center"/>
        <w:rPr>
          <w:rFonts w:hint="eastAsia" w:ascii="宋体" w:hAnsi="宋体" w:eastAsia="宋体" w:cs="宋体"/>
          <w:color w:val="auto"/>
          <w:sz w:val="32"/>
          <w:highlight w:val="none"/>
          <w:lang w:val="en-US" w:eastAsia="zh-CN"/>
        </w:rPr>
      </w:pPr>
    </w:p>
    <w:p w14:paraId="6228E25F">
      <w:pPr>
        <w:wordWrap w:val="0"/>
        <w:spacing w:line="800" w:lineRule="exact"/>
        <w:ind w:right="480"/>
        <w:jc w:val="center"/>
        <w:rPr>
          <w:rFonts w:hint="default" w:ascii="宋体" w:hAnsi="宋体" w:eastAsia="宋体" w:cs="宋体"/>
          <w:color w:val="auto"/>
          <w:sz w:val="28"/>
          <w:szCs w:val="20"/>
          <w:highlight w:val="none"/>
          <w:lang w:val="en-US" w:eastAsia="zh-CN"/>
        </w:rPr>
      </w:pPr>
      <w:r>
        <w:rPr>
          <w:rFonts w:hint="eastAsia" w:ascii="宋体" w:hAnsi="宋体" w:eastAsia="宋体" w:cs="宋体"/>
          <w:color w:val="auto"/>
          <w:sz w:val="28"/>
          <w:szCs w:val="20"/>
          <w:highlight w:val="none"/>
          <w:lang w:val="en-US" w:eastAsia="zh-CN"/>
        </w:rPr>
        <w:t>项目编号：HXJY1110001052216001001</w:t>
      </w:r>
    </w:p>
    <w:p w14:paraId="1CCCA184">
      <w:pPr>
        <w:wordWrap w:val="0"/>
        <w:spacing w:line="800" w:lineRule="exact"/>
        <w:ind w:right="480"/>
        <w:jc w:val="center"/>
        <w:rPr>
          <w:rFonts w:hint="eastAsia" w:ascii="宋体" w:hAnsi="宋体" w:eastAsia="宋体" w:cs="宋体"/>
          <w:color w:val="auto"/>
          <w:sz w:val="28"/>
          <w:szCs w:val="20"/>
          <w:highlight w:val="none"/>
          <w:lang w:val="en-US" w:eastAsia="zh-CN"/>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59E21AA2">
      <w:pPr>
        <w:rPr>
          <w:rFonts w:hint="eastAsia" w:ascii="宋体" w:hAnsi="宋体" w:eastAsia="宋体" w:cs="宋体"/>
          <w:b/>
          <w:bCs/>
          <w:color w:val="auto"/>
          <w:sz w:val="32"/>
          <w:szCs w:val="32"/>
          <w:highlight w:val="none"/>
        </w:rPr>
      </w:pPr>
    </w:p>
    <w:p w14:paraId="7D61AF7C">
      <w:pPr>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5AC253DA">
      <w:pPr>
        <w:pStyle w:val="28"/>
        <w:rPr>
          <w:rFonts w:hint="eastAsia"/>
          <w:highlight w:val="none"/>
        </w:rPr>
      </w:pPr>
    </w:p>
    <w:p w14:paraId="311E90DF">
      <w:pPr>
        <w:rPr>
          <w:rFonts w:hint="eastAsia" w:ascii="宋体" w:hAnsi="宋体" w:eastAsia="宋体" w:cs="宋体"/>
          <w:color w:val="auto"/>
          <w:highlight w:val="none"/>
        </w:rPr>
      </w:pPr>
    </w:p>
    <w:p w14:paraId="6224BB2F">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lang w:val="en-US" w:eastAsia="zh-CN"/>
        </w:rPr>
        <w:t>招标</w:t>
      </w:r>
      <w:r>
        <w:rPr>
          <w:rFonts w:hint="eastAsia" w:ascii="宋体" w:hAnsi="宋体" w:cs="宋体"/>
          <w:color w:val="auto"/>
          <w:sz w:val="32"/>
          <w:highlight w:val="none"/>
          <w:lang w:val="en-US" w:eastAsia="zh-CN"/>
        </w:rPr>
        <w:t>人</w:t>
      </w:r>
      <w:r>
        <w:rPr>
          <w:rFonts w:hint="eastAsia" w:ascii="宋体" w:hAnsi="宋体" w:eastAsia="宋体" w:cs="宋体"/>
          <w:color w:val="auto"/>
          <w:sz w:val="32"/>
          <w:highlight w:val="none"/>
        </w:rPr>
        <w:t>：</w:t>
      </w:r>
      <w:r>
        <w:rPr>
          <w:rFonts w:hint="eastAsia" w:ascii="宋体" w:cs="宋体"/>
          <w:color w:val="auto"/>
          <w:sz w:val="32"/>
          <w:highlight w:val="none"/>
          <w:u w:val="single"/>
          <w:lang w:val="en-US" w:eastAsia="zh-CN"/>
        </w:rPr>
        <w:t>滁州市重点工程建设管理处</w:t>
      </w:r>
    </w:p>
    <w:p w14:paraId="7964B908">
      <w:pPr>
        <w:spacing w:line="800" w:lineRule="exact"/>
        <w:ind w:firstLine="1600" w:firstLineChars="500"/>
        <w:jc w:val="both"/>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w:t>
      </w:r>
    </w:p>
    <w:p w14:paraId="10160BEE">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u w:val="none"/>
        </w:rPr>
        <w:t>202</w:t>
      </w:r>
      <w:r>
        <w:rPr>
          <w:rFonts w:hint="eastAsia" w:ascii="宋体" w:hAnsi="宋体" w:cs="宋体"/>
          <w:color w:val="auto"/>
          <w:sz w:val="32"/>
          <w:highlight w:val="none"/>
          <w:u w:val="none"/>
          <w:lang w:val="en-US" w:eastAsia="zh-CN"/>
        </w:rPr>
        <w:t>6</w:t>
      </w:r>
      <w:r>
        <w:rPr>
          <w:rFonts w:hint="eastAsia" w:ascii="宋体" w:hAnsi="宋体" w:eastAsia="宋体" w:cs="宋体"/>
          <w:color w:val="auto"/>
          <w:sz w:val="32"/>
          <w:highlight w:val="none"/>
          <w:u w:val="none"/>
        </w:rPr>
        <w:t>年</w:t>
      </w:r>
      <w:r>
        <w:rPr>
          <w:rFonts w:hint="eastAsia" w:ascii="宋体" w:hAnsi="宋体" w:cs="宋体"/>
          <w:color w:val="auto"/>
          <w:sz w:val="32"/>
          <w:highlight w:val="none"/>
          <w:u w:val="none"/>
          <w:lang w:val="en-US" w:eastAsia="zh-CN"/>
        </w:rPr>
        <w:t>3</w:t>
      </w:r>
      <w:r>
        <w:rPr>
          <w:rFonts w:hint="eastAsia" w:ascii="宋体" w:hAnsi="宋体" w:eastAsia="宋体" w:cs="宋体"/>
          <w:color w:val="auto"/>
          <w:sz w:val="32"/>
          <w:highlight w:val="none"/>
          <w:u w:val="none"/>
        </w:rPr>
        <w:t>月</w:t>
      </w:r>
      <w:r>
        <w:rPr>
          <w:rFonts w:hint="eastAsia" w:ascii="宋体" w:hAnsi="宋体" w:cs="宋体"/>
          <w:color w:val="auto"/>
          <w:sz w:val="32"/>
          <w:highlight w:val="none"/>
          <w:u w:val="none"/>
          <w:lang w:val="en-US" w:eastAsia="zh-CN"/>
        </w:rPr>
        <w:t>5日</w:t>
      </w:r>
    </w:p>
    <w:p w14:paraId="7559EB01">
      <w:pP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br w:type="page"/>
      </w: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2"/>
        <w:tabs>
          <w:tab w:val="right" w:leader="dot" w:pos="9541"/>
          <w:tab w:val="clear" w:pos="8296"/>
        </w:tabs>
        <w:rPr>
          <w:rFonts w:hint="eastAsia" w:ascii="宋体" w:hAnsi="宋体" w:eastAsia="宋体" w:cs="宋体"/>
          <w:b w:val="0"/>
          <w:bCs w:val="0"/>
          <w:color w:val="auto"/>
          <w:sz w:val="24"/>
          <w:szCs w:val="24"/>
          <w:highlight w:val="none"/>
        </w:rPr>
      </w:pPr>
    </w:p>
    <w:p w14:paraId="169A3C3F">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"1-1" \h \u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_Toc2570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A、 招标公告</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p>
    <w:p w14:paraId="78C2286D">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_Toc24103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lang w:eastAsia="zh-CN"/>
        </w:rPr>
        <w:t>投标人须知</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4</w:t>
      </w:r>
      <w:r>
        <w:rPr>
          <w:rFonts w:hint="eastAsia" w:ascii="宋体" w:hAnsi="宋体" w:eastAsia="宋体" w:cs="宋体"/>
          <w:sz w:val="28"/>
          <w:szCs w:val="28"/>
          <w:highlight w:val="none"/>
        </w:rPr>
        <w:fldChar w:fldCharType="end"/>
      </w:r>
    </w:p>
    <w:p w14:paraId="0321A477">
      <w:pPr>
        <w:pStyle w:val="32"/>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_Toc21844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第二章 评标办法</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1</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8</w:t>
      </w:r>
    </w:p>
    <w:p w14:paraId="0135DC7D">
      <w:pPr>
        <w:pStyle w:val="32"/>
        <w:tabs>
          <w:tab w:val="right" w:leader="dot" w:pos="9541"/>
          <w:tab w:val="clear" w:pos="8296"/>
        </w:tabs>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_Toc29967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第三章 合同条款</w:t>
      </w:r>
      <w:r>
        <w:rPr>
          <w:rFonts w:hint="eastAsia" w:ascii="宋体" w:hAnsi="宋体" w:eastAsia="宋体" w:cs="宋体"/>
          <w:sz w:val="28"/>
          <w:szCs w:val="28"/>
          <w:highlight w:val="none"/>
        </w:rPr>
        <w:tab/>
      </w:r>
      <w:r>
        <w:rPr>
          <w:rFonts w:hint="eastAsia" w:hAnsi="宋体" w:eastAsia="宋体" w:cs="宋体"/>
          <w:sz w:val="28"/>
          <w:szCs w:val="28"/>
          <w:highlight w:val="none"/>
          <w:lang w:val="en-US" w:eastAsia="zh-CN"/>
        </w:rPr>
        <w:t>2</w:t>
      </w:r>
      <w:r>
        <w:rPr>
          <w:rFonts w:hint="eastAsia" w:ascii="宋体" w:hAnsi="宋体" w:eastAsia="宋体" w:cs="宋体"/>
          <w:sz w:val="28"/>
          <w:szCs w:val="28"/>
          <w:highlight w:val="none"/>
        </w:rPr>
        <w:fldChar w:fldCharType="end"/>
      </w:r>
      <w:r>
        <w:rPr>
          <w:rFonts w:hint="eastAsia" w:hAnsi="宋体" w:eastAsia="宋体" w:cs="宋体"/>
          <w:sz w:val="28"/>
          <w:szCs w:val="28"/>
          <w:highlight w:val="none"/>
          <w:lang w:val="en-US" w:eastAsia="zh-CN"/>
        </w:rPr>
        <w:t>4</w:t>
      </w:r>
    </w:p>
    <w:p w14:paraId="1D4A9845">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_Toc1482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第四章 投标文件格式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_Toc1482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EF6C0CD">
      <w:pPr>
        <w:pStyle w:val="32"/>
        <w:tabs>
          <w:tab w:val="right" w:leader="dot" w:pos="9541"/>
          <w:tab w:val="clear" w:pos="8296"/>
        </w:tabs>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HYPERLINK \l _Toc6595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lang w:val="en-US" w:eastAsia="zh-CN"/>
        </w:rPr>
        <w:t>第五章 招标单位、招标代理机构对本招标文件的确认</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_Toc6595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74C50B0C">
      <w:pPr>
        <w:rPr>
          <w:highlight w:val="none"/>
        </w:rPr>
      </w:pPr>
      <w:r>
        <w:rPr>
          <w:rFonts w:hint="eastAsia" w:ascii="宋体" w:hAnsi="宋体" w:eastAsia="宋体" w:cs="宋体"/>
          <w:sz w:val="28"/>
          <w:szCs w:val="28"/>
          <w:highlight w:val="none"/>
        </w:rPr>
        <w:fldChar w:fldCharType="end"/>
      </w:r>
    </w:p>
    <w:p w14:paraId="2E1D2DC7">
      <w:pPr>
        <w:pStyle w:val="5"/>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5"/>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2570"/>
      <w:bookmarkStart w:id="1" w:name="_Toc16309"/>
      <w:r>
        <w:rPr>
          <w:rFonts w:hint="eastAsia" w:ascii="宋体" w:hAnsi="宋体" w:eastAsia="宋体" w:cs="宋体"/>
          <w:color w:val="auto"/>
          <w:highlight w:val="none"/>
          <w:lang w:val="en-US" w:eastAsia="zh-CN"/>
        </w:rPr>
        <w:t>招标公告</w:t>
      </w:r>
      <w:bookmarkEnd w:id="0"/>
    </w:p>
    <w:p w14:paraId="6153588B">
      <w:pPr>
        <w:pStyle w:val="5"/>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2" w:name="_Toc14627"/>
      <w:bookmarkStart w:id="3" w:name="_Toc21262"/>
      <w:bookmarkStart w:id="4" w:name="_Toc9827"/>
      <w:r>
        <w:rPr>
          <w:rFonts w:hint="eastAsia" w:ascii="华文中宋" w:hAnsi="华文中宋" w:eastAsia="华文中宋" w:cs="Times New Roman"/>
          <w:color w:val="auto"/>
          <w:highlight w:val="none"/>
          <w:lang w:val="en-US" w:eastAsia="zh-CN"/>
        </w:rPr>
        <w:t>2026年校园周边安全护学提升工程（一批次）工程量清单及最高投标限价编制服务项目</w:t>
      </w:r>
      <w:r>
        <w:rPr>
          <w:rFonts w:hint="eastAsia" w:ascii="华文中宋" w:hAnsi="华文中宋" w:eastAsia="华文中宋" w:cs="Times New Roman"/>
          <w:color w:val="auto"/>
          <w:highlight w:val="none"/>
          <w:lang w:eastAsia="zh-CN"/>
        </w:rPr>
        <w:t>招标公告</w:t>
      </w:r>
      <w:bookmarkEnd w:id="2"/>
      <w:bookmarkEnd w:id="3"/>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bookmarkEnd w:id="4"/>
    </w:p>
    <w:p w14:paraId="0105351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val="0"/>
          <w:color w:val="auto"/>
          <w:sz w:val="21"/>
          <w:szCs w:val="21"/>
          <w:highlight w:val="none"/>
        </w:rPr>
      </w:pPr>
      <w:bookmarkStart w:id="5" w:name="_Toc11704"/>
      <w:bookmarkStart w:id="6" w:name="_Toc35393621"/>
      <w:bookmarkStart w:id="7" w:name="_Toc28359002"/>
      <w:bookmarkStart w:id="8" w:name="_Toc23993"/>
      <w:bookmarkStart w:id="9" w:name="_Toc28359079"/>
      <w:bookmarkStart w:id="10" w:name="_Toc31215"/>
      <w:bookmarkStart w:id="11" w:name="_Toc35393790"/>
      <w:bookmarkStart w:id="12" w:name="_Hlk24379207"/>
      <w:r>
        <w:rPr>
          <w:rFonts w:hint="eastAsia" w:ascii="宋体" w:hAnsi="宋体" w:eastAsia="宋体" w:cs="宋体"/>
          <w:b/>
          <w:bCs/>
          <w:color w:val="auto"/>
          <w:sz w:val="21"/>
          <w:szCs w:val="21"/>
          <w:highlight w:val="none"/>
        </w:rPr>
        <w:t>一、项目基本情况</w:t>
      </w:r>
      <w:bookmarkEnd w:id="5"/>
      <w:bookmarkEnd w:id="6"/>
      <w:bookmarkEnd w:id="7"/>
      <w:bookmarkEnd w:id="8"/>
      <w:bookmarkEnd w:id="9"/>
      <w:bookmarkEnd w:id="10"/>
      <w:bookmarkEnd w:id="11"/>
    </w:p>
    <w:bookmarkEnd w:id="12"/>
    <w:p w14:paraId="4DF71F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bookmarkStart w:id="13" w:name="_Toc28359080"/>
      <w:bookmarkStart w:id="14" w:name="_Toc28359003"/>
      <w:bookmarkStart w:id="15" w:name="_Toc35393791"/>
      <w:bookmarkStart w:id="16" w:name="_Toc4879"/>
      <w:bookmarkStart w:id="17" w:name="_Toc28004"/>
      <w:bookmarkStart w:id="18" w:name="_Toc35393622"/>
      <w:r>
        <w:rPr>
          <w:rFonts w:hint="eastAsia" w:ascii="宋体" w:hAnsi="宋体" w:eastAsia="宋体" w:cs="宋体"/>
          <w:i w:val="0"/>
          <w:iCs w:val="0"/>
          <w:caps w:val="0"/>
          <w:color w:val="auto"/>
          <w:spacing w:val="0"/>
          <w:kern w:val="0"/>
          <w:sz w:val="21"/>
          <w:szCs w:val="21"/>
          <w:highlight w:val="none"/>
          <w:shd w:val="clear" w:fill="FFFFFF"/>
          <w:lang w:val="en-US" w:eastAsia="zh-CN" w:bidi="ar"/>
        </w:rPr>
        <w:t>项目编号：HXJY1110001052216001001</w:t>
      </w:r>
    </w:p>
    <w:p w14:paraId="551101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default" w:ascii="宋体" w:hAnsi="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项目名称：</w:t>
      </w:r>
      <w:r>
        <w:rPr>
          <w:rFonts w:hint="eastAsia" w:ascii="宋体" w:hAnsi="宋体" w:cs="宋体"/>
          <w:i w:val="0"/>
          <w:iCs w:val="0"/>
          <w:caps w:val="0"/>
          <w:color w:val="auto"/>
          <w:spacing w:val="0"/>
          <w:kern w:val="0"/>
          <w:sz w:val="21"/>
          <w:szCs w:val="21"/>
          <w:highlight w:val="none"/>
          <w:shd w:val="clear" w:fill="FFFFFF"/>
          <w:lang w:val="en-US" w:eastAsia="zh-CN" w:bidi="ar"/>
        </w:rPr>
        <w:t>2026年校园周边安全护学提升工程（一批次）工程量清单及最高投标限价编制服务项目</w:t>
      </w:r>
    </w:p>
    <w:p w14:paraId="1991BF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预算金额：约</w:t>
      </w:r>
      <w:r>
        <w:rPr>
          <w:rFonts w:hint="eastAsia" w:ascii="宋体" w:hAnsi="宋体" w:cs="宋体"/>
          <w:i w:val="0"/>
          <w:iCs w:val="0"/>
          <w:caps w:val="0"/>
          <w:color w:val="auto"/>
          <w:spacing w:val="0"/>
          <w:kern w:val="0"/>
          <w:sz w:val="21"/>
          <w:szCs w:val="21"/>
          <w:highlight w:val="none"/>
          <w:shd w:val="clear" w:fill="FFFFFF"/>
          <w:lang w:val="en-US" w:eastAsia="zh-CN" w:bidi="ar"/>
        </w:rPr>
        <w:t>0.86万元</w:t>
      </w:r>
    </w:p>
    <w:p w14:paraId="126CD6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最高限价：《收费标准》计算费用的40%（报价均保留两位小数，小数点后第三位将四舍五入进行修正），投标单位投标报价不得高于上述费率最高限价，否则按无效标处理。《收费标准》详见附表。</w:t>
      </w:r>
    </w:p>
    <w:p w14:paraId="5196B8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注：服务费用=【施工中标价-（暂列金+暂估价）】*相应费率*中标费率。若施工招标时划分了多个施工标段，则造价咨询费的计费基数为已招标实施的施工标段中标价的合计总金额。</w:t>
      </w:r>
    </w:p>
    <w:p w14:paraId="45CFA0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服务需求：</w:t>
      </w:r>
      <w:r>
        <w:rPr>
          <w:rFonts w:hint="eastAsia" w:ascii="宋体" w:hAnsi="宋体" w:cs="宋体"/>
          <w:i w:val="0"/>
          <w:iCs w:val="0"/>
          <w:caps w:val="0"/>
          <w:color w:val="auto"/>
          <w:spacing w:val="0"/>
          <w:kern w:val="0"/>
          <w:sz w:val="21"/>
          <w:szCs w:val="21"/>
          <w:highlight w:val="none"/>
          <w:shd w:val="clear" w:fill="FFFFFF"/>
          <w:lang w:val="en-US" w:eastAsia="zh-CN" w:bidi="ar"/>
        </w:rPr>
        <w:t>2026年校园周边安全护学提升工程（一批次）</w:t>
      </w:r>
      <w:r>
        <w:rPr>
          <w:rFonts w:hint="eastAsia" w:ascii="宋体" w:hAnsi="宋体" w:eastAsia="宋体" w:cs="宋体"/>
          <w:i w:val="0"/>
          <w:iCs w:val="0"/>
          <w:caps w:val="0"/>
          <w:color w:val="auto"/>
          <w:spacing w:val="0"/>
          <w:kern w:val="0"/>
          <w:sz w:val="21"/>
          <w:szCs w:val="21"/>
          <w:highlight w:val="none"/>
          <w:shd w:val="clear" w:fill="FFFFFF"/>
          <w:lang w:val="en-US" w:eastAsia="zh-CN" w:bidi="ar"/>
        </w:rPr>
        <w:t>。工程投资金额约</w:t>
      </w:r>
      <w:r>
        <w:rPr>
          <w:rFonts w:hint="eastAsia" w:ascii="宋体" w:hAnsi="宋体" w:cs="宋体"/>
          <w:i w:val="0"/>
          <w:iCs w:val="0"/>
          <w:caps w:val="0"/>
          <w:color w:val="auto"/>
          <w:spacing w:val="0"/>
          <w:kern w:val="0"/>
          <w:sz w:val="21"/>
          <w:szCs w:val="21"/>
          <w:highlight w:val="none"/>
          <w:shd w:val="clear" w:fill="FFFFFF"/>
          <w:lang w:val="en-US" w:eastAsia="zh-CN" w:bidi="ar"/>
        </w:rPr>
        <w:t>400万元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，本项目为工程量清单及最高投标限价编制服务，服务费用约</w:t>
      </w:r>
      <w:r>
        <w:rPr>
          <w:rFonts w:hint="eastAsia" w:ascii="宋体" w:hAnsi="宋体" w:cs="宋体"/>
          <w:i w:val="0"/>
          <w:iCs w:val="0"/>
          <w:caps w:val="0"/>
          <w:color w:val="auto"/>
          <w:spacing w:val="0"/>
          <w:kern w:val="0"/>
          <w:sz w:val="21"/>
          <w:szCs w:val="21"/>
          <w:highlight w:val="none"/>
          <w:shd w:val="clear" w:fill="FFFFFF"/>
          <w:lang w:val="en-US" w:eastAsia="zh-CN" w:bidi="ar"/>
        </w:rPr>
        <w:t>0.86万元</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1042D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lang w:val="en-US"/>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标段（包别）划分：1个标段。</w:t>
      </w:r>
    </w:p>
    <w:p w14:paraId="20F129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19" w:name="_Toc30013"/>
      <w:r>
        <w:rPr>
          <w:rFonts w:hint="eastAsia" w:ascii="宋体" w:hAnsi="宋体" w:eastAsia="宋体" w:cs="宋体"/>
          <w:b/>
          <w:bCs/>
          <w:color w:val="auto"/>
          <w:sz w:val="21"/>
          <w:szCs w:val="21"/>
          <w:highlight w:val="none"/>
        </w:rPr>
        <w:t>二、申请人的资格要求</w:t>
      </w:r>
      <w:bookmarkEnd w:id="13"/>
      <w:bookmarkEnd w:id="14"/>
      <w:bookmarkEnd w:id="15"/>
      <w:bookmarkEnd w:id="16"/>
      <w:bookmarkEnd w:id="17"/>
      <w:bookmarkEnd w:id="18"/>
      <w:bookmarkEnd w:id="19"/>
    </w:p>
    <w:p w14:paraId="1BE76C59">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bookmarkStart w:id="20" w:name="_Toc28172"/>
      <w:bookmarkStart w:id="21" w:name="_Toc7189"/>
      <w:bookmarkStart w:id="22" w:name="_Toc35393623"/>
      <w:bookmarkStart w:id="23" w:name="_Toc28359004"/>
      <w:bookmarkStart w:id="24" w:name="_Toc28359081"/>
      <w:bookmarkStart w:id="25" w:name="_Toc35393792"/>
      <w:bookmarkStart w:id="26" w:name="_Toc2689"/>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投标人要求：</w:t>
      </w:r>
      <w:r>
        <w:rPr>
          <w:rFonts w:hint="eastAsia" w:ascii="宋体" w:hAnsi="宋体" w:eastAsia="宋体" w:cs="宋体"/>
          <w:i w:val="0"/>
          <w:iCs w:val="0"/>
          <w:caps w:val="0"/>
          <w:color w:val="auto"/>
          <w:spacing w:val="0"/>
          <w:kern w:val="0"/>
          <w:sz w:val="21"/>
          <w:szCs w:val="21"/>
          <w:highlight w:val="none"/>
          <w:shd w:val="clear" w:fill="FFFFFF"/>
          <w:lang w:val="en-US" w:eastAsia="zh-CN" w:bidi="ar"/>
        </w:rPr>
        <w:t>具备独立承担民事责任能力，具有有效的营业执照或事业单位法人证书；</w:t>
      </w:r>
    </w:p>
    <w:p w14:paraId="39C5FF6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2.项目负责人要求：具有注册在本单位的土木建筑工程专业一级注册造价工程师（或原注册造价工程师）；</w:t>
      </w:r>
    </w:p>
    <w:p w14:paraId="1B0530D1">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.项目组其他成员（不含项目负责人）要求：</w:t>
      </w:r>
      <w:r>
        <w:rPr>
          <w:rFonts w:hint="eastAsia" w:ascii="宋体" w:hAnsi="宋体" w:eastAsia="宋体" w:cs="宋体"/>
          <w:color w:val="auto"/>
          <w:sz w:val="21"/>
          <w:szCs w:val="21"/>
          <w:highlight w:val="none"/>
          <w:lang w:val="en-US" w:eastAsia="zh-CN"/>
        </w:rPr>
        <w:t>不少于2名且具有在本单位注册的二级及以上造价工程师（土木建筑工程专业至少1名、安装工程专业至少1名）</w:t>
      </w:r>
      <w:r>
        <w:rPr>
          <w:rFonts w:hint="eastAsia" w:ascii="宋体" w:hAnsi="宋体" w:cs="宋体"/>
          <w:color w:val="auto"/>
          <w:sz w:val="21"/>
          <w:szCs w:val="21"/>
          <w:highlight w:val="none"/>
          <w:lang w:val="en-US" w:eastAsia="zh-CN"/>
        </w:rPr>
        <w:t>；</w:t>
      </w:r>
    </w:p>
    <w:p w14:paraId="1A326907">
      <w:pPr>
        <w:pageBreakBefore w:val="0"/>
        <w:kinsoku/>
        <w:overflowPunct/>
        <w:topLinePunct w:val="0"/>
        <w:autoSpaceDE/>
        <w:autoSpaceDN/>
        <w:bidi w:val="0"/>
        <w:adjustRightInd/>
        <w:snapToGrid/>
        <w:spacing w:line="44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4.业绩要求：</w:t>
      </w:r>
      <w:r>
        <w:rPr>
          <w:rFonts w:hint="eastAsia" w:ascii="宋体" w:hAnsi="宋体" w:cs="宋体"/>
          <w:color w:val="auto"/>
          <w:sz w:val="21"/>
          <w:szCs w:val="21"/>
          <w:highlight w:val="none"/>
          <w:lang w:val="en-US" w:eastAsia="zh-CN"/>
        </w:rPr>
        <w:t>投标人拟任项目负责人自2021年3月1日至投标截止时间止，承担过单项合同施工金额300万元及以上的市政道路工程或道路安全提升项目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2AEC28B0">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bookmarkEnd w:id="20"/>
      <w:bookmarkEnd w:id="21"/>
      <w:bookmarkEnd w:id="22"/>
      <w:bookmarkEnd w:id="23"/>
      <w:bookmarkEnd w:id="24"/>
      <w:bookmarkEnd w:id="25"/>
      <w:bookmarkEnd w:id="26"/>
      <w:r>
        <w:rPr>
          <w:rFonts w:hint="eastAsia" w:ascii="宋体" w:hAnsi="宋体" w:eastAsia="宋体" w:cs="宋体"/>
          <w:b/>
          <w:bCs/>
          <w:color w:val="auto"/>
          <w:sz w:val="21"/>
          <w:szCs w:val="21"/>
          <w:highlight w:val="none"/>
          <w:lang w:eastAsia="zh-CN"/>
        </w:rPr>
        <w:t>招标文件</w:t>
      </w:r>
    </w:p>
    <w:p w14:paraId="42BFF7A7">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1、招标文件获取方式：</w:t>
      </w:r>
    </w:p>
    <w:p w14:paraId="7B7E7722">
      <w:pPr>
        <w:pageBreakBefore w:val="0"/>
        <w:kinsoku/>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时间：</w:t>
      </w:r>
      <w:r>
        <w:rPr>
          <w:rFonts w:hint="eastAsia" w:ascii="宋体" w:hAnsi="宋体" w:cs="宋体"/>
          <w:i w:val="0"/>
          <w:iCs w:val="0"/>
          <w:caps w:val="0"/>
          <w:color w:val="auto"/>
          <w:spacing w:val="0"/>
          <w:sz w:val="21"/>
          <w:szCs w:val="21"/>
          <w:highlight w:val="none"/>
          <w:u w:val="none"/>
          <w:shd w:val="clear" w:fill="FFFFFF"/>
          <w:lang w:val="en-US" w:eastAsia="zh-CN"/>
        </w:rPr>
        <w:t>2026年3月5日</w:t>
      </w:r>
      <w:r>
        <w:rPr>
          <w:rFonts w:hint="eastAsia" w:ascii="宋体" w:hAnsi="宋体" w:eastAsia="宋体" w:cs="宋体"/>
          <w:i w:val="0"/>
          <w:iCs w:val="0"/>
          <w:caps w:val="0"/>
          <w:color w:val="auto"/>
          <w:spacing w:val="0"/>
          <w:sz w:val="21"/>
          <w:szCs w:val="21"/>
          <w:highlight w:val="none"/>
          <w:u w:val="none"/>
          <w:shd w:val="clear" w:fill="FFFFFF"/>
        </w:rPr>
        <w:t>至</w:t>
      </w:r>
      <w:r>
        <w:rPr>
          <w:rFonts w:hint="eastAsia" w:ascii="宋体" w:hAnsi="宋体" w:cs="宋体"/>
          <w:i w:val="0"/>
          <w:iCs w:val="0"/>
          <w:caps w:val="0"/>
          <w:color w:val="auto"/>
          <w:spacing w:val="0"/>
          <w:sz w:val="21"/>
          <w:szCs w:val="21"/>
          <w:highlight w:val="none"/>
          <w:u w:val="none"/>
          <w:shd w:val="clear" w:fill="FFFFFF"/>
          <w:lang w:val="en-US" w:eastAsia="zh-CN"/>
        </w:rPr>
        <w:t>2026年3月10日9</w:t>
      </w:r>
      <w:r>
        <w:rPr>
          <w:rFonts w:hint="eastAsia" w:ascii="宋体" w:hAnsi="宋体" w:eastAsia="宋体" w:cs="宋体"/>
          <w:i w:val="0"/>
          <w:iCs w:val="0"/>
          <w:caps w:val="0"/>
          <w:color w:val="auto"/>
          <w:spacing w:val="0"/>
          <w:sz w:val="21"/>
          <w:szCs w:val="21"/>
          <w:highlight w:val="none"/>
          <w:u w:val="none"/>
          <w:shd w:val="clear" w:fill="FFFFFF"/>
          <w:lang w:val="en-US" w:eastAsia="zh-CN"/>
        </w:rPr>
        <w:t>时00分</w:t>
      </w:r>
      <w:r>
        <w:rPr>
          <w:rFonts w:hint="eastAsia" w:ascii="宋体" w:hAnsi="宋体" w:eastAsia="宋体" w:cs="宋体"/>
          <w:i w:val="0"/>
          <w:iCs w:val="0"/>
          <w:caps w:val="0"/>
          <w:color w:val="auto"/>
          <w:spacing w:val="0"/>
          <w:sz w:val="21"/>
          <w:szCs w:val="21"/>
          <w:highlight w:val="none"/>
          <w:shd w:val="clear" w:fill="FFFFFF"/>
          <w:lang w:val="en-US" w:eastAsia="zh-CN"/>
        </w:rPr>
        <w:t>。</w:t>
      </w:r>
    </w:p>
    <w:p w14:paraId="57BDCE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地点：请于公告发布之日起从滁州市城投工程咨询管理有限公司（https://www.czctgczx.com/）网站下载。</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方式：（1）投标人须登录新点电子交易平台【滁州专区】查询、获取采购文件。首次登录办理</w:t>
      </w:r>
      <w:r>
        <w:rPr>
          <w:rFonts w:hint="eastAsia" w:ascii="宋体" w:hAnsi="宋体" w:cs="宋体"/>
          <w:i w:val="0"/>
          <w:iCs w:val="0"/>
          <w:caps w:val="0"/>
          <w:color w:val="auto"/>
          <w:spacing w:val="0"/>
          <w:kern w:val="0"/>
          <w:sz w:val="21"/>
          <w:szCs w:val="21"/>
          <w:highlight w:val="none"/>
          <w:shd w:val="clear" w:color="auto" w:fill="FFFFFF"/>
          <w:lang w:val="en-US" w:eastAsia="zh-CN" w:bidi="ar"/>
        </w:rPr>
        <w:t>登记</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手续，不收取任何费用。新点电子招投标统一认证平台使用相关问题（如系统登录、信息登记、录入及提交、数字证书关联等）请拨打服务电话：</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w:t>
      </w:r>
      <w:r>
        <w:rPr>
          <w:rFonts w:hint="eastAsia" w:ascii="宋体" w:hAnsi="宋体" w:cs="宋体"/>
          <w:i w:val="0"/>
          <w:iCs w:val="0"/>
          <w:caps w:val="0"/>
          <w:color w:val="auto"/>
          <w:spacing w:val="0"/>
          <w:kern w:val="0"/>
          <w:sz w:val="21"/>
          <w:szCs w:val="21"/>
          <w:highlight w:val="none"/>
          <w:shd w:val="clear" w:color="auto" w:fill="FFFFFF"/>
          <w:lang w:val="en-US" w:eastAsia="zh-CN" w:bidi="ar"/>
        </w:rPr>
        <w:t>0512-58151515</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2、招标文件及相关资料售价：人民币0元/套（含清单控制价、图纸及澄清答疑文件）</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bookmarkStart w:id="27" w:name="_Toc28359005"/>
      <w:bookmarkStart w:id="28" w:name="_Toc28359082"/>
      <w:bookmarkStart w:id="29" w:name="_Toc23486"/>
      <w:bookmarkStart w:id="30" w:name="_Toc35393624"/>
      <w:bookmarkStart w:id="31" w:name="_Toc35393793"/>
      <w:bookmarkStart w:id="32" w:name="_Toc19139"/>
      <w:bookmarkStart w:id="33" w:name="_Toc6135"/>
      <w:r>
        <w:rPr>
          <w:rFonts w:hint="eastAsia" w:ascii="宋体" w:hAnsi="宋体" w:eastAsia="宋体" w:cs="宋体"/>
          <w:b/>
          <w:bCs/>
          <w:color w:val="auto"/>
          <w:sz w:val="21"/>
          <w:szCs w:val="21"/>
          <w:highlight w:val="none"/>
        </w:rPr>
        <w:t>四、提交投标文件</w:t>
      </w:r>
      <w:bookmarkEnd w:id="27"/>
      <w:bookmarkEnd w:id="28"/>
      <w:r>
        <w:rPr>
          <w:rFonts w:hint="eastAsia" w:ascii="宋体" w:hAnsi="宋体" w:eastAsia="宋体" w:cs="宋体"/>
          <w:b/>
          <w:bCs/>
          <w:color w:val="auto"/>
          <w:sz w:val="21"/>
          <w:szCs w:val="21"/>
          <w:highlight w:val="none"/>
        </w:rPr>
        <w:t>截止时间、开标时间和地点</w:t>
      </w:r>
      <w:bookmarkEnd w:id="29"/>
      <w:bookmarkEnd w:id="30"/>
      <w:bookmarkEnd w:id="31"/>
      <w:bookmarkEnd w:id="32"/>
      <w:bookmarkEnd w:id="33"/>
    </w:p>
    <w:p w14:paraId="78DDBB26">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bookmarkStart w:id="34" w:name="_Toc5602"/>
      <w:bookmarkStart w:id="35" w:name="_Toc35393625"/>
      <w:bookmarkStart w:id="36" w:name="_Toc35393794"/>
      <w:bookmarkStart w:id="37" w:name="_Toc19623"/>
      <w:bookmarkStart w:id="38" w:name="_Toc28359007"/>
      <w:bookmarkStart w:id="39" w:name="_Toc28359084"/>
      <w:bookmarkStart w:id="40" w:name="_Toc1913"/>
      <w:r>
        <w:rPr>
          <w:rFonts w:hint="eastAsia" w:ascii="宋体" w:hAnsi="宋体" w:eastAsia="宋体" w:cs="宋体"/>
          <w:b w:val="0"/>
          <w:bCs w:val="0"/>
          <w:color w:val="auto"/>
          <w:sz w:val="21"/>
          <w:szCs w:val="21"/>
          <w:highlight w:val="none"/>
          <w:lang w:val="en-US" w:eastAsia="zh-CN"/>
        </w:rPr>
        <w:t>1、投标文件递交的截止时间为</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2026年</w:t>
      </w:r>
      <w:r>
        <w:rPr>
          <w:rFonts w:hint="eastAsia" w:ascii="宋体" w:hAnsi="宋体" w:cs="宋体"/>
          <w:i w:val="0"/>
          <w:iCs w:val="0"/>
          <w:caps w:val="0"/>
          <w:color w:val="auto"/>
          <w:spacing w:val="0"/>
          <w:kern w:val="0"/>
          <w:sz w:val="21"/>
          <w:szCs w:val="21"/>
          <w:highlight w:val="none"/>
          <w:shd w:val="clear" w:color="auto" w:fill="FFFFFF"/>
          <w:lang w:val="en-US" w:eastAsia="zh-CN" w:bidi="ar"/>
        </w:rPr>
        <w:t>3月10日</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w:t>
      </w:r>
      <w:r>
        <w:rPr>
          <w:rFonts w:hint="eastAsia" w:ascii="宋体" w:hAnsi="宋体" w:cs="宋体"/>
          <w:i w:val="0"/>
          <w:iCs w:val="0"/>
          <w:caps w:val="0"/>
          <w:color w:val="auto"/>
          <w:spacing w:val="0"/>
          <w:kern w:val="0"/>
          <w:sz w:val="21"/>
          <w:szCs w:val="21"/>
          <w:highlight w:val="none"/>
          <w:shd w:val="clear" w:color="auto" w:fill="FFFFFF"/>
          <w:lang w:val="en-US" w:eastAsia="zh-CN" w:bidi="ar"/>
        </w:rPr>
        <w:t>9</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时00分；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网上开标，投标人登录滁州市城投工程咨询有限公司不见面开标系统参与网上开标（网址：http://js.etrading.cn/EpointBidOpening/bidopeninghallaction/hall/login）。</w:t>
      </w:r>
    </w:p>
    <w:p w14:paraId="11B42555">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3、投标人应在投标截止时间之前，</w:t>
      </w:r>
      <w:r>
        <w:rPr>
          <w:rFonts w:hint="eastAsia" w:cs="宋体"/>
          <w:i w:val="0"/>
          <w:iCs w:val="0"/>
          <w:caps w:val="0"/>
          <w:color w:val="auto"/>
          <w:spacing w:val="0"/>
          <w:kern w:val="0"/>
          <w:sz w:val="21"/>
          <w:szCs w:val="21"/>
          <w:highlight w:val="none"/>
          <w:shd w:val="clear" w:color="auto" w:fill="FFFFFF"/>
          <w:lang w:val="en-US" w:eastAsia="zh-CN" w:bidi="ar"/>
        </w:rPr>
        <w:t>登录</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新点电子交易平台【滁州专区】上传投标文件。</w:t>
      </w:r>
    </w:p>
    <w:p w14:paraId="68E70389">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20" w:firstLineChars="200"/>
        <w:jc w:val="both"/>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4、投标人逾期上传投标文件的，电子系统不予受理</w:t>
      </w:r>
      <w:r>
        <w:rPr>
          <w:rFonts w:hint="eastAsia" w:ascii="宋体" w:hAnsi="宋体" w:eastAsia="宋体" w:cs="宋体"/>
          <w:i w:val="0"/>
          <w:iCs w:val="0"/>
          <w:caps w:val="0"/>
          <w:color w:val="auto"/>
          <w:spacing w:val="0"/>
          <w:kern w:val="0"/>
          <w:sz w:val="21"/>
          <w:szCs w:val="21"/>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五、公告</w:t>
      </w:r>
      <w:bookmarkEnd w:id="34"/>
      <w:bookmarkEnd w:id="35"/>
      <w:bookmarkEnd w:id="36"/>
      <w:bookmarkEnd w:id="37"/>
      <w:bookmarkEnd w:id="38"/>
      <w:bookmarkEnd w:id="39"/>
      <w:bookmarkEnd w:id="40"/>
      <w:r>
        <w:rPr>
          <w:rFonts w:hint="eastAsia" w:ascii="宋体" w:hAnsi="宋体" w:eastAsia="宋体" w:cs="宋体"/>
          <w:b/>
          <w:bCs/>
          <w:color w:val="auto"/>
          <w:sz w:val="21"/>
          <w:szCs w:val="21"/>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自本公告发布之日起至投标截止时间止。</w:t>
      </w:r>
    </w:p>
    <w:p w14:paraId="48594B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i w:val="0"/>
          <w:iCs w:val="0"/>
          <w:caps w:val="0"/>
          <w:color w:val="auto"/>
          <w:spacing w:val="0"/>
          <w:kern w:val="0"/>
          <w:sz w:val="21"/>
          <w:szCs w:val="21"/>
          <w:highlight w:val="none"/>
          <w:shd w:val="clear" w:fill="FFFFFF"/>
          <w:lang w:val="en-US" w:eastAsia="zh-CN" w:bidi="ar"/>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网站上发布。</w:t>
      </w:r>
    </w:p>
    <w:p w14:paraId="25B232D4">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六、投标保证金金额及缴纳账户</w:t>
      </w:r>
    </w:p>
    <w:p w14:paraId="1B54B949">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是否要求投标人提交投标保证金：不要求。</w:t>
      </w:r>
    </w:p>
    <w:p w14:paraId="70CCC2F2">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重要提醒</w:t>
      </w:r>
    </w:p>
    <w:p w14:paraId="2DC12A3E">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本项目采用电子招投标方式，请投标人在“新点电子交易平台”办事指南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33C7ADB5">
      <w:pPr>
        <w:keepNext w:val="0"/>
        <w:keepLines w:val="0"/>
        <w:pageBreakBefore w:val="0"/>
        <w:widowControl w:val="0"/>
        <w:kinsoku/>
        <w:wordWrap w:val="0"/>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请于公告发布之日起从滁州市城投工程咨询管理有限公司官网（https://www.czctgczx.com/）下载本项目招标文件，或从滁州市城投工程咨询管理有限公司官网（https://www.czctgczx.com/），点击项目招标公告下方【我要投标】，登录新点电子交易平台后在【滁州专区】（https://www.etrading.cn/BREpointSSO/login/oauth2login?regioncode=DQ_ChuZhou）下载本项目招标文件。</w:t>
      </w:r>
    </w:p>
    <w:p w14:paraId="0320AE7C">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3.投标人参与投标的，须登录新点电子交易平台【滁州专区】查询、获取招标文件。首次登录办理</w:t>
      </w:r>
      <w:r>
        <w:rPr>
          <w:rFonts w:hint="eastAsia" w:ascii="宋体" w:hAnsi="宋体" w:cs="宋体"/>
          <w:b w:val="0"/>
          <w:bCs w:val="0"/>
          <w:color w:val="auto"/>
          <w:sz w:val="21"/>
          <w:szCs w:val="21"/>
          <w:highlight w:val="none"/>
          <w:lang w:val="en-US" w:eastAsia="zh-CN"/>
        </w:rPr>
        <w:t>登记</w:t>
      </w:r>
      <w:r>
        <w:rPr>
          <w:rFonts w:hint="eastAsia" w:ascii="宋体" w:hAnsi="宋体" w:eastAsia="宋体" w:cs="宋体"/>
          <w:b w:val="0"/>
          <w:bCs w:val="0"/>
          <w:color w:val="auto"/>
          <w:sz w:val="21"/>
          <w:szCs w:val="21"/>
          <w:highlight w:val="none"/>
          <w:lang w:val="en-US" w:eastAsia="zh-CN"/>
        </w:rPr>
        <w:t>手续，不收取任何费用。新点电子招投标统一认证平台使用相关问题（如系统登录、信息登记、录入及提交、数字证书关联等）请拨打服务电话：</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（工作日）。</w:t>
      </w:r>
    </w:p>
    <w:p w14:paraId="74FFEB12">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4.投标人登录新点电子交易平台【滁州专区】获取招标文件及其它资料（含澄清和补充说明等）。如在招标文件获取过程中遇到系统问题，请拨打技术支持服务热线</w:t>
      </w:r>
      <w:r>
        <w:rPr>
          <w:rFonts w:hint="eastAsia" w:ascii="宋体" w:hAnsi="宋体" w:cs="宋体"/>
          <w:b w:val="0"/>
          <w:bCs w:val="0"/>
          <w:color w:val="auto"/>
          <w:sz w:val="21"/>
          <w:szCs w:val="21"/>
          <w:highlight w:val="none"/>
          <w:lang w:val="en-US" w:eastAsia="zh-CN"/>
        </w:rPr>
        <w:t>0512-58151515</w:t>
      </w:r>
      <w:r>
        <w:rPr>
          <w:rFonts w:hint="eastAsia" w:ascii="宋体" w:hAnsi="宋体" w:eastAsia="宋体" w:cs="宋体"/>
          <w:b w:val="0"/>
          <w:bCs w:val="0"/>
          <w:color w:val="auto"/>
          <w:sz w:val="21"/>
          <w:szCs w:val="21"/>
          <w:highlight w:val="none"/>
          <w:lang w:val="en-US" w:eastAsia="zh-CN"/>
        </w:rPr>
        <w:t>或者网站首页在线客服。投标人自行承担因未按要求获取招标文件导致无法上传电子投标文件的风险。</w:t>
      </w:r>
    </w:p>
    <w:p w14:paraId="42F9A653">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5.本项目采用不见面开标，投标人登录滁州市城投工程咨询有限公司不见面开标系统参与网上开标（网址：http://js.etrading.cn/EpointBidOpening/bidopeninghallaction/hall/login）。</w:t>
      </w:r>
    </w:p>
    <w:p w14:paraId="348D91F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6.投标人应在投标截止时间之前，登录新点电子交易平台【滁州专区】上传投标文件。投标人逾期上传投标文件的，电子系统不予受理。</w:t>
      </w:r>
    </w:p>
    <w:p w14:paraId="507F2748">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16147551">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8.投标人的联系人电话(手机)、电子邮箱等通讯方式在开标过程中必须保持畅通，否则因上述原因造成的后果，责任自负。</w:t>
      </w:r>
    </w:p>
    <w:p w14:paraId="2A3BE869">
      <w:pPr>
        <w:keepNext/>
        <w:keepLines/>
        <w:pageBreakBefore w:val="0"/>
        <w:widowControl w:val="0"/>
        <w:kinsoku/>
        <w:wordWrap/>
        <w:overflowPunct/>
        <w:topLinePunct w:val="0"/>
        <w:autoSpaceDE/>
        <w:autoSpaceDN/>
        <w:bidi w:val="0"/>
        <w:adjustRightInd/>
        <w:snapToGrid/>
        <w:spacing w:before="100" w:after="100" w:line="440" w:lineRule="exact"/>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八、对本次招标提出询问，请按以下方式联系</w:t>
      </w:r>
    </w:p>
    <w:p w14:paraId="610D089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人信息</w:t>
      </w:r>
    </w:p>
    <w:p w14:paraId="528AB23E">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lang w:val="en-US" w:eastAsia="zh-CN" w:bidi="ar"/>
        </w:rPr>
        <w:t>名称：滁州市重点工程建设管理处</w:t>
      </w:r>
    </w:p>
    <w:p w14:paraId="3E71B465">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地址：滁州市琅琊西路建设大厦4楼</w:t>
      </w:r>
    </w:p>
    <w:p w14:paraId="55B1265B">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联系方式：顾莉 0550-2599817</w:t>
      </w:r>
    </w:p>
    <w:p w14:paraId="0959C5B1">
      <w:pPr>
        <w:keepNext w:val="0"/>
        <w:keepLines w:val="0"/>
        <w:widowControl w:val="0"/>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w:t>
      </w:r>
      <w:r>
        <w:rPr>
          <w:rFonts w:hint="eastAsia" w:ascii="宋体" w:hAnsi="宋体" w:cs="宋体"/>
          <w:kern w:val="2"/>
          <w:sz w:val="21"/>
          <w:szCs w:val="21"/>
          <w:highlight w:val="none"/>
          <w:lang w:val="en-US" w:eastAsia="zh-CN" w:bidi="ar"/>
        </w:rPr>
        <w:t>招标</w:t>
      </w:r>
      <w:r>
        <w:rPr>
          <w:rFonts w:hint="eastAsia" w:ascii="宋体" w:hAnsi="宋体" w:eastAsia="宋体" w:cs="宋体"/>
          <w:kern w:val="2"/>
          <w:sz w:val="21"/>
          <w:szCs w:val="21"/>
          <w:highlight w:val="none"/>
          <w:lang w:val="en-US" w:eastAsia="zh-CN" w:bidi="ar"/>
        </w:rPr>
        <w:t>代理机构信息</w:t>
      </w:r>
    </w:p>
    <w:p w14:paraId="347D39A0">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名称：滁州市城投工程咨询管理有限公司</w:t>
      </w:r>
    </w:p>
    <w:p w14:paraId="7068A465">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地址：滁州市龙蟠大道109号房产商务大厦6楼605室</w:t>
      </w:r>
    </w:p>
    <w:p w14:paraId="3A132979">
      <w:pPr>
        <w:keepNext w:val="0"/>
        <w:keepLines w:val="0"/>
        <w:widowControl w:val="0"/>
        <w:suppressLineNumbers w:val="0"/>
        <w:autoSpaceDE w:val="0"/>
        <w:autoSpaceDN/>
        <w:spacing w:before="0" w:beforeAutospacing="0" w:after="0" w:afterAutospacing="0" w:line="44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联系方式：</w:t>
      </w:r>
      <w:r>
        <w:rPr>
          <w:rFonts w:hint="eastAsia" w:ascii="宋体" w:hAnsi="宋体" w:cs="宋体"/>
          <w:kern w:val="2"/>
          <w:sz w:val="21"/>
          <w:szCs w:val="21"/>
          <w:highlight w:val="none"/>
          <w:lang w:val="en-US" w:eastAsia="zh-CN" w:bidi="ar"/>
        </w:rPr>
        <w:t>王芳</w:t>
      </w:r>
      <w:r>
        <w:rPr>
          <w:rFonts w:hint="eastAsia" w:ascii="宋体" w:hAnsi="宋体" w:eastAsia="宋体" w:cs="宋体"/>
          <w:kern w:val="2"/>
          <w:sz w:val="21"/>
          <w:szCs w:val="21"/>
          <w:highlight w:val="none"/>
          <w:lang w:val="en-US" w:eastAsia="zh-CN" w:bidi="ar"/>
        </w:rPr>
        <w:t xml:space="preserve">  </w:t>
      </w:r>
      <w:r>
        <w:rPr>
          <w:rFonts w:hint="eastAsia" w:ascii="宋体" w:hAnsi="宋体" w:cs="宋体"/>
          <w:kern w:val="2"/>
          <w:sz w:val="21"/>
          <w:szCs w:val="21"/>
          <w:highlight w:val="none"/>
          <w:lang w:val="en-US" w:eastAsia="zh-CN" w:bidi="ar"/>
        </w:rPr>
        <w:t>0550-3519519</w:t>
      </w:r>
      <w:r>
        <w:rPr>
          <w:rFonts w:hint="eastAsia" w:ascii="宋体" w:hAnsi="宋体" w:eastAsia="宋体" w:cs="宋体"/>
          <w:kern w:val="2"/>
          <w:sz w:val="21"/>
          <w:szCs w:val="21"/>
          <w:highlight w:val="none"/>
          <w:lang w:val="en-US" w:eastAsia="zh-CN" w:bidi="ar"/>
        </w:rPr>
        <w:t>、</w:t>
      </w:r>
      <w:r>
        <w:rPr>
          <w:rFonts w:hint="eastAsia" w:ascii="宋体" w:hAnsi="宋体" w:cs="宋体"/>
          <w:kern w:val="2"/>
          <w:sz w:val="21"/>
          <w:szCs w:val="21"/>
          <w:highlight w:val="none"/>
          <w:lang w:val="en-US" w:eastAsia="zh-CN" w:bidi="ar"/>
        </w:rPr>
        <w:t>18955055067</w:t>
      </w:r>
    </w:p>
    <w:p w14:paraId="5ECB63B7">
      <w:pPr>
        <w:pageBreakBefore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p>
    <w:p w14:paraId="0B7C01C1">
      <w:pPr>
        <w:pStyle w:val="5"/>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1" w:name="_Toc2525"/>
      <w:bookmarkStart w:id="42" w:name="_Toc24103"/>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1"/>
      <w:r>
        <w:rPr>
          <w:rFonts w:hint="eastAsia" w:ascii="宋体" w:hAnsi="宋体" w:eastAsia="宋体" w:cs="宋体"/>
          <w:color w:val="auto"/>
          <w:highlight w:val="none"/>
          <w:lang w:eastAsia="zh-CN"/>
        </w:rPr>
        <w:t>投标人须知</w:t>
      </w:r>
      <w:bookmarkEnd w:id="42"/>
    </w:p>
    <w:p w14:paraId="11A55803">
      <w:pPr>
        <w:pStyle w:val="5"/>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bookmarkStart w:id="43" w:name="_Toc15200"/>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1"/>
      <w:bookmarkEnd w:id="43"/>
    </w:p>
    <w:tbl>
      <w:tblPr>
        <w:tblStyle w:val="45"/>
        <w:tblW w:w="9538" w:type="dxa"/>
        <w:tblInd w:w="2" w:type="dxa"/>
        <w:tblLayout w:type="fixed"/>
        <w:tblCellMar>
          <w:top w:w="0" w:type="dxa"/>
          <w:left w:w="0" w:type="dxa"/>
          <w:bottom w:w="0" w:type="dxa"/>
          <w:right w:w="0" w:type="dxa"/>
        </w:tblCellMar>
      </w:tblPr>
      <w:tblGrid>
        <w:gridCol w:w="727"/>
        <w:gridCol w:w="1645"/>
        <w:gridCol w:w="7166"/>
      </w:tblGrid>
      <w:tr w14:paraId="78EF493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45"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166"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45"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166" w:type="dxa"/>
            <w:tcBorders>
              <w:top w:val="single" w:color="auto" w:sz="8" w:space="0"/>
              <w:left w:val="single" w:color="auto" w:sz="4" w:space="0"/>
              <w:bottom w:val="single" w:color="auto" w:sz="8" w:space="0"/>
              <w:right w:val="single" w:color="auto" w:sz="8" w:space="0"/>
            </w:tcBorders>
            <w:vAlign w:val="center"/>
          </w:tcPr>
          <w:p w14:paraId="3237CBC8">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cs="宋体"/>
                <w:color w:val="auto"/>
                <w:kern w:val="0"/>
                <w:sz w:val="21"/>
                <w:szCs w:val="21"/>
                <w:highlight w:val="none"/>
                <w:lang w:val="en-US" w:eastAsia="zh-CN"/>
              </w:rPr>
              <w:t>2026年校园周边安全护学提升工程（一批次）工程量清单及最高投标限价编制服务项目</w:t>
            </w:r>
          </w:p>
          <w:p w14:paraId="3D870AD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41C1F8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63" w:leftChars="30" w:right="0"/>
              <w:jc w:val="left"/>
              <w:textAlignment w:val="auto"/>
              <w:rPr>
                <w:rFonts w:hint="default" w:ascii="宋体" w:hAnsi="宋体" w:eastAsia="宋体" w:cs="宋体"/>
                <w:color w:val="auto"/>
                <w:kern w:val="0"/>
                <w:sz w:val="21"/>
                <w:szCs w:val="21"/>
                <w:highlight w:val="none"/>
                <w:u w:val="single"/>
                <w:lang w:val="en-US"/>
              </w:rPr>
            </w:pPr>
            <w:r>
              <w:rPr>
                <w:rFonts w:hint="eastAsia" w:ascii="宋体" w:hAnsi="宋体" w:eastAsia="宋体" w:cs="宋体"/>
                <w:color w:val="auto"/>
                <w:kern w:val="0"/>
                <w:sz w:val="21"/>
                <w:szCs w:val="21"/>
                <w:highlight w:val="none"/>
                <w:lang w:val="en-US" w:eastAsia="zh-CN"/>
              </w:rPr>
              <w:t>建设规模：工程量清单及最高投标限价编制费约</w:t>
            </w:r>
            <w:r>
              <w:rPr>
                <w:rFonts w:hint="eastAsia" w:ascii="宋体" w:hAnsi="宋体" w:cs="宋体"/>
                <w:i w:val="0"/>
                <w:iCs w:val="0"/>
                <w:caps w:val="0"/>
                <w:color w:val="auto"/>
                <w:spacing w:val="0"/>
                <w:kern w:val="0"/>
                <w:sz w:val="21"/>
                <w:szCs w:val="21"/>
                <w:highlight w:val="none"/>
                <w:shd w:val="clear" w:fill="FFFFFF"/>
                <w:lang w:val="en-US" w:eastAsia="zh-CN" w:bidi="ar"/>
              </w:rPr>
              <w:t>0.86万元</w:t>
            </w:r>
            <w:r>
              <w:rPr>
                <w:rFonts w:hint="eastAsia" w:ascii="宋体" w:hAnsi="宋体" w:eastAsia="宋体" w:cs="宋体"/>
                <w:color w:val="auto"/>
                <w:kern w:val="0"/>
                <w:sz w:val="21"/>
                <w:szCs w:val="21"/>
                <w:highlight w:val="none"/>
                <w:lang w:val="en-US" w:eastAsia="zh-CN"/>
              </w:rPr>
              <w:t>。</w:t>
            </w:r>
          </w:p>
        </w:tc>
      </w:tr>
      <w:tr w14:paraId="4047B0BA">
        <w:tblPrEx>
          <w:tblCellMar>
            <w:top w:w="0" w:type="dxa"/>
            <w:left w:w="0" w:type="dxa"/>
            <w:bottom w:w="0" w:type="dxa"/>
            <w:right w:w="0" w:type="dxa"/>
          </w:tblCellMar>
        </w:tblPrEx>
        <w:trPr>
          <w:trHeight w:val="525" w:hRule="atLeast"/>
        </w:trPr>
        <w:tc>
          <w:tcPr>
            <w:tcW w:w="727"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45"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166"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default" w:ascii="宋体" w:hAnsi="宋体" w:eastAsia="宋体" w:cs="宋体"/>
                <w:color w:val="auto"/>
                <w:kern w:val="0"/>
                <w:sz w:val="21"/>
                <w:szCs w:val="21"/>
                <w:highlight w:val="none"/>
                <w:lang w:val="en-US"/>
              </w:rPr>
            </w:pPr>
            <w:r>
              <w:rPr>
                <w:rFonts w:hint="eastAsia" w:ascii="宋体" w:hAnsi="宋体" w:cs="宋体"/>
                <w:color w:val="auto"/>
                <w:kern w:val="0"/>
                <w:sz w:val="21"/>
                <w:szCs w:val="21"/>
                <w:highlight w:val="none"/>
                <w:lang w:val="en-US" w:eastAsia="zh-CN"/>
              </w:rPr>
              <w:t>见招标公告</w:t>
            </w:r>
          </w:p>
        </w:tc>
      </w:tr>
      <w:tr w14:paraId="597FACB0">
        <w:tblPrEx>
          <w:tblCellMar>
            <w:top w:w="0" w:type="dxa"/>
            <w:left w:w="0" w:type="dxa"/>
            <w:bottom w:w="0" w:type="dxa"/>
            <w:right w:w="0" w:type="dxa"/>
          </w:tblCellMar>
        </w:tblPrEx>
        <w:trPr>
          <w:trHeight w:val="711" w:hRule="atLeast"/>
        </w:trPr>
        <w:tc>
          <w:tcPr>
            <w:tcW w:w="727"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45"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166" w:type="dxa"/>
            <w:tcBorders>
              <w:top w:val="single" w:color="auto" w:sz="8" w:space="0"/>
              <w:left w:val="single" w:color="auto" w:sz="4" w:space="0"/>
              <w:bottom w:val="single" w:color="auto" w:sz="8" w:space="0"/>
              <w:right w:val="single" w:color="auto" w:sz="8" w:space="0"/>
            </w:tcBorders>
            <w:vAlign w:val="center"/>
          </w:tcPr>
          <w:p w14:paraId="125E3E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1、领取图纸之日起</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日内完成工程量清单和最高投标限价的编制及备案工作。</w:t>
            </w:r>
          </w:p>
          <w:p w14:paraId="5C463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2、造价企业应在规定时间内提交咨询成果文件，因造价企业原因未能按时提交，超过5日的，扣咨询服务费500元/日；超过15日的，扣咨询服务费1000元/日；超过规定时间一半以上的，终止委托业务。</w:t>
            </w:r>
          </w:p>
          <w:p w14:paraId="32E42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63" w:leftChars="30" w:right="42" w:rightChars="20"/>
              <w:textAlignment w:val="auto"/>
              <w:rPr>
                <w:rFonts w:hint="eastAsia"/>
                <w:highlight w:val="none"/>
                <w:lang w:eastAsia="zh-CN"/>
              </w:rPr>
            </w:pPr>
            <w:r>
              <w:rPr>
                <w:rFonts w:hint="eastAsia" w:ascii="宋体" w:hAnsi="宋体" w:eastAsia="宋体" w:cs="宋体"/>
                <w:color w:val="auto"/>
                <w:sz w:val="21"/>
                <w:szCs w:val="21"/>
                <w:highlight w:val="none"/>
                <w:lang w:val="en-US" w:eastAsia="zh-CN"/>
              </w:rPr>
              <w:t>满足关于印发《工程造价咨询服务管理办法》的通知（滁重〔2022〕55号）规定。</w:t>
            </w:r>
          </w:p>
        </w:tc>
      </w:tr>
      <w:tr w14:paraId="24784F2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45"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166"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overflowPunct/>
              <w:topLinePunct w:val="0"/>
              <w:autoSpaceDE/>
              <w:autoSpaceDN/>
              <w:bidi w:val="0"/>
              <w:adjustRightInd/>
              <w:snapToGrid/>
              <w:spacing w:line="440" w:lineRule="exact"/>
              <w:ind w:left="63" w:leftChars="3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eastAsia="zh-CN"/>
              </w:rPr>
              <w:t>符合《建设工程造价咨询成果文件质量标准》（CECA/GCF2012）</w:t>
            </w:r>
          </w:p>
        </w:tc>
      </w:tr>
      <w:tr w14:paraId="21D1049F">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45"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4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166"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见招标公告</w:t>
            </w:r>
          </w:p>
        </w:tc>
      </w:tr>
      <w:tr w14:paraId="26978DB0">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45"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166"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45" w:type="dxa"/>
            <w:tcBorders>
              <w:top w:val="single" w:color="auto" w:sz="8" w:space="0"/>
              <w:left w:val="single" w:color="auto" w:sz="4" w:space="0"/>
              <w:bottom w:val="single" w:color="auto" w:sz="8" w:space="0"/>
              <w:right w:val="single" w:color="auto" w:sz="4" w:space="0"/>
            </w:tcBorders>
            <w:vAlign w:val="center"/>
          </w:tcPr>
          <w:p w14:paraId="396C664A">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166" w:type="dxa"/>
            <w:tcBorders>
              <w:top w:val="single" w:color="auto" w:sz="8" w:space="0"/>
              <w:left w:val="single" w:color="auto" w:sz="4" w:space="0"/>
              <w:bottom w:val="single" w:color="auto" w:sz="8" w:space="0"/>
              <w:right w:val="single" w:color="auto" w:sz="8" w:space="0"/>
            </w:tcBorders>
            <w:vAlign w:val="center"/>
          </w:tcPr>
          <w:p w14:paraId="59739CC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1103" w:hRule="atLeast"/>
        </w:trPr>
        <w:tc>
          <w:tcPr>
            <w:tcW w:w="727"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45"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166" w:type="dxa"/>
            <w:tcBorders>
              <w:top w:val="single" w:color="auto" w:sz="8" w:space="0"/>
              <w:left w:val="single" w:color="auto" w:sz="4" w:space="0"/>
              <w:bottom w:val="single" w:color="auto" w:sz="8" w:space="0"/>
              <w:right w:val="single" w:color="auto" w:sz="8" w:space="0"/>
            </w:tcBorders>
            <w:vAlign w:val="center"/>
          </w:tcPr>
          <w:p w14:paraId="4C759270">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工程量清单和最高投标限价编制</w:t>
            </w:r>
            <w:r>
              <w:rPr>
                <w:rFonts w:hint="eastAsia" w:ascii="宋体" w:hAnsi="宋体" w:eastAsia="宋体" w:cs="宋体"/>
                <w:color w:val="auto"/>
                <w:kern w:val="0"/>
                <w:sz w:val="21"/>
                <w:szCs w:val="21"/>
                <w:highlight w:val="none"/>
                <w:lang w:val="en-US" w:eastAsia="zh-CN"/>
              </w:rPr>
              <w:t>费用的最高限价为《收费标准》计算费用的40%（报价均保留两位小数，小数点后第三位将四舍五入进行修正）</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投标单位投标报价不得高于上述费率最高限价，否则按无效标处理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《收费标准》详见附表</w:t>
            </w:r>
            <w:r>
              <w:rPr>
                <w:rFonts w:hint="eastAsia" w:ascii="宋体" w:hAnsi="宋体" w:eastAsia="宋体" w:cs="宋体"/>
                <w:color w:val="auto"/>
                <w:kern w:val="0"/>
                <w:sz w:val="21"/>
                <w:szCs w:val="21"/>
                <w:highlight w:val="none"/>
                <w:lang w:eastAsia="zh-CN"/>
              </w:rPr>
              <w:t>。</w:t>
            </w:r>
          </w:p>
          <w:p w14:paraId="48D22E22">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注：服务费用=【施工中标价-（暂列金+暂估价）】*相应费率*中标费率</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若施工招标时划分了多个施工标段，则造价咨询费的计费基数为已招标实施的施工标段中标价的合计总金额。</w:t>
            </w:r>
          </w:p>
        </w:tc>
      </w:tr>
      <w:tr w14:paraId="689F356F">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45"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166"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w:t>
            </w:r>
            <w:r>
              <w:rPr>
                <w:rFonts w:hint="eastAsia" w:ascii="宋体" w:hAnsi="宋体" w:cs="宋体"/>
                <w:color w:val="auto"/>
                <w:spacing w:val="-4"/>
                <w:kern w:val="0"/>
                <w:sz w:val="21"/>
                <w:szCs w:val="21"/>
                <w:highlight w:val="none"/>
                <w:lang w:eastAsia="zh-CN"/>
              </w:rPr>
              <w:t>2026年3月</w:t>
            </w:r>
            <w:r>
              <w:rPr>
                <w:rFonts w:hint="eastAsia" w:ascii="宋体" w:hAnsi="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w:t>
            </w:r>
            <w:r>
              <w:rPr>
                <w:rFonts w:hint="eastAsia" w:ascii="宋体" w:hAnsi="宋体" w:cs="宋体"/>
                <w:color w:val="auto"/>
                <w:spacing w:val="-4"/>
                <w:kern w:val="0"/>
                <w:sz w:val="21"/>
                <w:szCs w:val="21"/>
                <w:highlight w:val="none"/>
                <w:lang w:val="en-US" w:eastAsia="zh-CN"/>
              </w:rPr>
              <w:t>11</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w:t>
            </w:r>
            <w:r>
              <w:rPr>
                <w:rFonts w:hint="eastAsia" w:ascii="宋体" w:hAnsi="宋体" w:cs="宋体"/>
                <w:color w:val="auto"/>
                <w:spacing w:val="-4"/>
                <w:kern w:val="0"/>
                <w:sz w:val="21"/>
                <w:szCs w:val="21"/>
                <w:highlight w:val="none"/>
                <w:lang w:eastAsia="zh-CN"/>
              </w:rPr>
              <w:t>2026年3月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9</w:t>
            </w:r>
            <w:r>
              <w:rPr>
                <w:rFonts w:hint="eastAsia" w:ascii="宋体" w:hAnsi="宋体" w:eastAsia="宋体" w:cs="宋体"/>
                <w:color w:val="auto"/>
                <w:spacing w:val="-4"/>
                <w:kern w:val="0"/>
                <w:sz w:val="21"/>
                <w:szCs w:val="21"/>
                <w:highlight w:val="none"/>
              </w:rPr>
              <w:t>日1</w:t>
            </w:r>
            <w:r>
              <w:rPr>
                <w:rFonts w:hint="eastAsia" w:ascii="宋体" w:hAnsi="宋体" w:cs="宋体"/>
                <w:color w:val="auto"/>
                <w:spacing w:val="-4"/>
                <w:kern w:val="0"/>
                <w:sz w:val="21"/>
                <w:szCs w:val="21"/>
                <w:highlight w:val="none"/>
                <w:lang w:val="en-US" w:eastAsia="zh-CN"/>
              </w:rPr>
              <w:t>2</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滁州市城投工程咨询管理有限公司（https://www.czctgczx.com/）、滁州市重点工程建设管理处（http://zdc.chuzhou.gov.cn/）</w:t>
            </w:r>
            <w:r>
              <w:rPr>
                <w:rFonts w:hint="eastAsia" w:ascii="宋体" w:hAnsi="宋体" w:cs="宋体"/>
                <w:color w:val="auto"/>
                <w:sz w:val="21"/>
                <w:szCs w:val="21"/>
                <w:highlight w:val="none"/>
                <w:lang w:val="en-US" w:eastAsia="zh-CN"/>
              </w:rPr>
              <w:t>等</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45" w:type="dxa"/>
            <w:tcBorders>
              <w:top w:val="single" w:color="auto" w:sz="8" w:space="0"/>
              <w:left w:val="single" w:color="auto" w:sz="4" w:space="0"/>
              <w:bottom w:val="single" w:color="auto" w:sz="8" w:space="0"/>
              <w:right w:val="single" w:color="auto" w:sz="4" w:space="0"/>
            </w:tcBorders>
            <w:vAlign w:val="center"/>
          </w:tcPr>
          <w:p w14:paraId="0B644D17">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166" w:type="dxa"/>
            <w:tcBorders>
              <w:top w:val="single" w:color="auto" w:sz="8" w:space="0"/>
              <w:left w:val="single" w:color="auto" w:sz="4" w:space="0"/>
              <w:bottom w:val="single" w:color="auto" w:sz="8" w:space="0"/>
              <w:right w:val="single" w:color="auto" w:sz="8" w:space="0"/>
            </w:tcBorders>
            <w:vAlign w:val="center"/>
          </w:tcPr>
          <w:p w14:paraId="0CB8330D">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946" w:hRule="atLeast"/>
        </w:trPr>
        <w:tc>
          <w:tcPr>
            <w:tcW w:w="727"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45" w:type="dxa"/>
            <w:tcBorders>
              <w:top w:val="single" w:color="auto" w:sz="8" w:space="0"/>
              <w:left w:val="single" w:color="auto" w:sz="4" w:space="0"/>
              <w:bottom w:val="single" w:color="auto" w:sz="8" w:space="0"/>
              <w:right w:val="single" w:color="auto" w:sz="4" w:space="0"/>
            </w:tcBorders>
            <w:vAlign w:val="center"/>
          </w:tcPr>
          <w:p w14:paraId="32269176">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166"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816" w:hRule="atLeast"/>
        </w:trPr>
        <w:tc>
          <w:tcPr>
            <w:tcW w:w="727"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45"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166" w:type="dxa"/>
            <w:tcBorders>
              <w:top w:val="single" w:color="auto" w:sz="8" w:space="0"/>
              <w:left w:val="single" w:color="auto" w:sz="4" w:space="0"/>
              <w:bottom w:val="single" w:color="auto" w:sz="8" w:space="0"/>
              <w:right w:val="single" w:color="auto" w:sz="8" w:space="0"/>
            </w:tcBorders>
            <w:vAlign w:val="center"/>
          </w:tcPr>
          <w:p w14:paraId="4FCD2EB5">
            <w:pPr>
              <w:pStyle w:val="2"/>
              <w:keepNext w:val="0"/>
              <w:keepLines w:val="0"/>
              <w:pageBreakBefore w:val="0"/>
              <w:kinsoku/>
              <w:overflowPunct/>
              <w:topLinePunct w:val="0"/>
              <w:autoSpaceDE/>
              <w:autoSpaceDN/>
              <w:bidi w:val="0"/>
              <w:adjustRightInd/>
              <w:snapToGrid/>
              <w:spacing w:line="440" w:lineRule="exact"/>
              <w:ind w:left="63" w:leftChars="30" w:firstLine="0" w:firstLineChars="0"/>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adjustRightInd/>
              <w:snapToGrid/>
              <w:spacing w:line="440" w:lineRule="exact"/>
              <w:ind w:left="63" w:leftChars="30"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339" w:hRule="atLeast"/>
        </w:trPr>
        <w:tc>
          <w:tcPr>
            <w:tcW w:w="727"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45"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166"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cs="宋体"/>
                <w:b/>
                <w:bCs/>
                <w:color w:val="auto"/>
                <w:sz w:val="21"/>
                <w:szCs w:val="21"/>
                <w:highlight w:val="none"/>
                <w:lang w:val="en-US" w:eastAsia="zh-CN"/>
              </w:rPr>
              <w:t>2026年3月10日9</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5955308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eastAsia="zh-CN"/>
              </w:rPr>
              <w:t>1.解密程序开始后30分钟内（以本项目网上招投标系统解密倒计时为准）。</w:t>
            </w:r>
          </w:p>
        </w:tc>
      </w:tr>
      <w:tr w14:paraId="39CAD765">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45"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166"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45"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166" w:type="dxa"/>
            <w:tcBorders>
              <w:top w:val="single" w:color="auto" w:sz="8" w:space="0"/>
              <w:left w:val="single" w:color="auto" w:sz="4" w:space="0"/>
              <w:bottom w:val="single" w:color="auto" w:sz="8" w:space="0"/>
              <w:right w:val="single" w:color="auto" w:sz="8" w:space="0"/>
            </w:tcBorders>
            <w:vAlign w:val="center"/>
          </w:tcPr>
          <w:p w14:paraId="29D105D4">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详见招标公告</w:t>
            </w:r>
            <w:r>
              <w:rPr>
                <w:rFonts w:hint="eastAsia" w:ascii="宋体" w:hAnsi="宋体" w:cs="宋体"/>
                <w:color w:val="auto"/>
                <w:szCs w:val="21"/>
                <w:highlight w:val="none"/>
                <w:lang w:eastAsia="zh-CN"/>
              </w:rPr>
              <w:t>。</w:t>
            </w:r>
          </w:p>
        </w:tc>
      </w:tr>
      <w:tr w14:paraId="076992A3">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45"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166"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45" w:type="dxa"/>
            <w:tcBorders>
              <w:top w:val="single" w:color="auto" w:sz="8" w:space="0"/>
              <w:left w:val="single" w:color="auto" w:sz="4" w:space="0"/>
              <w:bottom w:val="single" w:color="auto" w:sz="8" w:space="0"/>
              <w:right w:val="single" w:color="auto" w:sz="4" w:space="0"/>
            </w:tcBorders>
            <w:vAlign w:val="center"/>
          </w:tcPr>
          <w:p w14:paraId="5CB513ED">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166"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40" w:lineRule="exact"/>
              <w:ind w:left="63" w:leftChars="3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45" w:type="dxa"/>
            <w:tcBorders>
              <w:top w:val="single" w:color="auto" w:sz="8" w:space="0"/>
              <w:left w:val="single" w:color="auto" w:sz="4" w:space="0"/>
              <w:bottom w:val="single" w:color="auto" w:sz="8" w:space="0"/>
              <w:right w:val="single" w:color="auto" w:sz="4" w:space="0"/>
            </w:tcBorders>
            <w:vAlign w:val="center"/>
          </w:tcPr>
          <w:p w14:paraId="289798AF">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166" w:type="dxa"/>
            <w:tcBorders>
              <w:top w:val="single" w:color="auto" w:sz="8" w:space="0"/>
              <w:left w:val="single" w:color="auto" w:sz="4" w:space="0"/>
              <w:bottom w:val="single" w:color="auto" w:sz="8" w:space="0"/>
              <w:right w:val="single" w:color="auto" w:sz="8" w:space="0"/>
            </w:tcBorders>
            <w:vAlign w:val="center"/>
          </w:tcPr>
          <w:p w14:paraId="50C3E122">
            <w:pPr>
              <w:pStyle w:val="25"/>
              <w:keepNext w:val="0"/>
              <w:keepLines w:val="0"/>
              <w:pageBreakBefore w:val="0"/>
              <w:kinsoku/>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320" w:hRule="atLeast"/>
        </w:trPr>
        <w:tc>
          <w:tcPr>
            <w:tcW w:w="727"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45" w:type="dxa"/>
            <w:tcBorders>
              <w:top w:val="single" w:color="auto" w:sz="8" w:space="0"/>
              <w:left w:val="single" w:color="auto" w:sz="4" w:space="0"/>
              <w:bottom w:val="single" w:color="auto" w:sz="8" w:space="0"/>
              <w:right w:val="single" w:color="auto" w:sz="4" w:space="0"/>
            </w:tcBorders>
            <w:vAlign w:val="center"/>
          </w:tcPr>
          <w:p w14:paraId="77F75070">
            <w:pPr>
              <w:pStyle w:val="25"/>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166" w:type="dxa"/>
            <w:tcBorders>
              <w:top w:val="single" w:color="auto" w:sz="8" w:space="0"/>
              <w:left w:val="single" w:color="auto" w:sz="4" w:space="0"/>
              <w:bottom w:val="single" w:color="auto" w:sz="8" w:space="0"/>
              <w:right w:val="single" w:color="auto" w:sz="8" w:space="0"/>
            </w:tcBorders>
            <w:vAlign w:val="top"/>
          </w:tcPr>
          <w:p w14:paraId="2F0DB711">
            <w:pPr>
              <w:pStyle w:val="25"/>
              <w:keepNext w:val="0"/>
              <w:keepLines w:val="0"/>
              <w:pageBreakBefore w:val="0"/>
              <w:kinsoku/>
              <w:wordWrap w:val="0"/>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滁州市重点工程建设管理处（http://zdc.chuzhou.gov.cn/）</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164" w:hRule="atLeast"/>
        </w:trPr>
        <w:tc>
          <w:tcPr>
            <w:tcW w:w="727"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45"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166"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adjustRightInd/>
              <w:snapToGrid/>
              <w:spacing w:line="440" w:lineRule="exact"/>
              <w:ind w:left="63" w:leftChars="3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164" w:hRule="atLeast"/>
        </w:trPr>
        <w:tc>
          <w:tcPr>
            <w:tcW w:w="953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164"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166"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79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166"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5F2A2E5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tc>
      </w:tr>
      <w:tr w14:paraId="234C8D6C">
        <w:tblPrEx>
          <w:tblCellMar>
            <w:top w:w="0" w:type="dxa"/>
            <w:left w:w="0" w:type="dxa"/>
            <w:bottom w:w="0" w:type="dxa"/>
            <w:right w:w="0" w:type="dxa"/>
          </w:tblCellMar>
        </w:tblPrEx>
        <w:trPr>
          <w:trHeight w:val="1885"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166"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2"/>
              <w:keepNext w:val="0"/>
              <w:keepLines w:val="0"/>
              <w:pageBreakBefore w:val="0"/>
              <w:kinsoku/>
              <w:wordWrap/>
              <w:overflowPunct/>
              <w:topLinePunct w:val="0"/>
              <w:autoSpaceDE/>
              <w:autoSpaceDN/>
              <w:bidi w:val="0"/>
              <w:adjustRightInd/>
              <w:snapToGrid/>
              <w:spacing w:line="440" w:lineRule="exact"/>
              <w:ind w:left="63" w:leftChars="3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633"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166"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tc>
      </w:tr>
      <w:tr w14:paraId="25B900FF">
        <w:tblPrEx>
          <w:tblCellMar>
            <w:top w:w="0" w:type="dxa"/>
            <w:left w:w="0" w:type="dxa"/>
            <w:bottom w:w="0" w:type="dxa"/>
            <w:right w:w="0" w:type="dxa"/>
          </w:tblCellMar>
        </w:tblPrEx>
        <w:trPr>
          <w:trHeight w:val="32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166"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本项目招标代理服务费用</w:t>
            </w:r>
            <w:r>
              <w:rPr>
                <w:rFonts w:hint="eastAsia" w:ascii="宋体" w:hAnsi="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lang w:val="en-US" w:eastAsia="zh-CN"/>
              </w:rPr>
              <w:t>元，专家评审费另计（最终以实际发生为准，按实计收），中标单位在领取中标通知书前一次性支付给代理公司</w:t>
            </w:r>
            <w:r>
              <w:rPr>
                <w:rFonts w:hint="eastAsia" w:ascii="宋体" w:hAnsi="宋体" w:eastAsia="宋体" w:cs="宋体"/>
                <w:b/>
                <w:bCs/>
                <w:color w:val="auto"/>
                <w:kern w:val="0"/>
                <w:sz w:val="21"/>
                <w:szCs w:val="21"/>
                <w:highlight w:val="none"/>
                <w:lang w:val="en-US" w:eastAsia="zh-CN"/>
              </w:rPr>
              <w:t>。</w:t>
            </w:r>
          </w:p>
        </w:tc>
      </w:tr>
      <w:tr w14:paraId="6C5E33CA">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4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166"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43195011">
        <w:tblPrEx>
          <w:tblCellMar>
            <w:top w:w="0" w:type="dxa"/>
            <w:left w:w="0" w:type="dxa"/>
            <w:bottom w:w="0" w:type="dxa"/>
            <w:right w:w="0" w:type="dxa"/>
          </w:tblCellMar>
        </w:tblPrEx>
        <w:trPr>
          <w:trHeight w:val="0" w:hRule="atLeast"/>
        </w:trPr>
        <w:tc>
          <w:tcPr>
            <w:tcW w:w="2372" w:type="dxa"/>
            <w:gridSpan w:val="2"/>
            <w:tcBorders>
              <w:top w:val="single" w:color="auto" w:sz="8" w:space="0"/>
              <w:left w:val="single" w:color="auto" w:sz="8" w:space="0"/>
              <w:bottom w:val="single" w:color="auto" w:sz="8" w:space="0"/>
              <w:right w:val="single" w:color="auto" w:sz="4" w:space="0"/>
            </w:tcBorders>
            <w:vAlign w:val="center"/>
          </w:tcPr>
          <w:p w14:paraId="620FA2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color w:val="auto"/>
                <w:sz w:val="21"/>
                <w:szCs w:val="21"/>
                <w:highlight w:val="none"/>
                <w:lang w:val="en-US" w:eastAsia="zh-CN"/>
              </w:rPr>
              <w:t>特别说明</w:t>
            </w:r>
          </w:p>
        </w:tc>
        <w:tc>
          <w:tcPr>
            <w:tcW w:w="7166" w:type="dxa"/>
            <w:tcBorders>
              <w:top w:val="single" w:color="auto" w:sz="8" w:space="0"/>
              <w:left w:val="single" w:color="auto" w:sz="4" w:space="0"/>
              <w:bottom w:val="single" w:color="auto" w:sz="8" w:space="0"/>
              <w:right w:val="single" w:color="auto" w:sz="8" w:space="0"/>
            </w:tcBorders>
            <w:vAlign w:val="center"/>
          </w:tcPr>
          <w:p w14:paraId="789F12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招标人与中标人不按照招标文件和中标人的投标文件订立合同的，或者招标人、中标人订立背离合同实质性内容的协议的，责令改正；可以处中标项目金额千分之五以上千分之十以下的罚款。</w:t>
            </w:r>
          </w:p>
          <w:p w14:paraId="54EA46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中标人不履行与招标人订立的合同的，履约保证金不予退还，给招标人造成的损失超过履约保证金数额的，还应当对超过部分予以赔偿；没有提交履约保证金的，应当对招标人的损失承担赔偿责任。</w:t>
            </w:r>
          </w:p>
          <w:p w14:paraId="07F6A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中标人不按照与招标人订立的合同履行义务，情节严重的，取消其二年至五年内参加依法必须进行招标的项目的投标资格并予以公告，直至由工商行政管理机关吊销营业执照。</w:t>
            </w:r>
          </w:p>
          <w:p w14:paraId="01B484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因不可抗力不能履行合同的，不适用前两款规定。</w:t>
            </w:r>
          </w:p>
        </w:tc>
      </w:tr>
      <w:tr w14:paraId="53FC2CC8">
        <w:tblPrEx>
          <w:tblCellMar>
            <w:top w:w="0" w:type="dxa"/>
            <w:left w:w="0" w:type="dxa"/>
            <w:bottom w:w="0" w:type="dxa"/>
            <w:right w:w="0" w:type="dxa"/>
          </w:tblCellMar>
        </w:tblPrEx>
        <w:trPr>
          <w:trHeight w:val="444" w:hRule="atLeast"/>
        </w:trPr>
        <w:tc>
          <w:tcPr>
            <w:tcW w:w="2372" w:type="dxa"/>
            <w:gridSpan w:val="2"/>
            <w:tcBorders>
              <w:top w:val="single" w:color="auto" w:sz="8" w:space="0"/>
              <w:left w:val="single" w:color="auto" w:sz="8" w:space="0"/>
              <w:bottom w:val="single" w:color="auto" w:sz="8" w:space="0"/>
              <w:right w:val="single" w:color="auto" w:sz="4" w:space="0"/>
            </w:tcBorders>
            <w:shd w:val="clear" w:color="auto" w:fill="auto"/>
            <w:vAlign w:val="center"/>
          </w:tcPr>
          <w:p w14:paraId="179EA4E3">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rPr>
              <w:t>解释权</w:t>
            </w:r>
          </w:p>
        </w:tc>
        <w:tc>
          <w:tcPr>
            <w:tcW w:w="7166" w:type="dxa"/>
            <w:tcBorders>
              <w:top w:val="single" w:color="auto" w:sz="8" w:space="0"/>
              <w:left w:val="single" w:color="auto" w:sz="4" w:space="0"/>
              <w:bottom w:val="single" w:color="auto" w:sz="8" w:space="0"/>
              <w:right w:val="single" w:color="auto" w:sz="8" w:space="0"/>
            </w:tcBorders>
            <w:shd w:val="clear" w:color="auto" w:fill="auto"/>
            <w:vAlign w:val="center"/>
          </w:tcPr>
          <w:p w14:paraId="4A11B6B2">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1、构成本招标文件的各个组成文件应互为解释，互为说明；</w:t>
            </w:r>
          </w:p>
          <w:p w14:paraId="20A28A68">
            <w:pPr>
              <w:pStyle w:val="160"/>
              <w:keepNext w:val="0"/>
              <w:keepLines w:val="0"/>
              <w:pageBreakBefore w:val="0"/>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7"/>
                <w:sz w:val="21"/>
                <w:szCs w:val="21"/>
                <w:highlight w:val="none"/>
              </w:rPr>
              <w:t>同一组成文件中就同一事项的规定或约定不一致的，以编排</w:t>
            </w:r>
            <w:r>
              <w:rPr>
                <w:rFonts w:hint="eastAsia" w:ascii="宋体" w:hAnsi="宋体" w:eastAsia="宋体" w:cs="宋体"/>
                <w:color w:val="auto"/>
                <w:spacing w:val="-5"/>
                <w:sz w:val="21"/>
                <w:szCs w:val="21"/>
                <w:highlight w:val="none"/>
              </w:rPr>
              <w:t>顺序在后者为准；</w:t>
            </w:r>
          </w:p>
          <w:p w14:paraId="5152586F">
            <w:pPr>
              <w:pStyle w:val="160"/>
              <w:keepNext w:val="0"/>
              <w:keepLines w:val="0"/>
              <w:pageBreakBefore w:val="0"/>
              <w:tabs>
                <w:tab w:val="left" w:pos="351"/>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3、如有不明确或不一致，构成合同文件组成内容的，以合同文件约定内容为准，且以专用合同条款约定的合同文件优先顺序解释；</w:t>
            </w:r>
          </w:p>
          <w:p w14:paraId="0E820394">
            <w:pPr>
              <w:pStyle w:val="160"/>
              <w:keepNext w:val="0"/>
              <w:keepLines w:val="0"/>
              <w:pageBreakBefore w:val="0"/>
              <w:tabs>
                <w:tab w:val="left" w:pos="354"/>
              </w:tabs>
              <w:kinsoku/>
              <w:wordWrap/>
              <w:overflowPunct/>
              <w:topLinePunct w:val="0"/>
              <w:autoSpaceDE/>
              <w:autoSpaceDN/>
              <w:bidi w:val="0"/>
              <w:adjustRightInd/>
              <w:snapToGrid/>
              <w:spacing w:line="440" w:lineRule="exact"/>
              <w:ind w:left="63" w:leftChars="30"/>
              <w:textAlignment w:val="auto"/>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z w:val="21"/>
                <w:szCs w:val="21"/>
                <w:highlight w:val="none"/>
              </w:rPr>
              <w:t>系统中提供的表格（或格式文件）与招标文件中不一致时，以招标文件中提供的为准；</w:t>
            </w:r>
          </w:p>
          <w:p w14:paraId="3036DB2F">
            <w:pPr>
              <w:keepNext w:val="0"/>
              <w:keepLines w:val="0"/>
              <w:pageBreakBefore w:val="0"/>
              <w:kinsoku/>
              <w:wordWrap/>
              <w:overflowPunct/>
              <w:topLinePunct w:val="0"/>
              <w:autoSpaceDE/>
              <w:autoSpaceDN/>
              <w:bidi w:val="0"/>
              <w:adjustRightInd/>
              <w:snapToGrid/>
              <w:spacing w:line="440" w:lineRule="exact"/>
              <w:ind w:left="63" w:leftChars="3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pacing w:val="-3"/>
                <w:sz w:val="21"/>
                <w:szCs w:val="21"/>
                <w:highlight w:val="none"/>
              </w:rPr>
              <w:t>5、按本款前述规定仍不能形成结论的，由招标人负责解释。</w:t>
            </w:r>
          </w:p>
        </w:tc>
      </w:tr>
    </w:tbl>
    <w:p w14:paraId="5E12AD7E">
      <w:pPr>
        <w:spacing w:line="400" w:lineRule="exact"/>
        <w:jc w:val="center"/>
        <w:outlineLvl w:val="1"/>
        <w:rPr>
          <w:rFonts w:hint="eastAsia" w:ascii="宋体" w:hAnsi="宋体" w:eastAsia="宋体" w:cs="宋体"/>
          <w:b/>
          <w:bCs/>
          <w:color w:val="auto"/>
          <w:sz w:val="28"/>
          <w:highlight w:val="none"/>
        </w:rPr>
      </w:pPr>
    </w:p>
    <w:p w14:paraId="7AAEE894">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23F98024">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default"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val="en-US" w:eastAsia="zh-CN"/>
        </w:rPr>
        <w:t>2026年校园周边安全护学提升工程（一批次）工程量清单及最高投标限价编制服务项目</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cs="宋体"/>
          <w:color w:val="auto"/>
          <w:sz w:val="21"/>
          <w:szCs w:val="21"/>
          <w:highlight w:val="none"/>
          <w:u w:val="none"/>
          <w:lang w:eastAsia="zh-CN"/>
        </w:rPr>
        <w:t>滁州市重点工程建设管理处</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w:t>
      </w:r>
      <w:r>
        <w:rPr>
          <w:rFonts w:hint="eastAsia" w:ascii="宋体" w:hAnsi="宋体" w:cs="宋体"/>
          <w:color w:val="auto"/>
          <w:sz w:val="21"/>
          <w:szCs w:val="21"/>
          <w:highlight w:val="none"/>
          <w:u w:val="none"/>
          <w:lang w:val="en-US" w:eastAsia="zh-CN"/>
        </w:rPr>
        <w:t>投资</w:t>
      </w:r>
      <w:r>
        <w:rPr>
          <w:rFonts w:hint="eastAsia" w:ascii="宋体" w:hAnsi="宋体" w:eastAsia="宋体" w:cs="宋体"/>
          <w:color w:val="auto"/>
          <w:sz w:val="21"/>
          <w:szCs w:val="21"/>
          <w:highlight w:val="none"/>
          <w:u w:val="none"/>
          <w:lang w:val="en-US" w:eastAsia="zh-CN"/>
        </w:rPr>
        <w:t>金额约</w:t>
      </w:r>
      <w:r>
        <w:rPr>
          <w:rFonts w:hint="eastAsia" w:ascii="宋体" w:hAnsi="宋体" w:cs="宋体"/>
          <w:color w:val="auto"/>
          <w:sz w:val="21"/>
          <w:szCs w:val="21"/>
          <w:highlight w:val="none"/>
          <w:u w:val="none"/>
          <w:lang w:val="en-US" w:eastAsia="zh-CN"/>
        </w:rPr>
        <w:t>400万元</w:t>
      </w:r>
      <w:r>
        <w:rPr>
          <w:rFonts w:hint="eastAsia" w:ascii="宋体" w:hAnsi="宋体" w:eastAsia="宋体" w:cs="宋体"/>
          <w:color w:val="auto"/>
          <w:sz w:val="21"/>
          <w:szCs w:val="21"/>
          <w:highlight w:val="none"/>
          <w:u w:val="none"/>
          <w:lang w:val="en-US" w:eastAsia="zh-CN"/>
        </w:rPr>
        <w:t>，</w:t>
      </w:r>
      <w:r>
        <w:rPr>
          <w:rFonts w:hint="eastAsia" w:ascii="宋体" w:hAnsi="宋体" w:cs="宋体"/>
          <w:color w:val="auto"/>
          <w:sz w:val="21"/>
          <w:szCs w:val="21"/>
          <w:highlight w:val="none"/>
          <w:lang w:val="en-US" w:eastAsia="zh-CN"/>
        </w:rPr>
        <w:t>工程量清单及最高投标限价编制</w:t>
      </w:r>
      <w:r>
        <w:rPr>
          <w:rFonts w:hint="eastAsia" w:ascii="宋体" w:hAnsi="宋体" w:eastAsia="宋体" w:cs="宋体"/>
          <w:color w:val="auto"/>
          <w:sz w:val="21"/>
          <w:szCs w:val="21"/>
          <w:highlight w:val="none"/>
          <w:u w:val="none"/>
          <w:lang w:val="en-US" w:eastAsia="zh-CN"/>
        </w:rPr>
        <w:t>费</w:t>
      </w:r>
      <w:r>
        <w:rPr>
          <w:rFonts w:hint="eastAsia" w:ascii="宋体" w:hAnsi="宋体" w:cs="宋体"/>
          <w:color w:val="auto"/>
          <w:sz w:val="21"/>
          <w:szCs w:val="21"/>
          <w:highlight w:val="none"/>
          <w:u w:val="none"/>
          <w:lang w:val="en-US" w:eastAsia="zh-CN"/>
        </w:rPr>
        <w:t>约0.86万元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固定总价</w:t>
      </w:r>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综合评分法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50CEFD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17301"/>
      <w:bookmarkStart w:id="47" w:name="_Toc29988"/>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重点工程建设管理处（http://zdc.chuzhou.gov.cn/）、滁州市城投工程咨询管理有限公司（https://www.czctgczx.com/）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color w:val="auto"/>
          <w:szCs w:val="21"/>
          <w:highlight w:val="none"/>
          <w:lang w:eastAsia="zh-CN"/>
        </w:rPr>
        <w:t>滁州市重点工程建设管理处（http://zdc.chuzhou.gov.cn/）、</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F52E4E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17.1本项目工程量清单和最高投标限价编制费用为《收费标准》计算费用的</w:t>
      </w:r>
      <w:r>
        <w:rPr>
          <w:rFonts w:hint="eastAsia" w:ascii="宋体" w:hAnsi="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val="en-US" w:eastAsia="zh-CN"/>
        </w:rPr>
        <w:t>0%，投标单位投标报价不得高于上述费率最高限价，否则按无效标处理</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《收费标准》详见附表</w:t>
      </w:r>
      <w:r>
        <w:rPr>
          <w:rFonts w:hint="eastAsia" w:ascii="宋体" w:hAnsi="宋体" w:eastAsia="宋体" w:cs="宋体"/>
          <w:b/>
          <w:bCs/>
          <w:color w:val="auto"/>
          <w:sz w:val="21"/>
          <w:szCs w:val="21"/>
          <w:highlight w:val="none"/>
          <w:lang w:eastAsia="zh-CN"/>
        </w:rPr>
        <w:t>。</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24852"/>
      <w:bookmarkStart w:id="49" w:name="_Toc6831"/>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499ED5A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41B0209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4668144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34FA53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43DBF8F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不少于2名且具有在本单位注册的二级及以上造价工程师（土木建筑工程专业</w:t>
      </w:r>
      <w:r>
        <w:rPr>
          <w:rFonts w:hint="eastAsia" w:ascii="宋体" w:hAnsi="宋体" w:cs="宋体"/>
          <w:color w:val="auto"/>
          <w:kern w:val="0"/>
          <w:sz w:val="21"/>
          <w:szCs w:val="21"/>
          <w:highlight w:val="none"/>
          <w:lang w:val="en-US" w:eastAsia="zh-CN"/>
        </w:rPr>
        <w:t>至少1名、安装工程专业至少1名</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专业或安装工程专业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0AA33432">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1545EBBD">
      <w:pPr>
        <w:pageBreakBefore w:val="0"/>
        <w:kinsoku/>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投标人拟任项目负责人自2021年3月1日至投标截止时间止，承担过单项合同施工金额300万元及以上的市政道路工程或道路安全提升项目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20980F1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67A22FA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投标人在投标文件编制、签章、上传过程中如有任何操作的疑问请及时联系技术支持，电话：0512-58151515（工作日）或者网站首页在线客服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2"/>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13407"/>
      <w:bookmarkStart w:id="51" w:name="_Toc27519"/>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24005"/>
      <w:bookmarkStart w:id="53" w:name="_Toc18173"/>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2"/>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招标人应将中标人的情况在滁州市重点工程建设管理处（http://zdc.chuzhou.gov.cn/）</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滁州市城投工程咨询管理有限公司（https://www.czctgczx.com/）等网站上予以公告，公告期为3日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8"/>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滁州市重点工程建设管理处（http://zdc.chuzhou.gov.cn/）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滁州市城投工程咨询管理有限公司（https://www.czctgczx.com/）等</w:t>
      </w:r>
      <w:r>
        <w:rPr>
          <w:rFonts w:hint="eastAsia" w:ascii="宋体" w:hAnsi="宋体" w:eastAsia="宋体" w:cs="宋体"/>
          <w:color w:val="auto"/>
          <w:szCs w:val="21"/>
          <w:highlight w:val="none"/>
        </w:rPr>
        <w:t>网站上公告。</w:t>
      </w:r>
    </w:p>
    <w:p w14:paraId="5604CD8A">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38D0BFD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kern w:val="10"/>
          <w:szCs w:val="21"/>
          <w:highlight w:val="none"/>
          <w:lang w:val="en-US" w:eastAsia="zh-CN"/>
        </w:rPr>
      </w:pPr>
      <w:r>
        <w:rPr>
          <w:rFonts w:hint="eastAsia" w:ascii="宋体" w:hAnsi="宋体" w:cs="宋体"/>
          <w:color w:val="auto"/>
          <w:kern w:val="10"/>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222"/>
      <w:bookmarkStart w:id="57"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5"/>
        <w:spacing w:before="0" w:after="0"/>
        <w:rPr>
          <w:rFonts w:hint="eastAsia" w:ascii="宋体" w:hAnsi="宋体" w:eastAsia="宋体" w:cs="宋体"/>
          <w:color w:val="auto"/>
          <w:highlight w:val="none"/>
          <w:lang w:val="en-US" w:eastAsia="zh-CN"/>
        </w:rPr>
      </w:pPr>
    </w:p>
    <w:p w14:paraId="32EDDA19">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21844"/>
      <w:bookmarkStart w:id="60" w:name="_Toc13234"/>
      <w:r>
        <w:rPr>
          <w:rFonts w:hint="eastAsia" w:ascii="宋体" w:hAnsi="宋体" w:eastAsia="宋体" w:cs="宋体"/>
          <w:color w:val="auto"/>
          <w:highlight w:val="none"/>
          <w:lang w:val="en-US" w:eastAsia="zh-CN"/>
        </w:rPr>
        <w:t>第二章 评标办法</w:t>
      </w:r>
      <w:bookmarkEnd w:id="59"/>
      <w:bookmarkEnd w:id="60"/>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1" w:name="_Toc14912"/>
      <w:r>
        <w:rPr>
          <w:rFonts w:hint="eastAsia" w:ascii="宋体" w:hAnsi="宋体" w:eastAsia="宋体" w:cs="宋体"/>
          <w:b/>
          <w:bCs/>
          <w:color w:val="auto"/>
          <w:sz w:val="24"/>
          <w:szCs w:val="24"/>
          <w:highlight w:val="none"/>
          <w:lang w:val="en-US" w:eastAsia="zh-CN"/>
        </w:rPr>
        <w:t>一、总则</w:t>
      </w:r>
      <w:bookmarkEnd w:id="61"/>
    </w:p>
    <w:p w14:paraId="068C5033">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w:t>
      </w:r>
      <w:r>
        <w:rPr>
          <w:rFonts w:hint="eastAsia" w:ascii="宋体" w:hAnsi="宋体" w:cs="宋体"/>
          <w:b/>
          <w:bCs/>
          <w:color w:val="auto"/>
          <w:sz w:val="21"/>
          <w:szCs w:val="21"/>
          <w:highlight w:val="none"/>
          <w:lang w:val="en-US" w:eastAsia="zh-CN"/>
        </w:rPr>
        <w:t>综合评分法</w:t>
      </w:r>
    </w:p>
    <w:p w14:paraId="64AB08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eastAsia" w:ascii="宋体" w:hAnsi="宋体" w:cs="宋体"/>
          <w:color w:val="auto"/>
          <w:sz w:val="21"/>
          <w:szCs w:val="21"/>
          <w:highlight w:val="none"/>
          <w:lang w:val="en-US" w:eastAsia="zh-CN"/>
        </w:rPr>
        <w:t>综合评分法</w:t>
      </w:r>
      <w:r>
        <w:rPr>
          <w:rFonts w:hint="eastAsia" w:ascii="宋体" w:hAnsi="宋体" w:eastAsia="宋体" w:cs="宋体"/>
          <w:color w:val="auto"/>
          <w:sz w:val="21"/>
          <w:szCs w:val="21"/>
          <w:highlight w:val="none"/>
          <w:lang w:val="en-US" w:eastAsia="zh-CN"/>
        </w:rPr>
        <w:t>，评标委员会按照本章规定的评分标准进行打分，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2" w:name="_Toc449028878"/>
      <w:bookmarkStart w:id="63" w:name="_Toc58430318"/>
      <w:bookmarkStart w:id="64" w:name="_Toc29779"/>
      <w:r>
        <w:rPr>
          <w:rFonts w:hint="eastAsia" w:ascii="宋体"/>
          <w:b/>
          <w:color w:val="auto"/>
          <w:sz w:val="28"/>
          <w:szCs w:val="28"/>
          <w:highlight w:val="none"/>
        </w:rPr>
        <w:t>二、投标文件初审</w:t>
      </w:r>
      <w:bookmarkEnd w:id="62"/>
      <w:bookmarkEnd w:id="63"/>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296"/>
        <w:gridCol w:w="275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53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75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296" w:type="dxa"/>
            <w:noWrap w:val="0"/>
            <w:vAlign w:val="center"/>
          </w:tcPr>
          <w:p w14:paraId="79A382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（1）法定代表人身份证明和本人有效身份证(或法定代表人授权委托书和委托代理人有效身份证)</w:t>
            </w:r>
          </w:p>
        </w:tc>
        <w:tc>
          <w:tcPr>
            <w:tcW w:w="2757" w:type="dxa"/>
            <w:noWrap w:val="0"/>
            <w:vAlign w:val="center"/>
          </w:tcPr>
          <w:p w14:paraId="2714234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296" w:type="dxa"/>
            <w:noWrap w:val="0"/>
            <w:vAlign w:val="center"/>
          </w:tcPr>
          <w:p w14:paraId="3C024E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）具有为本项目提供相应服务的能力</w:t>
            </w:r>
          </w:p>
        </w:tc>
        <w:tc>
          <w:tcPr>
            <w:tcW w:w="2757" w:type="dxa"/>
            <w:noWrap w:val="0"/>
            <w:vAlign w:val="center"/>
          </w:tcPr>
          <w:p w14:paraId="607FD9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734641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color w:val="auto"/>
                <w:highlight w:val="none"/>
              </w:rPr>
              <w:t>投标人有效的营业执照、税务登记证、组</w:t>
            </w:r>
            <w:r>
              <w:rPr>
                <w:rFonts w:hint="eastAsia" w:ascii="Times New Roman" w:hAnsi="Times New Roman" w:eastAsia="宋体" w:cs="Times New Roman"/>
                <w:color w:val="auto"/>
                <w:highlight w:val="none"/>
              </w:rPr>
              <w:t>织机构码证（或“三证合一证书”）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296" w:type="dxa"/>
            <w:noWrap w:val="0"/>
            <w:vAlign w:val="center"/>
          </w:tcPr>
          <w:p w14:paraId="452012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（3）拟派项目负责人证书</w:t>
            </w:r>
          </w:p>
        </w:tc>
        <w:tc>
          <w:tcPr>
            <w:tcW w:w="2757" w:type="dxa"/>
            <w:noWrap w:val="0"/>
            <w:vAlign w:val="center"/>
          </w:tcPr>
          <w:p w14:paraId="2E0E8A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b/>
                <w:color w:val="auto"/>
                <w:szCs w:val="21"/>
                <w:highlight w:val="none"/>
              </w:rPr>
            </w:pPr>
            <w:r>
              <w:rPr>
                <w:rFonts w:hint="eastAsia"/>
                <w:color w:val="auto"/>
                <w:highlight w:val="none"/>
              </w:rPr>
              <w:t>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296" w:type="dxa"/>
            <w:noWrap w:val="0"/>
            <w:vAlign w:val="center"/>
          </w:tcPr>
          <w:p w14:paraId="69BC9D2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项目人员配备表</w:t>
            </w:r>
          </w:p>
        </w:tc>
        <w:tc>
          <w:tcPr>
            <w:tcW w:w="2757" w:type="dxa"/>
            <w:noWrap w:val="0"/>
            <w:vAlign w:val="center"/>
          </w:tcPr>
          <w:p w14:paraId="68DD7B7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296" w:type="dxa"/>
            <w:noWrap w:val="0"/>
            <w:vAlign w:val="center"/>
          </w:tcPr>
          <w:p w14:paraId="6F4CA72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项目组其他成员（不含项目负责人）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不少于2名且具有在本单位注册的二级及以上造价工程师（土木建筑工程专业</w:t>
            </w:r>
            <w:r>
              <w:rPr>
                <w:rFonts w:hint="eastAsia" w:ascii="宋体" w:hAnsi="宋体" w:eastAsia="宋体" w:cs="宋体"/>
                <w:color w:val="auto"/>
                <w:highlight w:val="none"/>
                <w:lang w:val="en-US" w:eastAsia="zh-CN"/>
              </w:rPr>
              <w:t>至少1名、安装工程专业至少1名</w:t>
            </w:r>
            <w:r>
              <w:rPr>
                <w:rFonts w:hint="eastAsia" w:ascii="宋体" w:hAnsi="宋体" w:eastAsia="宋体" w:cs="宋体"/>
                <w:color w:val="auto"/>
                <w:highlight w:val="none"/>
              </w:rPr>
              <w:t>）</w:t>
            </w:r>
          </w:p>
        </w:tc>
        <w:tc>
          <w:tcPr>
            <w:tcW w:w="2757" w:type="dxa"/>
            <w:noWrap w:val="0"/>
            <w:vAlign w:val="center"/>
          </w:tcPr>
          <w:p w14:paraId="551EAE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035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7528D43">
            <w:pPr>
              <w:spacing w:line="320" w:lineRule="exact"/>
              <w:jc w:val="center"/>
              <w:rPr>
                <w:rFonts w:hint="eastAsia" w:ascii="宋体" w:hAnsi="宋体"/>
                <w:color w:val="auto"/>
                <w:szCs w:val="21"/>
                <w:highlight w:val="none"/>
              </w:rPr>
            </w:pPr>
          </w:p>
        </w:tc>
        <w:tc>
          <w:tcPr>
            <w:tcW w:w="1235" w:type="dxa"/>
            <w:vMerge w:val="continue"/>
            <w:noWrap w:val="0"/>
            <w:vAlign w:val="center"/>
          </w:tcPr>
          <w:p w14:paraId="3A7CBF60">
            <w:pPr>
              <w:spacing w:line="320" w:lineRule="exact"/>
              <w:rPr>
                <w:rFonts w:hint="eastAsia" w:ascii="宋体" w:hAnsi="宋体"/>
                <w:color w:val="auto"/>
                <w:szCs w:val="21"/>
                <w:highlight w:val="none"/>
              </w:rPr>
            </w:pPr>
          </w:p>
        </w:tc>
        <w:tc>
          <w:tcPr>
            <w:tcW w:w="5296" w:type="dxa"/>
            <w:noWrap w:val="0"/>
            <w:vAlign w:val="center"/>
          </w:tcPr>
          <w:p w14:paraId="221533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r>
              <w:rPr>
                <w:rFonts w:hint="eastAsia" w:ascii="宋体" w:hAnsi="宋体" w:cs="宋体"/>
                <w:color w:val="auto"/>
                <w:sz w:val="21"/>
                <w:szCs w:val="21"/>
                <w:highlight w:val="none"/>
                <w:lang w:val="en-US" w:eastAsia="zh-CN"/>
              </w:rPr>
              <w:t>投标人拟任项目负责人自2021年3月1日至投标截止时间止，承担过单项合同施工金额300万元及以上的市政道路工程或道路安全提升项目成果文件编制业绩【同时提供①工程量清单和最高投标限价编制报告；②合同。业绩时间以合同签订时间为准；业绩金额以编制报告金额为准，项目负责人姓名以合同中为准】</w:t>
            </w:r>
            <w:r>
              <w:rPr>
                <w:rFonts w:hint="eastAsia" w:ascii="宋体" w:hAnsi="宋体" w:cs="宋体"/>
                <w:color w:val="auto"/>
                <w:highlight w:val="none"/>
                <w:lang w:val="en-US" w:eastAsia="zh-CN"/>
              </w:rPr>
              <w:t>。</w:t>
            </w:r>
          </w:p>
        </w:tc>
        <w:tc>
          <w:tcPr>
            <w:tcW w:w="2757" w:type="dxa"/>
            <w:noWrap w:val="0"/>
            <w:vAlign w:val="center"/>
          </w:tcPr>
          <w:p w14:paraId="1A17A9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40F8812C">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296" w:type="dxa"/>
            <w:noWrap w:val="0"/>
            <w:vAlign w:val="center"/>
          </w:tcPr>
          <w:p w14:paraId="2A2A922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投标人须提供法定代表人（或委托代理人）及拟派的上述项目负责人和项目组成员须持有社保部门出具的本单位为其缴纳的投标前近三个月的养老保险证明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tc>
        <w:tc>
          <w:tcPr>
            <w:tcW w:w="2757" w:type="dxa"/>
            <w:noWrap w:val="0"/>
            <w:vAlign w:val="center"/>
          </w:tcPr>
          <w:p w14:paraId="48FC5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296" w:type="dxa"/>
            <w:noWrap w:val="0"/>
            <w:vAlign w:val="center"/>
          </w:tcPr>
          <w:p w14:paraId="202375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（8）投标函</w:t>
            </w:r>
          </w:p>
        </w:tc>
        <w:tc>
          <w:tcPr>
            <w:tcW w:w="2757" w:type="dxa"/>
            <w:noWrap w:val="0"/>
            <w:vAlign w:val="center"/>
          </w:tcPr>
          <w:p w14:paraId="3BC905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5DB09720">
      <w:pPr>
        <w:spacing w:line="440" w:lineRule="exact"/>
        <w:rPr>
          <w:rFonts w:hint="eastAsia" w:asci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 xml:space="preserve">。 </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C50280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3A2D0D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58AA67A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6A8D7B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3D464BDC">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1570C2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1204" w:type="dxa"/>
            <w:vMerge w:val="continue"/>
            <w:noWrap w:val="0"/>
            <w:vAlign w:val="center"/>
          </w:tcPr>
          <w:p w14:paraId="068F4ED8">
            <w:pPr>
              <w:keepNext w:val="0"/>
              <w:keepLines w:val="0"/>
              <w:pageBreakBefore w:val="0"/>
              <w:widowControl w:val="0"/>
              <w:kinsoku/>
              <w:wordWrap/>
              <w:overflowPunct/>
              <w:topLinePunct w:val="0"/>
              <w:autoSpaceDE/>
              <w:autoSpaceDN/>
              <w:bidi w:val="0"/>
              <w:adjustRightInd/>
              <w:snapToGrid/>
              <w:spacing w:line="440" w:lineRule="exact"/>
              <w:textAlignment w:val="auto"/>
              <w:rPr>
                <w:color w:val="auto"/>
                <w:highlight w:val="none"/>
              </w:rPr>
            </w:pPr>
          </w:p>
        </w:tc>
        <w:tc>
          <w:tcPr>
            <w:tcW w:w="2931" w:type="dxa"/>
            <w:noWrap w:val="0"/>
            <w:vAlign w:val="center"/>
          </w:tcPr>
          <w:p w14:paraId="5F71A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bl>
    <w:p w14:paraId="63A9902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4"/>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111B32F8">
      <w:pPr>
        <w:rPr>
          <w:rFonts w:hint="eastAsia" w:ascii="宋体" w:hAnsi="宋体" w:cs="宋体"/>
          <w:b/>
          <w:bCs/>
          <w:color w:val="auto"/>
          <w:sz w:val="24"/>
          <w:szCs w:val="24"/>
          <w:highlight w:val="none"/>
          <w:lang w:val="en-US" w:eastAsia="zh-CN"/>
        </w:rPr>
      </w:pPr>
      <w:bookmarkStart w:id="65" w:name="_Toc30419"/>
    </w:p>
    <w:p w14:paraId="49A6CEAA">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四、投标报价评分细则</w:t>
      </w:r>
      <w:bookmarkEnd w:id="65"/>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评审项</w:t>
            </w:r>
          </w:p>
        </w:tc>
        <w:tc>
          <w:tcPr>
            <w:tcW w:w="1842" w:type="dxa"/>
            <w:vAlign w:val="center"/>
          </w:tcPr>
          <w:p w14:paraId="2E66ED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6067" w:type="dxa"/>
            <w:vAlign w:val="center"/>
          </w:tcPr>
          <w:p w14:paraId="22D39B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6A0149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eastAsia="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招标人设置投标报价最高限价</w:t>
            </w:r>
            <w:r>
              <w:rPr>
                <w:rFonts w:hint="eastAsia" w:ascii="宋体" w:hAnsi="宋体" w:cs="宋体"/>
                <w:color w:val="auto"/>
                <w:sz w:val="21"/>
                <w:szCs w:val="21"/>
                <w:highlight w:val="none"/>
                <w:lang w:val="en-US" w:eastAsia="zh-CN"/>
              </w:rPr>
              <w:t>为《收费标准》计算费用的40%（报价均保留两位小数，小数点后第三位将四舍五入进行修正）</w:t>
            </w:r>
            <w:r>
              <w:rPr>
                <w:rFonts w:hint="eastAsia" w:ascii="宋体" w:hAnsi="宋体" w:cs="宋体"/>
                <w:color w:val="auto"/>
                <w:sz w:val="21"/>
                <w:szCs w:val="21"/>
                <w:highlight w:val="none"/>
              </w:rPr>
              <w:t>，各投标人有效报价不得高于最高限价，否则，其投标文件按无效标处理。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p>
          <w:p w14:paraId="489FC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（2）评标基准值=所有有效投标人</w:t>
            </w:r>
            <w:r>
              <w:rPr>
                <w:rFonts w:hint="eastAsia" w:ascii="宋体"/>
                <w:color w:val="auto"/>
                <w:sz w:val="21"/>
                <w:szCs w:val="21"/>
                <w:highlight w:val="none"/>
                <w:lang w:val="en-US" w:eastAsia="zh-CN"/>
              </w:rPr>
              <w:t>投标</w:t>
            </w:r>
            <w:r>
              <w:rPr>
                <w:rFonts w:hint="eastAsia" w:ascii="宋体"/>
                <w:color w:val="auto"/>
                <w:sz w:val="21"/>
                <w:szCs w:val="21"/>
                <w:highlight w:val="none"/>
              </w:rPr>
              <w:t>报价的算术平均值（小数点后保留两位小数，小数点后第三位四舍五入）。</w:t>
            </w:r>
          </w:p>
          <w:p w14:paraId="68E18B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rPr>
              <w:t>（3）</w:t>
            </w:r>
            <w:r>
              <w:rPr>
                <w:rFonts w:hint="eastAsia" w:ascii="宋体"/>
                <w:color w:val="auto"/>
                <w:sz w:val="21"/>
                <w:szCs w:val="21"/>
                <w:highlight w:val="none"/>
                <w:lang w:val="en-US" w:eastAsia="zh-CN"/>
              </w:rPr>
              <w:t>计算报价偏差率</w:t>
            </w:r>
          </w:p>
          <w:p w14:paraId="13DC7E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①偏差率=|（投标报价-评标基准价）/评标基准价|×100%</w:t>
            </w:r>
          </w:p>
          <w:p w14:paraId="38EB4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（4）计算报价得分</w:t>
            </w:r>
          </w:p>
          <w:p w14:paraId="452F0B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①投标报价等于评标基准价的得满分。</w:t>
            </w:r>
          </w:p>
          <w:p w14:paraId="6813A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②投标报价高于评标基准价的，投标报价得分=报价满分值-偏差率×100×1</w:t>
            </w:r>
          </w:p>
          <w:p w14:paraId="2D3C30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color w:val="auto"/>
                <w:sz w:val="21"/>
                <w:szCs w:val="21"/>
                <w:highlight w:val="none"/>
              </w:rPr>
            </w:pPr>
            <w:r>
              <w:rPr>
                <w:rFonts w:hint="eastAsia" w:ascii="宋体"/>
                <w:color w:val="auto"/>
                <w:sz w:val="21"/>
                <w:szCs w:val="21"/>
                <w:highlight w:val="none"/>
                <w:lang w:val="en-US" w:eastAsia="zh-CN"/>
              </w:rPr>
              <w:t>③投标报价低于评标基准价的，投标报价得分=报价满分值-偏差率×100×0.5</w:t>
            </w:r>
            <w:r>
              <w:rPr>
                <w:rFonts w:hint="eastAsia" w:ascii="宋体"/>
                <w:color w:val="auto"/>
                <w:sz w:val="21"/>
                <w:szCs w:val="21"/>
                <w:highlight w:val="none"/>
              </w:rPr>
              <w:t>。</w:t>
            </w:r>
          </w:p>
          <w:p w14:paraId="4CD463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color w:val="auto"/>
                <w:sz w:val="21"/>
                <w:szCs w:val="21"/>
                <w:highlight w:val="none"/>
              </w:rPr>
            </w:pPr>
            <w:r>
              <w:rPr>
                <w:rFonts w:hint="eastAsia" w:ascii="宋体"/>
                <w:color w:val="auto"/>
                <w:sz w:val="21"/>
                <w:szCs w:val="21"/>
                <w:highlight w:val="none"/>
              </w:rPr>
              <w:t>注：计算过程中，评标基准值、偏差率、报价得分均保留两位小数，小数点后第三位四舍五入。</w:t>
            </w:r>
          </w:p>
          <w:p w14:paraId="6C860AB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color w:val="auto"/>
                <w:sz w:val="21"/>
                <w:szCs w:val="21"/>
                <w:highlight w:val="none"/>
              </w:rPr>
              <w:t>本项分值由评标委员会计算。</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6"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6"/>
    </w:p>
    <w:p w14:paraId="1BD855F9">
      <w:pPr>
        <w:pStyle w:val="2"/>
        <w:keepNext w:val="0"/>
        <w:keepLines w:val="0"/>
        <w:pageBreakBefore w:val="0"/>
        <w:widowControl w:val="0"/>
        <w:kinsoku/>
        <w:wordWrap/>
        <w:overflowPunct/>
        <w:topLinePunct w:val="0"/>
        <w:autoSpaceDE/>
        <w:autoSpaceDN/>
        <w:bidi w:val="0"/>
        <w:adjustRightInd/>
        <w:spacing w:line="440" w:lineRule="exact"/>
        <w:ind w:right="0" w:right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keepNext w:val="0"/>
        <w:keepLines w:val="0"/>
        <w:pageBreakBefore w:val="0"/>
        <w:widowControl w:val="0"/>
        <w:kinsoku/>
        <w:wordWrap/>
        <w:overflowPunct/>
        <w:topLinePunct w:val="0"/>
        <w:autoSpaceDE/>
        <w:autoSpaceDN/>
        <w:bidi w:val="0"/>
        <w:adjustRightInd/>
        <w:snapToGrid w:val="0"/>
        <w:spacing w:line="440" w:lineRule="exact"/>
        <w:ind w:right="0" w:rightChars="0" w:firstLine="570"/>
        <w:textAlignment w:val="auto"/>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62BE0682">
      <w:pPr>
        <w:snapToGrid w:val="0"/>
        <w:spacing w:line="400" w:lineRule="exact"/>
        <w:ind w:firstLine="525" w:firstLineChars="250"/>
        <w:rPr>
          <w:rFonts w:hint="eastAsia" w:ascii="宋体" w:eastAsia="宋体" w:cs="宋体"/>
          <w:color w:val="auto"/>
          <w:szCs w:val="21"/>
          <w:highlight w:val="none"/>
          <w:lang w:eastAsia="zh-CN"/>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r>
        <w:rPr>
          <w:rFonts w:hint="eastAsia" w:ascii="宋体" w:cs="宋体"/>
          <w:color w:val="auto"/>
          <w:szCs w:val="21"/>
          <w:highlight w:val="none"/>
          <w:lang w:eastAsia="zh-CN"/>
        </w:rPr>
        <w:t>：</w:t>
      </w:r>
    </w:p>
    <w:p w14:paraId="478800D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）未在开标截止时间前通过网上招标投标系统递交有效电子投标文件的，开标系统不予接收，投标将被拒绝。</w:t>
      </w:r>
    </w:p>
    <w:p w14:paraId="197DD24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0分钟，否则投标文件将被拒绝。</w:t>
      </w:r>
    </w:p>
    <w:p w14:paraId="74A3DC8C">
      <w:pPr>
        <w:snapToGrid w:val="0"/>
        <w:spacing w:line="400" w:lineRule="exact"/>
        <w:ind w:firstLine="525" w:firstLineChars="250"/>
        <w:rPr>
          <w:rFonts w:hint="eastAsia" w:ascii="宋体" w:hAnsi="Times New Roman" w:eastAsia="宋体" w:cs="宋体"/>
          <w:color w:val="auto"/>
          <w:szCs w:val="21"/>
          <w:highlight w:val="none"/>
          <w:lang w:eastAsia="zh-CN"/>
        </w:rPr>
      </w:pPr>
      <w:r>
        <w:rPr>
          <w:rFonts w:hint="eastAsia" w:ascii="宋体" w:hAnsi="Times New Roman" w:eastAsia="宋体" w:cs="宋体"/>
          <w:color w:val="auto"/>
          <w:szCs w:val="21"/>
          <w:highlight w:val="none"/>
          <w:lang w:val="en-US" w:eastAsia="zh-CN"/>
        </w:rPr>
        <w:t>9</w:t>
      </w:r>
      <w:r>
        <w:rPr>
          <w:rFonts w:hint="eastAsia" w:ascii="宋体" w:hAnsi="Times New Roman" w:eastAsia="宋体" w:cs="宋体"/>
          <w:color w:val="auto"/>
          <w:szCs w:val="21"/>
          <w:highlight w:val="none"/>
          <w:lang w:eastAsia="zh-CN"/>
        </w:rPr>
        <w:t>.2 投标人有下列情形之一的,资格审查后其投标作无效投标处理：</w:t>
      </w:r>
    </w:p>
    <w:p w14:paraId="1B1D699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(1)投标人为本项目提供招标代理服务的；</w:t>
      </w:r>
    </w:p>
    <w:p w14:paraId="126D240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(2)投标人与在本项目代理机构存在相互任职或工作的；</w:t>
      </w:r>
    </w:p>
    <w:p w14:paraId="459DB034">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(3)评标专家无法查看并检验电子投标文件中相关资料的；</w:t>
      </w:r>
    </w:p>
    <w:p w14:paraId="25FE51C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(4)联合体投标未提交联合体协议的；</w:t>
      </w:r>
    </w:p>
    <w:p w14:paraId="26ED93D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(5)</w:t>
      </w:r>
      <w:r>
        <w:rPr>
          <w:rFonts w:hint="eastAsia" w:ascii="宋体" w:hAnsi="宋体" w:eastAsia="宋体" w:cs="宋体"/>
          <w:b w:val="0"/>
          <w:bCs/>
          <w:color w:val="auto"/>
          <w:szCs w:val="21"/>
          <w:highlight w:val="none"/>
          <w:lang w:val="en-US" w:eastAsia="zh-CN"/>
        </w:rPr>
        <w:t>被责令停产停业的；</w:t>
      </w:r>
    </w:p>
    <w:p w14:paraId="185A7153">
      <w:pPr>
        <w:snapToGrid w:val="0"/>
        <w:spacing w:line="440" w:lineRule="exact"/>
        <w:ind w:right="-212" w:rightChars="-101" w:firstLine="420" w:firstLineChars="200"/>
        <w:rPr>
          <w:rFonts w:hint="eastAsia" w:ascii="宋体" w:hAnsi="宋体" w:eastAsia="宋体" w:cs="宋体"/>
          <w:b w:val="0"/>
          <w:bCs/>
          <w:color w:val="auto"/>
          <w:szCs w:val="21"/>
          <w:highlight w:val="none"/>
          <w:lang w:val="en-US" w:eastAsia="zh-CN"/>
        </w:rPr>
      </w:pPr>
      <w:r>
        <w:rPr>
          <w:rFonts w:hint="eastAsia" w:ascii="宋体" w:hAnsi="宋体" w:eastAsia="宋体" w:cs="宋体"/>
          <w:b w:val="0"/>
          <w:bCs/>
          <w:color w:val="auto"/>
          <w:szCs w:val="21"/>
          <w:highlight w:val="none"/>
          <w:lang w:eastAsia="zh-CN"/>
        </w:rPr>
        <w:t>(6)</w:t>
      </w:r>
      <w:r>
        <w:rPr>
          <w:rFonts w:hint="eastAsia" w:ascii="宋体" w:hAnsi="宋体" w:eastAsia="宋体" w:cs="宋体"/>
          <w:b w:val="0"/>
          <w:bCs/>
          <w:color w:val="auto"/>
          <w:szCs w:val="21"/>
          <w:highlight w:val="none"/>
          <w:lang w:val="en-US" w:eastAsia="zh-CN"/>
        </w:rPr>
        <w:t>被暂停或取消参与政府采购项目资格的；</w:t>
      </w:r>
    </w:p>
    <w:p w14:paraId="1729B442">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(7)</w:t>
      </w:r>
      <w:r>
        <w:rPr>
          <w:rFonts w:hint="eastAsia" w:ascii="宋体" w:hAnsi="宋体" w:eastAsia="宋体" w:cs="宋体"/>
          <w:b w:val="0"/>
          <w:bCs/>
          <w:color w:val="auto"/>
          <w:szCs w:val="21"/>
          <w:highlight w:val="none"/>
          <w:lang w:val="en-US" w:eastAsia="zh-CN"/>
        </w:rPr>
        <w:t>投标人单位负责人为同一人或者存在直接控股、管理关系的不同单位的；</w:t>
      </w:r>
    </w:p>
    <w:p w14:paraId="360473C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(8)保证金不按第二章“投标人须知”及其前附表要求提交投标保证金的；</w:t>
      </w:r>
    </w:p>
    <w:p w14:paraId="18F42FC9">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(9)投标人基本资格条件和特定资格条件中有一项及以上不符合要求的；</w:t>
      </w:r>
    </w:p>
    <w:p w14:paraId="2EE6A9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(10)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CF61F88">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(11)投标人单方面出现其他投标人材料的；</w:t>
      </w:r>
    </w:p>
    <w:p w14:paraId="24A30557">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(12)其它情形，经评标委员会委提出按无效投标处理；</w:t>
      </w:r>
    </w:p>
    <w:p w14:paraId="2607D00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(13)招标文件规定的其它无效投标情形。</w:t>
      </w:r>
    </w:p>
    <w:p w14:paraId="719A569B">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.3 投标人有下列情形之一的,符合性审查后其投标按无效投标处理：</w:t>
      </w:r>
    </w:p>
    <w:p w14:paraId="39CA70E3">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(1)投标文件签字、盖章不全，经评标委员会一致认定对开评标内容有实质性影响的；</w:t>
      </w:r>
    </w:p>
    <w:p w14:paraId="4DFA38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(2)未按规定的格式填写导致实质性内容不全以及实质上不响应，或者关键字迹模糊、无法辨认的；</w:t>
      </w:r>
    </w:p>
    <w:p w14:paraId="531B4917">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(3)同一投标人提交两个以上不同的投标文件或者投标报价，但招标文件规定提交备选方案的除外；</w:t>
      </w:r>
    </w:p>
    <w:p w14:paraId="478E67AE">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(4)投标文件没有对招标文件的实质性要求和条件作出响应；</w:t>
      </w:r>
    </w:p>
    <w:p w14:paraId="57126E66">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 xml:space="preserve">(5)投标报价超出规定的投标限价或公布的采购预算的或投标人的投标报价各项单价高于招标文件给定的单价最高限价； </w:t>
      </w:r>
    </w:p>
    <w:p w14:paraId="0ABE2C5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(6)不按评标委员会要求澄清、说明或补正的，或者评标委员会根据招标文件的规定对</w:t>
      </w:r>
      <w:r>
        <w:rPr>
          <w:rFonts w:hint="eastAsia" w:ascii="宋体" w:hAnsi="宋体" w:cs="宋体"/>
          <w:b w:val="0"/>
          <w:bCs/>
          <w:color w:val="auto"/>
          <w:szCs w:val="21"/>
          <w:highlight w:val="none"/>
          <w:lang w:val="en-US" w:eastAsia="zh-CN"/>
        </w:rPr>
        <w:t>投标</w:t>
      </w:r>
      <w:r>
        <w:rPr>
          <w:rFonts w:hint="eastAsia" w:ascii="宋体" w:hAnsi="宋体" w:cs="宋体"/>
          <w:b w:val="0"/>
          <w:bCs/>
          <w:color w:val="auto"/>
          <w:szCs w:val="21"/>
          <w:highlight w:val="none"/>
          <w:lang w:eastAsia="zh-CN"/>
        </w:rPr>
        <w:t>文件的计算错误进行修正后，投标人不接受修正的投标报价的；</w:t>
      </w:r>
    </w:p>
    <w:p w14:paraId="250B220D">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7</w:t>
      </w:r>
      <w:r>
        <w:rPr>
          <w:rFonts w:hint="eastAsia" w:ascii="宋体" w:hAnsi="宋体" w:cs="宋体"/>
          <w:b w:val="0"/>
          <w:bCs/>
          <w:color w:val="auto"/>
          <w:szCs w:val="21"/>
          <w:highlight w:val="none"/>
          <w:lang w:eastAsia="zh-CN"/>
        </w:rPr>
        <w:t>)其它情形，经评标委员会委提出按无效投标处理的；</w:t>
      </w:r>
    </w:p>
    <w:p w14:paraId="65D34F3C">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8</w:t>
      </w:r>
      <w:r>
        <w:rPr>
          <w:rFonts w:hint="eastAsia" w:ascii="宋体" w:hAnsi="宋体" w:cs="宋体"/>
          <w:b w:val="0"/>
          <w:bCs/>
          <w:color w:val="auto"/>
          <w:szCs w:val="21"/>
          <w:highlight w:val="none"/>
          <w:lang w:eastAsia="zh-CN"/>
        </w:rPr>
        <w:t>)投标文件含有招标人不能接受的附加条件的；</w:t>
      </w:r>
    </w:p>
    <w:p w14:paraId="43292335">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)招标文件规定的其它无效投标情形。</w:t>
      </w:r>
    </w:p>
    <w:p w14:paraId="6A75F892">
      <w:pPr>
        <w:snapToGrid w:val="0"/>
        <w:spacing w:line="440" w:lineRule="exact"/>
        <w:ind w:right="-212" w:rightChars="-101" w:firstLine="420" w:firstLineChars="200"/>
        <w:rPr>
          <w:rFonts w:hint="eastAsia" w:ascii="宋体" w:hAnsi="宋体" w:cs="宋体"/>
          <w:b w:val="0"/>
          <w:bCs/>
          <w:color w:val="auto"/>
          <w:szCs w:val="21"/>
          <w:highlight w:val="none"/>
          <w:lang w:eastAsia="zh-CN"/>
        </w:rPr>
      </w:pPr>
      <w:r>
        <w:rPr>
          <w:rFonts w:hint="eastAsia" w:ascii="宋体" w:hAnsi="宋体" w:cs="宋体"/>
          <w:b w:val="0"/>
          <w:bCs/>
          <w:color w:val="auto"/>
          <w:szCs w:val="21"/>
          <w:highlight w:val="none"/>
          <w:lang w:val="en-US" w:eastAsia="zh-CN"/>
        </w:rPr>
        <w:t>9</w:t>
      </w:r>
      <w:r>
        <w:rPr>
          <w:rFonts w:hint="eastAsia" w:ascii="宋体" w:hAnsi="宋体" w:cs="宋体"/>
          <w:b w:val="0"/>
          <w:bCs/>
          <w:color w:val="auto"/>
          <w:szCs w:val="21"/>
          <w:highlight w:val="none"/>
          <w:lang w:eastAsia="zh-CN"/>
        </w:rPr>
        <w:t>.4 投标人有下列情形之一的, 详细评审后其投标按无效投标处理：</w:t>
      </w:r>
    </w:p>
    <w:p w14:paraId="185F4F6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(1)投标产品不符合必须强制执行的国家标准的；</w:t>
      </w:r>
    </w:p>
    <w:p w14:paraId="556521D5">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(2)投标人有串通投标、弄虚作假、行贿等违法行为；</w:t>
      </w:r>
    </w:p>
    <w:p w14:paraId="7BE964DB">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(3)投标文件含有违反国家法律、法规的内容，或附有招标人不能接受的条件的；</w:t>
      </w:r>
    </w:p>
    <w:p w14:paraId="303DB013">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4</w:t>
      </w:r>
      <w:r>
        <w:rPr>
          <w:rFonts w:hint="eastAsia" w:ascii="宋体" w:hAnsi="宋体" w:eastAsia="宋体" w:cs="宋体"/>
          <w:b w:val="0"/>
          <w:bCs/>
          <w:color w:val="auto"/>
          <w:szCs w:val="21"/>
          <w:highlight w:val="none"/>
          <w:lang w:eastAsia="zh-CN"/>
        </w:rPr>
        <w:t>)报价明显低于其他投标人，且不能证明报价合理性的投标无效；</w:t>
      </w:r>
    </w:p>
    <w:p w14:paraId="2851407C">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)拒不确认评标委员会评审修正的投标无效；</w:t>
      </w:r>
    </w:p>
    <w:p w14:paraId="767B61D0">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lang w:eastAsia="zh-CN"/>
        </w:rPr>
        <w:t>)其它情形，经评标委员会委提出按无效投标处理的；</w:t>
      </w:r>
    </w:p>
    <w:p w14:paraId="0A5A1B4A">
      <w:pPr>
        <w:snapToGrid w:val="0"/>
        <w:spacing w:line="440" w:lineRule="exact"/>
        <w:ind w:right="-212" w:rightChars="-101" w:firstLine="420" w:firstLineChars="200"/>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w:t>
      </w:r>
      <w:r>
        <w:rPr>
          <w:rFonts w:hint="eastAsia" w:ascii="宋体" w:hAnsi="宋体" w:eastAsia="宋体" w:cs="宋体"/>
          <w:b w:val="0"/>
          <w:bCs/>
          <w:color w:val="auto"/>
          <w:szCs w:val="21"/>
          <w:highlight w:val="none"/>
          <w:lang w:val="en-US" w:eastAsia="zh-CN"/>
        </w:rPr>
        <w:t>7</w:t>
      </w:r>
      <w:r>
        <w:rPr>
          <w:rFonts w:hint="eastAsia" w:ascii="宋体" w:hAnsi="宋体" w:eastAsia="宋体" w:cs="宋体"/>
          <w:b w:val="0"/>
          <w:bCs/>
          <w:color w:val="auto"/>
          <w:szCs w:val="21"/>
          <w:highlight w:val="none"/>
          <w:lang w:eastAsia="zh-CN"/>
        </w:rPr>
        <w:t>)招标文件规定的其它无效投标情形。</w:t>
      </w:r>
    </w:p>
    <w:p w14:paraId="063810C8">
      <w:pPr>
        <w:rPr>
          <w:rFonts w:hint="eastAsia"/>
          <w:color w:val="auto"/>
          <w:highlight w:val="none"/>
        </w:rPr>
      </w:pPr>
    </w:p>
    <w:bookmarkEnd w:id="56"/>
    <w:bookmarkEnd w:id="57"/>
    <w:p w14:paraId="3F25F4D6">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7" w:name="_Toc3848"/>
      <w:bookmarkStart w:id="68" w:name="_Toc29967"/>
      <w:r>
        <w:rPr>
          <w:rFonts w:hint="eastAsia" w:ascii="宋体" w:hAnsi="宋体" w:eastAsia="宋体" w:cs="宋体"/>
          <w:color w:val="auto"/>
          <w:sz w:val="44"/>
          <w:szCs w:val="44"/>
          <w:highlight w:val="none"/>
          <w:lang w:val="en-US" w:eastAsia="zh-CN"/>
        </w:rPr>
        <w:t>第三章 合同条款</w:t>
      </w:r>
      <w:bookmarkEnd w:id="67"/>
      <w:bookmarkEnd w:id="68"/>
    </w:p>
    <w:p w14:paraId="1F207759">
      <w:pPr>
        <w:rPr>
          <w:rFonts w:hint="eastAsia" w:ascii="宋体" w:hAnsi="宋体" w:eastAsia="宋体" w:cs="宋体"/>
          <w:color w:val="auto"/>
          <w:highlight w:val="none"/>
        </w:rPr>
      </w:pPr>
    </w:p>
    <w:p w14:paraId="1AB93262">
      <w:pPr>
        <w:keepNext w:val="0"/>
        <w:keepLines w:val="0"/>
        <w:widowControl w:val="0"/>
        <w:suppressLineNumbers w:val="0"/>
        <w:spacing w:before="304" w:beforeLines="100" w:beforeAutospacing="0" w:after="304" w:afterLines="100" w:afterAutospacing="0" w:line="400" w:lineRule="exact"/>
        <w:ind w:left="0" w:right="0"/>
        <w:jc w:val="center"/>
        <w:outlineLvl w:val="1"/>
        <w:rPr>
          <w:rFonts w:hint="default" w:ascii="汉仪大黑简" w:hAnsi="汉仪大黑简" w:eastAsia="汉仪大黑简" w:cs="汉仪大黑简"/>
          <w:b w:val="0"/>
          <w:color w:val="auto"/>
          <w:kern w:val="2"/>
          <w:sz w:val="28"/>
          <w:szCs w:val="28"/>
          <w:highlight w:val="none"/>
        </w:rPr>
      </w:pPr>
      <w:r>
        <w:rPr>
          <w:rFonts w:hint="default" w:ascii="汉仪大黑简" w:hAnsi="汉仪大黑简" w:eastAsia="汉仪大黑简" w:cs="汉仪大黑简"/>
          <w:b w:val="0"/>
          <w:color w:val="auto"/>
          <w:kern w:val="2"/>
          <w:sz w:val="28"/>
          <w:szCs w:val="28"/>
          <w:highlight w:val="none"/>
          <w:lang w:val="en-US" w:eastAsia="zh-CN" w:bidi="ar"/>
        </w:rPr>
        <w:t>安徽省建设工程造价咨询合同（ＷＦ－2014－05）</w:t>
      </w:r>
    </w:p>
    <w:p w14:paraId="054CC86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第一部分  合同协议书</w:t>
      </w:r>
    </w:p>
    <w:p w14:paraId="02891F4F">
      <w:pPr>
        <w:keepNext w:val="0"/>
        <w:keepLines w:val="0"/>
        <w:widowControl w:val="0"/>
        <w:suppressLineNumbers w:val="0"/>
        <w:adjustRightInd w:val="0"/>
        <w:snapToGrid w:val="0"/>
        <w:spacing w:before="153" w:beforeLines="50" w:beforeAutospacing="0" w:after="0" w:afterAutospacing="0"/>
        <w:ind w:left="0" w:right="0"/>
        <w:jc w:val="left"/>
        <w:rPr>
          <w:rFonts w:hint="default" w:ascii="宋体" w:hAnsi="宋体" w:eastAsia="宋体" w:cs="宋体"/>
          <w:b w:val="0"/>
          <w:color w:val="auto"/>
          <w:kern w:val="2"/>
          <w:sz w:val="24"/>
          <w:szCs w:val="24"/>
          <w:highlight w:val="none"/>
          <w:lang w:val="en-US"/>
        </w:rPr>
      </w:pPr>
      <w:r>
        <w:rPr>
          <w:rFonts w:hint="eastAsia" w:ascii="宋体" w:hAnsi="宋体" w:eastAsia="宋体" w:cs="宋体"/>
          <w:b w:val="0"/>
          <w:color w:val="auto"/>
          <w:kern w:val="2"/>
          <w:sz w:val="24"/>
          <w:szCs w:val="24"/>
          <w:highlight w:val="none"/>
          <w:lang w:val="en-US" w:eastAsia="zh-CN" w:bidi="ar"/>
        </w:rPr>
        <w:t>委托人（全称）：</w:t>
      </w:r>
      <w:r>
        <w:rPr>
          <w:rFonts w:hint="eastAsia" w:ascii="宋体" w:hAnsi="宋体" w:eastAsia="宋体" w:cs="宋体"/>
          <w:b w:val="0"/>
          <w:color w:val="auto"/>
          <w:kern w:val="2"/>
          <w:sz w:val="24"/>
          <w:szCs w:val="24"/>
          <w:highlight w:val="none"/>
          <w:u w:val="single"/>
          <w:lang w:val="en-US" w:eastAsia="zh-CN" w:bidi="ar"/>
        </w:rPr>
        <w:t xml:space="preserve">滁州市重点工程建设管理处      </w:t>
      </w:r>
      <w:r>
        <w:rPr>
          <w:rFonts w:hint="eastAsia" w:ascii="宋体" w:hAnsi="宋体" w:cs="宋体"/>
          <w:b w:val="0"/>
          <w:color w:val="auto"/>
          <w:kern w:val="2"/>
          <w:sz w:val="24"/>
          <w:szCs w:val="24"/>
          <w:highlight w:val="none"/>
          <w:u w:val="single"/>
          <w:lang w:val="en-US" w:eastAsia="zh-CN" w:bidi="ar"/>
        </w:rPr>
        <w:t xml:space="preserve">                             </w:t>
      </w:r>
    </w:p>
    <w:p w14:paraId="79FF0C5A">
      <w:pPr>
        <w:keepNext w:val="0"/>
        <w:keepLines w:val="0"/>
        <w:widowControl w:val="0"/>
        <w:suppressLineNumbers w:val="0"/>
        <w:adjustRightInd w:val="0"/>
        <w:snapToGrid w:val="0"/>
        <w:spacing w:before="153" w:beforeLines="50" w:beforeAutospacing="0" w:after="0" w:afterAutospacing="0"/>
        <w:ind w:left="0" w:right="0"/>
        <w:jc w:val="left"/>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t>受托人（全称）：</w:t>
      </w:r>
      <w:r>
        <w:rPr>
          <w:rFonts w:hint="eastAsia" w:ascii="宋体" w:hAnsi="宋体" w:eastAsia="宋体" w:cs="宋体"/>
          <w:b w:val="0"/>
          <w:color w:val="auto"/>
          <w:kern w:val="2"/>
          <w:sz w:val="24"/>
          <w:szCs w:val="24"/>
          <w:highlight w:val="none"/>
          <w:u w:val="single"/>
          <w:lang w:val="en-US" w:eastAsia="zh-CN" w:bidi="ar"/>
        </w:rPr>
        <w:t xml:space="preserve"> </w:t>
      </w:r>
      <w:r>
        <w:rPr>
          <w:rFonts w:hint="eastAsia" w:ascii="宋体" w:hAnsi="宋体" w:cs="宋体"/>
          <w:b w:val="0"/>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 xml:space="preserve">                                </w:t>
      </w:r>
    </w:p>
    <w:p w14:paraId="5E24DF9B">
      <w:pPr>
        <w:keepNext w:val="0"/>
        <w:keepLines w:val="0"/>
        <w:widowControl w:val="0"/>
        <w:suppressLineNumbers w:val="0"/>
        <w:spacing w:before="0" w:beforeAutospacing="0" w:after="0" w:afterAutospacing="0"/>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根据《中华人民共和国民法典》及有关法律规定，遵循平等、自愿、公平和诚实信用的原则，双方就</w:t>
      </w:r>
      <w:r>
        <w:rPr>
          <w:rFonts w:hint="eastAsia" w:ascii="宋体" w:hAnsi="宋体" w:cs="宋体"/>
          <w:color w:val="auto"/>
          <w:kern w:val="2"/>
          <w:sz w:val="24"/>
          <w:szCs w:val="24"/>
          <w:highlight w:val="none"/>
          <w:u w:val="single"/>
          <w:lang w:val="en-US" w:eastAsia="zh-CN" w:bidi="ar"/>
        </w:rPr>
        <w:t>2026年校园周边安全护学提升工程（一批次）工程量清单及最高投标限价编制服务项目</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及有关事项协商一致，共同达成如下协议：</w:t>
      </w:r>
    </w:p>
    <w:p w14:paraId="6C6B7DEA">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一、工程概况</w:t>
      </w:r>
    </w:p>
    <w:p w14:paraId="61CB2C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cs="宋体"/>
          <w:color w:val="auto"/>
          <w:kern w:val="2"/>
          <w:sz w:val="24"/>
          <w:szCs w:val="24"/>
          <w:highlight w:val="none"/>
          <w:u w:val="single"/>
          <w:lang w:val="en-US" w:eastAsia="zh-CN" w:bidi="ar"/>
        </w:rPr>
      </w:pPr>
      <w:r>
        <w:rPr>
          <w:rFonts w:hint="eastAsia" w:ascii="宋体" w:hAnsi="宋体" w:eastAsia="宋体" w:cs="宋体"/>
          <w:color w:val="auto"/>
          <w:kern w:val="2"/>
          <w:sz w:val="24"/>
          <w:szCs w:val="24"/>
          <w:highlight w:val="none"/>
          <w:lang w:val="en-US" w:eastAsia="zh-CN" w:bidi="ar"/>
        </w:rPr>
        <w:t xml:space="preserve">1. </w:t>
      </w:r>
      <w:r>
        <w:rPr>
          <w:rFonts w:hint="eastAsia" w:ascii="宋体" w:hAnsi="宋体" w:eastAsia="宋体" w:cs="宋体"/>
          <w:bCs w:val="0"/>
          <w:color w:val="auto"/>
          <w:kern w:val="2"/>
          <w:sz w:val="24"/>
          <w:szCs w:val="24"/>
          <w:highlight w:val="none"/>
          <w:lang w:val="en-US" w:eastAsia="zh-CN" w:bidi="ar"/>
        </w:rPr>
        <w:t>工程名称</w:t>
      </w:r>
      <w:r>
        <w:rPr>
          <w:rFonts w:hint="eastAsia" w:ascii="宋体" w:hAnsi="宋体" w:eastAsia="宋体" w:cs="宋体"/>
          <w:color w:val="auto"/>
          <w:kern w:val="2"/>
          <w:sz w:val="24"/>
          <w:szCs w:val="24"/>
          <w:highlight w:val="none"/>
          <w:lang w:val="en-US" w:eastAsia="zh-CN" w:bidi="ar"/>
        </w:rPr>
        <w:t>：</w:t>
      </w:r>
      <w:r>
        <w:rPr>
          <w:rFonts w:hint="eastAsia" w:ascii="宋体" w:hAnsi="宋体" w:cs="宋体"/>
          <w:color w:val="auto"/>
          <w:kern w:val="2"/>
          <w:sz w:val="24"/>
          <w:szCs w:val="24"/>
          <w:highlight w:val="none"/>
          <w:u w:val="single"/>
          <w:lang w:val="en-US" w:eastAsia="zh-CN" w:bidi="ar"/>
        </w:rPr>
        <w:t>2026年校园周边安全护学提升工程（一批次）工程量清单及最高投标限价编制服务项目</w:t>
      </w:r>
    </w:p>
    <w:p w14:paraId="32D0829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u w:val="none"/>
          <w:lang w:val="en-US" w:eastAsia="zh-CN" w:bidi="ar"/>
        </w:rPr>
        <w:t>2. 工程地点：</w:t>
      </w:r>
      <w:r>
        <w:rPr>
          <w:rFonts w:hint="eastAsia" w:ascii="宋体" w:hAnsi="宋体" w:cs="宋体"/>
          <w:color w:val="auto"/>
          <w:kern w:val="2"/>
          <w:sz w:val="24"/>
          <w:szCs w:val="24"/>
          <w:highlight w:val="none"/>
          <w:u w:val="single"/>
          <w:lang w:val="en-US" w:eastAsia="zh-CN" w:bidi="ar"/>
        </w:rPr>
        <w:t>滁州市</w:t>
      </w:r>
    </w:p>
    <w:p w14:paraId="7BCB6CBE">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3. </w:t>
      </w:r>
      <w:r>
        <w:rPr>
          <w:rFonts w:hint="eastAsia" w:ascii="宋体" w:hAnsi="宋体" w:eastAsia="宋体" w:cs="宋体"/>
          <w:bCs w:val="0"/>
          <w:color w:val="auto"/>
          <w:kern w:val="2"/>
          <w:sz w:val="24"/>
          <w:szCs w:val="24"/>
          <w:highlight w:val="none"/>
          <w:lang w:val="en-US" w:eastAsia="zh-CN" w:bidi="ar"/>
        </w:rPr>
        <w:t>工程规模：</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w:t>
      </w:r>
    </w:p>
    <w:p w14:paraId="1FFD75C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二、咨询业务范围</w:t>
      </w:r>
    </w:p>
    <w:p w14:paraId="65066C61">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u w:val="single"/>
          <w:lang w:val="en-US" w:eastAsia="zh-CN" w:bidi="ar"/>
        </w:rPr>
      </w:pPr>
      <w:r>
        <w:rPr>
          <w:rFonts w:hint="eastAsia" w:ascii="宋体" w:hAnsi="宋体" w:eastAsia="宋体" w:cs="宋体"/>
          <w:bCs w:val="0"/>
          <w:color w:val="auto"/>
          <w:kern w:val="2"/>
          <w:sz w:val="24"/>
          <w:szCs w:val="24"/>
          <w:highlight w:val="none"/>
          <w:u w:val="single"/>
          <w:lang w:val="en-US" w:eastAsia="zh-CN" w:bidi="ar"/>
        </w:rPr>
        <w:t>工程量清单及最高投标限价编制服务</w:t>
      </w:r>
    </w:p>
    <w:p w14:paraId="23FD690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三、咨询期限</w:t>
      </w:r>
    </w:p>
    <w:p w14:paraId="1D56BA86">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领取图纸之日起</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日内完成工程量清单和最高投标限价的编制及备案工作。</w:t>
      </w:r>
    </w:p>
    <w:p w14:paraId="5DA37E0F">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计划开始日期：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1AE40EF5">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计划结束日期：</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年</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月</w:t>
      </w:r>
      <w:r>
        <w:rPr>
          <w:rFonts w:hint="eastAsia" w:ascii="宋体" w:hAnsi="宋体" w:eastAsia="宋体" w:cs="宋体"/>
          <w:bCs w:val="0"/>
          <w:color w:val="auto"/>
          <w:kern w:val="2"/>
          <w:sz w:val="24"/>
          <w:szCs w:val="24"/>
          <w:highlight w:val="none"/>
          <w:u w:val="single"/>
          <w:lang w:val="en-US" w:eastAsia="zh-CN" w:bidi="ar"/>
        </w:rPr>
        <w:t xml:space="preserve">     </w:t>
      </w:r>
      <w:r>
        <w:rPr>
          <w:rFonts w:hint="eastAsia" w:ascii="宋体" w:hAnsi="宋体" w:eastAsia="宋体" w:cs="宋体"/>
          <w:bCs w:val="0"/>
          <w:color w:val="auto"/>
          <w:kern w:val="2"/>
          <w:sz w:val="24"/>
          <w:szCs w:val="24"/>
          <w:highlight w:val="none"/>
          <w:lang w:val="en-US" w:eastAsia="zh-CN" w:bidi="ar"/>
        </w:rPr>
        <w:t>日。</w:t>
      </w:r>
    </w:p>
    <w:p w14:paraId="63D1DD2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四、质量标准</w:t>
      </w:r>
    </w:p>
    <w:p w14:paraId="73B69814">
      <w:pPr>
        <w:keepNext w:val="0"/>
        <w:keepLines w:val="0"/>
        <w:widowControl w:val="0"/>
        <w:suppressLineNumbers w:val="0"/>
        <w:spacing w:before="153" w:beforeLines="50" w:beforeAutospacing="0" w:after="0" w:afterAutospacing="0" w:line="400" w:lineRule="exact"/>
        <w:ind w:left="0" w:right="0" w:firstLine="470" w:firstLineChars="196"/>
        <w:jc w:val="left"/>
        <w:rPr>
          <w:rFonts w:hint="eastAsia" w:ascii="宋体" w:hAnsi="宋体" w:eastAsia="宋体" w:cs="宋体"/>
          <w:bCs w:val="0"/>
          <w:color w:val="auto"/>
          <w:kern w:val="2"/>
          <w:sz w:val="24"/>
          <w:szCs w:val="24"/>
          <w:highlight w:val="none"/>
          <w:lang w:val="en-US" w:eastAsia="zh-CN" w:bidi="ar"/>
        </w:rPr>
      </w:pPr>
      <w:r>
        <w:rPr>
          <w:rFonts w:hint="eastAsia" w:ascii="宋体" w:hAnsi="宋体" w:eastAsia="宋体" w:cs="宋体"/>
          <w:bCs w:val="0"/>
          <w:color w:val="auto"/>
          <w:kern w:val="2"/>
          <w:sz w:val="24"/>
          <w:szCs w:val="24"/>
          <w:highlight w:val="none"/>
          <w:lang w:val="en-US" w:eastAsia="zh-CN" w:bidi="ar"/>
        </w:rPr>
        <w:t>符合《建设工程造价咨询成果文件质量标准》（CECA/GCF2012）</w:t>
      </w:r>
      <w:r>
        <w:rPr>
          <w:rFonts w:hint="eastAsia" w:ascii="宋体" w:hAnsi="宋体" w:cs="宋体"/>
          <w:bCs w:val="0"/>
          <w:color w:val="auto"/>
          <w:kern w:val="2"/>
          <w:sz w:val="24"/>
          <w:szCs w:val="24"/>
          <w:highlight w:val="none"/>
          <w:lang w:val="en-US" w:eastAsia="zh-CN" w:bidi="ar"/>
        </w:rPr>
        <w:t>。</w:t>
      </w:r>
    </w:p>
    <w:p w14:paraId="5C787948">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五、咨询酬金 </w:t>
      </w:r>
    </w:p>
    <w:p w14:paraId="1FB289B2">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支付方式：</w:t>
      </w:r>
      <w:r>
        <w:rPr>
          <w:rFonts w:hint="eastAsia" w:ascii="宋体" w:hAnsi="宋体" w:eastAsia="宋体" w:cs="宋体"/>
          <w:b/>
          <w:bCs/>
          <w:color w:val="auto"/>
          <w:kern w:val="2"/>
          <w:sz w:val="24"/>
          <w:szCs w:val="24"/>
          <w:highlight w:val="none"/>
          <w:lang w:val="en-US" w:eastAsia="zh-CN" w:bidi="ar"/>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p w14:paraId="1D6093F3">
      <w:pPr>
        <w:keepNext w:val="0"/>
        <w:keepLines w:val="0"/>
        <w:widowControl w:val="0"/>
        <w:suppressLineNumbers w:val="0"/>
        <w:spacing w:before="153" w:beforeLines="50" w:beforeAutospacing="0" w:after="0" w:afterAutospacing="0" w:line="400" w:lineRule="exact"/>
        <w:ind w:left="0" w:right="0" w:firstLine="720" w:firstLineChars="3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费率，《收费标准》计算费用的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70F01EE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六、履约保证金</w:t>
      </w:r>
    </w:p>
    <w:p w14:paraId="6C0957B0">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0"/>
          <w:sz w:val="24"/>
          <w:szCs w:val="24"/>
          <w:highlight w:val="none"/>
        </w:rPr>
      </w:pPr>
      <w:r>
        <w:rPr>
          <w:rFonts w:hint="eastAsia" w:ascii="宋体" w:hAnsi="宋体" w:cs="宋体"/>
          <w:b w:val="0"/>
          <w:bCs w:val="0"/>
          <w:color w:val="auto"/>
          <w:kern w:val="2"/>
          <w:sz w:val="24"/>
          <w:szCs w:val="24"/>
          <w:highlight w:val="none"/>
          <w:lang w:val="en-US" w:eastAsia="zh-CN" w:bidi="ar"/>
        </w:rPr>
        <w:t xml:space="preserve"> 本项目不需要缴纳履约保证金</w:t>
      </w:r>
      <w:r>
        <w:rPr>
          <w:rFonts w:hint="eastAsia" w:ascii="宋体" w:hAnsi="宋体" w:eastAsia="宋体" w:cs="宋体"/>
          <w:b w:val="0"/>
          <w:bCs w:val="0"/>
          <w:color w:val="auto"/>
          <w:kern w:val="2"/>
          <w:sz w:val="24"/>
          <w:szCs w:val="24"/>
          <w:highlight w:val="none"/>
          <w:lang w:val="en-US" w:eastAsia="zh-CN" w:bidi="ar"/>
        </w:rPr>
        <w:t>。</w:t>
      </w:r>
    </w:p>
    <w:p w14:paraId="0313D4AC">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七、合同文件构成</w:t>
      </w:r>
    </w:p>
    <w:p w14:paraId="0467C1B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本协议书与下列文件一起构成造价咨询合同文件：</w:t>
      </w:r>
    </w:p>
    <w:p w14:paraId="7C6A99DB">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中标通知书（如果有）；</w:t>
      </w:r>
    </w:p>
    <w:p w14:paraId="2BE3FEE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 xml:space="preserve">投标函及其附录（如果有）； </w:t>
      </w:r>
    </w:p>
    <w:p w14:paraId="131AB3E3">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通用合同条款；</w:t>
      </w:r>
    </w:p>
    <w:p w14:paraId="4B1087FE">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专用合同条款。</w:t>
      </w:r>
    </w:p>
    <w:p w14:paraId="183B3E33">
      <w:pPr>
        <w:keepNext w:val="0"/>
        <w:keepLines w:val="0"/>
        <w:widowControl w:val="0"/>
        <w:suppressLineNumbers w:val="0"/>
        <w:autoSpaceDE w:val="0"/>
        <w:autoSpaceDN w:val="0"/>
        <w:adjustRightInd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在合同订立及履行过程中形成的与合同有关的文件均构成合同文件组成部分。</w:t>
      </w:r>
    </w:p>
    <w:p w14:paraId="1008414D">
      <w:pPr>
        <w:keepNext w:val="0"/>
        <w:keepLines w:val="0"/>
        <w:widowControl w:val="0"/>
        <w:suppressLineNumbers w:val="0"/>
        <w:spacing w:before="153" w:beforeLines="5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上述各项合同文件包括合同当事人就该项合同文件所作出的补充和修改，属于同一类内容的文件，应以最新签署的为准。</w:t>
      </w:r>
    </w:p>
    <w:p w14:paraId="1387D53E">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八、词语含义</w:t>
      </w:r>
    </w:p>
    <w:p w14:paraId="16D16D48">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本协议书中词语含义与第二部分通用合同条款中赋予的含义相同。</w:t>
      </w:r>
    </w:p>
    <w:p w14:paraId="4C2D7D87">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九、本合同于</w:t>
      </w:r>
      <w:r>
        <w:rPr>
          <w:rFonts w:hint="eastAsia" w:ascii="宋体" w:hAnsi="宋体" w:cs="宋体"/>
          <w:b/>
          <w:bCs/>
          <w:color w:val="auto"/>
          <w:kern w:val="2"/>
          <w:sz w:val="24"/>
          <w:szCs w:val="24"/>
          <w:highlight w:val="none"/>
          <w:u w:val="single"/>
          <w:lang w:val="en-US" w:eastAsia="zh-CN" w:bidi="ar"/>
        </w:rPr>
        <w:t>2026</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年</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月</w:t>
      </w:r>
      <w:r>
        <w:rPr>
          <w:rFonts w:hint="eastAsia" w:ascii="宋体" w:hAnsi="宋体" w:eastAsia="宋体" w:cs="宋体"/>
          <w:b/>
          <w:bCs/>
          <w:color w:val="auto"/>
          <w:kern w:val="2"/>
          <w:sz w:val="24"/>
          <w:szCs w:val="24"/>
          <w:highlight w:val="none"/>
          <w:u w:val="single"/>
          <w:lang w:val="en-US" w:eastAsia="zh-CN" w:bidi="ar"/>
        </w:rPr>
        <w:t xml:space="preserve">      </w:t>
      </w:r>
      <w:r>
        <w:rPr>
          <w:rFonts w:hint="eastAsia" w:ascii="宋体" w:hAnsi="宋体" w:eastAsia="宋体" w:cs="宋体"/>
          <w:b/>
          <w:bCs/>
          <w:color w:val="auto"/>
          <w:kern w:val="2"/>
          <w:sz w:val="24"/>
          <w:szCs w:val="24"/>
          <w:highlight w:val="none"/>
          <w:lang w:val="en-US" w:eastAsia="zh-CN" w:bidi="ar"/>
        </w:rPr>
        <w:t>日签订。</w:t>
      </w:r>
    </w:p>
    <w:p w14:paraId="3AFA8BC9">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十、签订地点</w:t>
      </w:r>
    </w:p>
    <w:p w14:paraId="5093C671">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本合同在</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b w:val="0"/>
          <w:color w:val="auto"/>
          <w:kern w:val="2"/>
          <w:sz w:val="24"/>
          <w:szCs w:val="24"/>
          <w:highlight w:val="none"/>
          <w:u w:val="single"/>
          <w:lang w:val="en-US" w:eastAsia="zh-CN" w:bidi="ar"/>
        </w:rPr>
        <w:t>滁州市重点工程建设管理处</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签订。</w:t>
      </w:r>
    </w:p>
    <w:p w14:paraId="79039180">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十一、补充协议</w:t>
      </w:r>
    </w:p>
    <w:p w14:paraId="7AD6BE1C">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合同未尽事宜，合同当事人另行签订补充协议，补充协议是合同的组成部分。</w:t>
      </w:r>
    </w:p>
    <w:p w14:paraId="63F7719F">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十二、合同生效</w:t>
      </w:r>
    </w:p>
    <w:p w14:paraId="4F83DD4A">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w:t>
      </w:r>
      <w:r>
        <w:rPr>
          <w:rFonts w:hint="eastAsia" w:ascii="宋体" w:hAnsi="宋体" w:cs="宋体"/>
          <w:color w:val="auto"/>
          <w:kern w:val="2"/>
          <w:sz w:val="24"/>
          <w:szCs w:val="24"/>
          <w:highlight w:val="none"/>
          <w:u w:val="single"/>
          <w:lang w:val="en-US" w:eastAsia="zh-CN" w:bidi="ar"/>
        </w:rPr>
        <w:t>甲乙双方盖章后</w:t>
      </w:r>
      <w:r>
        <w:rPr>
          <w:rFonts w:hint="eastAsia" w:ascii="宋体" w:hAnsi="宋体" w:eastAsia="宋体" w:cs="宋体"/>
          <w:color w:val="auto"/>
          <w:kern w:val="2"/>
          <w:sz w:val="24"/>
          <w:szCs w:val="24"/>
          <w:highlight w:val="none"/>
          <w:lang w:val="en-US" w:eastAsia="zh-CN" w:bidi="ar"/>
        </w:rPr>
        <w:t>生效。</w:t>
      </w:r>
    </w:p>
    <w:p w14:paraId="2AF75075">
      <w:pPr>
        <w:keepNext w:val="0"/>
        <w:keepLines w:val="0"/>
        <w:widowControl w:val="0"/>
        <w:suppressLineNumbers w:val="0"/>
        <w:spacing w:before="153" w:beforeLines="50" w:beforeAutospacing="0" w:after="153" w:afterLines="50" w:afterAutospacing="0" w:line="400" w:lineRule="exact"/>
        <w:ind w:left="0" w:right="0" w:firstLine="0" w:firstLineChars="0"/>
        <w:jc w:val="lef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十三、合同份数</w:t>
      </w:r>
    </w:p>
    <w:p w14:paraId="6411AA19">
      <w:pPr>
        <w:keepNext w:val="0"/>
        <w:keepLines w:val="0"/>
        <w:widowControl w:val="0"/>
        <w:suppressLineNumbers w:val="0"/>
        <w:spacing w:before="0" w:beforeAutospacing="0" w:after="0" w:afterAutospacing="0" w:line="40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本合同一式</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4</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份，均具有同等法律效力，委托人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份，受托人</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cs="宋体"/>
          <w:color w:val="auto"/>
          <w:kern w:val="2"/>
          <w:sz w:val="24"/>
          <w:szCs w:val="24"/>
          <w:highlight w:val="none"/>
          <w:u w:val="single"/>
          <w:lang w:val="en-US" w:eastAsia="zh-CN" w:bidi="ar"/>
        </w:rPr>
        <w:t>2</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份。</w:t>
      </w:r>
    </w:p>
    <w:p w14:paraId="30DE53EB">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bCs w:val="0"/>
          <w:color w:val="auto"/>
          <w:kern w:val="2"/>
          <w:sz w:val="24"/>
          <w:szCs w:val="24"/>
          <w:highlight w:val="none"/>
        </w:rPr>
      </w:pPr>
      <w:r>
        <w:rPr>
          <w:rFonts w:hint="eastAsia" w:ascii="宋体" w:hAnsi="宋体" w:eastAsia="宋体" w:cs="宋体"/>
          <w:bCs w:val="0"/>
          <w:color w:val="auto"/>
          <w:kern w:val="2"/>
          <w:sz w:val="24"/>
          <w:szCs w:val="24"/>
          <w:highlight w:val="none"/>
          <w:lang w:val="en-US" w:eastAsia="zh-CN" w:bidi="ar"/>
        </w:rPr>
        <w:t xml:space="preserve"> </w:t>
      </w:r>
    </w:p>
    <w:p w14:paraId="631BB8E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委托人：  （公章）                       受托人：  （公章）</w:t>
      </w:r>
    </w:p>
    <w:p w14:paraId="6310F0D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EED1143">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FB85B8D">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法定代表人或其委托代理人：              法定代表人或其委托代理人：</w:t>
      </w:r>
    </w:p>
    <w:p w14:paraId="2DE921B2">
      <w:pPr>
        <w:keepNext w:val="0"/>
        <w:keepLines w:val="0"/>
        <w:widowControl w:val="0"/>
        <w:suppressLineNumbers w:val="0"/>
        <w:spacing w:before="0" w:beforeAutospacing="0" w:after="0" w:afterAutospacing="0" w:line="400" w:lineRule="exact"/>
        <w:ind w:left="0" w:right="0" w:firstLine="960" w:firstLineChars="4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（签字）                               （签字）</w:t>
      </w:r>
    </w:p>
    <w:p w14:paraId="569BF31A">
      <w:pPr>
        <w:keepNext w:val="0"/>
        <w:keepLines w:val="0"/>
        <w:widowControl w:val="0"/>
        <w:suppressLineNumbers w:val="0"/>
        <w:spacing w:before="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8998B14">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    址：</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地    址：</w:t>
      </w:r>
      <w:r>
        <w:rPr>
          <w:rFonts w:hint="eastAsia" w:ascii="宋体" w:hAnsi="宋体" w:eastAsia="宋体" w:cs="宋体"/>
          <w:color w:val="auto"/>
          <w:kern w:val="2"/>
          <w:sz w:val="24"/>
          <w:szCs w:val="24"/>
          <w:highlight w:val="none"/>
          <w:u w:val="single"/>
          <w:lang w:val="en-US" w:eastAsia="zh-CN" w:bidi="ar"/>
        </w:rPr>
        <w:t xml:space="preserve">                </w:t>
      </w:r>
    </w:p>
    <w:p w14:paraId="4057472B">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邮政编码：</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邮政编码：</w:t>
      </w:r>
      <w:r>
        <w:rPr>
          <w:rFonts w:hint="eastAsia" w:ascii="宋体" w:hAnsi="宋体" w:eastAsia="宋体" w:cs="宋体"/>
          <w:color w:val="auto"/>
          <w:kern w:val="2"/>
          <w:sz w:val="24"/>
          <w:szCs w:val="24"/>
          <w:highlight w:val="none"/>
          <w:u w:val="single"/>
          <w:lang w:val="en-US" w:eastAsia="zh-CN" w:bidi="ar"/>
        </w:rPr>
        <w:t xml:space="preserve">                  </w:t>
      </w:r>
    </w:p>
    <w:p w14:paraId="4BF31FE9">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    话：</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    话：</w:t>
      </w:r>
      <w:r>
        <w:rPr>
          <w:rFonts w:hint="eastAsia" w:ascii="宋体" w:hAnsi="宋体" w:eastAsia="宋体" w:cs="宋体"/>
          <w:color w:val="auto"/>
          <w:kern w:val="2"/>
          <w:sz w:val="24"/>
          <w:szCs w:val="24"/>
          <w:highlight w:val="none"/>
          <w:u w:val="single"/>
          <w:lang w:val="en-US" w:eastAsia="zh-CN" w:bidi="ar"/>
        </w:rPr>
        <w:t xml:space="preserve">                  </w:t>
      </w:r>
    </w:p>
    <w:p w14:paraId="668B16AA">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传    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4EDA71C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电子信箱：</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电子信箱：</w:t>
      </w:r>
      <w:r>
        <w:rPr>
          <w:rFonts w:hint="eastAsia" w:ascii="宋体" w:hAnsi="宋体" w:eastAsia="宋体" w:cs="宋体"/>
          <w:color w:val="auto"/>
          <w:kern w:val="2"/>
          <w:sz w:val="24"/>
          <w:szCs w:val="24"/>
          <w:highlight w:val="none"/>
          <w:u w:val="single"/>
          <w:lang w:val="en-US" w:eastAsia="zh-CN" w:bidi="ar"/>
        </w:rPr>
        <w:t xml:space="preserve">                  </w:t>
      </w:r>
    </w:p>
    <w:p w14:paraId="0C610547">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开户银行：</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w:t>
      </w:r>
    </w:p>
    <w:p w14:paraId="0A0B3F9F">
      <w:pPr>
        <w:keepNext w:val="0"/>
        <w:keepLines w:val="0"/>
        <w:widowControl w:val="0"/>
        <w:suppressLineNumbers w:val="0"/>
        <w:spacing w:before="153" w:beforeLines="50" w:beforeAutospacing="0" w:after="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账    号：</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            账    号：</w:t>
      </w:r>
      <w:r>
        <w:rPr>
          <w:rFonts w:hint="eastAsia" w:ascii="宋体" w:hAnsi="宋体" w:eastAsia="宋体" w:cs="宋体"/>
          <w:color w:val="auto"/>
          <w:kern w:val="2"/>
          <w:sz w:val="24"/>
          <w:szCs w:val="24"/>
          <w:highlight w:val="none"/>
          <w:u w:val="single"/>
          <w:lang w:val="en-US" w:eastAsia="zh-CN" w:bidi="ar"/>
        </w:rPr>
        <w:t xml:space="preserve">                                    </w:t>
      </w:r>
    </w:p>
    <w:p w14:paraId="0AB9A65D">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359ECEF">
      <w:pPr>
        <w:keepNext w:val="0"/>
        <w:keepLines w:val="0"/>
        <w:widowControl w:val="0"/>
        <w:suppressLineNumbers w:val="0"/>
        <w:spacing w:before="0" w:beforeLines="50" w:beforeAutospacing="0" w:after="0" w:afterLines="30" w:afterAutospacing="0" w:line="400" w:lineRule="exact"/>
        <w:ind w:left="0" w:right="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5DC2AC0">
      <w:pPr>
        <w:keepNext w:val="0"/>
        <w:keepLines w:val="0"/>
        <w:widowControl w:val="0"/>
        <w:suppressLineNumbers w:val="0"/>
        <w:spacing w:before="153" w:beforeLines="50" w:beforeAutospacing="0" w:after="153" w:afterLines="50" w:afterAutospacing="0" w:line="400" w:lineRule="exact"/>
        <w:ind w:left="0" w:right="0" w:firstLine="0" w:firstLineChars="0"/>
        <w:jc w:val="center"/>
        <w:outlineLvl w:val="2"/>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bidi="ar"/>
        </w:rPr>
        <w:br w:type="page"/>
      </w:r>
      <w:r>
        <w:rPr>
          <w:rFonts w:hint="eastAsia" w:ascii="宋体" w:hAnsi="宋体" w:eastAsia="宋体" w:cs="宋体"/>
          <w:b/>
          <w:bCs/>
          <w:color w:val="auto"/>
          <w:kern w:val="2"/>
          <w:sz w:val="24"/>
          <w:szCs w:val="24"/>
          <w:highlight w:val="none"/>
          <w:lang w:val="en-US" w:eastAsia="zh-CN" w:bidi="ar"/>
        </w:rPr>
        <w:t>第二部分  通用合同条款</w:t>
      </w:r>
    </w:p>
    <w:p w14:paraId="655CAF5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69" w:name="_Toc303538973"/>
      <w:bookmarkEnd w:id="69"/>
      <w:bookmarkStart w:id="70" w:name="_Toc303538974"/>
      <w:bookmarkEnd w:id="70"/>
      <w:bookmarkStart w:id="71" w:name="_Toc303538972"/>
      <w:bookmarkEnd w:id="71"/>
      <w:bookmarkStart w:id="72" w:name="_Toc303538975"/>
      <w:bookmarkEnd w:id="72"/>
      <w:bookmarkStart w:id="73" w:name="_Toc303538976"/>
      <w:bookmarkEnd w:id="73"/>
      <w:bookmarkStart w:id="74" w:name="_Toc296346528"/>
      <w:bookmarkStart w:id="75" w:name="_Toc296503027"/>
      <w:r>
        <w:rPr>
          <w:rFonts w:hint="eastAsia" w:ascii="宋体" w:hAnsi="宋体" w:eastAsia="宋体" w:cs="宋体"/>
          <w:b w:val="0"/>
          <w:color w:val="auto"/>
          <w:sz w:val="24"/>
          <w:szCs w:val="24"/>
          <w:highlight w:val="none"/>
        </w:rPr>
        <w:t xml:space="preserve"> 一般约定</w:t>
      </w:r>
      <w:bookmarkEnd w:id="74"/>
      <w:bookmarkEnd w:id="75"/>
    </w:p>
    <w:p w14:paraId="0DFBE77C">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76" w:name="_Toc296503028"/>
      <w:bookmarkStart w:id="77" w:name="_Toc296346529"/>
      <w:bookmarkStart w:id="78" w:name="_Toc337558728"/>
      <w:bookmarkStart w:id="79" w:name="_Toc407261895"/>
      <w:r>
        <w:rPr>
          <w:rFonts w:hint="eastAsia" w:ascii="宋体" w:hAnsi="宋体" w:eastAsia="宋体" w:cs="宋体"/>
          <w:color w:val="auto"/>
          <w:sz w:val="24"/>
          <w:szCs w:val="24"/>
          <w:highlight w:val="none"/>
        </w:rPr>
        <w:t>1.1 词语定义</w:t>
      </w:r>
      <w:bookmarkEnd w:id="76"/>
      <w:bookmarkEnd w:id="77"/>
      <w:bookmarkEnd w:id="78"/>
      <w:r>
        <w:rPr>
          <w:rFonts w:hint="eastAsia" w:ascii="宋体" w:hAnsi="宋体" w:eastAsia="宋体" w:cs="宋体"/>
          <w:color w:val="auto"/>
          <w:sz w:val="24"/>
          <w:szCs w:val="24"/>
          <w:highlight w:val="none"/>
        </w:rPr>
        <w:t>与解释</w:t>
      </w:r>
      <w:bookmarkEnd w:id="79"/>
    </w:p>
    <w:p w14:paraId="6B0337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合同协议书、通用合同条款、专用合同条款中的下列词语具有本款所赋予的含义：</w:t>
      </w:r>
    </w:p>
    <w:p w14:paraId="7BF388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委托人：是指与咨询人签订合同协议书的当事人及取得该当事人资格的合法继承人。</w:t>
      </w:r>
    </w:p>
    <w:p w14:paraId="189DC1D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咨询人：是指与委托人签订合同协议书的，具有相应工程造价咨询资质的当事人及取得该当事人资格的合法继承人。</w:t>
      </w:r>
    </w:p>
    <w:p w14:paraId="401A149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第三人：是指除委托人、咨询人以外与本咨询业务有关的当事人。</w:t>
      </w:r>
    </w:p>
    <w:p w14:paraId="23445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工程造价咨询：是指咨询人接受委托人的委托，运用工程造价的专业技能，为建设项目决策、设计、交易、实施、结算等各个阶段工程计价和工程造价管理提供的有偿服务。</w:t>
      </w:r>
    </w:p>
    <w:p w14:paraId="297DD85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1.1.5 工程造价咨询成果文件：是指咨询人在承担工程造价咨询业务时，为委托人出具的具有法律责任，反映各阶段工程造价确定与控制成果的文件。包括：投资估算书、设计概算书、施工图预算书、竣工结算书、工程量清单、招标控制价、工程计量与支付、工程索赔、工程造价鉴定意见书等文件。 </w:t>
      </w:r>
    </w:p>
    <w:p w14:paraId="0A8E35A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 综合误差率：是指工程造价咨询成果文件中审查出的编制错误的累计金额与最终修正后造价总额的比率。</w:t>
      </w:r>
    </w:p>
    <w:p w14:paraId="769ED89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1.1.7 酬金：是指咨询人履行本合同义务，委托人按照本合同约定给付咨询人的金额。</w:t>
      </w:r>
    </w:p>
    <w:p w14:paraId="6671FAE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1.1.8 费用：是指不包含在酬金之内应由委托人承担的经济支出。</w:t>
      </w:r>
    </w:p>
    <w:p w14:paraId="375769F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1.1.9 书面形式：是指合同书、信件和数据电文等可以有形地表现所载内容的形式。</w:t>
      </w:r>
    </w:p>
    <w:p w14:paraId="382D151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0" w:name="_Toc337558729"/>
      <w:bookmarkStart w:id="81" w:name="_Toc296346530"/>
      <w:bookmarkStart w:id="82" w:name="_Toc407261896"/>
      <w:bookmarkStart w:id="83" w:name="_Toc296503029"/>
      <w:r>
        <w:rPr>
          <w:rFonts w:hint="eastAsia" w:ascii="宋体" w:hAnsi="宋体" w:eastAsia="宋体" w:cs="宋体"/>
          <w:color w:val="auto"/>
          <w:sz w:val="24"/>
          <w:szCs w:val="24"/>
          <w:highlight w:val="none"/>
        </w:rPr>
        <w:t>1.2 语言文字</w:t>
      </w:r>
      <w:bookmarkEnd w:id="80"/>
      <w:bookmarkEnd w:id="81"/>
      <w:bookmarkEnd w:id="82"/>
      <w:bookmarkEnd w:id="83"/>
    </w:p>
    <w:p w14:paraId="7EB4D68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合同以中国的汉语简体文字编写、解释和说明。合同当事人在专用合同条款中约定使用两种以上语言时，汉语为优先解释和说明合同的语言。</w:t>
      </w:r>
    </w:p>
    <w:p w14:paraId="3D9C3E2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4" w:name="_Toc296503030"/>
      <w:bookmarkStart w:id="85" w:name="_Toc407261897"/>
      <w:bookmarkStart w:id="86" w:name="_Toc337558730"/>
      <w:bookmarkStart w:id="87" w:name="_Toc296346531"/>
      <w:r>
        <w:rPr>
          <w:rFonts w:hint="eastAsia" w:ascii="宋体" w:hAnsi="宋体" w:eastAsia="宋体" w:cs="宋体"/>
          <w:color w:val="auto"/>
          <w:sz w:val="24"/>
          <w:szCs w:val="24"/>
          <w:highlight w:val="none"/>
        </w:rPr>
        <w:t>1.3 法律</w:t>
      </w:r>
      <w:bookmarkEnd w:id="84"/>
      <w:bookmarkEnd w:id="85"/>
      <w:bookmarkEnd w:id="86"/>
      <w:bookmarkEnd w:id="87"/>
    </w:p>
    <w:p w14:paraId="6E211FE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合同所称法律是指中华人民共和国法律、行政法规、部门规章，以及本省地方性法规、规章等。</w:t>
      </w:r>
    </w:p>
    <w:p w14:paraId="32849A1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合同当事人可以在专用合同条款中约定合同适用的其他规范性文件。</w:t>
      </w:r>
    </w:p>
    <w:p w14:paraId="1894873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8" w:name="_Toc407261898"/>
      <w:r>
        <w:rPr>
          <w:rFonts w:hint="eastAsia" w:ascii="宋体" w:hAnsi="宋体" w:eastAsia="宋体" w:cs="宋体"/>
          <w:color w:val="auto"/>
          <w:sz w:val="24"/>
          <w:szCs w:val="24"/>
          <w:highlight w:val="none"/>
        </w:rPr>
        <w:t>1.4 标准和规范</w:t>
      </w:r>
      <w:bookmarkEnd w:id="88"/>
    </w:p>
    <w:p w14:paraId="480284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适用于工程造价咨询的国家标准、行业标准、本省地方性标准，以及相应的规范、规程等，合同当事人有特别要求的，应在专用合同条款中约定。</w:t>
      </w:r>
    </w:p>
    <w:p w14:paraId="6B1F8263">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89" w:name="_Toc407261899"/>
      <w:r>
        <w:rPr>
          <w:rFonts w:hint="eastAsia" w:ascii="宋体" w:hAnsi="宋体" w:eastAsia="宋体" w:cs="宋体"/>
          <w:color w:val="auto"/>
          <w:sz w:val="24"/>
          <w:szCs w:val="24"/>
          <w:highlight w:val="none"/>
        </w:rPr>
        <w:t>1</w:t>
      </w:r>
      <w:bookmarkStart w:id="90" w:name="_Toc296346532"/>
      <w:bookmarkStart w:id="91" w:name="_Toc296503031"/>
      <w:bookmarkStart w:id="92" w:name="_Toc337558731"/>
      <w:r>
        <w:rPr>
          <w:rFonts w:hint="eastAsia" w:ascii="宋体" w:hAnsi="宋体" w:eastAsia="宋体" w:cs="宋体"/>
          <w:color w:val="auto"/>
          <w:sz w:val="24"/>
          <w:szCs w:val="24"/>
          <w:highlight w:val="none"/>
        </w:rPr>
        <w:t>.5 合同文件的优先顺序</w:t>
      </w:r>
      <w:bookmarkEnd w:id="89"/>
    </w:p>
    <w:bookmarkEnd w:id="90"/>
    <w:bookmarkEnd w:id="91"/>
    <w:bookmarkEnd w:id="92"/>
    <w:p w14:paraId="2E8DF5A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组成合同的各项文件应互相解释，互为说明。除专用合同条款另有约定外，解释合同文件的优先顺序如下：</w:t>
      </w:r>
    </w:p>
    <w:p w14:paraId="5D7972B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合同协议书；</w:t>
      </w:r>
    </w:p>
    <w:p w14:paraId="7FA5135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中标通知书（如果有）；</w:t>
      </w:r>
    </w:p>
    <w:p w14:paraId="6B7D68F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投标函及其附录（如果有）；</w:t>
      </w:r>
    </w:p>
    <w:p w14:paraId="3574D11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w:t>
      </w:r>
    </w:p>
    <w:p w14:paraId="612E66C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通用合同条款。</w:t>
      </w:r>
    </w:p>
    <w:p w14:paraId="7608230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上述各项合同文件包括合同当事人就该项合同文件所作出的补充和修改，属于同一类内容的文件，应以最新签署的为准。</w:t>
      </w:r>
    </w:p>
    <w:p w14:paraId="75B3BA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在合同订立及履行过程中形成的与合同有关的文件均构成合同文件组成部分，并根据其性质确定优先解释顺序。</w:t>
      </w:r>
    </w:p>
    <w:p w14:paraId="2DE4FB4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3" w:name="_Toc351203502"/>
      <w:bookmarkStart w:id="94" w:name="_Toc407261900"/>
      <w:r>
        <w:rPr>
          <w:rFonts w:hint="eastAsia" w:ascii="宋体" w:hAnsi="宋体" w:eastAsia="宋体" w:cs="宋体"/>
          <w:color w:val="auto"/>
          <w:sz w:val="24"/>
          <w:szCs w:val="24"/>
          <w:highlight w:val="none"/>
        </w:rPr>
        <w:t>1</w:t>
      </w:r>
      <w:bookmarkStart w:id="95" w:name="_Toc296346534"/>
      <w:bookmarkStart w:id="96" w:name="_Toc296503033"/>
      <w:bookmarkStart w:id="97" w:name="_Toc337558733"/>
      <w:r>
        <w:rPr>
          <w:rFonts w:hint="eastAsia" w:ascii="宋体" w:hAnsi="宋体" w:eastAsia="宋体" w:cs="宋体"/>
          <w:color w:val="auto"/>
          <w:sz w:val="24"/>
          <w:szCs w:val="24"/>
          <w:highlight w:val="none"/>
        </w:rPr>
        <w:t>.6 联络</w:t>
      </w:r>
      <w:bookmarkEnd w:id="93"/>
      <w:bookmarkEnd w:id="94"/>
    </w:p>
    <w:bookmarkEnd w:id="95"/>
    <w:bookmarkEnd w:id="96"/>
    <w:bookmarkEnd w:id="97"/>
    <w:p w14:paraId="39AB8AB4">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 xml:space="preserve"> 与合同有关的通知、批准、证明、证书、指示、指令、要求、请求、同意、意见、确定和决定等，均应采用书面形式，并应在合同约定的期限内送达接收人和送达地点。</w:t>
      </w:r>
    </w:p>
    <w:p w14:paraId="2F70B389">
      <w:pPr>
        <w:pageBreakBefore w:val="0"/>
        <w:widowControl w:val="0"/>
        <w:kinsoku/>
        <w:wordWrap/>
        <w:overflowPunct/>
        <w:topLinePunct w:val="0"/>
        <w:autoSpaceDE w:val="0"/>
        <w:autoSpaceDN w:val="0"/>
        <w:bidi w:val="0"/>
        <w:adjustRightInd w:val="0"/>
        <w:snapToGrid/>
        <w:spacing w:beforeLines="0" w:afterLines="0" w:line="49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委托人和咨询人应在专用合同条款中约定各自的送达接收人、送达地点、电子邮箱。任何一方合同当事人指定的接收人或送达地点或电子邮箱发生变动的，应提前3天以书面形式通知对方。</w:t>
      </w:r>
    </w:p>
    <w:p w14:paraId="5FD7D8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kern w:val="0"/>
          <w:sz w:val="24"/>
          <w:szCs w:val="24"/>
          <w:highlight w:val="none"/>
        </w:rPr>
        <w:t xml:space="preserve"> 委托人和咨询人应当及时签收另一方送达至送达地点和指定接收人的来往信函。拒不签收的，由此增加的费用和延误的咨询期限由拒绝接收一方承担。</w:t>
      </w:r>
    </w:p>
    <w:p w14:paraId="6E9285B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8" w:name="_Toc407261901"/>
      <w:r>
        <w:rPr>
          <w:rFonts w:hint="eastAsia" w:ascii="宋体" w:hAnsi="宋体" w:eastAsia="宋体" w:cs="宋体"/>
          <w:color w:val="auto"/>
          <w:sz w:val="24"/>
          <w:szCs w:val="24"/>
          <w:highlight w:val="none"/>
        </w:rPr>
        <w:t>1.7 守法诚信</w:t>
      </w:r>
      <w:bookmarkEnd w:id="98"/>
    </w:p>
    <w:p w14:paraId="24B9E2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从事工程造价咨询活动，应当遵循独立、客观、公正、诚实信用的原则，不得损害社会公共利益和他人的合法权益。除委托人书面同意外，咨询人及其工程造价专业人员不得从与实施工程造价咨询业务有关的第三人处获得任何经济利益。</w:t>
      </w:r>
    </w:p>
    <w:p w14:paraId="2415EEB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99" w:name="_Toc407261902"/>
      <w:r>
        <w:rPr>
          <w:rFonts w:hint="eastAsia" w:ascii="宋体" w:hAnsi="宋体" w:eastAsia="宋体" w:cs="宋体"/>
          <w:color w:val="auto"/>
          <w:sz w:val="24"/>
          <w:szCs w:val="24"/>
          <w:highlight w:val="none"/>
        </w:rPr>
        <w:t>1.8 保密</w:t>
      </w:r>
      <w:bookmarkEnd w:id="99"/>
    </w:p>
    <w:p w14:paraId="521AD79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双方不得泄露对方申明的保密资料，亦不得泄露与实施工程造价咨询业务有关的第三人所提供的保密资料，保密事项在专用合同条款中约定。</w:t>
      </w:r>
    </w:p>
    <w:p w14:paraId="408ADD0D">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0" w:name="_Toc407261903"/>
      <w:r>
        <w:rPr>
          <w:rFonts w:hint="eastAsia" w:ascii="宋体" w:hAnsi="宋体" w:eastAsia="宋体" w:cs="宋体"/>
          <w:b w:val="0"/>
          <w:color w:val="auto"/>
          <w:sz w:val="24"/>
          <w:szCs w:val="24"/>
          <w:highlight w:val="none"/>
        </w:rPr>
        <w:t>2. 委托人</w:t>
      </w:r>
      <w:bookmarkEnd w:id="100"/>
    </w:p>
    <w:p w14:paraId="32109BE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1" w:name="_Toc407261904"/>
      <w:r>
        <w:rPr>
          <w:rFonts w:hint="eastAsia" w:ascii="宋体" w:hAnsi="宋体" w:eastAsia="宋体" w:cs="宋体"/>
          <w:color w:val="auto"/>
          <w:sz w:val="24"/>
          <w:szCs w:val="24"/>
          <w:highlight w:val="none"/>
        </w:rPr>
        <w:t>2.1 委托人代表</w:t>
      </w:r>
      <w:bookmarkEnd w:id="101"/>
    </w:p>
    <w:p w14:paraId="477407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授权一名熟悉工程情况的代表，负责与咨询人联系。委托人应在专用合同条款中明确委托人代表的姓名、职务、联系方式及授权范围等事项。委托人代表经委托人授权后代表委托人履行合同。委托人更换委托人代表的，应提前7天书面通知咨询人。</w:t>
      </w:r>
    </w:p>
    <w:p w14:paraId="3D6B548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2" w:name="_Toc407261905"/>
      <w:r>
        <w:rPr>
          <w:rFonts w:hint="eastAsia" w:ascii="宋体" w:hAnsi="宋体" w:eastAsia="宋体" w:cs="宋体"/>
          <w:color w:val="auto"/>
          <w:sz w:val="24"/>
          <w:szCs w:val="24"/>
          <w:highlight w:val="none"/>
        </w:rPr>
        <w:t>2.2 提供资料</w:t>
      </w:r>
      <w:bookmarkEnd w:id="102"/>
    </w:p>
    <w:p w14:paraId="23BCC9C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委托人向咨询人提供的工程造价咨询所需要的资料名称及提供时间在专用合同条款中约定，委托人对其提供资料的真实性、准确性和完整性负责。</w:t>
      </w:r>
    </w:p>
    <w:p w14:paraId="2102C5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咨询人需要委托人和第三人提供工程造价咨询所需要的最新资料的，除专用合同条款另有约定外，委托人应尽其努力在相应咨询工作开展前的合理期限内提供，合理期限应以不影响咨询人的正常咨询工作为限。</w:t>
      </w:r>
    </w:p>
    <w:p w14:paraId="1B676D7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委托人未能按合同约定及时向咨询人提供咨询资料的，由委托人承担由此增加的费用和延误的咨询期限。</w:t>
      </w:r>
    </w:p>
    <w:p w14:paraId="2996AE6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3" w:name="_Toc407261906"/>
      <w:r>
        <w:rPr>
          <w:rFonts w:hint="eastAsia" w:ascii="宋体" w:hAnsi="宋体" w:eastAsia="宋体" w:cs="宋体"/>
          <w:color w:val="auto"/>
          <w:sz w:val="24"/>
          <w:szCs w:val="24"/>
          <w:highlight w:val="none"/>
        </w:rPr>
        <w:t>2.3 提供工作条件</w:t>
      </w:r>
      <w:bookmarkEnd w:id="103"/>
    </w:p>
    <w:p w14:paraId="31CA174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委托人应负责与本工程造价咨询业务有关的第三人的协调，为咨询人履行本合同提供必要的外部条件。</w:t>
      </w:r>
    </w:p>
    <w:p w14:paraId="3D4D4A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咨询人接受委托实施施工阶段全过程造价管理咨询工作的，委托人应当在施工现场为咨询人提供必要的办公用房、办公家具，供咨询人使用。</w:t>
      </w:r>
    </w:p>
    <w:p w14:paraId="2176EB3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4" w:name="_Toc407261907"/>
      <w:r>
        <w:rPr>
          <w:rFonts w:hint="eastAsia" w:ascii="宋体" w:hAnsi="宋体" w:eastAsia="宋体" w:cs="宋体"/>
          <w:color w:val="auto"/>
          <w:sz w:val="24"/>
          <w:szCs w:val="24"/>
          <w:highlight w:val="none"/>
        </w:rPr>
        <w:t>2.4 答复</w:t>
      </w:r>
      <w:bookmarkEnd w:id="104"/>
    </w:p>
    <w:p w14:paraId="55E5F95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委托人应在专用合同条款约定的时间内，对咨询人以书面形式提交并要求作出决定的事宜，给予书面答复。委托人逾期未答复，影响咨询工作正常开展的，由委托人承担由此增加的费用和延误的咨询期限。</w:t>
      </w:r>
    </w:p>
    <w:p w14:paraId="27BC5E7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除专用合同条款另有约定外，对咨询人以书面形式提交并要求第三人作出决定的事宜，由委托人送达第三人，第三人在合理期限内未答复，影响咨询工作正常开展的，由委托人承担由此增加的费用和延误的咨询期限。</w:t>
      </w:r>
    </w:p>
    <w:p w14:paraId="639DC94C">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5" w:name="_Toc407261908"/>
      <w:r>
        <w:rPr>
          <w:rFonts w:hint="eastAsia" w:ascii="宋体" w:hAnsi="宋体" w:eastAsia="宋体" w:cs="宋体"/>
          <w:color w:val="auto"/>
          <w:sz w:val="24"/>
          <w:szCs w:val="24"/>
          <w:highlight w:val="none"/>
        </w:rPr>
        <w:t>2.5 支付酬金</w:t>
      </w:r>
      <w:bookmarkEnd w:id="105"/>
    </w:p>
    <w:p w14:paraId="45129F3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委托人应按合同约定，向咨询人支付酬金。</w:t>
      </w:r>
    </w:p>
    <w:p w14:paraId="73CAEB3B">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06" w:name="_Toc407261909"/>
      <w:r>
        <w:rPr>
          <w:rFonts w:hint="eastAsia" w:ascii="宋体" w:hAnsi="宋体" w:eastAsia="宋体" w:cs="宋体"/>
          <w:b w:val="0"/>
          <w:color w:val="auto"/>
          <w:sz w:val="24"/>
          <w:szCs w:val="24"/>
          <w:highlight w:val="none"/>
        </w:rPr>
        <w:t>3. 咨询人</w:t>
      </w:r>
      <w:bookmarkEnd w:id="106"/>
    </w:p>
    <w:p w14:paraId="4CDDE96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07" w:name="_Toc389663475"/>
      <w:bookmarkStart w:id="108" w:name="_Toc383940899"/>
      <w:bookmarkStart w:id="109" w:name="_Toc389602818"/>
      <w:bookmarkStart w:id="110" w:name="_Toc384026373"/>
      <w:bookmarkStart w:id="111" w:name="_Toc407261910"/>
      <w:bookmarkStart w:id="112" w:name="_Toc384137544"/>
      <w:r>
        <w:rPr>
          <w:rFonts w:hint="eastAsia" w:ascii="宋体" w:hAnsi="宋体" w:eastAsia="宋体" w:cs="宋体"/>
          <w:color w:val="auto"/>
          <w:sz w:val="24"/>
          <w:szCs w:val="24"/>
          <w:highlight w:val="none"/>
        </w:rPr>
        <w:t>3.1 咨询人的一般义务</w:t>
      </w:r>
      <w:bookmarkEnd w:id="107"/>
      <w:bookmarkEnd w:id="108"/>
      <w:bookmarkEnd w:id="109"/>
      <w:bookmarkEnd w:id="110"/>
      <w:bookmarkEnd w:id="111"/>
      <w:bookmarkEnd w:id="112"/>
    </w:p>
    <w:p w14:paraId="1D279C1E">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向委托人提供与工程造价咨询业务有关的资料，包括工程造价咨询企业资质证书、承担本合同咨询业务的工程造价专业人员任命文件、工程造价咨询实施方案等。</w:t>
      </w:r>
    </w:p>
    <w:p w14:paraId="24F9FAB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踏勘现场，了解情况，收集、整理工程造价咨询项目有关的基础资料和编制依据，进行有效性、合规性核对，保证工程计价基础资料和编制依据的全面性、真实性和有效性。</w:t>
      </w:r>
    </w:p>
    <w:p w14:paraId="355C9D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 按照咨询合同约定的工作范围和内容，编制、审核、审定工程造价咨询成果文件，并在专用合同条款约定的时间内，向委托人提交符合国家、行业规定及合同约定的工程造价咨询成果文件。</w:t>
      </w:r>
    </w:p>
    <w:p w14:paraId="19C133E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 组织咨询服务回访，听取委托人对服务质量的评价意见，及时进行总结，提出相应的改进措施。</w:t>
      </w:r>
    </w:p>
    <w:p w14:paraId="1AD10FF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3.1.5 收集工程造价咨询业务中形成的工程造价咨询过程文件和工程造价咨询成果文件，整理立卷后建立档案。</w:t>
      </w:r>
    </w:p>
    <w:p w14:paraId="05C45D8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3" w:name="_Toc407261911"/>
      <w:r>
        <w:rPr>
          <w:rFonts w:hint="eastAsia" w:ascii="宋体" w:hAnsi="宋体" w:eastAsia="宋体" w:cs="宋体"/>
          <w:color w:val="auto"/>
          <w:sz w:val="24"/>
          <w:szCs w:val="24"/>
          <w:highlight w:val="none"/>
        </w:rPr>
        <w:t>3.2 项目负责人</w:t>
      </w:r>
      <w:bookmarkEnd w:id="113"/>
    </w:p>
    <w:p w14:paraId="53DF10D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应是咨询人正式聘用，并取得造价工程师注册证书的人员。咨询人应在专用合同条款中明确其任命的咨询项目负责人的姓名、身份证号、注册执业证书编号、联系方式及授权范围等事项，项目负责人经咨询人授权后代表咨询人履行合同。</w:t>
      </w:r>
    </w:p>
    <w:p w14:paraId="5427291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14" w:name="_Toc389602820"/>
      <w:bookmarkStart w:id="115" w:name="_Toc384026375"/>
      <w:bookmarkStart w:id="116" w:name="_Toc384137546"/>
      <w:bookmarkStart w:id="117" w:name="_Toc407261912"/>
      <w:bookmarkStart w:id="118" w:name="_Toc389663477"/>
      <w:bookmarkStart w:id="119" w:name="_Toc383940901"/>
      <w:r>
        <w:rPr>
          <w:rFonts w:hint="eastAsia" w:ascii="宋体" w:hAnsi="宋体" w:eastAsia="宋体" w:cs="宋体"/>
          <w:color w:val="auto"/>
          <w:sz w:val="24"/>
          <w:szCs w:val="24"/>
          <w:highlight w:val="none"/>
        </w:rPr>
        <w:t>3.3 工程造价专业人员</w:t>
      </w:r>
      <w:bookmarkEnd w:id="114"/>
      <w:bookmarkEnd w:id="115"/>
      <w:bookmarkEnd w:id="116"/>
      <w:bookmarkEnd w:id="117"/>
      <w:bookmarkEnd w:id="118"/>
      <w:bookmarkEnd w:id="119"/>
    </w:p>
    <w:p w14:paraId="3925302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除专用合同条款另有约定外，咨询人应当在本合同签订后的7天内，提交任命的承担本合同咨询业务的工程造价专业人员注册证书和资格证书，以及为工程造价专业人员缴纳的社会保险有效证明，供委托人核验。咨询人违反约定的，应按照专用合同条款的约定，承担违约责任。</w:t>
      </w:r>
    </w:p>
    <w:p w14:paraId="2BEE09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在合同履行过程中，工程造价专业人员应保持相对稳定，以保证咨询工作正常进行。咨询人更换工程造价专业人员时，应提前7天书面通知委托人，并征得委托人书面同意。未经委托人书面同意，咨询人不得擅自更换工程造价专业人员。咨询人擅自更换工程造价专业人员的，应按照专用合同条款的约定，承担违约责任。</w:t>
      </w:r>
    </w:p>
    <w:p w14:paraId="58A9F1B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咨询人承担施工阶段全过程造价管理咨询业务的，应安排工程造价专业人员进驻施工现场，且每月在施工现场时间不得少于专用合同条款约定的天数。工程造价专业人员</w:t>
      </w:r>
      <w:r>
        <w:rPr>
          <w:rFonts w:hint="eastAsia" w:ascii="宋体" w:hAnsi="宋体" w:eastAsia="宋体" w:cs="宋体"/>
          <w:color w:val="auto"/>
          <w:kern w:val="0"/>
          <w:sz w:val="24"/>
          <w:szCs w:val="24"/>
          <w:highlight w:val="none"/>
        </w:rPr>
        <w:t>确需离开施工现场时，应征得委托人同意。</w:t>
      </w:r>
      <w:r>
        <w:rPr>
          <w:rFonts w:hint="eastAsia" w:ascii="宋体" w:hAnsi="宋体" w:eastAsia="宋体" w:cs="宋体"/>
          <w:color w:val="auto"/>
          <w:sz w:val="24"/>
          <w:szCs w:val="24"/>
          <w:highlight w:val="none"/>
        </w:rPr>
        <w:t>咨询人违反约定的，应按照专用合同条款的约定，承担违约责任。</w:t>
      </w:r>
    </w:p>
    <w:p w14:paraId="0AEF6BD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委托人要求咨询人撤换不能按照合同约定履行职责及义务的工程造价专业人员的，咨询人应当撤换。咨询人无正当理由拒绝撤换的，应按照专用合同条款的约定，承担违约责任。</w:t>
      </w:r>
    </w:p>
    <w:p w14:paraId="1DA684C6">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0" w:name="_Toc407261913"/>
      <w:r>
        <w:rPr>
          <w:rFonts w:hint="eastAsia" w:ascii="宋体" w:hAnsi="宋体" w:eastAsia="宋体" w:cs="宋体"/>
          <w:b w:val="0"/>
          <w:color w:val="auto"/>
          <w:sz w:val="24"/>
          <w:szCs w:val="24"/>
          <w:highlight w:val="none"/>
        </w:rPr>
        <w:t>4. 咨询业务范围和工作内容</w:t>
      </w:r>
      <w:bookmarkEnd w:id="120"/>
    </w:p>
    <w:p w14:paraId="26B814E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1" w:name="_Toc407261914"/>
      <w:r>
        <w:rPr>
          <w:rFonts w:hint="eastAsia" w:ascii="宋体" w:hAnsi="宋体" w:eastAsia="宋体" w:cs="宋体"/>
          <w:color w:val="auto"/>
          <w:sz w:val="24"/>
          <w:szCs w:val="24"/>
          <w:highlight w:val="none"/>
        </w:rPr>
        <w:t>4.1 咨询业务范围</w:t>
      </w:r>
      <w:bookmarkEnd w:id="121"/>
    </w:p>
    <w:p w14:paraId="72CC49A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合同当事人应在合同协议书中约定选择下列工程造价咨询业务中的一项或数项业务，并可在合同协议书中约定其他工程造价咨询业务。</w:t>
      </w:r>
    </w:p>
    <w:p w14:paraId="353AAD9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投资估算的编制或审核；</w:t>
      </w:r>
    </w:p>
    <w:p w14:paraId="2D368DB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设计概算的编制或审核；</w:t>
      </w:r>
    </w:p>
    <w:p w14:paraId="48C86A6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施工图预算的编制或审核；</w:t>
      </w:r>
    </w:p>
    <w:p w14:paraId="63C751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工程量清单的编制或审核；</w:t>
      </w:r>
    </w:p>
    <w:p w14:paraId="6526AC4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招标控制价的编制或审核；</w:t>
      </w:r>
    </w:p>
    <w:p w14:paraId="135C89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投标报价的编制；</w:t>
      </w:r>
    </w:p>
    <w:p w14:paraId="798A498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（7）</w:t>
      </w:r>
      <w:r>
        <w:rPr>
          <w:rFonts w:hint="eastAsia" w:ascii="宋体" w:hAnsi="宋体" w:eastAsia="宋体" w:cs="宋体"/>
          <w:color w:val="auto"/>
          <w:sz w:val="24"/>
          <w:szCs w:val="24"/>
          <w:highlight w:val="none"/>
        </w:rPr>
        <w:t>工程结算的编制或审核；</w:t>
      </w:r>
    </w:p>
    <w:p w14:paraId="17D108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（8）</w:t>
      </w:r>
      <w:r>
        <w:rPr>
          <w:rFonts w:hint="eastAsia" w:ascii="宋体" w:hAnsi="宋体" w:eastAsia="宋体" w:cs="宋体"/>
          <w:color w:val="auto"/>
          <w:sz w:val="24"/>
          <w:szCs w:val="24"/>
          <w:highlight w:val="none"/>
        </w:rPr>
        <w:t>竣工决算的编制或审核；</w:t>
      </w:r>
    </w:p>
    <w:p w14:paraId="09936E5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sz w:val="24"/>
          <w:szCs w:val="24"/>
          <w:highlight w:val="none"/>
        </w:rPr>
        <w:t>施工阶段全过程造价管理咨询；</w:t>
      </w:r>
    </w:p>
    <w:p w14:paraId="5A68B45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s="宋体"/>
          <w:color w:val="auto"/>
          <w:sz w:val="24"/>
          <w:szCs w:val="24"/>
          <w:highlight w:val="none"/>
        </w:rPr>
        <w:t>工程造价鉴定。</w:t>
      </w:r>
    </w:p>
    <w:p w14:paraId="213D188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2" w:name="_Toc407261915"/>
      <w:r>
        <w:rPr>
          <w:rFonts w:hint="eastAsia" w:ascii="宋体" w:hAnsi="宋体" w:eastAsia="宋体" w:cs="宋体"/>
          <w:color w:val="auto"/>
          <w:sz w:val="24"/>
          <w:szCs w:val="24"/>
          <w:highlight w:val="none"/>
        </w:rPr>
        <w:t>4.2 咨询工作内容</w:t>
      </w:r>
      <w:bookmarkEnd w:id="122"/>
    </w:p>
    <w:p w14:paraId="7355BC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工程造价咨询工作内容，由合同当事人在专用合同条款中约定。</w:t>
      </w:r>
    </w:p>
    <w:p w14:paraId="77C82277">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23" w:name="_Toc407261916"/>
      <w:bookmarkStart w:id="124" w:name="_Toc296346574"/>
      <w:bookmarkStart w:id="125" w:name="_Toc337558772"/>
      <w:bookmarkStart w:id="126" w:name="_Toc296503073"/>
      <w:r>
        <w:rPr>
          <w:rFonts w:hint="eastAsia" w:ascii="宋体" w:hAnsi="宋体" w:eastAsia="宋体" w:cs="宋体"/>
          <w:b w:val="0"/>
          <w:color w:val="auto"/>
          <w:sz w:val="24"/>
          <w:szCs w:val="24"/>
          <w:highlight w:val="none"/>
        </w:rPr>
        <w:t>5. 咨询期限</w:t>
      </w:r>
      <w:bookmarkEnd w:id="123"/>
    </w:p>
    <w:bookmarkEnd w:id="124"/>
    <w:bookmarkEnd w:id="125"/>
    <w:bookmarkEnd w:id="126"/>
    <w:p w14:paraId="5B826E85">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7" w:name="_Toc407261917"/>
      <w:r>
        <w:rPr>
          <w:rFonts w:hint="eastAsia" w:ascii="宋体" w:hAnsi="宋体" w:eastAsia="宋体" w:cs="宋体"/>
          <w:color w:val="auto"/>
          <w:sz w:val="24"/>
          <w:szCs w:val="24"/>
          <w:highlight w:val="none"/>
        </w:rPr>
        <w:t>5.1 咨询期限开始</w:t>
      </w:r>
      <w:bookmarkEnd w:id="127"/>
    </w:p>
    <w:p w14:paraId="23FA80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咨询人应按照合同约定的时间开展咨询工作，因委托人提供咨询资料延后等原因，导致咨询工作未能按照计划开始日期开展的，咨询开始日期和结束日期相应顺延。</w:t>
      </w:r>
    </w:p>
    <w:p w14:paraId="287E2243">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28" w:name="_Toc407261918"/>
      <w:r>
        <w:rPr>
          <w:rFonts w:hint="eastAsia" w:ascii="宋体" w:hAnsi="宋体" w:eastAsia="宋体" w:cs="宋体"/>
          <w:color w:val="auto"/>
          <w:sz w:val="24"/>
          <w:szCs w:val="24"/>
          <w:highlight w:val="none"/>
        </w:rPr>
        <w:t>5.2 咨询期限延误</w:t>
      </w:r>
      <w:bookmarkEnd w:id="128"/>
    </w:p>
    <w:p w14:paraId="4C38231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0207DB5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2662291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委托人未能按合同约定向咨询人提供工程造价咨询所需要的资料或所提供咨询资料不符合合同约定的；</w:t>
      </w:r>
    </w:p>
    <w:p w14:paraId="71253A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委托人未能按合同约定提供咨询工作条件，影响咨询工作正常开展的；</w:t>
      </w:r>
    </w:p>
    <w:p w14:paraId="61ECDE5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委托人未能在合理期限内对咨询人以书面形式提交并要求作出决定的事宜，给予书面答复，影响咨询工作正常开展的；</w:t>
      </w:r>
    </w:p>
    <w:p w14:paraId="099498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委托人未能按合同约定分段支付酬金的；</w:t>
      </w:r>
    </w:p>
    <w:p w14:paraId="6317110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w:t>
      </w:r>
      <w:r>
        <w:rPr>
          <w:rFonts w:hint="eastAsia" w:ascii="宋体" w:hAnsi="宋体" w:eastAsia="宋体" w:cs="宋体"/>
          <w:color w:val="auto"/>
          <w:sz w:val="24"/>
          <w:szCs w:val="24"/>
          <w:highlight w:val="none"/>
        </w:rPr>
        <w:t>工程暂停施工或工期延误，影响咨询工作正常开展的；</w:t>
      </w:r>
    </w:p>
    <w:p w14:paraId="5B70057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专用合同条款中约定的其他情形。</w:t>
      </w:r>
    </w:p>
    <w:p w14:paraId="67396E8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 因咨询人原因导致咨询期限延误</w:t>
      </w:r>
    </w:p>
    <w:p w14:paraId="11BE2C0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29" w:name="_Toc296346577"/>
      <w:bookmarkStart w:id="130" w:name="_Toc296503076"/>
      <w:r>
        <w:rPr>
          <w:rFonts w:hint="eastAsia" w:ascii="宋体" w:hAnsi="宋体" w:eastAsia="宋体" w:cs="宋体"/>
          <w:color w:val="auto"/>
          <w:sz w:val="24"/>
          <w:szCs w:val="24"/>
          <w:highlight w:val="none"/>
        </w:rPr>
        <w:t>因</w:t>
      </w:r>
      <w:bookmarkEnd w:id="129"/>
      <w:bookmarkEnd w:id="130"/>
      <w:r>
        <w:rPr>
          <w:rFonts w:hint="eastAsia" w:ascii="宋体" w:hAnsi="宋体" w:eastAsia="宋体" w:cs="宋体"/>
          <w:color w:val="auto"/>
          <w:sz w:val="24"/>
          <w:szCs w:val="24"/>
          <w:highlight w:val="none"/>
        </w:rPr>
        <w:t>咨询人原因造成咨询期限延误的，咨询人应承担由此给委托人造成的损失，合同双方可在专用合同条款中约定逾期完成咨询业务违约金的计算方法和逾期完成咨询业务违约金的上限。咨询人支付逾期完成咨询业务违约金后，不免除咨询人继续完成咨询业务的义务。</w:t>
      </w:r>
    </w:p>
    <w:p w14:paraId="2A9BB65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0AA026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在合同履行过程中，因下列情况导致咨询期限延误和费用增加的，由委托人承担由此延误的期限和增加的费用：</w:t>
      </w:r>
    </w:p>
    <w:p w14:paraId="15BF3A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第三人未能在合理期限内提供工程造价咨询所需要的资料或所提供咨询资料不符合合同约定的；</w:t>
      </w:r>
    </w:p>
    <w:p w14:paraId="607769B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第三人未能在合理期限内对咨询人以书面形式提交并要求作出决定的事宜，给予书面答复，影响咨询工作正常开展的；</w:t>
      </w:r>
    </w:p>
    <w:p w14:paraId="4E3AB06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专用合同条款中约定的其他情形。</w:t>
      </w:r>
    </w:p>
    <w:p w14:paraId="01E0B9A0">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1" w:name="_Toc407261919"/>
      <w:r>
        <w:rPr>
          <w:rFonts w:hint="eastAsia" w:ascii="宋体" w:hAnsi="宋体" w:eastAsia="宋体" w:cs="宋体"/>
          <w:color w:val="auto"/>
          <w:sz w:val="24"/>
          <w:szCs w:val="24"/>
          <w:highlight w:val="none"/>
        </w:rPr>
        <w:t>5.3 工程造价咨询成果文件交付期限</w:t>
      </w:r>
      <w:bookmarkEnd w:id="131"/>
    </w:p>
    <w:p w14:paraId="6C308B7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咨询人应在合同约定的期限内完成咨询工作，并按专用合同条款约定的份数,向委托人提交工程造价咨询成果文件。除专用合同条款另有约定外，委托人应在收到咨询人提交的工程造价咨询成果文件后14天内完成确认。委托人对工程造价咨询成果文件有异议的，咨询人应进行复核；经复核确实存在误差的，咨询人应修正，并提交修正后的工程造价咨询成果文件。委托人逾期未确认也未提出修改意见的, 工程造价咨询成果文件视为已被认可。</w:t>
      </w:r>
    </w:p>
    <w:p w14:paraId="7FA2A2F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在施工阶段全过程造价管理咨询工作中，因咨询人原因未能在合理的期限内完成工程计量与支付、合同价款调整等文件编制或审核，给委托人造成损失的，应按照专用合同条款的约定，承担违约责任。</w:t>
      </w:r>
    </w:p>
    <w:p w14:paraId="6448BF1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5.3.3 咨询人提交的工程造价咨询成果文件需要第三人共同确认的，确因特殊原因不能共同签署时，咨询人应单独出具工程造价咨询成果文件，并承担相应法律责任。</w:t>
      </w:r>
    </w:p>
    <w:p w14:paraId="42DEAC64">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2" w:name="_Toc407261920"/>
      <w:r>
        <w:rPr>
          <w:rFonts w:hint="eastAsia" w:ascii="宋体" w:hAnsi="宋体" w:eastAsia="宋体" w:cs="宋体"/>
          <w:b w:val="0"/>
          <w:color w:val="auto"/>
          <w:sz w:val="24"/>
          <w:szCs w:val="24"/>
          <w:highlight w:val="none"/>
        </w:rPr>
        <w:t>6. 咨询质量</w:t>
      </w:r>
      <w:bookmarkEnd w:id="132"/>
    </w:p>
    <w:p w14:paraId="07CA2DDB">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3" w:name="_Toc407261921"/>
      <w:r>
        <w:rPr>
          <w:rFonts w:hint="eastAsia" w:ascii="宋体" w:hAnsi="宋体" w:eastAsia="宋体" w:cs="宋体"/>
          <w:color w:val="auto"/>
          <w:sz w:val="24"/>
          <w:szCs w:val="24"/>
          <w:highlight w:val="none"/>
        </w:rPr>
        <w:t>6.1 质量要求</w:t>
      </w:r>
      <w:bookmarkEnd w:id="133"/>
    </w:p>
    <w:p w14:paraId="238FDA35">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bookmarkStart w:id="134" w:name="_Toc337558760"/>
      <w:r>
        <w:rPr>
          <w:rFonts w:hint="eastAsia" w:ascii="宋体" w:hAnsi="宋体" w:eastAsia="宋体" w:cs="宋体"/>
          <w:color w:val="auto"/>
          <w:sz w:val="24"/>
          <w:szCs w:val="24"/>
          <w:highlight w:val="none"/>
        </w:rPr>
        <w:t>咨询人出具的工程造价咨询成果文件质量应符合现行国家或行业工程计价有关规定、标准、规范的要求。</w:t>
      </w:r>
    </w:p>
    <w:p w14:paraId="4DA0F54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委托人要求的工程造价咨询成果文件质量标准高于现行国家或行业标准的，应在专用合同条款中约定具体的质量标准，并相应增加咨询酬金。</w:t>
      </w:r>
    </w:p>
    <w:p w14:paraId="39D0435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5" w:name="_Toc407261922"/>
      <w:r>
        <w:rPr>
          <w:rFonts w:hint="eastAsia" w:ascii="宋体" w:hAnsi="宋体" w:eastAsia="宋体" w:cs="宋体"/>
          <w:color w:val="auto"/>
          <w:sz w:val="24"/>
          <w:szCs w:val="24"/>
          <w:highlight w:val="none"/>
        </w:rPr>
        <w:t>6.2 质量保证措施</w:t>
      </w:r>
      <w:bookmarkEnd w:id="135"/>
    </w:p>
    <w:bookmarkEnd w:id="134"/>
    <w:p w14:paraId="2B8963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咨询人应建立相应的质量管理体系，并通过计划管理、流程控制保证工程造价咨询成果文件质量。</w:t>
      </w:r>
    </w:p>
    <w:p w14:paraId="0A572D1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6" w:name="_Toc407261923"/>
      <w:r>
        <w:rPr>
          <w:rFonts w:hint="eastAsia" w:ascii="宋体" w:hAnsi="宋体" w:eastAsia="宋体" w:cs="宋体"/>
          <w:color w:val="auto"/>
          <w:sz w:val="24"/>
          <w:szCs w:val="24"/>
          <w:highlight w:val="none"/>
        </w:rPr>
        <w:t>6.3 质量不合格处理</w:t>
      </w:r>
      <w:bookmarkEnd w:id="136"/>
    </w:p>
    <w:p w14:paraId="7CA3844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的，委托人有权要求咨询人采取补救措施，直至达到本合同要求的质量标准，并可根据工程造价咨询成果文件综合误差率相应减少咨询酬金。委托人已支付全部酬金的，有权要求咨询人退还相应减少的酬金。减少酬金计算方法在专用合同条款中约定。</w:t>
      </w:r>
    </w:p>
    <w:p w14:paraId="13273F2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因咨询人原因造成工程造价咨询成果文件质量未达到合同约定标准给委托人造成损失的，咨询人应承担违约责任，合同双方可在专用合同条款中约定因质量不合格产生的损失赔偿额的计算方法。</w:t>
      </w:r>
    </w:p>
    <w:p w14:paraId="14E2009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37" w:name="_Toc407261924"/>
      <w:r>
        <w:rPr>
          <w:rFonts w:hint="eastAsia" w:ascii="宋体" w:hAnsi="宋体" w:eastAsia="宋体" w:cs="宋体"/>
          <w:b w:val="0"/>
          <w:color w:val="auto"/>
          <w:sz w:val="24"/>
          <w:szCs w:val="24"/>
          <w:highlight w:val="none"/>
        </w:rPr>
        <w:t>7. 咨询酬金</w:t>
      </w:r>
      <w:bookmarkEnd w:id="137"/>
    </w:p>
    <w:p w14:paraId="78DCD3B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8" w:name="_Toc407261925"/>
      <w:r>
        <w:rPr>
          <w:rFonts w:hint="eastAsia" w:ascii="宋体" w:hAnsi="宋体" w:eastAsia="宋体" w:cs="宋体"/>
          <w:color w:val="auto"/>
          <w:sz w:val="24"/>
          <w:szCs w:val="24"/>
          <w:highlight w:val="none"/>
        </w:rPr>
        <w:t>7.1 酬金计算方式</w:t>
      </w:r>
      <w:bookmarkEnd w:id="138"/>
    </w:p>
    <w:p w14:paraId="5EDA37E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除专用合同条款另有约定外，合同当事人应在</w:t>
      </w:r>
      <w:r>
        <w:rPr>
          <w:rFonts w:hint="eastAsia" w:ascii="宋体" w:hAnsi="宋体" w:eastAsia="宋体" w:cs="宋体"/>
          <w:color w:val="auto"/>
          <w:kern w:val="0"/>
          <w:sz w:val="24"/>
          <w:szCs w:val="24"/>
          <w:highlight w:val="none"/>
        </w:rPr>
        <w:t>合同协议书或</w:t>
      </w:r>
      <w:r>
        <w:rPr>
          <w:rFonts w:hint="eastAsia" w:ascii="宋体" w:hAnsi="宋体" w:eastAsia="宋体" w:cs="宋体"/>
          <w:color w:val="auto"/>
          <w:sz w:val="24"/>
          <w:szCs w:val="24"/>
          <w:highlight w:val="none"/>
        </w:rPr>
        <w:t>专用合同条款</w:t>
      </w:r>
      <w:r>
        <w:rPr>
          <w:rFonts w:hint="eastAsia" w:ascii="宋体" w:hAnsi="宋体" w:eastAsia="宋体" w:cs="宋体"/>
          <w:color w:val="auto"/>
          <w:kern w:val="0"/>
          <w:sz w:val="24"/>
          <w:szCs w:val="24"/>
          <w:highlight w:val="none"/>
        </w:rPr>
        <w:t>中选择下列</w:t>
      </w:r>
      <w:r>
        <w:rPr>
          <w:rFonts w:hint="eastAsia" w:ascii="宋体" w:hAnsi="宋体" w:eastAsia="宋体" w:cs="宋体"/>
          <w:color w:val="auto"/>
          <w:sz w:val="24"/>
          <w:szCs w:val="24"/>
          <w:highlight w:val="none"/>
        </w:rPr>
        <w:t>酬金计算方式之一：</w:t>
      </w:r>
    </w:p>
    <w:p w14:paraId="797C89D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固定酬金</w:t>
      </w:r>
    </w:p>
    <w:p w14:paraId="336D71F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合同当事人在合同协议书中约定咨询酬金金额。</w:t>
      </w:r>
    </w:p>
    <w:p w14:paraId="6CA7FF9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 基本酬金加绩效酬金</w:t>
      </w:r>
    </w:p>
    <w:p w14:paraId="3EE0C8B2">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合同当事人可以在专用合同条款中约定按以下计算方式确定委托人支付给咨询人的基本酬金和绩效酬金金额：</w:t>
      </w:r>
    </w:p>
    <w:p w14:paraId="71F35D3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以咨询人编审的工程造价咨询成果文件总价为基数，乘以专用合同条款约定的基本酬金比例，计算确定基本酬金金额。</w:t>
      </w:r>
    </w:p>
    <w:p w14:paraId="49D659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（2）委托人除支付咨询人基本酬金外，如咨询人审核的工程造价成果文件有审减（增）额的，可以审减（增）额为基数，乘以专用合同条款约定的绩效酬金比例，计算确定绩效酬金金额。</w:t>
      </w:r>
    </w:p>
    <w:p w14:paraId="0385215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39" w:name="_Toc407261926"/>
      <w:r>
        <w:rPr>
          <w:rFonts w:hint="eastAsia" w:ascii="宋体" w:hAnsi="宋体" w:eastAsia="宋体" w:cs="宋体"/>
          <w:color w:val="auto"/>
          <w:sz w:val="24"/>
          <w:szCs w:val="24"/>
          <w:highlight w:val="none"/>
        </w:rPr>
        <w:t>7.2 预付酬金</w:t>
      </w:r>
      <w:bookmarkEnd w:id="139"/>
    </w:p>
    <w:p w14:paraId="0478164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合同期限超过6个月的咨询业务，委托人应预付咨询人酬金，预付酬金的支付比例或金额、支付期限在专用合同条款中约定。预付酬金应用于支付承担本合同咨询业务的工程造价专业人员工资。委托人逾期支付预付酬金的，应按照专用合同条款的约定，承担违约责任。</w:t>
      </w:r>
    </w:p>
    <w:p w14:paraId="580CB91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0" w:name="_Toc407261927"/>
      <w:r>
        <w:rPr>
          <w:rFonts w:hint="eastAsia" w:ascii="宋体" w:hAnsi="宋体" w:eastAsia="宋体" w:cs="宋体"/>
          <w:color w:val="auto"/>
          <w:sz w:val="24"/>
          <w:szCs w:val="24"/>
          <w:highlight w:val="none"/>
        </w:rPr>
        <w:t>7.3 酬金分段结算与支付</w:t>
      </w:r>
      <w:bookmarkEnd w:id="140"/>
    </w:p>
    <w:p w14:paraId="502B566A">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7.3.1合同当事人应在</w:t>
      </w:r>
      <w:r>
        <w:rPr>
          <w:rFonts w:hint="eastAsia" w:ascii="宋体" w:hAnsi="宋体" w:eastAsia="宋体" w:cs="宋体"/>
          <w:color w:val="auto"/>
          <w:kern w:val="0"/>
          <w:sz w:val="24"/>
          <w:szCs w:val="24"/>
          <w:highlight w:val="none"/>
        </w:rPr>
        <w:t>专用合同条款中约定</w:t>
      </w:r>
      <w:r>
        <w:rPr>
          <w:rFonts w:hint="eastAsia" w:ascii="宋体" w:hAnsi="宋体" w:eastAsia="宋体" w:cs="宋体"/>
          <w:color w:val="auto"/>
          <w:sz w:val="24"/>
          <w:szCs w:val="24"/>
          <w:highlight w:val="none"/>
        </w:rPr>
        <w:t>酬金分段结算与支付的比例或金额。咨询人应</w:t>
      </w:r>
      <w:r>
        <w:rPr>
          <w:rFonts w:hint="eastAsia" w:ascii="宋体" w:hAnsi="宋体" w:eastAsia="宋体" w:cs="宋体"/>
          <w:color w:val="auto"/>
          <w:kern w:val="0"/>
          <w:sz w:val="24"/>
          <w:szCs w:val="24"/>
          <w:highlight w:val="none"/>
        </w:rPr>
        <w:t>按照专用合同条款约定的</w:t>
      </w:r>
      <w:r>
        <w:rPr>
          <w:rFonts w:hint="eastAsia" w:ascii="宋体" w:hAnsi="宋体" w:eastAsia="宋体" w:cs="宋体"/>
          <w:color w:val="auto"/>
          <w:sz w:val="24"/>
          <w:szCs w:val="24"/>
          <w:highlight w:val="none"/>
        </w:rPr>
        <w:t>期限或咨询业务进度节点向委托人提交酬金分段结算与支付申请书。</w:t>
      </w:r>
    </w:p>
    <w:p w14:paraId="615BF83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7.3.2 </w:t>
      </w:r>
      <w:r>
        <w:rPr>
          <w:rFonts w:hint="eastAsia" w:ascii="宋体" w:hAnsi="宋体" w:eastAsia="宋体" w:cs="宋体"/>
          <w:color w:val="auto"/>
          <w:kern w:val="0"/>
          <w:sz w:val="24"/>
          <w:szCs w:val="24"/>
          <w:highlight w:val="none"/>
        </w:rPr>
        <w:t>除专用合同条款另有约定外，</w:t>
      </w:r>
      <w:r>
        <w:rPr>
          <w:rFonts w:hint="eastAsia" w:ascii="宋体" w:hAnsi="宋体" w:eastAsia="宋体" w:cs="宋体"/>
          <w:color w:val="auto"/>
          <w:sz w:val="24"/>
          <w:szCs w:val="24"/>
          <w:highlight w:val="none"/>
        </w:rPr>
        <w:t>委托人应自收到咨询人提交的酬金分段结算与支付申请书之日起14天内审核确认，</w:t>
      </w:r>
      <w:r>
        <w:rPr>
          <w:rFonts w:hint="eastAsia" w:ascii="宋体" w:hAnsi="宋体" w:eastAsia="宋体" w:cs="宋体"/>
          <w:color w:val="auto"/>
          <w:kern w:val="0"/>
          <w:sz w:val="24"/>
          <w:szCs w:val="24"/>
          <w:highlight w:val="none"/>
        </w:rPr>
        <w:t>并完成</w:t>
      </w:r>
      <w:r>
        <w:rPr>
          <w:rFonts w:hint="eastAsia" w:ascii="宋体" w:hAnsi="宋体" w:eastAsia="宋体" w:cs="宋体"/>
          <w:color w:val="auto"/>
          <w:sz w:val="24"/>
          <w:szCs w:val="24"/>
          <w:highlight w:val="none"/>
        </w:rPr>
        <w:t>支付。委托人逾期支付的，按照中国人民银行发布的同期同类贷款基准利率支付违约金。</w:t>
      </w:r>
    </w:p>
    <w:p w14:paraId="168743B8">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1" w:name="_Toc407261928"/>
      <w:r>
        <w:rPr>
          <w:rFonts w:hint="eastAsia" w:ascii="宋体" w:hAnsi="宋体" w:eastAsia="宋体" w:cs="宋体"/>
          <w:color w:val="auto"/>
          <w:sz w:val="24"/>
          <w:szCs w:val="24"/>
          <w:highlight w:val="none"/>
        </w:rPr>
        <w:t>7.4 酬金结清与支付</w:t>
      </w:r>
      <w:bookmarkEnd w:id="141"/>
    </w:p>
    <w:p w14:paraId="531D9A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除专用合同条款另有约定外，咨询人应自提交的工程造价咨询成果文件经委托人确认后14天内，向委托人提交酬金结清与支付申请书。</w:t>
      </w:r>
    </w:p>
    <w:p w14:paraId="3169112F">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除专用合同条款另有约定外，委托人应自收到咨询人提交的酬金结清与支付申请书之日起14天内审核确认，委托人逾期未审核确认也未提出异议的, 酬金结清与支付申请视为已被认可。</w:t>
      </w:r>
    </w:p>
    <w:p w14:paraId="5DB34EF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7.4.3 除专用合同条款另有约定外，委托人应自审核确认酬金结清与支付申请书之日起14天内</w:t>
      </w:r>
      <w:r>
        <w:rPr>
          <w:rFonts w:hint="eastAsia" w:ascii="宋体" w:hAnsi="宋体" w:eastAsia="宋体" w:cs="宋体"/>
          <w:color w:val="auto"/>
          <w:kern w:val="0"/>
          <w:sz w:val="24"/>
          <w:szCs w:val="24"/>
          <w:highlight w:val="none"/>
        </w:rPr>
        <w:t>将结清未支付的</w:t>
      </w:r>
      <w:r>
        <w:rPr>
          <w:rFonts w:hint="eastAsia" w:ascii="宋体" w:hAnsi="宋体" w:eastAsia="宋体" w:cs="宋体"/>
          <w:color w:val="auto"/>
          <w:sz w:val="24"/>
          <w:szCs w:val="24"/>
          <w:highlight w:val="none"/>
        </w:rPr>
        <w:t>酬金</w:t>
      </w:r>
      <w:r>
        <w:rPr>
          <w:rFonts w:hint="eastAsia" w:ascii="宋体" w:hAnsi="宋体" w:eastAsia="宋体" w:cs="宋体"/>
          <w:color w:val="auto"/>
          <w:kern w:val="0"/>
          <w:sz w:val="24"/>
          <w:szCs w:val="24"/>
          <w:highlight w:val="none"/>
        </w:rPr>
        <w:t>一次性支付给咨询人</w:t>
      </w:r>
      <w:r>
        <w:rPr>
          <w:rFonts w:hint="eastAsia" w:ascii="宋体" w:hAnsi="宋体" w:eastAsia="宋体" w:cs="宋体"/>
          <w:color w:val="auto"/>
          <w:sz w:val="24"/>
          <w:szCs w:val="24"/>
          <w:highlight w:val="none"/>
        </w:rPr>
        <w:t>。委托人逾期支付的，按照中国人民银行发布的同期同类贷款基准利率支付违约金。</w:t>
      </w:r>
    </w:p>
    <w:p w14:paraId="1B068B4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7.4.4 委托人对咨询人提交的酬金结清与支付申请书有异议时，应当在收到咨询人提交的酬金结清与支付申请书后14天内，以书面形式向咨询人发出异议通知。无异议部分的款项应按期支付，有异议部分的款项按照第10条〔争议解决〕的约定处理。</w:t>
      </w:r>
    </w:p>
    <w:p w14:paraId="6629DA2A">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2" w:name="_Toc407261929"/>
      <w:r>
        <w:rPr>
          <w:rFonts w:hint="eastAsia" w:ascii="宋体" w:hAnsi="宋体" w:eastAsia="宋体" w:cs="宋体"/>
          <w:color w:val="auto"/>
          <w:sz w:val="24"/>
          <w:szCs w:val="24"/>
          <w:highlight w:val="none"/>
        </w:rPr>
        <w:t>7.5 费用支付</w:t>
      </w:r>
      <w:bookmarkEnd w:id="142"/>
    </w:p>
    <w:p w14:paraId="63CBC82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因工程建设需要，由咨询人配合委托人组织的外出询价、考察以及聘请相关专家等发生的费用由委托人支付。</w:t>
      </w:r>
    </w:p>
    <w:p w14:paraId="57AE7377">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43" w:name="_Toc407261930"/>
      <w:r>
        <w:rPr>
          <w:rFonts w:hint="eastAsia" w:ascii="宋体" w:hAnsi="宋体" w:eastAsia="宋体" w:cs="宋体"/>
          <w:b w:val="0"/>
          <w:color w:val="auto"/>
          <w:sz w:val="24"/>
          <w:szCs w:val="24"/>
          <w:highlight w:val="none"/>
        </w:rPr>
        <w:t>8. 变更</w:t>
      </w:r>
      <w:bookmarkEnd w:id="143"/>
    </w:p>
    <w:p w14:paraId="1E094717">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4" w:name="_Toc407261931"/>
      <w:bookmarkStart w:id="145" w:name="_Toc296503084"/>
      <w:bookmarkStart w:id="146" w:name="_Toc337558788"/>
      <w:bookmarkStart w:id="147" w:name="_Toc296346585"/>
      <w:r>
        <w:rPr>
          <w:rFonts w:hint="eastAsia" w:ascii="宋体" w:hAnsi="宋体" w:eastAsia="宋体" w:cs="宋体"/>
          <w:color w:val="auto"/>
          <w:sz w:val="24"/>
          <w:szCs w:val="24"/>
          <w:highlight w:val="none"/>
        </w:rPr>
        <w:t>8.1 变更的范围</w:t>
      </w:r>
      <w:bookmarkEnd w:id="144"/>
    </w:p>
    <w:bookmarkEnd w:id="145"/>
    <w:bookmarkEnd w:id="146"/>
    <w:bookmarkEnd w:id="147"/>
    <w:p w14:paraId="1A7AACA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合同履行过程中发生以下情形的，应按照本条约定进行变更：</w:t>
      </w:r>
    </w:p>
    <w:p w14:paraId="70DF948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扩大或缩小工程规模的；</w:t>
      </w:r>
    </w:p>
    <w:p w14:paraId="77571FA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增加或减少咨询业务范围和工作内容的；</w:t>
      </w:r>
    </w:p>
    <w:p w14:paraId="026DDA03">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提高或降低咨询质量标准的；</w:t>
      </w:r>
    </w:p>
    <w:p w14:paraId="18088827">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专用合同条款中约定的其他情形。</w:t>
      </w:r>
    </w:p>
    <w:p w14:paraId="7ED7AED1">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8" w:name="_Toc407261932"/>
      <w:r>
        <w:rPr>
          <w:rFonts w:hint="eastAsia" w:ascii="宋体" w:hAnsi="宋体" w:eastAsia="宋体" w:cs="宋体"/>
          <w:color w:val="auto"/>
          <w:sz w:val="24"/>
          <w:szCs w:val="24"/>
          <w:highlight w:val="none"/>
        </w:rPr>
        <w:t>8.2 变更引起的咨询酬金和期限调整</w:t>
      </w:r>
      <w:bookmarkEnd w:id="148"/>
    </w:p>
    <w:p w14:paraId="27493B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变更引起的咨询酬金和期限调整，由咨询人根据变更导致咨询工作量变化大小，与委托人协商后</w:t>
      </w:r>
      <w:r>
        <w:rPr>
          <w:rFonts w:hint="eastAsia" w:ascii="宋体" w:hAnsi="宋体" w:eastAsia="宋体" w:cs="宋体"/>
          <w:color w:val="auto"/>
          <w:kern w:val="0"/>
          <w:sz w:val="24"/>
          <w:szCs w:val="24"/>
          <w:highlight w:val="none"/>
        </w:rPr>
        <w:t>做可共同接受的修改。</w:t>
      </w:r>
      <w:r>
        <w:rPr>
          <w:rFonts w:hint="eastAsia" w:ascii="宋体" w:hAnsi="宋体" w:eastAsia="宋体" w:cs="宋体"/>
          <w:color w:val="auto"/>
          <w:sz w:val="24"/>
          <w:szCs w:val="24"/>
          <w:highlight w:val="none"/>
        </w:rPr>
        <w:t>合同当事人也可在专用合同条款中约定变更引起的咨询酬金和期限调整的计算方法。</w:t>
      </w:r>
    </w:p>
    <w:p w14:paraId="4092142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咨询人应在收到委托人下达的变更指示后14天内，向委托人提交变更引起的咨询酬金和期限调整申请。委托人应在咨询人提交申请后14天内审批完毕。委托人逾期未完成审批或未提出异议的，视为认可咨询人提交的变更申请。</w:t>
      </w:r>
    </w:p>
    <w:p w14:paraId="3CEE216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49" w:name="_Toc407261933"/>
      <w:r>
        <w:rPr>
          <w:rFonts w:hint="eastAsia" w:ascii="宋体" w:hAnsi="宋体" w:eastAsia="宋体" w:cs="宋体"/>
          <w:color w:val="auto"/>
          <w:sz w:val="24"/>
          <w:szCs w:val="24"/>
          <w:highlight w:val="none"/>
        </w:rPr>
        <w:t>8.3 咨询人的合理化建议</w:t>
      </w:r>
      <w:bookmarkEnd w:id="149"/>
    </w:p>
    <w:p w14:paraId="1DF9853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咨询人可以向委托人提出合理化建议并说明实施该建议对工程造价和工期的影响。</w:t>
      </w:r>
    </w:p>
    <w:p w14:paraId="704CCD6B">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降低了工程造价或者提高了工程经济效益，使委托人受益的，委托人可对咨询人给予奖励。除专用合同条款另有约定外，合理化建议的奖励金额，以合理化建议给委托人带来的受益额为基数，乘以专用合同条款约定的奖励金额的比率计算确定。</w:t>
      </w:r>
    </w:p>
    <w:p w14:paraId="5D3A4FE2">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0" w:name="_Toc407261934"/>
      <w:r>
        <w:rPr>
          <w:rFonts w:hint="eastAsia" w:ascii="宋体" w:hAnsi="宋体" w:eastAsia="宋体" w:cs="宋体"/>
          <w:b w:val="0"/>
          <w:color w:val="auto"/>
          <w:sz w:val="24"/>
          <w:szCs w:val="24"/>
          <w:highlight w:val="none"/>
        </w:rPr>
        <w:t>9. 违约</w:t>
      </w:r>
      <w:bookmarkEnd w:id="150"/>
    </w:p>
    <w:p w14:paraId="2CD6B6B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1" w:name="_Toc407261935"/>
      <w:r>
        <w:rPr>
          <w:rFonts w:hint="eastAsia" w:ascii="宋体" w:hAnsi="宋体" w:eastAsia="宋体" w:cs="宋体"/>
          <w:color w:val="auto"/>
          <w:sz w:val="24"/>
          <w:szCs w:val="24"/>
          <w:highlight w:val="none"/>
        </w:rPr>
        <w:t>9.1 委托人违约</w:t>
      </w:r>
      <w:bookmarkEnd w:id="151"/>
    </w:p>
    <w:p w14:paraId="48539F0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未能按照合同约定履行合同义务的，咨询人可向委托人发出通知，要求委托人采取有效措施纠正违约行为。委托人应承担因其违约给咨询人增加的费用和延误的咨询期限，并按专用合同条款的约定承担违约责任。</w:t>
      </w:r>
    </w:p>
    <w:p w14:paraId="709A54A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收到咨询人通知后56天内仍不纠正其违约行为且影响咨询工作正常开展的，咨询人有权解除合同。委托人应在解除合同后28天内按专用合同条款的约定完成已完咨询业务酬金结算和付款。合同当事人未能就解除合同后的结清达成一致的，按照第10条〔争议解决〕的约定处理。</w:t>
      </w:r>
    </w:p>
    <w:p w14:paraId="79DBA1D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2" w:name="_Toc407261936"/>
      <w:r>
        <w:rPr>
          <w:rFonts w:hint="eastAsia" w:ascii="宋体" w:hAnsi="宋体" w:eastAsia="宋体" w:cs="宋体"/>
          <w:color w:val="auto"/>
          <w:sz w:val="24"/>
          <w:szCs w:val="24"/>
          <w:highlight w:val="none"/>
        </w:rPr>
        <w:t>9.2 咨询人违约</w:t>
      </w:r>
      <w:bookmarkEnd w:id="152"/>
    </w:p>
    <w:p w14:paraId="4D127DED">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未能按照合同约定履行合同义务的，委托人可向咨询人发出整改通知，要求其在指定的合理期限内改正。咨询人应承担因其违约行为而增加的费用和延误的咨询期限，并按专用合同条款的约定承担违约责任。</w:t>
      </w:r>
    </w:p>
    <w:p w14:paraId="54D12C2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外，委托人发出整改通知后，咨询人在指定的合理期限内仍不纠正违约行为，委托人有权解除合同。合同当事人应在解除合同后28天内按专用合同条款的约定完成已完咨询业务酬金结算和付款。合同当事人未能就解除合同后的结清达成一致的，按照第10条〔争议解决〕的约定处理。</w:t>
      </w:r>
    </w:p>
    <w:p w14:paraId="03E8F136">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3" w:name="_Toc407261937"/>
      <w:r>
        <w:rPr>
          <w:rFonts w:hint="eastAsia" w:ascii="宋体" w:hAnsi="宋体" w:eastAsia="宋体" w:cs="宋体"/>
          <w:color w:val="auto"/>
          <w:sz w:val="24"/>
          <w:szCs w:val="24"/>
          <w:highlight w:val="none"/>
        </w:rPr>
        <w:t>9.3 第三人造成的违约</w:t>
      </w:r>
      <w:bookmarkEnd w:id="153"/>
    </w:p>
    <w:p w14:paraId="4522CD96">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在合同履行过程中，一方当事人因第三人的原因造成违约的，应当向对方当事人承担违约责任。一方当事人和第三人之间的纠纷，依照法律规定或者按照约定解决。</w:t>
      </w:r>
    </w:p>
    <w:p w14:paraId="2B3865A5">
      <w:pPr>
        <w:pStyle w:val="6"/>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b w:val="0"/>
          <w:color w:val="auto"/>
          <w:sz w:val="24"/>
          <w:szCs w:val="24"/>
          <w:highlight w:val="none"/>
        </w:rPr>
      </w:pPr>
      <w:bookmarkStart w:id="154" w:name="_Toc407261938"/>
      <w:r>
        <w:rPr>
          <w:rFonts w:hint="eastAsia" w:ascii="宋体" w:hAnsi="宋体" w:eastAsia="宋体" w:cs="宋体"/>
          <w:b w:val="0"/>
          <w:color w:val="auto"/>
          <w:sz w:val="24"/>
          <w:szCs w:val="24"/>
          <w:highlight w:val="none"/>
        </w:rPr>
        <w:t>10. 争议解决</w:t>
      </w:r>
      <w:bookmarkEnd w:id="154"/>
    </w:p>
    <w:p w14:paraId="6E7CCF0F">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5" w:name="_Toc407261939"/>
      <w:bookmarkStart w:id="156" w:name="_Toc296346648"/>
      <w:bookmarkStart w:id="157" w:name="_Toc337558841"/>
      <w:bookmarkStart w:id="158" w:name="_Toc296503147"/>
      <w:r>
        <w:rPr>
          <w:rFonts w:hint="eastAsia" w:ascii="宋体" w:hAnsi="宋体" w:eastAsia="宋体" w:cs="宋体"/>
          <w:color w:val="auto"/>
          <w:sz w:val="24"/>
          <w:szCs w:val="24"/>
          <w:highlight w:val="none"/>
        </w:rPr>
        <w:t>10.1 和解</w:t>
      </w:r>
      <w:bookmarkEnd w:id="155"/>
    </w:p>
    <w:bookmarkEnd w:id="156"/>
    <w:bookmarkEnd w:id="157"/>
    <w:bookmarkEnd w:id="158"/>
    <w:p w14:paraId="38BC54B9">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合同当事人可以就争议自行和解，自行和解达成协议的经双方签字并盖章后作为合同补充文件，双方均应遵照执行。</w:t>
      </w:r>
    </w:p>
    <w:p w14:paraId="7C1CBA2D">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59" w:name="_Toc407261940"/>
      <w:r>
        <w:rPr>
          <w:rFonts w:hint="eastAsia" w:ascii="宋体" w:hAnsi="宋体" w:eastAsia="宋体" w:cs="宋体"/>
          <w:color w:val="auto"/>
          <w:sz w:val="24"/>
          <w:szCs w:val="24"/>
          <w:highlight w:val="none"/>
        </w:rPr>
        <w:t>10</w:t>
      </w:r>
      <w:bookmarkStart w:id="160" w:name="_Toc337558842"/>
      <w:bookmarkStart w:id="161" w:name="_Toc296503148"/>
      <w:bookmarkStart w:id="162" w:name="_Toc296346649"/>
      <w:r>
        <w:rPr>
          <w:rFonts w:hint="eastAsia" w:ascii="宋体" w:hAnsi="宋体" w:eastAsia="宋体" w:cs="宋体"/>
          <w:color w:val="auto"/>
          <w:sz w:val="24"/>
          <w:szCs w:val="24"/>
          <w:highlight w:val="none"/>
        </w:rPr>
        <w:t>.2 调解</w:t>
      </w:r>
      <w:bookmarkEnd w:id="159"/>
    </w:p>
    <w:bookmarkEnd w:id="160"/>
    <w:bookmarkEnd w:id="161"/>
    <w:bookmarkEnd w:id="162"/>
    <w:p w14:paraId="2DE3B590">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合同当事人可以就争议请求工程造价管理部门、行业协会或其他第三方进行调解，调解达成协议的，经双方签字并盖章后作为合同补充文件，双方均应遵照执行。</w:t>
      </w:r>
    </w:p>
    <w:p w14:paraId="7F47D95E">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3" w:name="_Toc407261941"/>
      <w:r>
        <w:rPr>
          <w:rFonts w:hint="eastAsia" w:ascii="宋体" w:hAnsi="宋体" w:eastAsia="宋体" w:cs="宋体"/>
          <w:color w:val="auto"/>
          <w:sz w:val="24"/>
          <w:szCs w:val="24"/>
          <w:highlight w:val="none"/>
        </w:rPr>
        <w:t>10.3 仲裁或诉讼</w:t>
      </w:r>
      <w:bookmarkEnd w:id="163"/>
    </w:p>
    <w:p w14:paraId="0432A6E8">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因合同及合同有关事项产生的争议，合同当事人可以在专用合同条款中约定下列任意一种方式解决争议：</w:t>
      </w:r>
    </w:p>
    <w:p w14:paraId="71374EC1">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向约定的仲裁委员会申请仲裁；</w:t>
      </w:r>
    </w:p>
    <w:p w14:paraId="4228C71C">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向有管辖权的人民法院起诉。</w:t>
      </w:r>
    </w:p>
    <w:p w14:paraId="1B69A1D9">
      <w:pPr>
        <w:pStyle w:val="7"/>
        <w:pageBreakBefore w:val="0"/>
        <w:widowControl w:val="0"/>
        <w:kinsoku/>
        <w:wordWrap/>
        <w:overflowPunct/>
        <w:topLinePunct w:val="0"/>
        <w:bidi w:val="0"/>
        <w:snapToGrid/>
        <w:spacing w:beforeLines="0" w:afterLines="0" w:line="490" w:lineRule="exact"/>
        <w:textAlignment w:val="auto"/>
        <w:rPr>
          <w:rFonts w:hint="eastAsia" w:ascii="宋体" w:hAnsi="宋体" w:eastAsia="宋体" w:cs="宋体"/>
          <w:color w:val="auto"/>
          <w:sz w:val="24"/>
          <w:szCs w:val="24"/>
          <w:highlight w:val="none"/>
        </w:rPr>
      </w:pPr>
      <w:bookmarkStart w:id="164" w:name="_Toc407261942"/>
      <w:r>
        <w:rPr>
          <w:rFonts w:hint="eastAsia" w:ascii="宋体" w:hAnsi="宋体" w:eastAsia="宋体" w:cs="宋体"/>
          <w:color w:val="auto"/>
          <w:sz w:val="24"/>
          <w:szCs w:val="24"/>
          <w:highlight w:val="none"/>
        </w:rPr>
        <w:t>10.4 争议解决条款效力</w:t>
      </w:r>
      <w:bookmarkEnd w:id="164"/>
    </w:p>
    <w:p w14:paraId="071205E4">
      <w:pPr>
        <w:pageBreakBefore w:val="0"/>
        <w:widowControl w:val="0"/>
        <w:kinsoku/>
        <w:wordWrap/>
        <w:overflowPunct/>
        <w:topLinePunct w:val="0"/>
        <w:bidi w:val="0"/>
        <w:snapToGrid/>
        <w:spacing w:beforeLines="0" w:afterLines="0" w:line="490" w:lineRule="exact"/>
        <w:ind w:firstLine="480" w:firstLineChars="200"/>
        <w:textAlignment w:val="auto"/>
        <w:rPr>
          <w:rFonts w:hint="eastAsia" w:ascii="宋体" w:hAnsi="宋体" w:eastAsia="宋体" w:cs="宋体"/>
          <w:b/>
          <w:color w:val="auto"/>
          <w:kern w:val="44"/>
          <w:sz w:val="24"/>
          <w:szCs w:val="24"/>
          <w:highlight w:val="none"/>
        </w:rPr>
      </w:pPr>
      <w:r>
        <w:rPr>
          <w:rFonts w:hint="eastAsia" w:ascii="宋体" w:hAnsi="宋体" w:eastAsia="宋体" w:cs="宋体"/>
          <w:color w:val="auto"/>
          <w:sz w:val="24"/>
          <w:szCs w:val="24"/>
          <w:highlight w:val="none"/>
        </w:rPr>
        <w:t>合同有关争议解决的条款独立存在，合同的变更、解除、终止、无效或者被撤销均不影响其效力。</w:t>
      </w:r>
    </w:p>
    <w:p w14:paraId="3E4C436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4222BCE">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7255436F">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4A6FDB30">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lang w:val="en-US" w:eastAsia="zh-CN" w:bidi="ar"/>
        </w:rPr>
      </w:pPr>
    </w:p>
    <w:p w14:paraId="040EFF5A">
      <w:pPr>
        <w:keepNext w:val="0"/>
        <w:keepLines w:val="0"/>
        <w:widowControl w:val="0"/>
        <w:suppressLineNumbers w:val="0"/>
        <w:spacing w:before="153" w:beforeLines="50" w:beforeAutospacing="0" w:after="153" w:afterLines="50" w:afterAutospacing="0" w:line="400" w:lineRule="exact"/>
        <w:ind w:left="0" w:right="0"/>
        <w:jc w:val="center"/>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第三部分  专用合同条款</w:t>
      </w:r>
    </w:p>
    <w:p w14:paraId="06ED47D5">
      <w:pPr>
        <w:keepNext w:val="0"/>
        <w:keepLines w:val="0"/>
        <w:widowControl w:val="0"/>
        <w:suppressLineNumbers w:val="0"/>
        <w:spacing w:before="153" w:beforeLines="50" w:beforeAutospacing="0" w:after="153" w:afterLines="50" w:afterAutospacing="0" w:line="400" w:lineRule="exact"/>
        <w:ind w:left="0" w:right="0"/>
        <w:jc w:val="both"/>
        <w:outlineLvl w:val="2"/>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 xml:space="preserve"> </w:t>
      </w:r>
    </w:p>
    <w:p w14:paraId="169CF46A">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1</w:t>
      </w:r>
      <w:bookmarkStart w:id="165" w:name="_Toc292559866"/>
      <w:bookmarkStart w:id="166" w:name="_Toc292559361"/>
      <w:bookmarkStart w:id="167" w:name="_Toc297048342"/>
      <w:bookmarkStart w:id="168" w:name="_Toc296890984"/>
      <w:bookmarkStart w:id="169" w:name="_Toc297120456"/>
      <w:bookmarkStart w:id="170" w:name="_Toc296944495"/>
      <w:bookmarkStart w:id="171" w:name="_Toc296346657"/>
      <w:bookmarkStart w:id="172" w:name="_Toc296891196"/>
      <w:bookmarkStart w:id="173" w:name="_Toc296347155"/>
      <w:bookmarkStart w:id="174" w:name="_Toc296503156"/>
      <w:r>
        <w:rPr>
          <w:rFonts w:hint="eastAsia" w:ascii="宋体" w:hAnsi="宋体" w:eastAsia="宋体" w:cs="宋体"/>
          <w:b w:val="0"/>
          <w:color w:val="auto"/>
          <w:sz w:val="24"/>
          <w:szCs w:val="24"/>
          <w:highlight w:val="none"/>
        </w:rPr>
        <w:t>. 一般约定</w:t>
      </w:r>
    </w:p>
    <w:bookmarkEnd w:id="165"/>
    <w:bookmarkEnd w:id="166"/>
    <w:bookmarkEnd w:id="167"/>
    <w:bookmarkEnd w:id="168"/>
    <w:bookmarkEnd w:id="169"/>
    <w:bookmarkEnd w:id="170"/>
    <w:bookmarkEnd w:id="171"/>
    <w:bookmarkEnd w:id="172"/>
    <w:bookmarkEnd w:id="173"/>
    <w:bookmarkEnd w:id="174"/>
    <w:p w14:paraId="4FC7858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1.3法律</w:t>
      </w:r>
    </w:p>
    <w:p w14:paraId="1AD4BA60">
      <w:pPr>
        <w:pageBreakBefore w:val="0"/>
        <w:kinsoku/>
        <w:wordWrap/>
        <w:overflowPunct/>
        <w:topLinePunct w:val="0"/>
        <w:autoSpaceDE w:val="0"/>
        <w:autoSpaceDN w:val="0"/>
        <w:bidi w:val="0"/>
        <w:adjustRightInd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 xml:space="preserve">/　　　　　　　 </w:t>
      </w:r>
    </w:p>
    <w:p w14:paraId="71CB6F6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 标准和规范</w:t>
      </w:r>
    </w:p>
    <w:p w14:paraId="385D7F9A">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适用于工程造价咨询的标准规范包括：</w:t>
      </w:r>
      <w:r>
        <w:rPr>
          <w:rFonts w:hint="eastAsia" w:ascii="宋体" w:hAnsi="宋体" w:eastAsia="宋体" w:cs="宋体"/>
          <w:color w:val="auto"/>
          <w:sz w:val="24"/>
          <w:szCs w:val="24"/>
          <w:highlight w:val="none"/>
          <w:u w:val="single"/>
        </w:rPr>
        <w:t>现行行业工程计价有关规程、标准等</w:t>
      </w:r>
      <w:r>
        <w:rPr>
          <w:rFonts w:hint="eastAsia" w:ascii="宋体" w:hAnsi="宋体" w:eastAsia="宋体" w:cs="宋体"/>
          <w:color w:val="auto"/>
          <w:sz w:val="24"/>
          <w:szCs w:val="24"/>
          <w:highlight w:val="none"/>
        </w:rPr>
        <w:t>。</w:t>
      </w:r>
    </w:p>
    <w:p w14:paraId="6FE27432">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 合同文件的优先顺序</w:t>
      </w:r>
    </w:p>
    <w:p w14:paraId="4B280383">
      <w:pPr>
        <w:pageBreakBefore w:val="0"/>
        <w:kinsoku/>
        <w:wordWrap/>
        <w:overflowPunct/>
        <w:topLinePunct w:val="0"/>
        <w:bidi w:val="0"/>
        <w:snapToGrid/>
        <w:spacing w:beforeLines="0" w:afterLines="0"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r>
        <w:rPr>
          <w:rFonts w:hint="eastAsia" w:ascii="宋体" w:hAnsi="宋体" w:eastAsia="宋体" w:cs="宋体"/>
          <w:color w:val="auto"/>
          <w:sz w:val="24"/>
          <w:szCs w:val="24"/>
          <w:highlight w:val="none"/>
          <w:u w:val="single"/>
        </w:rPr>
        <w:t>执行通用合同条款</w:t>
      </w:r>
      <w:r>
        <w:rPr>
          <w:rFonts w:hint="eastAsia" w:ascii="宋体" w:hAnsi="宋体" w:eastAsia="宋体" w:cs="宋体"/>
          <w:color w:val="auto"/>
          <w:sz w:val="24"/>
          <w:szCs w:val="24"/>
          <w:highlight w:val="none"/>
        </w:rPr>
        <w:t>。</w:t>
      </w:r>
    </w:p>
    <w:p w14:paraId="720E3695">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 联络</w:t>
      </w:r>
    </w:p>
    <w:p w14:paraId="7285C3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kern w:val="0"/>
          <w:sz w:val="24"/>
          <w:szCs w:val="24"/>
          <w:highlight w:val="none"/>
        </w:rPr>
        <w:t>委托人和咨询人应当在</w:t>
      </w:r>
      <w:r>
        <w:rPr>
          <w:rFonts w:hint="eastAsia" w:ascii="宋体" w:hAnsi="宋体" w:eastAsia="宋体" w:cs="宋体"/>
          <w:color w:val="auto"/>
          <w:sz w:val="24"/>
          <w:szCs w:val="24"/>
          <w:highlight w:val="none"/>
          <w:u w:val="single"/>
        </w:rPr>
        <w:t xml:space="preserve">3  </w:t>
      </w:r>
      <w:r>
        <w:rPr>
          <w:rFonts w:hint="eastAsia" w:ascii="宋体" w:hAnsi="宋体" w:eastAsia="宋体" w:cs="宋体"/>
          <w:color w:val="auto"/>
          <w:kern w:val="0"/>
          <w:sz w:val="24"/>
          <w:szCs w:val="24"/>
          <w:highlight w:val="none"/>
        </w:rPr>
        <w:t>天内将与合同有关的通知、批准、证明、证书、指示、指令、要求、请求、同意、意见、确定和决定等书面函件送达对方当事人。</w:t>
      </w:r>
    </w:p>
    <w:p w14:paraId="53E9189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kern w:val="0"/>
          <w:sz w:val="24"/>
          <w:szCs w:val="24"/>
          <w:highlight w:val="none"/>
        </w:rPr>
        <w:t xml:space="preserve"> 委托人接收文件的地点：</w:t>
      </w:r>
      <w:r>
        <w:rPr>
          <w:rFonts w:hint="eastAsia" w:ascii="宋体" w:hAnsi="宋体" w:eastAsia="宋体" w:cs="宋体"/>
          <w:color w:val="auto"/>
          <w:kern w:val="0"/>
          <w:sz w:val="24"/>
          <w:szCs w:val="24"/>
          <w:highlight w:val="none"/>
          <w:u w:val="single"/>
        </w:rPr>
        <w:t xml:space="preserve">滁州市重点工程建设管理处 </w:t>
      </w:r>
      <w:r>
        <w:rPr>
          <w:rFonts w:hint="eastAsia" w:ascii="宋体" w:hAnsi="宋体" w:eastAsia="宋体" w:cs="宋体"/>
          <w:color w:val="auto"/>
          <w:kern w:val="0"/>
          <w:sz w:val="24"/>
          <w:szCs w:val="24"/>
          <w:highlight w:val="none"/>
        </w:rPr>
        <w:t>；</w:t>
      </w:r>
    </w:p>
    <w:p w14:paraId="03BE986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委托人指定的接收人为：</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68C79F2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8DECF5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咨询人接收文件的地点：</w:t>
      </w:r>
      <w:r>
        <w:rPr>
          <w:rFonts w:hint="eastAsia" w:ascii="宋体" w:hAnsi="宋体" w:eastAsia="宋体" w:cs="宋体"/>
          <w:color w:val="auto"/>
          <w:sz w:val="24"/>
          <w:szCs w:val="24"/>
          <w:highlight w:val="none"/>
          <w:u w:val="single"/>
        </w:rPr>
        <w:t>　　　　　　　　　　　 　　</w:t>
      </w:r>
      <w:r>
        <w:rPr>
          <w:rFonts w:hint="eastAsia" w:ascii="宋体" w:hAnsi="宋体" w:eastAsia="宋体" w:cs="宋体"/>
          <w:color w:val="auto"/>
          <w:kern w:val="0"/>
          <w:sz w:val="24"/>
          <w:szCs w:val="24"/>
          <w:highlight w:val="none"/>
        </w:rPr>
        <w:t>；</w:t>
      </w:r>
    </w:p>
    <w:p w14:paraId="791F6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4"/>
          <w:szCs w:val="24"/>
          <w:highlight w:val="none"/>
        </w:rPr>
        <w:t>咨询人指定的接收人为：</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415DED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w:t>
      </w:r>
      <w:r>
        <w:rPr>
          <w:rFonts w:hint="eastAsia" w:ascii="宋体" w:hAnsi="宋体" w:eastAsia="宋体" w:cs="宋体"/>
          <w:color w:val="auto"/>
          <w:sz w:val="24"/>
          <w:szCs w:val="24"/>
          <w:highlight w:val="none"/>
        </w:rPr>
        <w:t>人</w:t>
      </w:r>
      <w:r>
        <w:rPr>
          <w:rFonts w:hint="eastAsia" w:ascii="宋体" w:hAnsi="宋体" w:eastAsia="宋体" w:cs="宋体"/>
          <w:color w:val="auto"/>
          <w:kern w:val="0"/>
          <w:sz w:val="24"/>
          <w:szCs w:val="24"/>
          <w:highlight w:val="none"/>
        </w:rPr>
        <w:t>指定的电子邮箱：</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14:paraId="575D4E32">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75" w:name="_Toc351203634"/>
      <w:bookmarkStart w:id="176" w:name="_Toc407261945"/>
      <w:r>
        <w:rPr>
          <w:rFonts w:hint="eastAsia" w:ascii="宋体" w:hAnsi="宋体" w:eastAsia="宋体" w:cs="宋体"/>
          <w:b w:val="0"/>
          <w:color w:val="auto"/>
          <w:sz w:val="24"/>
          <w:szCs w:val="24"/>
          <w:highlight w:val="none"/>
        </w:rPr>
        <w:t>2</w:t>
      </w:r>
      <w:bookmarkStart w:id="177" w:name="_Toc296347156"/>
      <w:bookmarkStart w:id="178" w:name="_Toc292559362"/>
      <w:bookmarkStart w:id="179" w:name="_Toc296503157"/>
      <w:bookmarkStart w:id="180" w:name="_Toc296346658"/>
      <w:bookmarkStart w:id="181" w:name="_Toc296890985"/>
      <w:bookmarkStart w:id="182" w:name="_Toc297048343"/>
      <w:bookmarkStart w:id="183" w:name="_Toc296891197"/>
      <w:bookmarkStart w:id="184" w:name="_Toc296944496"/>
      <w:bookmarkStart w:id="185" w:name="_Toc297120457"/>
      <w:bookmarkStart w:id="186" w:name="_Toc292559867"/>
      <w:r>
        <w:rPr>
          <w:rFonts w:hint="eastAsia" w:ascii="宋体" w:hAnsi="宋体" w:eastAsia="宋体" w:cs="宋体"/>
          <w:b w:val="0"/>
          <w:color w:val="auto"/>
          <w:sz w:val="24"/>
          <w:szCs w:val="24"/>
          <w:highlight w:val="none"/>
        </w:rPr>
        <w:t>. 委托人</w:t>
      </w:r>
      <w:bookmarkEnd w:id="175"/>
      <w:bookmarkEnd w:id="176"/>
    </w:p>
    <w:bookmarkEnd w:id="177"/>
    <w:bookmarkEnd w:id="178"/>
    <w:bookmarkEnd w:id="179"/>
    <w:bookmarkEnd w:id="180"/>
    <w:bookmarkEnd w:id="181"/>
    <w:bookmarkEnd w:id="182"/>
    <w:bookmarkEnd w:id="183"/>
    <w:bookmarkEnd w:id="184"/>
    <w:bookmarkEnd w:id="185"/>
    <w:bookmarkEnd w:id="186"/>
    <w:p w14:paraId="431DAB7A">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委托人代表</w:t>
      </w:r>
    </w:p>
    <w:p w14:paraId="292A781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5CEE920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9E6FD7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0DD45C9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 </w:t>
      </w:r>
      <w:r>
        <w:rPr>
          <w:rFonts w:hint="eastAsia" w:ascii="宋体" w:hAnsi="宋体" w:eastAsia="宋体" w:cs="宋体"/>
          <w:color w:val="auto"/>
          <w:sz w:val="24"/>
          <w:szCs w:val="24"/>
          <w:highlight w:val="none"/>
        </w:rPr>
        <w:t>；</w:t>
      </w:r>
    </w:p>
    <w:p w14:paraId="27F954E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              </w:t>
      </w:r>
      <w:r>
        <w:rPr>
          <w:rFonts w:hint="eastAsia" w:ascii="宋体" w:hAnsi="宋体" w:eastAsia="宋体" w:cs="宋体"/>
          <w:color w:val="auto"/>
          <w:sz w:val="24"/>
          <w:szCs w:val="24"/>
          <w:highlight w:val="none"/>
        </w:rPr>
        <w:t>；</w:t>
      </w:r>
    </w:p>
    <w:p w14:paraId="17225B3F">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滁州市重点工程建设管理处                 </w:t>
      </w:r>
      <w:r>
        <w:rPr>
          <w:rFonts w:hint="eastAsia" w:ascii="宋体" w:hAnsi="宋体" w:eastAsia="宋体" w:cs="宋体"/>
          <w:color w:val="auto"/>
          <w:sz w:val="24"/>
          <w:szCs w:val="24"/>
          <w:highlight w:val="none"/>
        </w:rPr>
        <w:t>。</w:t>
      </w:r>
    </w:p>
    <w:p w14:paraId="4A7C8274">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委托人对委托人代表的授权范围如下</w:t>
      </w:r>
      <w:r>
        <w:rPr>
          <w:rFonts w:hint="eastAsia" w:ascii="宋体" w:hAnsi="宋体" w:eastAsia="宋体" w:cs="宋体"/>
          <w:color w:val="auto"/>
          <w:sz w:val="24"/>
          <w:szCs w:val="24"/>
          <w:highlight w:val="none"/>
          <w:u w:val="single"/>
        </w:rPr>
        <w:t>负责本工程工程量清单和最高投标限价编制及资料收集、提供、协调、沟通、确认、备案等相关事宜</w:t>
      </w:r>
      <w:r>
        <w:rPr>
          <w:rFonts w:hint="eastAsia" w:ascii="宋体" w:hAnsi="宋体" w:eastAsia="宋体" w:cs="宋体"/>
          <w:color w:val="auto"/>
          <w:sz w:val="24"/>
          <w:szCs w:val="24"/>
          <w:highlight w:val="none"/>
        </w:rPr>
        <w:t>。</w:t>
      </w:r>
    </w:p>
    <w:p w14:paraId="28049F0F">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提供资料</w:t>
      </w:r>
    </w:p>
    <w:p w14:paraId="2546D962">
      <w:pPr>
        <w:pageBreakBefore w:val="0"/>
        <w:kinsoku/>
        <w:wordWrap/>
        <w:overflowPunct/>
        <w:topLinePunct w:val="0"/>
        <w:bidi w:val="0"/>
        <w:snapToGrid/>
        <w:spacing w:beforeLines="0" w:afterLines="0" w:line="50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委托人向咨询人提供的资料包括：</w:t>
      </w:r>
      <w:r>
        <w:rPr>
          <w:rFonts w:hint="eastAsia" w:ascii="宋体" w:hAnsi="宋体" w:eastAsia="宋体" w:cs="宋体"/>
          <w:color w:val="auto"/>
          <w:sz w:val="24"/>
          <w:szCs w:val="24"/>
          <w:highlight w:val="none"/>
          <w:u w:val="single"/>
        </w:rPr>
        <w:t xml:space="preserve">本工程招标文件、图审后的设计图纸、设计答疑等 </w:t>
      </w:r>
      <w:r>
        <w:rPr>
          <w:rFonts w:hint="eastAsia" w:ascii="宋体" w:hAnsi="宋体" w:eastAsia="宋体" w:cs="宋体"/>
          <w:color w:val="auto"/>
          <w:sz w:val="24"/>
          <w:szCs w:val="24"/>
          <w:highlight w:val="none"/>
        </w:rPr>
        <w:t>。</w:t>
      </w:r>
    </w:p>
    <w:p w14:paraId="2C3797DC">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委托人向咨询人提供资料的期限为：</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w:t>
      </w:r>
    </w:p>
    <w:p w14:paraId="7B7DD51B">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关于委托人向咨询人提供资料的特别约定：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sz w:val="24"/>
          <w:szCs w:val="24"/>
          <w:highlight w:val="none"/>
        </w:rPr>
        <w:t>。</w:t>
      </w:r>
    </w:p>
    <w:p w14:paraId="6DA36F36">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 答复</w:t>
      </w:r>
    </w:p>
    <w:p w14:paraId="1A6E7854">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委托人对咨询人以书面形式提交并要求作出决定事宜的答复期限为：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EADE50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关于咨询人以书面形式提交并要求第三人作出决定的事宜，由委托人送达第三人的特别约定：</w:t>
      </w:r>
      <w:r>
        <w:rPr>
          <w:rFonts w:hint="eastAsia" w:ascii="宋体" w:hAnsi="宋体" w:eastAsia="宋体" w:cs="宋体"/>
          <w:color w:val="auto"/>
          <w:sz w:val="24"/>
          <w:szCs w:val="24"/>
          <w:highlight w:val="none"/>
          <w:u w:val="single"/>
        </w:rPr>
        <w:t xml:space="preserve">   执行合同通用条款   </w:t>
      </w:r>
      <w:r>
        <w:rPr>
          <w:rFonts w:hint="eastAsia" w:ascii="宋体" w:hAnsi="宋体" w:eastAsia="宋体" w:cs="宋体"/>
          <w:color w:val="auto"/>
          <w:sz w:val="24"/>
          <w:szCs w:val="24"/>
          <w:highlight w:val="none"/>
        </w:rPr>
        <w:t>。</w:t>
      </w:r>
    </w:p>
    <w:p w14:paraId="3208F3E9">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7" w:name="_Toc407261946"/>
      <w:r>
        <w:rPr>
          <w:rFonts w:hint="eastAsia" w:ascii="宋体" w:hAnsi="宋体" w:eastAsia="宋体" w:cs="宋体"/>
          <w:b w:val="0"/>
          <w:color w:val="auto"/>
          <w:sz w:val="24"/>
          <w:szCs w:val="24"/>
          <w:highlight w:val="none"/>
        </w:rPr>
        <w:t>3. 咨询人</w:t>
      </w:r>
      <w:bookmarkEnd w:id="187"/>
    </w:p>
    <w:p w14:paraId="5DACDD1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 项目负责人</w:t>
      </w:r>
    </w:p>
    <w:p w14:paraId="7E80ACA6">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36CC1C70">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4858F6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造价工程师注册证书号：</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5BEF31F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3C8D5C5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 </w:t>
      </w:r>
      <w:r>
        <w:rPr>
          <w:rFonts w:hint="eastAsia" w:ascii="宋体" w:hAnsi="宋体" w:eastAsia="宋体" w:cs="宋体"/>
          <w:color w:val="auto"/>
          <w:sz w:val="24"/>
          <w:szCs w:val="24"/>
          <w:highlight w:val="none"/>
        </w:rPr>
        <w:t>；</w:t>
      </w:r>
    </w:p>
    <w:p w14:paraId="252F330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14:paraId="4F2693B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咨询人对项目负责人的授权范围如下：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817801B">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 工程造价专业人员</w:t>
      </w:r>
    </w:p>
    <w:p w14:paraId="3E496598">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咨询人提交工程造价专业人员任命文件及其注册证书或资格证书的期限：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A51686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咨询人未提交</w:t>
      </w:r>
      <w:r>
        <w:rPr>
          <w:rFonts w:hint="eastAsia" w:ascii="宋体" w:hAnsi="宋体" w:eastAsia="宋体" w:cs="宋体"/>
          <w:color w:val="auto"/>
          <w:sz w:val="24"/>
          <w:szCs w:val="24"/>
          <w:highlight w:val="none"/>
        </w:rPr>
        <w:t>为工程造价专业人员缴纳的社会保险有效证明</w:t>
      </w:r>
      <w:r>
        <w:rPr>
          <w:rFonts w:hint="eastAsia" w:ascii="宋体" w:hAnsi="宋体" w:eastAsia="宋体" w:cs="宋体"/>
          <w:color w:val="auto"/>
          <w:kern w:val="0"/>
          <w:sz w:val="24"/>
          <w:szCs w:val="24"/>
          <w:highlight w:val="none"/>
        </w:rPr>
        <w:t>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752343F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3.3.2 咨询人擅自更换工程造价专业人员的违约责任：</w:t>
      </w:r>
      <w:r>
        <w:rPr>
          <w:rFonts w:hint="eastAsia" w:ascii="宋体" w:hAnsi="宋体" w:eastAsia="宋体" w:cs="宋体"/>
          <w:color w:val="auto"/>
          <w:sz w:val="24"/>
          <w:szCs w:val="24"/>
          <w:highlight w:val="none"/>
          <w:u w:val="single"/>
        </w:rPr>
        <w:t xml:space="preserve">   /</w:t>
      </w:r>
    </w:p>
    <w:p w14:paraId="7E54733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咨询人安排的工程造价专业人员</w:t>
      </w:r>
      <w:r>
        <w:rPr>
          <w:rFonts w:hint="eastAsia" w:ascii="宋体" w:hAnsi="宋体" w:eastAsia="宋体" w:cs="宋体"/>
          <w:color w:val="auto"/>
          <w:kern w:val="0"/>
          <w:sz w:val="24"/>
          <w:szCs w:val="24"/>
          <w:highlight w:val="none"/>
        </w:rPr>
        <w:t>每月在施工现场的时间要求：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518C76A">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工程造价专业人员</w:t>
      </w:r>
      <w:r>
        <w:rPr>
          <w:rFonts w:hint="eastAsia" w:ascii="宋体" w:hAnsi="宋体" w:eastAsia="宋体" w:cs="宋体"/>
          <w:color w:val="auto"/>
          <w:kern w:val="0"/>
          <w:sz w:val="24"/>
          <w:szCs w:val="24"/>
          <w:highlight w:val="none"/>
        </w:rPr>
        <w:t>未经批准，擅自离开施工现场的违约责任：</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18ACDC2">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3.3.4 咨询人无正当理由拒绝撤换工程造价专业人员的违约责任：</w:t>
      </w:r>
      <w:r>
        <w:rPr>
          <w:rFonts w:hint="eastAsia" w:ascii="宋体" w:hAnsi="宋体" w:eastAsia="宋体" w:cs="宋体"/>
          <w:color w:val="auto"/>
          <w:sz w:val="24"/>
          <w:szCs w:val="24"/>
          <w:highlight w:val="none"/>
          <w:u w:val="single"/>
        </w:rPr>
        <w:t xml:space="preserve">     /          </w:t>
      </w:r>
      <w:r>
        <w:rPr>
          <w:rFonts w:hint="eastAsia" w:ascii="宋体" w:hAnsi="宋体" w:eastAsia="宋体" w:cs="宋体"/>
          <w:color w:val="auto"/>
          <w:sz w:val="24"/>
          <w:szCs w:val="24"/>
          <w:highlight w:val="none"/>
        </w:rPr>
        <w:t>。</w:t>
      </w:r>
    </w:p>
    <w:p w14:paraId="43EA864A">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88" w:name="_Toc407261947"/>
      <w:r>
        <w:rPr>
          <w:rFonts w:hint="eastAsia" w:ascii="宋体" w:hAnsi="宋体" w:eastAsia="宋体" w:cs="宋体"/>
          <w:b w:val="0"/>
          <w:color w:val="auto"/>
          <w:sz w:val="24"/>
          <w:szCs w:val="24"/>
          <w:highlight w:val="none"/>
        </w:rPr>
        <w:t>4. 咨询业务范围和工作内容</w:t>
      </w:r>
      <w:bookmarkEnd w:id="188"/>
    </w:p>
    <w:p w14:paraId="351F3BED">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 咨询工作内容</w:t>
      </w:r>
    </w:p>
    <w:p w14:paraId="17F9BFFC">
      <w:pPr>
        <w:pageBreakBefore w:val="0"/>
        <w:kinsoku/>
        <w:wordWrap/>
        <w:overflowPunct/>
        <w:topLinePunct w:val="0"/>
        <w:bidi w:val="0"/>
        <w:snapToGrid/>
        <w:spacing w:beforeLines="0" w:afterLines="0" w:line="500" w:lineRule="exact"/>
        <w:ind w:left="596" w:leftChars="284"/>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工程造价咨询工作内容包括：</w:t>
      </w:r>
      <w:r>
        <w:rPr>
          <w:rFonts w:hint="eastAsia" w:ascii="宋体" w:hAnsi="宋体" w:eastAsia="宋体" w:cs="宋体"/>
          <w:color w:val="auto"/>
          <w:sz w:val="24"/>
          <w:szCs w:val="24"/>
          <w:highlight w:val="none"/>
          <w:u w:val="single"/>
        </w:rPr>
        <w:t>工程量清单和最高投标限价编制</w:t>
      </w:r>
      <w:r>
        <w:rPr>
          <w:rFonts w:hint="eastAsia" w:ascii="宋体" w:hAnsi="宋体" w:eastAsia="宋体" w:cs="宋体"/>
          <w:color w:val="auto"/>
          <w:sz w:val="24"/>
          <w:szCs w:val="24"/>
          <w:highlight w:val="none"/>
        </w:rPr>
        <w:t>。</w:t>
      </w:r>
    </w:p>
    <w:p w14:paraId="73537F5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 咨询期限延误</w:t>
      </w:r>
    </w:p>
    <w:p w14:paraId="1AE94BB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因委托人原因导致咨询期限延误</w:t>
      </w:r>
    </w:p>
    <w:p w14:paraId="4701073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（6）</w:t>
      </w:r>
      <w:r>
        <w:rPr>
          <w:rFonts w:hint="eastAsia" w:ascii="宋体" w:hAnsi="宋体" w:eastAsia="宋体" w:cs="宋体"/>
          <w:color w:val="auto"/>
          <w:sz w:val="24"/>
          <w:szCs w:val="24"/>
          <w:highlight w:val="none"/>
        </w:rPr>
        <w:t>因委托人原因导致咨询期限延误的其他情形：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521674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bookmarkStart w:id="189" w:name="_Toc303539127"/>
      <w:bookmarkStart w:id="190" w:name="_Toc297123518"/>
      <w:bookmarkStart w:id="191" w:name="_Toc300934970"/>
      <w:bookmarkStart w:id="192" w:name="_Toc297216177"/>
      <w:bookmarkStart w:id="193" w:name="_Toc304295548"/>
      <w:r>
        <w:rPr>
          <w:rFonts w:hint="eastAsia" w:ascii="宋体" w:hAnsi="宋体" w:eastAsia="宋体" w:cs="宋体"/>
          <w:color w:val="auto"/>
          <w:sz w:val="24"/>
          <w:szCs w:val="24"/>
          <w:highlight w:val="none"/>
        </w:rPr>
        <w:t>5.2.2 因咨询人原因导致咨询期限延误</w:t>
      </w:r>
    </w:p>
    <w:p w14:paraId="7569551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w:t>
      </w:r>
      <w:bookmarkStart w:id="194" w:name="_Toc312678013"/>
      <w:bookmarkStart w:id="195" w:name="_Toc312677487"/>
      <w:bookmarkStart w:id="196" w:name="_Toc318581170"/>
      <w:r>
        <w:rPr>
          <w:rFonts w:hint="eastAsia" w:ascii="宋体" w:hAnsi="宋体" w:eastAsia="宋体" w:cs="宋体"/>
          <w:color w:val="auto"/>
          <w:sz w:val="24"/>
          <w:szCs w:val="24"/>
          <w:highlight w:val="none"/>
        </w:rPr>
        <w:t>咨询人原因造成咨询期限延误，逾期完成咨询业务违约金的计算方法为：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bookmarkEnd w:id="189"/>
      <w:bookmarkEnd w:id="190"/>
      <w:bookmarkEnd w:id="191"/>
      <w:bookmarkEnd w:id="192"/>
      <w:bookmarkEnd w:id="193"/>
      <w:bookmarkEnd w:id="194"/>
      <w:bookmarkEnd w:id="195"/>
    </w:p>
    <w:bookmarkEnd w:id="196"/>
    <w:p w14:paraId="14275F5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因咨询人原因造成咨询期限延误，</w:t>
      </w:r>
      <w:bookmarkStart w:id="197" w:name="_Toc312678014"/>
      <w:bookmarkStart w:id="198" w:name="_Toc318581171"/>
      <w:r>
        <w:rPr>
          <w:rFonts w:hint="eastAsia" w:ascii="宋体" w:hAnsi="宋体" w:eastAsia="宋体" w:cs="宋体"/>
          <w:color w:val="auto"/>
          <w:sz w:val="24"/>
          <w:szCs w:val="24"/>
          <w:highlight w:val="none"/>
        </w:rPr>
        <w:t>逾期完成咨询业务违约金的上限：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bookmarkEnd w:id="197"/>
    <w:bookmarkEnd w:id="198"/>
    <w:p w14:paraId="0C36F7D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 因第三人原因导致咨询期限延误</w:t>
      </w:r>
    </w:p>
    <w:p w14:paraId="0346B837">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因第三人原因导致咨询期限延误的其他情形：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B5E6C63">
      <w:pPr>
        <w:pageBreakBefore w:val="0"/>
        <w:kinsoku/>
        <w:wordWrap/>
        <w:overflowPunct/>
        <w:topLinePunct w:val="0"/>
        <w:bidi w:val="0"/>
        <w:snapToGrid/>
        <w:spacing w:beforeLines="0" w:afterLines="0" w:line="500" w:lineRule="exact"/>
        <w:ind w:firstLine="241" w:firstLineChars="1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 工程造价咨询成果文件交付期限</w:t>
      </w:r>
    </w:p>
    <w:p w14:paraId="613328BE">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5.3.1咨询人向委托人提交工程造价咨询成果文件的份数</w:t>
      </w:r>
      <w:r>
        <w:rPr>
          <w:rFonts w:hint="eastAsia" w:ascii="宋体" w:hAnsi="宋体" w:eastAsia="宋体" w:cs="宋体"/>
          <w:color w:val="auto"/>
          <w:sz w:val="24"/>
          <w:szCs w:val="24"/>
          <w:highlight w:val="none"/>
          <w:u w:val="single"/>
        </w:rPr>
        <w:t xml:space="preserve">各捌份 </w:t>
      </w:r>
      <w:r>
        <w:rPr>
          <w:rFonts w:hint="eastAsia" w:ascii="宋体" w:hAnsi="宋体" w:eastAsia="宋体" w:cs="宋体"/>
          <w:color w:val="auto"/>
          <w:sz w:val="24"/>
          <w:szCs w:val="24"/>
          <w:highlight w:val="none"/>
        </w:rPr>
        <w:t>。</w:t>
      </w:r>
    </w:p>
    <w:p w14:paraId="70D4412C">
      <w:pPr>
        <w:keepNext w:val="0"/>
        <w:keepLines w:val="0"/>
        <w:pageBreakBefore w:val="0"/>
        <w:widowControl w:val="0"/>
        <w:kinsoku/>
        <w:wordWrap w:val="0"/>
        <w:overflowPunct/>
        <w:topLinePunct w:val="0"/>
        <w:autoSpaceDE/>
        <w:autoSpaceDN/>
        <w:bidi w:val="0"/>
        <w:adjustRightInd/>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委托人在收到咨询人提交的工程造价咨询成果文件后确认或提出修改意见的期限：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7CF3AA1">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5.3.2因咨询人原因未能在合理的期限内完成工程计量与支付、合同价款调整等文件编制或审核，给委托人造成损失的违约责任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EBC9106">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199" w:name="_Toc407261949"/>
      <w:r>
        <w:rPr>
          <w:rFonts w:hint="eastAsia" w:ascii="宋体" w:hAnsi="宋体" w:eastAsia="宋体" w:cs="宋体"/>
          <w:b w:val="0"/>
          <w:color w:val="auto"/>
          <w:sz w:val="24"/>
          <w:szCs w:val="24"/>
          <w:highlight w:val="none"/>
        </w:rPr>
        <w:t>6. 咨询质量</w:t>
      </w:r>
      <w:bookmarkEnd w:id="199"/>
    </w:p>
    <w:p w14:paraId="6563F6B8">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 质量要求</w:t>
      </w:r>
    </w:p>
    <w:p w14:paraId="54E0CF1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工程造价咨询成果文件质量标准：</w:t>
      </w:r>
      <w:r>
        <w:rPr>
          <w:rFonts w:hint="eastAsia" w:ascii="宋体" w:hAnsi="宋体" w:eastAsia="宋体" w:cs="宋体"/>
          <w:color w:val="auto"/>
          <w:sz w:val="24"/>
          <w:szCs w:val="24"/>
          <w:highlight w:val="none"/>
          <w:u w:val="single"/>
        </w:rPr>
        <w:t xml:space="preserve">《建设工程造价咨询成果文件质量标准》（CECA/GCF2012） </w:t>
      </w:r>
      <w:r>
        <w:rPr>
          <w:rFonts w:hint="eastAsia" w:ascii="宋体" w:hAnsi="宋体" w:eastAsia="宋体" w:cs="宋体"/>
          <w:color w:val="auto"/>
          <w:sz w:val="24"/>
          <w:szCs w:val="24"/>
          <w:highlight w:val="none"/>
        </w:rPr>
        <w:t>。</w:t>
      </w:r>
    </w:p>
    <w:p w14:paraId="6B9F96F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 质量不合格处理</w:t>
      </w:r>
    </w:p>
    <w:p w14:paraId="1E113E2D">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因咨询人原因造成工程造价咨询成果文件质量未达到合同约定标准，委托人相应减少咨询酬金的计算方法为：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A5488C9">
      <w:pPr>
        <w:pageBreakBefore w:val="0"/>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因咨询人原因造成工程造价咨询成果文件质量不合格产生的损失赔偿额的计算方法为：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7FCD9C">
      <w:pPr>
        <w:pStyle w:val="6"/>
        <w:pageBreakBefore w:val="0"/>
        <w:kinsoku/>
        <w:wordWrap/>
        <w:overflowPunct/>
        <w:topLinePunct w:val="0"/>
        <w:bidi w:val="0"/>
        <w:snapToGrid/>
        <w:spacing w:beforeLines="0" w:afterLines="0" w:line="500" w:lineRule="exact"/>
        <w:textAlignment w:val="auto"/>
        <w:rPr>
          <w:rFonts w:hint="eastAsia" w:ascii="宋体" w:hAnsi="宋体" w:eastAsia="宋体" w:cs="宋体"/>
          <w:b w:val="0"/>
          <w:color w:val="auto"/>
          <w:sz w:val="24"/>
          <w:szCs w:val="24"/>
          <w:highlight w:val="none"/>
        </w:rPr>
      </w:pPr>
      <w:bookmarkStart w:id="200" w:name="_Toc407261950"/>
      <w:r>
        <w:rPr>
          <w:rFonts w:hint="eastAsia" w:ascii="宋体" w:hAnsi="宋体" w:eastAsia="宋体" w:cs="宋体"/>
          <w:b w:val="0"/>
          <w:color w:val="auto"/>
          <w:sz w:val="24"/>
          <w:szCs w:val="24"/>
          <w:highlight w:val="none"/>
        </w:rPr>
        <w:t>7. 咨询酬金</w:t>
      </w:r>
      <w:bookmarkEnd w:id="200"/>
    </w:p>
    <w:p w14:paraId="392DD593">
      <w:pPr>
        <w:pageBreakBefore w:val="0"/>
        <w:kinsoku/>
        <w:wordWrap/>
        <w:overflowPunct/>
        <w:topLinePunct w:val="0"/>
        <w:bidi w:val="0"/>
        <w:snapToGrid/>
        <w:spacing w:beforeLines="0" w:afterLines="0"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 酬金计算方式</w:t>
      </w:r>
    </w:p>
    <w:p w14:paraId="0D7D82F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咨询酬金其他计算方式：</w:t>
      </w:r>
      <w:r>
        <w:rPr>
          <w:rFonts w:hint="eastAsia" w:ascii="宋体" w:hAnsi="宋体" w:eastAsia="宋体" w:cs="宋体"/>
          <w:color w:val="auto"/>
          <w:sz w:val="24"/>
          <w:szCs w:val="24"/>
          <w:highlight w:val="none"/>
          <w:u w:val="single"/>
        </w:rPr>
        <w:t>工程量清单和最高投标限价编制费用=【施工中标价-（暂列金+暂估价）】*相应费率*</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%。请款时暂列金和暂估价均需扣除相应税金。</w:t>
      </w:r>
    </w:p>
    <w:p w14:paraId="06A3BE20">
      <w:pPr>
        <w:pageBreakBefore w:val="0"/>
        <w:kinsoku/>
        <w:wordWrap/>
        <w:overflowPunct/>
        <w:topLinePunct w:val="0"/>
        <w:bidi w:val="0"/>
        <w:snapToGrid/>
        <w:spacing w:beforeLines="0" w:afterLines="0" w:line="5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7.1.2 基本酬金加绩效酬金</w:t>
      </w:r>
    </w:p>
    <w:p w14:paraId="56DB8ADE">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基本酬金比率：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F0A5F3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绩效酬金比率：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450FD761">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 预付酬金</w:t>
      </w:r>
    </w:p>
    <w:p w14:paraId="656E8B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09D463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预付酬金支付期限：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2033A01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委托人逾期支付预付酬金的违约金的计算方式：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6564B95B">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酬金分段结算与支付的比例或金额：</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7E379F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咨询人提交酬金分段结算与支付申请书的期限：</w:t>
      </w:r>
      <w:r>
        <w:rPr>
          <w:rFonts w:hint="eastAsia" w:ascii="宋体" w:hAnsi="宋体" w:eastAsia="宋体" w:cs="宋体"/>
          <w:color w:val="auto"/>
          <w:sz w:val="24"/>
          <w:szCs w:val="24"/>
          <w:highlight w:val="none"/>
          <w:u w:val="single"/>
        </w:rPr>
        <w:t xml:space="preserve">             </w:t>
      </w:r>
    </w:p>
    <w:p w14:paraId="54AA5FB8">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委托人审核确认酬金分段结算与支付申请书并完成酬金支付的期限：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0F48DEC3">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 酬金结清与支付</w:t>
      </w:r>
    </w:p>
    <w:p w14:paraId="19E2B2EA">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 咨询人提交酬金结清与支付申请书的期限：</w:t>
      </w:r>
      <w:r>
        <w:rPr>
          <w:rFonts w:hint="eastAsia" w:ascii="宋体" w:hAnsi="宋体" w:eastAsia="宋体" w:cs="宋体"/>
          <w:color w:val="auto"/>
          <w:sz w:val="24"/>
          <w:szCs w:val="24"/>
          <w:highlight w:val="none"/>
          <w:u w:val="single"/>
        </w:rPr>
        <w:t xml:space="preserve">     /      </w:t>
      </w:r>
    </w:p>
    <w:p w14:paraId="41311E5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7.4.2 委托人审核确认酬金结清与支付申请书的期限：</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DF8C182">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7.4.3 委托人完成酬金支付的期限：</w:t>
      </w:r>
      <w:r>
        <w:rPr>
          <w:rFonts w:hint="eastAsia" w:ascii="宋体" w:hAnsi="宋体" w:eastAsia="宋体" w:cs="宋体"/>
          <w:color w:val="auto"/>
          <w:sz w:val="24"/>
          <w:szCs w:val="24"/>
          <w:highlight w:val="none"/>
          <w:u w:val="single"/>
          <w:lang w:val="en-US" w:eastAsia="zh-CN"/>
        </w:rPr>
        <w:t>施工招标完成后支付至合同价款的80%，工程竣工验收后支付合同价款的剩余费用（计算基数以施工中标价减去暂列金额、暂估价为准）。如项目因故调整未招标，则以最高投标限价乘以《滁州市关于规范政府和国有资金投资建设工程招标评标基准价的通知》中J值的最大值为计费基数，按照合同价款的50%作为最终结算价。（注：发包人在政府资金调度会批准且发票送达后完成支付）。</w:t>
      </w:r>
    </w:p>
    <w:p w14:paraId="2A90F6C9">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1" w:name="_Toc407261951"/>
      <w:r>
        <w:rPr>
          <w:rFonts w:hint="eastAsia" w:ascii="宋体" w:hAnsi="宋体" w:eastAsia="宋体" w:cs="宋体"/>
          <w:b w:val="0"/>
          <w:color w:val="auto"/>
          <w:sz w:val="24"/>
          <w:szCs w:val="24"/>
          <w:highlight w:val="none"/>
        </w:rPr>
        <w:t>8. 变更</w:t>
      </w:r>
      <w:bookmarkEnd w:id="201"/>
    </w:p>
    <w:p w14:paraId="35D1A2C9">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8.1 变更的范围</w:t>
      </w:r>
    </w:p>
    <w:p w14:paraId="64F21B60">
      <w:pPr>
        <w:pageBreakBefore w:val="0"/>
        <w:kinsoku/>
        <w:wordWrap/>
        <w:overflowPunct/>
        <w:topLinePunct w:val="0"/>
        <w:bidi w:val="0"/>
        <w:snapToGrid/>
        <w:spacing w:beforeLines="0" w:afterLines="0" w:line="500" w:lineRule="exact"/>
        <w:ind w:firstLine="6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eastAsia="宋体" w:cs="宋体"/>
          <w:color w:val="auto"/>
          <w:sz w:val="24"/>
          <w:szCs w:val="24"/>
          <w:highlight w:val="none"/>
        </w:rPr>
        <w:t>变更的其他情形：</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5898997">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8.2 变更引起的咨询酬金和期限调整</w:t>
      </w:r>
    </w:p>
    <w:p w14:paraId="7DCAB26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8.2.1 变更引起咨询酬金调整的计算方法: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63B523">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变更引起咨询期限调整的计算方法: </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748C2E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8.3 咨询人的合理化建议</w:t>
      </w:r>
    </w:p>
    <w:p w14:paraId="39F9E69D">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合理化建议奖励金额的比率：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CA08277">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合理化建议奖励的其他计算方法：</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5A8905BC">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2" w:name="_Toc407261952"/>
      <w:r>
        <w:rPr>
          <w:rFonts w:hint="eastAsia" w:ascii="宋体" w:hAnsi="宋体" w:eastAsia="宋体" w:cs="宋体"/>
          <w:b w:val="0"/>
          <w:color w:val="auto"/>
          <w:sz w:val="24"/>
          <w:szCs w:val="24"/>
          <w:highlight w:val="none"/>
        </w:rPr>
        <w:t>9. 违约</w:t>
      </w:r>
      <w:bookmarkEnd w:id="202"/>
    </w:p>
    <w:p w14:paraId="16C80E4C">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 委托人违约</w:t>
      </w:r>
    </w:p>
    <w:p w14:paraId="64384182">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关于委托人违约解除合同的特别约定：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48F570A5">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因委托人违约解除合同的，关于已完咨询业务酬金结算和付款的约定：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1F1910F4">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 咨询人违约</w:t>
      </w:r>
    </w:p>
    <w:p w14:paraId="104B66E7">
      <w:pPr>
        <w:pageBreakBefore w:val="0"/>
        <w:kinsoku/>
        <w:wordWrap/>
        <w:overflowPunct/>
        <w:topLinePunct w:val="0"/>
        <w:bidi w:val="0"/>
        <w:snapToGrid/>
        <w:spacing w:before="120" w:beforeLines="0" w:after="120" w:afterLines="0"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关于咨询人违约解除合同的特别约定：</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14:paraId="2A7A4214">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因咨询人违约解除合同的，关于已完咨询业务酬金结算和付款的约定：</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14:paraId="3CFA3439">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3" w:name="_Toc407261953"/>
      <w:r>
        <w:rPr>
          <w:rFonts w:hint="eastAsia" w:ascii="宋体" w:hAnsi="宋体" w:eastAsia="宋体" w:cs="宋体"/>
          <w:b w:val="0"/>
          <w:color w:val="auto"/>
          <w:sz w:val="24"/>
          <w:szCs w:val="24"/>
          <w:highlight w:val="none"/>
        </w:rPr>
        <w:t>10. 争议解决</w:t>
      </w:r>
      <w:bookmarkEnd w:id="203"/>
    </w:p>
    <w:p w14:paraId="27DF95CD">
      <w:pPr>
        <w:pageBreakBefore w:val="0"/>
        <w:kinsoku/>
        <w:wordWrap/>
        <w:overflowPunct/>
        <w:topLinePunct w:val="0"/>
        <w:bidi w:val="0"/>
        <w:snapToGrid/>
        <w:spacing w:beforeLines="0" w:afterLines="0"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10.3 仲裁或诉讼</w:t>
      </w:r>
    </w:p>
    <w:p w14:paraId="597A863F">
      <w:pPr>
        <w:pageBreakBefore w:val="0"/>
        <w:kinsoku/>
        <w:wordWrap/>
        <w:overflowPunct/>
        <w:topLinePunct w:val="0"/>
        <w:bidi w:val="0"/>
        <w:snapToGrid/>
        <w:spacing w:beforeLines="0" w:after="12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（1） </w:t>
      </w:r>
      <w:r>
        <w:rPr>
          <w:rFonts w:hint="eastAsia" w:ascii="宋体" w:hAnsi="宋体" w:eastAsia="宋体" w:cs="宋体"/>
          <w:color w:val="auto"/>
          <w:sz w:val="24"/>
          <w:szCs w:val="24"/>
          <w:highlight w:val="none"/>
        </w:rPr>
        <w:t>种方式解决：</w:t>
      </w:r>
    </w:p>
    <w:p w14:paraId="2683F42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滁州市        </w:t>
      </w:r>
      <w:r>
        <w:rPr>
          <w:rFonts w:hint="eastAsia" w:ascii="宋体" w:hAnsi="宋体" w:eastAsia="宋体" w:cs="宋体"/>
          <w:color w:val="auto"/>
          <w:sz w:val="24"/>
          <w:szCs w:val="24"/>
          <w:highlight w:val="none"/>
        </w:rPr>
        <w:t>仲裁委员会申请仲裁；</w:t>
      </w:r>
    </w:p>
    <w:p w14:paraId="00B9D8C0">
      <w:pPr>
        <w:pageBreakBefore w:val="0"/>
        <w:kinsoku/>
        <w:wordWrap/>
        <w:overflowPunct/>
        <w:topLinePunct w:val="0"/>
        <w:bidi w:val="0"/>
        <w:snapToGrid/>
        <w:spacing w:beforeLines="0" w:afterLines="0"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人民法院起诉。</w:t>
      </w:r>
    </w:p>
    <w:p w14:paraId="48DA52B3">
      <w:pPr>
        <w:pStyle w:val="6"/>
        <w:pageBreakBefore w:val="0"/>
        <w:kinsoku/>
        <w:wordWrap/>
        <w:overflowPunct/>
        <w:topLinePunct w:val="0"/>
        <w:bidi w:val="0"/>
        <w:snapToGrid/>
        <w:spacing w:beforeLines="0" w:afterLines="0" w:line="500" w:lineRule="exact"/>
        <w:jc w:val="left"/>
        <w:textAlignment w:val="auto"/>
        <w:rPr>
          <w:rFonts w:hint="eastAsia" w:ascii="宋体" w:hAnsi="宋体" w:eastAsia="宋体" w:cs="宋体"/>
          <w:b w:val="0"/>
          <w:color w:val="auto"/>
          <w:sz w:val="24"/>
          <w:szCs w:val="24"/>
          <w:highlight w:val="none"/>
        </w:rPr>
      </w:pPr>
      <w:bookmarkStart w:id="204" w:name="_Toc407261954"/>
      <w:r>
        <w:rPr>
          <w:rFonts w:hint="eastAsia" w:ascii="宋体" w:hAnsi="宋体" w:eastAsia="宋体" w:cs="宋体"/>
          <w:b w:val="0"/>
          <w:color w:val="auto"/>
          <w:sz w:val="24"/>
          <w:szCs w:val="24"/>
          <w:highlight w:val="none"/>
        </w:rPr>
        <w:t>11. 补充条款</w:t>
      </w:r>
      <w:bookmarkEnd w:id="204"/>
    </w:p>
    <w:p w14:paraId="6CFE222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1、严格执行《工程量清单及最高限价编制管理办法》规定。</w:t>
      </w:r>
    </w:p>
    <w:p w14:paraId="1F00AE2D">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2、咨询人须为本项目预留足够人员并驻场服务，确保服务质量及不耽误项目建设进度。咨询人中标后须按照委托人要求及时完成工程量清单及最高限价编制，并积极配合委托人开展工程的招投标工作。</w:t>
      </w:r>
    </w:p>
    <w:p w14:paraId="35110F9E">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3、工程量清单最高投标限价编制及复核过程中，咨询人应与委托人充分及时沟通，及时踏勘项目现场，以使清单项目特征描述尽可能详尽,满足委托人要求。</w:t>
      </w:r>
    </w:p>
    <w:p w14:paraId="2F7EB75C">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4、当完成工程量清单及最高投标限价编制及复核时，投标人根据自己的工作经验向委托人提出有关造价及工作管理等方面的建议性意见。</w:t>
      </w:r>
    </w:p>
    <w:p w14:paraId="4CAC39A4">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工程量清单最高投标限价编制严格按照国家、省、市及行业主管部门规定的最新计价规范、办法、政策性调整及现行定额计算，材料价格按滁州市工程造价信息最新一期，对没有的价格参见本市级部分的价格或通过市场询价确定，提供主要材料和设备询价单，咨询品牌不应少于3家。</w:t>
      </w:r>
    </w:p>
    <w:p w14:paraId="7CE35D23">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6、委托人安排的其他合理事项，咨询人应予以配合完成；咨询人有错、漏项的必须及时配合补充编制、复审。否则业主有权上报有关主管部门给予处罚。</w:t>
      </w:r>
    </w:p>
    <w:p w14:paraId="68821887">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7、根据委托人安排，通知中标单位项目负责人及编制人员到场开会，如有一次不到场，每一次处以5000元违约金。</w:t>
      </w:r>
    </w:p>
    <w:p w14:paraId="1E3E31F8">
      <w:pPr>
        <w:pageBreakBefore w:val="0"/>
        <w:widowControl/>
        <w:kinsoku/>
        <w:wordWrap/>
        <w:overflowPunct/>
        <w:topLinePunct w:val="0"/>
        <w:bidi w:val="0"/>
        <w:snapToGrid/>
        <w:spacing w:beforeLines="0" w:afterLines="0"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8、本项目在实施过程中可能存在减少（或增加）楼层导致的编制工作量减少（或增加）时，咨询人须无条件配合工作。</w:t>
      </w:r>
    </w:p>
    <w:p w14:paraId="0F69A945">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11E9D09">
      <w:pPr>
        <w:pStyle w:val="2"/>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7261B75D">
      <w:pPr>
        <w:pageBreakBefore w:val="0"/>
        <w:kinsoku/>
        <w:wordWrap/>
        <w:overflowPunct/>
        <w:topLinePunct w:val="0"/>
        <w:bidi w:val="0"/>
        <w:snapToGrid/>
        <w:spacing w:beforeLines="0" w:afterLines="0" w:line="500" w:lineRule="exact"/>
        <w:textAlignment w:val="auto"/>
        <w:rPr>
          <w:rFonts w:hint="eastAsia" w:ascii="仿宋_GB2312" w:hAnsi="仿宋_GB2312" w:eastAsia="仿宋_GB2312" w:cs="仿宋_GB2312"/>
          <w:color w:val="auto"/>
          <w:sz w:val="30"/>
          <w:szCs w:val="30"/>
          <w:highlight w:val="none"/>
        </w:rPr>
      </w:pPr>
    </w:p>
    <w:p w14:paraId="2AF2BF51">
      <w:pPr>
        <w:pStyle w:val="2"/>
        <w:spacing w:beforeLines="0" w:afterLines="0"/>
        <w:rPr>
          <w:rFonts w:hint="eastAsia" w:ascii="仿宋_GB2312" w:hAnsi="仿宋_GB2312" w:eastAsia="仿宋_GB2312" w:cs="仿宋_GB2312"/>
          <w:color w:val="auto"/>
          <w:sz w:val="30"/>
          <w:szCs w:val="30"/>
          <w:highlight w:val="none"/>
        </w:rPr>
      </w:pPr>
    </w:p>
    <w:p w14:paraId="232E2E76">
      <w:pPr>
        <w:spacing w:beforeLines="0" w:afterLines="0"/>
        <w:rPr>
          <w:rFonts w:hint="eastAsia" w:ascii="仿宋_GB2312" w:hAnsi="仿宋_GB2312" w:eastAsia="仿宋_GB2312" w:cs="仿宋_GB2312"/>
          <w:color w:val="auto"/>
          <w:sz w:val="30"/>
          <w:szCs w:val="30"/>
          <w:highlight w:val="none"/>
        </w:rPr>
      </w:pPr>
    </w:p>
    <w:p w14:paraId="6AC15FD6">
      <w:pPr>
        <w:keepNext w:val="0"/>
        <w:keepLines w:val="0"/>
        <w:widowControl w:val="0"/>
        <w:suppressLineNumbers w:val="0"/>
        <w:spacing w:before="0" w:beforeAutospacing="0" w:after="0" w:afterAutospacing="0"/>
        <w:ind w:left="0" w:right="0"/>
        <w:jc w:val="both"/>
        <w:rPr>
          <w:color w:val="auto"/>
          <w:highlight w:val="none"/>
        </w:rPr>
      </w:pPr>
    </w:p>
    <w:p w14:paraId="099B5ADB">
      <w:pPr>
        <w:pStyle w:val="5"/>
        <w:spacing w:before="0" w:after="0"/>
        <w:rPr>
          <w:rFonts w:hint="eastAsia" w:ascii="宋体" w:hAnsi="宋体" w:eastAsia="宋体" w:cs="宋体"/>
          <w:color w:val="auto"/>
          <w:highlight w:val="none"/>
          <w:lang w:val="en-US" w:eastAsia="zh-CN"/>
        </w:rPr>
      </w:pPr>
    </w:p>
    <w:p w14:paraId="164B5F6C">
      <w:pPr>
        <w:rPr>
          <w:rFonts w:hint="eastAsia" w:ascii="宋体" w:hAnsi="宋体" w:eastAsia="宋体" w:cs="宋体"/>
          <w:b/>
          <w:bCs/>
          <w:color w:val="auto"/>
          <w:kern w:val="2"/>
          <w:sz w:val="28"/>
          <w:szCs w:val="28"/>
          <w:highlight w:val="none"/>
        </w:rPr>
      </w:pPr>
      <w:r>
        <w:rPr>
          <w:rFonts w:hint="eastAsia" w:ascii="宋体" w:hAnsi="宋体" w:eastAsia="宋体" w:cs="宋体"/>
          <w:b/>
          <w:bCs/>
          <w:color w:val="auto"/>
          <w:kern w:val="2"/>
          <w:sz w:val="28"/>
          <w:szCs w:val="28"/>
          <w:highlight w:val="none"/>
        </w:rPr>
        <w:br w:type="page"/>
      </w:r>
    </w:p>
    <w:p w14:paraId="092A411A">
      <w:pPr>
        <w:pStyle w:val="2"/>
        <w:widowControl/>
        <w:rPr>
          <w:rFonts w:hint="eastAsia" w:ascii="宋体" w:hAnsi="宋体" w:eastAsia="宋体" w:cs="宋体"/>
          <w:b/>
          <w:bCs/>
          <w:color w:val="auto"/>
          <w:kern w:val="2"/>
          <w:sz w:val="28"/>
          <w:szCs w:val="28"/>
          <w:highlight w:val="none"/>
        </w:rPr>
        <w:sectPr>
          <w:footerReference r:id="rId6" w:type="default"/>
          <w:pgSz w:w="12242" w:h="15842"/>
          <w:pgMar w:top="935" w:right="1106" w:bottom="936" w:left="1259" w:header="680" w:footer="680" w:gutter="0"/>
          <w:pgNumType w:fmt="decimal" w:start="1"/>
          <w:cols w:space="0" w:num="1"/>
          <w:docGrid w:type="lines" w:linePitch="318" w:charSpace="0"/>
        </w:sectPr>
      </w:pPr>
    </w:p>
    <w:p w14:paraId="1BCE9008">
      <w:pPr>
        <w:pStyle w:val="2"/>
        <w:widowControl/>
        <w:rPr>
          <w:rFonts w:hint="eastAsia" w:ascii="宋体" w:hAnsi="宋体" w:eastAsia="宋体" w:cs="宋体"/>
          <w:b/>
          <w:bCs/>
          <w:color w:val="auto"/>
          <w:kern w:val="2"/>
          <w:sz w:val="28"/>
          <w:szCs w:val="28"/>
          <w:highlight w:val="none"/>
        </w:rPr>
      </w:pPr>
      <w:bookmarkStart w:id="211" w:name="_GoBack"/>
      <w:r>
        <w:rPr>
          <w:rFonts w:hint="eastAsia" w:ascii="宋体" w:hAnsi="宋体" w:eastAsia="宋体" w:cs="宋体"/>
          <w:b/>
          <w:bCs/>
          <w:color w:val="auto"/>
          <w:kern w:val="2"/>
          <w:sz w:val="28"/>
          <w:szCs w:val="28"/>
          <w:highlight w:val="none"/>
        </w:rPr>
        <w:t>附表</w:t>
      </w:r>
    </w:p>
    <w:p w14:paraId="1729D2A0">
      <w:pPr>
        <w:jc w:val="right"/>
        <w:rPr>
          <w:rFonts w:hint="default"/>
          <w:color w:val="auto"/>
          <w:highlight w:val="none"/>
        </w:rPr>
      </w:pPr>
      <w:r>
        <w:rPr>
          <w:rFonts w:hint="default"/>
          <w:color w:val="auto"/>
          <w:highlight w:val="none"/>
          <w:lang w:val="en-US" w:eastAsia="zh-CN"/>
        </w:rPr>
        <w:t>费率：‰</w:t>
      </w:r>
    </w:p>
    <w:tbl>
      <w:tblPr>
        <w:tblStyle w:val="45"/>
        <w:tblW w:w="14038" w:type="dxa"/>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716"/>
        <w:gridCol w:w="448"/>
        <w:gridCol w:w="1683"/>
        <w:gridCol w:w="755"/>
        <w:gridCol w:w="630"/>
        <w:gridCol w:w="1115"/>
        <w:gridCol w:w="558"/>
        <w:gridCol w:w="537"/>
        <w:gridCol w:w="60"/>
        <w:gridCol w:w="478"/>
        <w:gridCol w:w="72"/>
        <w:gridCol w:w="466"/>
        <w:gridCol w:w="46"/>
        <w:gridCol w:w="492"/>
        <w:gridCol w:w="510"/>
        <w:gridCol w:w="28"/>
        <w:gridCol w:w="516"/>
        <w:gridCol w:w="18"/>
        <w:gridCol w:w="3"/>
        <w:gridCol w:w="681"/>
        <w:gridCol w:w="4226"/>
      </w:tblGrid>
      <w:tr w14:paraId="30FC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73F8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序号</w:t>
            </w:r>
          </w:p>
        </w:tc>
        <w:tc>
          <w:tcPr>
            <w:tcW w:w="2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90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咨询项目</w:t>
            </w:r>
          </w:p>
        </w:tc>
        <w:tc>
          <w:tcPr>
            <w:tcW w:w="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586F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收费</w:t>
            </w:r>
          </w:p>
          <w:p w14:paraId="519CCC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基础</w:t>
            </w:r>
          </w:p>
        </w:tc>
        <w:tc>
          <w:tcPr>
            <w:tcW w:w="174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56A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工程类型</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16D4DA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单位工程金额(万元)</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50C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服务内容</w:t>
            </w:r>
          </w:p>
        </w:tc>
      </w:tr>
      <w:tr w14:paraId="56C65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D4E0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4515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BAF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03D4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C3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w:t>
            </w:r>
          </w:p>
          <w:p w14:paraId="5FF5FA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0BB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w:t>
            </w:r>
          </w:p>
          <w:p w14:paraId="60E3DC4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257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w:t>
            </w:r>
          </w:p>
          <w:p w14:paraId="589B5E4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D9F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w:t>
            </w:r>
          </w:p>
          <w:p w14:paraId="617628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09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2000</w:t>
            </w:r>
          </w:p>
          <w:p w14:paraId="571DFF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CE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5000</w:t>
            </w:r>
          </w:p>
          <w:p w14:paraId="3F323D2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E314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43B8438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以内</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09AB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10000</w:t>
            </w:r>
          </w:p>
          <w:p w14:paraId="03A274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以上</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D2CA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75B4D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3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一</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6AE5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可行性项目投资估算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43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FEE1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AD8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4346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0CD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FEC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1.5</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62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75C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E63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344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0.7</w:t>
            </w:r>
          </w:p>
        </w:tc>
        <w:tc>
          <w:tcPr>
            <w:tcW w:w="4226" w:type="dxa"/>
            <w:vMerge w:val="restart"/>
            <w:tcBorders>
              <w:top w:val="nil"/>
              <w:left w:val="single" w:color="000000" w:sz="4" w:space="0"/>
              <w:bottom w:val="single" w:color="000000" w:sz="4" w:space="0"/>
              <w:right w:val="single" w:color="000000" w:sz="4" w:space="0"/>
            </w:tcBorders>
            <w:shd w:val="clear" w:color="auto" w:fill="auto"/>
            <w:vAlign w:val="center"/>
          </w:tcPr>
          <w:p w14:paraId="35B09B1A">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调查、收集资料，完成和出具投资估算或可行性经济评价报告</w:t>
            </w:r>
          </w:p>
        </w:tc>
      </w:tr>
      <w:tr w14:paraId="3F50C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9E3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二</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EAB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项目经济评价</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4AF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估算价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337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6F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A16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693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370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5F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CDA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7ACA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9170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0.8</w:t>
            </w:r>
          </w:p>
        </w:tc>
        <w:tc>
          <w:tcPr>
            <w:tcW w:w="4226" w:type="dxa"/>
            <w:vMerge w:val="continue"/>
            <w:tcBorders>
              <w:top w:val="nil"/>
              <w:left w:val="single" w:color="000000" w:sz="4" w:space="0"/>
              <w:bottom w:val="single" w:color="000000" w:sz="4" w:space="0"/>
              <w:right w:val="single" w:color="000000" w:sz="4" w:space="0"/>
            </w:tcBorders>
            <w:shd w:val="clear" w:color="auto" w:fill="auto"/>
            <w:vAlign w:val="center"/>
          </w:tcPr>
          <w:p w14:paraId="43CF0BC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1D23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E0A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三</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627A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工程项目设计概算</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0B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概算价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E4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CA7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4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CA10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FA44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D92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87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A067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959E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4C6">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收集资料，根据初步设计图计算或复核工程量进行工料分析，出具工程概算书或审核报告</w:t>
            </w:r>
          </w:p>
        </w:tc>
      </w:tr>
      <w:tr w14:paraId="1E1A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65498BF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四</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79F54EA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定</w:t>
            </w:r>
          </w:p>
          <w:p w14:paraId="4083A75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额</w:t>
            </w:r>
          </w:p>
          <w:p w14:paraId="4C934E5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0470B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48FB96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F8195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414B0">
            <w:pPr>
              <w:keepNext w:val="0"/>
              <w:keepLines w:val="0"/>
              <w:widowControl w:val="0"/>
              <w:suppressLineNumbers w:val="0"/>
              <w:adjustRightInd w:val="0"/>
              <w:snapToGrid w:val="0"/>
              <w:spacing w:before="0" w:beforeAutospacing="0" w:after="0" w:afterAutospacing="0"/>
              <w:ind w:left="0" w:right="0" w:firstLine="720" w:firstLineChars="40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1C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7E7E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2B9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D31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F2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C1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61C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AF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900A8">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收集资料，根据施工图或施工技术规范计算工程量，进行工料分析，</w:t>
            </w:r>
          </w:p>
          <w:p w14:paraId="74C02264">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完成计价，出具工程概算书或工程结算书</w:t>
            </w:r>
          </w:p>
        </w:tc>
      </w:tr>
      <w:tr w14:paraId="1074A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6C2875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67AD9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3408767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4D292F0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C29D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FE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6B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B51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ED373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DB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C23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27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133A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50C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0D2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3A75C7D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五</w:t>
            </w: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3FECA2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05CFCD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工程预算、结算、标底审核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A98042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137BB5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w:t>
            </w:r>
          </w:p>
          <w:p w14:paraId="26DBE8D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EE9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B6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7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8E4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E6E7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A3E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9C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3CB9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F90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BDB4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E7E3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8F10DF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A40640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0269BF4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397DF5B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290BF4D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2EA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73CA5D0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6C89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987B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2392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AD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3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A78D2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AC4E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16A69">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F716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38BAE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9441E6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5CCFDB1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062091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D36AE">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8DFC0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49C6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882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2FCBF31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六</w:t>
            </w:r>
          </w:p>
        </w:tc>
        <w:tc>
          <w:tcPr>
            <w:tcW w:w="448" w:type="dxa"/>
            <w:vMerge w:val="restart"/>
            <w:tcBorders>
              <w:top w:val="nil"/>
              <w:left w:val="single" w:color="000000" w:sz="4" w:space="0"/>
              <w:bottom w:val="single" w:color="000000" w:sz="4" w:space="0"/>
              <w:right w:val="single" w:color="000000" w:sz="4" w:space="0"/>
            </w:tcBorders>
            <w:shd w:val="clear" w:color="auto" w:fill="auto"/>
            <w:vAlign w:val="center"/>
          </w:tcPr>
          <w:p w14:paraId="3C8AFFC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清</w:t>
            </w:r>
          </w:p>
          <w:p w14:paraId="05FB0C2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单</w:t>
            </w:r>
          </w:p>
          <w:p w14:paraId="719FD38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w:t>
            </w:r>
          </w:p>
          <w:p w14:paraId="0E3B41A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价</w:t>
            </w: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79AD1D4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68E557C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7E99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369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4.8</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1E2C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4.3</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176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216F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6AF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618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7850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2.5</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FDB6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10497">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、工程量清单编制。根据“计价规范”及施工图编制拟建工程的分部分项项目、措施项目、项目编码、项目名称、单位和数量明细清单；</w:t>
            </w:r>
          </w:p>
          <w:p w14:paraId="19D24ECF">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、控制价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标底价</w:t>
            </w:r>
            <w:r>
              <w:rPr>
                <w:rFonts w:hint="default" w:ascii="Times New Roman" w:hAnsi="Times New Roman" w:eastAsia="宋体" w:cs="Times New Roman"/>
                <w:color w:val="auto"/>
                <w:kern w:val="2"/>
                <w:sz w:val="18"/>
                <w:szCs w:val="18"/>
                <w:highlight w:val="none"/>
                <w:lang w:val="en-US" w:eastAsia="zh-CN" w:bidi="ar"/>
              </w:rPr>
              <w:t>)</w:t>
            </w:r>
            <w:r>
              <w:rPr>
                <w:rFonts w:hint="eastAsia" w:ascii="宋体" w:hAnsi="宋体" w:eastAsia="宋体" w:cs="宋体"/>
                <w:color w:val="auto"/>
                <w:kern w:val="2"/>
                <w:sz w:val="18"/>
                <w:szCs w:val="18"/>
                <w:highlight w:val="none"/>
                <w:lang w:val="en-US" w:eastAsia="zh-CN" w:bidi="ar"/>
              </w:rPr>
              <w:t>应根据招标文件及提供的工程量清单，进行分部分项综合单价分析、措施项目分析，各项合价、总价等，完成工程量清单所需的全部费用；</w:t>
            </w:r>
          </w:p>
          <w:p w14:paraId="52A183B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、工程结算编制，根据合同条款及投标报价、工程实施过程是发生的设计变更、现场签证、设备的价格变化及建筑经济政策的变化行编制；</w:t>
            </w:r>
          </w:p>
          <w:p w14:paraId="592B7445">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、工程结算审核，可提供的工程结算资料，特别是综合单价的分析、设计变更及经济签证进行真实性、合理性审核；</w:t>
            </w:r>
          </w:p>
        </w:tc>
      </w:tr>
      <w:tr w14:paraId="00442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2EA06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5A4CE9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4663A88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570575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1646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320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73C7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0F8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4.0</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107F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41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52C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7A75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EE9A1B">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909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6739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F90B380">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58C7C61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27392C7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控制价(标底价)</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487DBF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中标价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1AED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4AD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0A6B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3634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822B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71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2E3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8D746">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CCFDE">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3033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66C6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B7165E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0EA2704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72B7EB8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5D96325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5421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C86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48A8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5387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B70B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A2A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76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1.3</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C79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6CB3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34D3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0F5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B69B96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3474F72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3B4E1F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工程结算编制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78BEF23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2F29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E91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3.0</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BA0CB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3293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AE4D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89E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ED2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BBE1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7D937">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0.9</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D589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F787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ACCE42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B320A7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687958D5">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502B28">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627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10C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940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44FC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8A3A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5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27E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1.4</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539CD">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1.2</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D4678">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E19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213F2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3F52B757">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2D989EB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restart"/>
            <w:tcBorders>
              <w:top w:val="nil"/>
              <w:left w:val="single" w:color="000000" w:sz="4" w:space="0"/>
              <w:bottom w:val="single" w:color="000000" w:sz="4" w:space="0"/>
              <w:right w:val="single" w:color="000000" w:sz="4" w:space="0"/>
            </w:tcBorders>
            <w:shd w:val="clear" w:color="auto" w:fill="auto"/>
            <w:vAlign w:val="center"/>
          </w:tcPr>
          <w:p w14:paraId="1FCDD2A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工程量清单</w:t>
            </w:r>
          </w:p>
          <w:p w14:paraId="5579D26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结算审核</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1C08FB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送审工程</w:t>
            </w:r>
          </w:p>
          <w:p w14:paraId="1D0919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w:t>
            </w:r>
          </w:p>
        </w:tc>
        <w:tc>
          <w:tcPr>
            <w:tcW w:w="630" w:type="dxa"/>
            <w:vMerge w:val="restart"/>
            <w:tcBorders>
              <w:top w:val="nil"/>
              <w:left w:val="single" w:color="000000" w:sz="4" w:space="0"/>
              <w:bottom w:val="single" w:color="000000" w:sz="4" w:space="0"/>
              <w:right w:val="single" w:color="000000" w:sz="4" w:space="0"/>
            </w:tcBorders>
            <w:shd w:val="clear" w:color="auto" w:fill="auto"/>
            <w:vAlign w:val="center"/>
          </w:tcPr>
          <w:p w14:paraId="7A6FBD6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(1)基本收费</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3D3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3C0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3.4</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A797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3.1</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FEB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2.7</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E0FA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2.4</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71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12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829E9">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92BEB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83F2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33A6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284"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084310DF">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43F5343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8315B8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6782C7E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630" w:type="dxa"/>
            <w:vMerge w:val="continue"/>
            <w:tcBorders>
              <w:top w:val="nil"/>
              <w:left w:val="single" w:color="000000" w:sz="4" w:space="0"/>
              <w:bottom w:val="single" w:color="000000" w:sz="4" w:space="0"/>
              <w:right w:val="single" w:color="000000" w:sz="4" w:space="0"/>
            </w:tcBorders>
            <w:shd w:val="clear" w:color="auto" w:fill="auto"/>
            <w:vAlign w:val="center"/>
          </w:tcPr>
          <w:p w14:paraId="783339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4BC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558" w:type="dxa"/>
            <w:tcBorders>
              <w:top w:val="single" w:color="000000" w:sz="4" w:space="0"/>
              <w:left w:val="single" w:color="000000" w:sz="4" w:space="0"/>
              <w:bottom w:val="nil"/>
              <w:right w:val="single" w:color="000000" w:sz="4" w:space="0"/>
            </w:tcBorders>
            <w:shd w:val="clear" w:color="auto" w:fill="auto"/>
            <w:vAlign w:val="center"/>
          </w:tcPr>
          <w:p w14:paraId="3A40E38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3.6</w:t>
            </w:r>
          </w:p>
        </w:tc>
        <w:tc>
          <w:tcPr>
            <w:tcW w:w="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562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3.2</w:t>
            </w:r>
          </w:p>
        </w:tc>
        <w:tc>
          <w:tcPr>
            <w:tcW w:w="5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0B6BD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2.8</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215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2.6</w:t>
            </w:r>
          </w:p>
        </w:tc>
        <w:tc>
          <w:tcPr>
            <w:tcW w:w="4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59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2.3</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0C3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2.1</w:t>
            </w:r>
          </w:p>
        </w:tc>
        <w:tc>
          <w:tcPr>
            <w:tcW w:w="5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1C903">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1.9</w:t>
            </w:r>
          </w:p>
        </w:tc>
        <w:tc>
          <w:tcPr>
            <w:tcW w:w="70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B1990">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1.8</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DE3AB">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53BD5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34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7107B9C6">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448" w:type="dxa"/>
            <w:vMerge w:val="continue"/>
            <w:tcBorders>
              <w:top w:val="nil"/>
              <w:left w:val="single" w:color="000000" w:sz="4" w:space="0"/>
              <w:bottom w:val="single" w:color="000000" w:sz="4" w:space="0"/>
              <w:right w:val="single" w:color="000000" w:sz="4" w:space="0"/>
            </w:tcBorders>
            <w:shd w:val="clear" w:color="auto" w:fill="auto"/>
            <w:vAlign w:val="center"/>
          </w:tcPr>
          <w:p w14:paraId="66539B2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683" w:type="dxa"/>
            <w:vMerge w:val="continue"/>
            <w:tcBorders>
              <w:top w:val="nil"/>
              <w:left w:val="single" w:color="000000" w:sz="4" w:space="0"/>
              <w:bottom w:val="single" w:color="000000" w:sz="4" w:space="0"/>
              <w:right w:val="single" w:color="000000" w:sz="4" w:space="0"/>
            </w:tcBorders>
            <w:shd w:val="clear" w:color="auto" w:fill="auto"/>
            <w:vAlign w:val="center"/>
          </w:tcPr>
          <w:p w14:paraId="2943B1E1">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2B83A914">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A4589">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(2)审核增减额</w:t>
            </w: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4EA1DF1">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5%</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4E04A">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44357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restart"/>
            <w:tcBorders>
              <w:top w:val="nil"/>
              <w:left w:val="single" w:color="000000" w:sz="4" w:space="0"/>
              <w:bottom w:val="single" w:color="000000" w:sz="4" w:space="0"/>
              <w:right w:val="single" w:color="000000" w:sz="4" w:space="0"/>
            </w:tcBorders>
            <w:shd w:val="clear" w:color="auto" w:fill="auto"/>
            <w:vAlign w:val="center"/>
          </w:tcPr>
          <w:p w14:paraId="079DB9C9">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七</w:t>
            </w:r>
          </w:p>
        </w:tc>
        <w:tc>
          <w:tcPr>
            <w:tcW w:w="2131"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5E9F280E">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施工阶段全过程工程</w:t>
            </w:r>
          </w:p>
          <w:p w14:paraId="065E48C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造价控制</w:t>
            </w:r>
          </w:p>
        </w:tc>
        <w:tc>
          <w:tcPr>
            <w:tcW w:w="755" w:type="dxa"/>
            <w:vMerge w:val="restart"/>
            <w:tcBorders>
              <w:top w:val="nil"/>
              <w:left w:val="single" w:color="000000" w:sz="4" w:space="0"/>
              <w:bottom w:val="single" w:color="000000" w:sz="4" w:space="0"/>
              <w:right w:val="single" w:color="000000" w:sz="4" w:space="0"/>
            </w:tcBorders>
            <w:shd w:val="clear" w:color="auto" w:fill="auto"/>
            <w:vAlign w:val="center"/>
          </w:tcPr>
          <w:p w14:paraId="568A5D6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工程造价</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6CF7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建筑工程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78D4D">
            <w:pPr>
              <w:keepNext w:val="0"/>
              <w:keepLines w:val="0"/>
              <w:widowControl w:val="0"/>
              <w:suppressLineNumbers w:val="0"/>
              <w:adjustRightInd w:val="0"/>
              <w:snapToGrid w:val="0"/>
              <w:spacing w:before="0" w:beforeAutospacing="0" w:after="0" w:afterAutospacing="0"/>
              <w:ind w:left="-16" w:leftChars="-51" w:right="0" w:hanging="91" w:hangingChars="51"/>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C92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FAE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101D">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3F0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23AE3C">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6D14">
            <w:pPr>
              <w:keepNext w:val="0"/>
              <w:keepLines w:val="0"/>
              <w:widowControl w:val="0"/>
              <w:suppressLineNumbers w:val="0"/>
              <w:adjustRightInd w:val="0"/>
              <w:snapToGrid w:val="0"/>
              <w:spacing w:before="0" w:beforeAutospacing="0" w:after="0" w:afterAutospacing="0"/>
              <w:ind w:left="270" w:right="0" w:hanging="270" w:hangingChars="15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 xml:space="preserve">5 </w:t>
            </w:r>
          </w:p>
        </w:tc>
        <w:tc>
          <w:tcPr>
            <w:tcW w:w="42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2EA61">
            <w:pPr>
              <w:keepNext w:val="0"/>
              <w:keepLines w:val="0"/>
              <w:widowControl w:val="0"/>
              <w:suppressLineNumbers w:val="0"/>
              <w:snapToGrid w:val="0"/>
              <w:spacing w:before="0" w:beforeAutospacing="0" w:after="0" w:afterAutospacing="0"/>
              <w:ind w:left="0" w:right="0"/>
              <w:jc w:val="both"/>
              <w:rPr>
                <w:rFonts w:hint="eastAsia" w:ascii="Times New Roman" w:hAnsi="Times New Roman" w:eastAsia="宋体" w:cs="Times New Roman"/>
                <w:color w:val="auto"/>
                <w:kern w:val="2"/>
                <w:sz w:val="18"/>
                <w:szCs w:val="18"/>
                <w:highlight w:val="none"/>
              </w:rPr>
            </w:pPr>
            <w:r>
              <w:rPr>
                <w:rFonts w:hint="default" w:ascii="Times New Roman" w:hAnsi="Times New Roman" w:eastAsia="宋体" w:cs="Times New Roman"/>
                <w:color w:val="auto"/>
                <w:kern w:val="2"/>
                <w:sz w:val="18"/>
                <w:szCs w:val="18"/>
                <w:highlight w:val="none"/>
                <w:lang w:val="en-US" w:eastAsia="zh-CN" w:bidi="ar"/>
              </w:rPr>
              <w:t>1</w:t>
            </w:r>
            <w:r>
              <w:rPr>
                <w:rFonts w:hint="eastAsia" w:ascii="宋体" w:hAnsi="宋体" w:eastAsia="宋体" w:cs="宋体"/>
                <w:color w:val="auto"/>
                <w:kern w:val="2"/>
                <w:sz w:val="18"/>
                <w:szCs w:val="18"/>
                <w:highlight w:val="none"/>
                <w:lang w:val="en-US" w:eastAsia="zh-CN" w:bidi="ar"/>
              </w:rPr>
              <w:t>、根据施工承包合同价、进度计划，编制工程用款计划书；</w:t>
            </w:r>
            <w:r>
              <w:rPr>
                <w:rFonts w:hint="default" w:ascii="Times New Roman" w:hAnsi="Times New Roman" w:eastAsia="宋体" w:cs="Times New Roman"/>
                <w:color w:val="auto"/>
                <w:kern w:val="2"/>
                <w:sz w:val="18"/>
                <w:szCs w:val="18"/>
                <w:highlight w:val="none"/>
                <w:lang w:val="en-US" w:eastAsia="zh-CN" w:bidi="ar"/>
              </w:rPr>
              <w:t>2</w:t>
            </w:r>
            <w:r>
              <w:rPr>
                <w:rFonts w:hint="eastAsia" w:ascii="宋体" w:hAnsi="宋体" w:eastAsia="宋体" w:cs="宋体"/>
                <w:color w:val="auto"/>
                <w:kern w:val="2"/>
                <w:sz w:val="18"/>
                <w:szCs w:val="18"/>
                <w:highlight w:val="none"/>
                <w:lang w:val="en-US" w:eastAsia="zh-CN" w:bidi="ar"/>
              </w:rPr>
              <w:t>、参与工程造价控制的有关会议；</w:t>
            </w:r>
            <w:r>
              <w:rPr>
                <w:rFonts w:hint="default" w:ascii="Times New Roman" w:hAnsi="Times New Roman" w:eastAsia="宋体" w:cs="Times New Roman"/>
                <w:color w:val="auto"/>
                <w:kern w:val="2"/>
                <w:sz w:val="18"/>
                <w:szCs w:val="18"/>
                <w:highlight w:val="none"/>
                <w:lang w:val="en-US" w:eastAsia="zh-CN" w:bidi="ar"/>
              </w:rPr>
              <w:t>3</w:t>
            </w:r>
            <w:r>
              <w:rPr>
                <w:rFonts w:hint="eastAsia" w:ascii="宋体" w:hAnsi="宋体" w:eastAsia="宋体" w:cs="宋体"/>
                <w:color w:val="auto"/>
                <w:kern w:val="2"/>
                <w:sz w:val="18"/>
                <w:szCs w:val="18"/>
                <w:highlight w:val="none"/>
                <w:lang w:val="en-US" w:eastAsia="zh-CN" w:bidi="ar"/>
              </w:rPr>
              <w:t>、负责对施工单位上报的已完成工作量月报进行审核，提供当月付款建议书；</w:t>
            </w:r>
            <w:r>
              <w:rPr>
                <w:rFonts w:hint="default" w:ascii="Times New Roman" w:hAnsi="Times New Roman" w:eastAsia="宋体" w:cs="Times New Roman"/>
                <w:color w:val="auto"/>
                <w:kern w:val="2"/>
                <w:sz w:val="18"/>
                <w:szCs w:val="18"/>
                <w:highlight w:val="none"/>
                <w:lang w:val="en-US" w:eastAsia="zh-CN" w:bidi="ar"/>
              </w:rPr>
              <w:t>4</w:t>
            </w:r>
            <w:r>
              <w:rPr>
                <w:rFonts w:hint="eastAsia" w:ascii="宋体" w:hAnsi="宋体" w:eastAsia="宋体" w:cs="宋体"/>
                <w:color w:val="auto"/>
                <w:kern w:val="2"/>
                <w:sz w:val="18"/>
                <w:szCs w:val="18"/>
                <w:highlight w:val="none"/>
                <w:lang w:val="en-US" w:eastAsia="zh-CN" w:bidi="ar"/>
              </w:rPr>
              <w:t>、承、发包双方提出索赔时，为委托方提供咨询意见；</w:t>
            </w:r>
            <w:r>
              <w:rPr>
                <w:rFonts w:hint="default" w:ascii="Times New Roman" w:hAnsi="Times New Roman" w:eastAsia="宋体" w:cs="Times New Roman"/>
                <w:color w:val="auto"/>
                <w:kern w:val="2"/>
                <w:sz w:val="18"/>
                <w:szCs w:val="18"/>
                <w:highlight w:val="none"/>
                <w:lang w:val="en-US" w:eastAsia="zh-CN" w:bidi="ar"/>
              </w:rPr>
              <w:t>5</w:t>
            </w:r>
            <w:r>
              <w:rPr>
                <w:rFonts w:hint="eastAsia" w:ascii="宋体" w:hAnsi="宋体" w:eastAsia="宋体" w:cs="宋体"/>
                <w:color w:val="auto"/>
                <w:kern w:val="2"/>
                <w:sz w:val="18"/>
                <w:szCs w:val="18"/>
                <w:highlight w:val="none"/>
                <w:lang w:val="en-US" w:eastAsia="zh-CN" w:bidi="ar"/>
              </w:rPr>
              <w:t>、协助业主及时审核设计变更、现场签证等发生的费用，调整造价控制目标；</w:t>
            </w:r>
            <w:r>
              <w:rPr>
                <w:rFonts w:hint="default" w:ascii="Times New Roman" w:hAnsi="Times New Roman" w:eastAsia="宋体" w:cs="Times New Roman"/>
                <w:color w:val="auto"/>
                <w:kern w:val="2"/>
                <w:sz w:val="18"/>
                <w:szCs w:val="18"/>
                <w:highlight w:val="none"/>
                <w:lang w:val="en-US" w:eastAsia="zh-CN" w:bidi="ar"/>
              </w:rPr>
              <w:t>6</w:t>
            </w:r>
            <w:r>
              <w:rPr>
                <w:rFonts w:hint="eastAsia" w:ascii="宋体" w:hAnsi="宋体" w:eastAsia="宋体" w:cs="宋体"/>
                <w:color w:val="auto"/>
                <w:kern w:val="2"/>
                <w:sz w:val="18"/>
                <w:szCs w:val="18"/>
                <w:highlight w:val="none"/>
                <w:lang w:val="en-US" w:eastAsia="zh-CN" w:bidi="ar"/>
              </w:rPr>
              <w:t>、及时核定分阶段完工的分部工程结算，提供完整结算报告</w:t>
            </w:r>
          </w:p>
        </w:tc>
      </w:tr>
      <w:tr w14:paraId="1F71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cantSplit/>
          <w:trHeight w:val="510" w:hRule="atLeast"/>
        </w:trPr>
        <w:tc>
          <w:tcPr>
            <w:tcW w:w="716" w:type="dxa"/>
            <w:vMerge w:val="continue"/>
            <w:tcBorders>
              <w:top w:val="nil"/>
              <w:left w:val="single" w:color="000000" w:sz="4" w:space="0"/>
              <w:bottom w:val="single" w:color="000000" w:sz="4" w:space="0"/>
              <w:right w:val="single" w:color="000000" w:sz="4" w:space="0"/>
            </w:tcBorders>
            <w:shd w:val="clear" w:color="auto" w:fill="auto"/>
            <w:vAlign w:val="center"/>
          </w:tcPr>
          <w:p w14:paraId="6DC248D2">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2131"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25625B2D">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755" w:type="dxa"/>
            <w:vMerge w:val="continue"/>
            <w:tcBorders>
              <w:top w:val="nil"/>
              <w:left w:val="single" w:color="000000" w:sz="4" w:space="0"/>
              <w:bottom w:val="single" w:color="000000" w:sz="4" w:space="0"/>
              <w:right w:val="single" w:color="000000" w:sz="4" w:space="0"/>
            </w:tcBorders>
            <w:shd w:val="clear" w:color="auto" w:fill="auto"/>
            <w:vAlign w:val="center"/>
          </w:tcPr>
          <w:p w14:paraId="128E5653">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333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安装工程</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1D90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面议</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3F71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11</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32DAA">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1E2E6">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9</w:t>
            </w:r>
          </w:p>
        </w:tc>
        <w:tc>
          <w:tcPr>
            <w:tcW w:w="5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B262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8</w:t>
            </w:r>
          </w:p>
        </w:tc>
        <w:tc>
          <w:tcPr>
            <w:tcW w:w="5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834E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7</w:t>
            </w:r>
          </w:p>
        </w:tc>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F0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6</w:t>
            </w:r>
          </w:p>
        </w:tc>
        <w:tc>
          <w:tcPr>
            <w:tcW w:w="42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678BE">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r>
      <w:tr w14:paraId="1C459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3"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3F67">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八</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5FDF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钢筋及预埋件计算</w:t>
            </w:r>
          </w:p>
        </w:tc>
        <w:tc>
          <w:tcPr>
            <w:tcW w:w="2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C3C900">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3127AA0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10元/吨</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561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r w14:paraId="1248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D898">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九</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87453">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工程经济纠纷案件鉴证</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C7AC">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涉案金额</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8DE54">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c>
          <w:tcPr>
            <w:tcW w:w="4465"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45118CB">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按涉案金额的10%～3%计算</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C50F">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调查取证，最终做出具体工程造价鉴证结论报告等工作</w:t>
            </w:r>
          </w:p>
        </w:tc>
      </w:tr>
      <w:tr w14:paraId="0426CE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4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51">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十</w:t>
            </w:r>
          </w:p>
        </w:tc>
        <w:tc>
          <w:tcPr>
            <w:tcW w:w="2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F59F75">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计时收费</w:t>
            </w:r>
          </w:p>
        </w:tc>
        <w:tc>
          <w:tcPr>
            <w:tcW w:w="696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135C2CD2">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Times New Roman"/>
                <w:bCs/>
                <w:color w:val="auto"/>
                <w:kern w:val="2"/>
                <w:sz w:val="18"/>
                <w:szCs w:val="18"/>
                <w:highlight w:val="none"/>
              </w:rPr>
            </w:pPr>
            <w:r>
              <w:rPr>
                <w:rFonts w:hint="eastAsia" w:ascii="宋体" w:hAnsi="宋体" w:eastAsia="宋体" w:cs="宋体"/>
                <w:bCs/>
                <w:color w:val="auto"/>
                <w:kern w:val="2"/>
                <w:sz w:val="18"/>
                <w:szCs w:val="18"/>
                <w:highlight w:val="none"/>
                <w:lang w:val="en-US" w:eastAsia="zh-CN" w:bidi="ar"/>
              </w:rPr>
              <w:t>注册造价师为：200元/人小时  造价员为：160元/人小时</w:t>
            </w:r>
          </w:p>
        </w:tc>
        <w:tc>
          <w:tcPr>
            <w:tcW w:w="4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462">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Times New Roman"/>
                <w:bCs/>
                <w:color w:val="auto"/>
                <w:kern w:val="2"/>
                <w:sz w:val="18"/>
                <w:szCs w:val="18"/>
                <w:highlight w:val="none"/>
              </w:rPr>
            </w:pPr>
          </w:p>
        </w:tc>
      </w:tr>
    </w:tbl>
    <w:p w14:paraId="70ACDF02">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注：1、表中“工程预算、结算、标底审核”和“工程量清单结算审核”项目的计费方式为（1）+（2）。其中审增额向施工单位收取咨询费，审减额向建设单位收取咨询费。凡工程审减率超过10%的，其超过部分咨询费用由施工单位承担，无审核增减额的，按基本收费收取。咨询服务费一律由委托单位支付。</w:t>
      </w:r>
    </w:p>
    <w:p w14:paraId="31B4557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2、按基本收费标准不足1000元的，按1000元计费，计时收费按耗用工时计费。</w:t>
      </w:r>
    </w:p>
    <w:p w14:paraId="4087A201">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3、计费基数以单位工程金额计算；合同包干加签证项目，包干价部分应计入计费基数。</w:t>
      </w:r>
    </w:p>
    <w:p w14:paraId="0A514B47">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4、复审是指工程造价咨询单位接受委托，对经承、发包双方确认的工程造价成果文件进行再次审核，其收费率可在初审基础上啬20%。初资审核金额以承包方提交工程造价为准。</w:t>
      </w:r>
    </w:p>
    <w:p w14:paraId="41E518AE">
      <w:pPr>
        <w:keepNext w:val="0"/>
        <w:keepLines w:val="0"/>
        <w:pageBreakBefore w:val="0"/>
        <w:widowControl/>
        <w:kinsoku/>
        <w:wordWrap/>
        <w:overflowPunct/>
        <w:topLinePunct w:val="0"/>
        <w:autoSpaceDE/>
        <w:autoSpaceDN/>
        <w:bidi w:val="0"/>
        <w:adjustRightInd/>
        <w:snapToGrid/>
        <w:spacing w:before="0" w:beforeAutospacing="0" w:after="0" w:afterAutospacing="0"/>
        <w:ind w:firstLine="360" w:firstLineChars="200"/>
        <w:jc w:val="both"/>
        <w:textAlignment w:val="auto"/>
        <w:rPr>
          <w:rFonts w:hint="eastAsia" w:ascii="宋体" w:hAnsi="宋体" w:eastAsia="宋体" w:cs="宋体"/>
          <w:b w:val="0"/>
          <w:bCs w:val="0"/>
          <w:color w:val="auto"/>
          <w:kern w:val="44"/>
          <w:sz w:val="18"/>
          <w:szCs w:val="18"/>
          <w:highlight w:val="none"/>
        </w:rPr>
      </w:pPr>
      <w:r>
        <w:rPr>
          <w:rFonts w:hint="eastAsia" w:ascii="宋体" w:hAnsi="宋体" w:eastAsia="宋体" w:cs="宋体"/>
          <w:b w:val="0"/>
          <w:bCs w:val="0"/>
          <w:color w:val="auto"/>
          <w:kern w:val="44"/>
          <w:sz w:val="18"/>
          <w:szCs w:val="18"/>
          <w:highlight w:val="none"/>
          <w:lang w:val="en-US" w:eastAsia="zh-CN"/>
        </w:rPr>
        <w:t>5、安装工程主材按规定都应列入造价，标底要求不列的，可以扣除但不得减少编制费用。</w:t>
      </w:r>
    </w:p>
    <w:p w14:paraId="2FA09B54">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r>
        <w:rPr>
          <w:rFonts w:hint="eastAsia" w:ascii="宋体" w:hAnsi="宋体" w:eastAsia="宋体" w:cs="宋体"/>
          <w:b w:val="0"/>
          <w:bCs w:val="0"/>
          <w:color w:val="auto"/>
          <w:kern w:val="44"/>
          <w:sz w:val="18"/>
          <w:szCs w:val="18"/>
          <w:highlight w:val="none"/>
          <w:lang w:val="en-US" w:eastAsia="zh-CN"/>
        </w:rPr>
        <w:t>6、本收费标准中的“建筑工程”适用建筑工程及配套的装饰工程、安装工程；市政工程等。“安装工程”适用单独安装工程、装饰工程（含二次装饰装修）；房屋修缮；园林绿化及仿古建筑工程等。</w:t>
      </w:r>
    </w:p>
    <w:p w14:paraId="0219B457">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671426D6">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2AA1313D">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7CA0D4B1">
      <w:pPr>
        <w:spacing w:before="0" w:beforeAutospacing="0" w:after="0" w:afterAutospacing="0"/>
        <w:jc w:val="both"/>
        <w:rPr>
          <w:rFonts w:hint="eastAsia" w:ascii="宋体" w:hAnsi="宋体" w:eastAsia="宋体" w:cs="宋体"/>
          <w:b w:val="0"/>
          <w:bCs w:val="0"/>
          <w:color w:val="auto"/>
          <w:kern w:val="44"/>
          <w:sz w:val="18"/>
          <w:szCs w:val="18"/>
          <w:highlight w:val="none"/>
          <w:lang w:val="en-US" w:eastAsia="zh-CN"/>
        </w:rPr>
      </w:pPr>
    </w:p>
    <w:p w14:paraId="197972F7">
      <w:pPr>
        <w:spacing w:before="0" w:beforeAutospacing="0" w:after="0" w:afterAutospacing="0"/>
        <w:jc w:val="both"/>
        <w:rPr>
          <w:rFonts w:hint="eastAsia" w:ascii="宋体" w:hAnsi="宋体" w:eastAsia="宋体" w:cs="宋体"/>
          <w:b w:val="0"/>
          <w:bCs w:val="0"/>
          <w:color w:val="auto"/>
          <w:kern w:val="44"/>
          <w:sz w:val="18"/>
          <w:szCs w:val="18"/>
          <w:highlight w:val="none"/>
        </w:rPr>
        <w:sectPr>
          <w:footerReference r:id="rId7" w:type="default"/>
          <w:pgSz w:w="16838" w:h="11906" w:orient="landscape"/>
          <w:pgMar w:top="1259" w:right="935" w:bottom="1106" w:left="936" w:header="680" w:footer="680" w:gutter="0"/>
          <w:pgNumType w:fmt="decimal"/>
          <w:cols w:space="0" w:num="1"/>
          <w:rtlGutter w:val="0"/>
          <w:docGrid w:type="lines" w:linePitch="318" w:charSpace="0"/>
        </w:sectPr>
      </w:pPr>
    </w:p>
    <w:bookmarkEnd w:id="211"/>
    <w:p w14:paraId="6BCD3E8E">
      <w:pPr>
        <w:pStyle w:val="5"/>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205" w:name="_Toc1482"/>
      <w:bookmarkStart w:id="206" w:name="_Toc30675"/>
      <w:r>
        <w:rPr>
          <w:rFonts w:hint="eastAsia" w:ascii="宋体" w:hAnsi="宋体" w:eastAsia="宋体" w:cs="宋体"/>
          <w:color w:val="auto"/>
          <w:highlight w:val="none"/>
          <w:lang w:val="en-US" w:eastAsia="zh-CN"/>
        </w:rPr>
        <w:t>第四章 投标文件格式</w:t>
      </w:r>
      <w:bookmarkEnd w:id="205"/>
      <w:bookmarkEnd w:id="206"/>
    </w:p>
    <w:p w14:paraId="2AC451A3">
      <w:pPr>
        <w:jc w:val="center"/>
        <w:rPr>
          <w:rFonts w:hint="eastAsia" w:ascii="宋体" w:hAnsi="宋体" w:eastAsia="宋体" w:cs="宋体"/>
          <w:color w:val="auto"/>
          <w:sz w:val="28"/>
          <w:szCs w:val="28"/>
          <w:highlight w:val="none"/>
          <w:u w:val="single"/>
        </w:rPr>
      </w:pPr>
    </w:p>
    <w:p w14:paraId="16B002C1">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2BF899C5">
      <w:pPr>
        <w:jc w:val="center"/>
        <w:rPr>
          <w:rFonts w:hint="eastAsia" w:ascii="宋体" w:hAnsi="宋体" w:eastAsia="宋体" w:cs="宋体"/>
          <w:color w:val="auto"/>
          <w:sz w:val="20"/>
          <w:szCs w:val="20"/>
          <w:highlight w:val="none"/>
        </w:rPr>
      </w:pP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w:t>
      </w: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录</w:t>
      </w:r>
    </w:p>
    <w:p w14:paraId="10C3E88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p>
    <w:p w14:paraId="6363B49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（2）企业法人营业执照；</w:t>
      </w:r>
      <w:r>
        <w:rPr>
          <w:rFonts w:hint="eastAsia" w:ascii="宋体" w:hAnsi="宋体" w:cs="宋体"/>
          <w:color w:val="auto"/>
          <w:sz w:val="21"/>
          <w:szCs w:val="21"/>
          <w:highlight w:val="none"/>
          <w:lang w:val="en-US" w:eastAsia="zh-CN"/>
        </w:rPr>
        <w:t xml:space="preserve"> </w:t>
      </w:r>
    </w:p>
    <w:p w14:paraId="728BCB1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（3）拟派项目负责人</w:t>
      </w:r>
      <w:r>
        <w:rPr>
          <w:rFonts w:hint="eastAsia" w:ascii="宋体" w:hAnsi="宋体" w:eastAsia="宋体" w:cs="宋体"/>
          <w:color w:val="auto"/>
          <w:sz w:val="21"/>
          <w:szCs w:val="21"/>
          <w:highlight w:val="none"/>
          <w:lang w:val="en-US" w:eastAsia="zh-CN"/>
        </w:rPr>
        <w:t>身份证和</w:t>
      </w:r>
      <w:r>
        <w:rPr>
          <w:rFonts w:hint="eastAsia" w:ascii="宋体" w:hAnsi="宋体" w:eastAsia="宋体" w:cs="宋体"/>
          <w:color w:val="auto"/>
          <w:sz w:val="21"/>
          <w:szCs w:val="21"/>
          <w:highlight w:val="none"/>
        </w:rPr>
        <w:t>注册造价师证书且</w:t>
      </w:r>
      <w:r>
        <w:rPr>
          <w:rFonts w:hint="eastAsia" w:ascii="宋体" w:hAnsi="宋体" w:eastAsia="宋体" w:cs="宋体"/>
          <w:color w:val="auto"/>
          <w:sz w:val="21"/>
          <w:szCs w:val="21"/>
          <w:highlight w:val="none"/>
          <w:lang w:val="en-US" w:eastAsia="zh-CN"/>
        </w:rPr>
        <w:t>证明</w:t>
      </w:r>
      <w:r>
        <w:rPr>
          <w:rFonts w:hint="eastAsia" w:ascii="宋体" w:hAnsi="宋体" w:eastAsia="宋体" w:cs="宋体"/>
          <w:color w:val="auto"/>
          <w:sz w:val="21"/>
          <w:szCs w:val="21"/>
          <w:highlight w:val="none"/>
        </w:rPr>
        <w:t>专业为土木建筑工程</w:t>
      </w:r>
      <w:r>
        <w:rPr>
          <w:rFonts w:hint="eastAsia" w:ascii="宋体" w:hAnsi="宋体" w:eastAsia="宋体" w:cs="宋体"/>
          <w:color w:val="auto"/>
          <w:sz w:val="21"/>
          <w:szCs w:val="21"/>
          <w:highlight w:val="none"/>
          <w:lang w:val="en-US" w:eastAsia="zh-CN"/>
        </w:rPr>
        <w:t>的证明材料</w:t>
      </w:r>
      <w:r>
        <w:rPr>
          <w:rFonts w:hint="eastAsia" w:ascii="宋体" w:hAnsi="宋体" w:cs="宋体"/>
          <w:color w:val="auto"/>
          <w:sz w:val="21"/>
          <w:szCs w:val="21"/>
          <w:highlight w:val="none"/>
          <w:lang w:val="en-US" w:eastAsia="zh-CN"/>
        </w:rPr>
        <w:t xml:space="preserve">； </w:t>
      </w:r>
    </w:p>
    <w:p w14:paraId="096C6DD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项目人员配备表；（格式见附件）</w:t>
      </w:r>
    </w:p>
    <w:p w14:paraId="556FF2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不少于2名且具有在本单位注册的二级及以上造价工程师（土木建筑工程专业</w:t>
      </w:r>
      <w:r>
        <w:rPr>
          <w:rFonts w:hint="eastAsia" w:ascii="宋体" w:hAnsi="宋体" w:cs="宋体"/>
          <w:color w:val="auto"/>
          <w:kern w:val="0"/>
          <w:sz w:val="21"/>
          <w:szCs w:val="21"/>
          <w:highlight w:val="none"/>
          <w:lang w:val="en-US" w:eastAsia="zh-CN"/>
        </w:rPr>
        <w:t>至少1名、安装工程专业至少1名</w:t>
      </w:r>
      <w:r>
        <w:rPr>
          <w:rFonts w:hint="eastAsia" w:ascii="宋体" w:hAnsi="宋体" w:eastAsia="宋体" w:cs="宋体"/>
          <w:color w:val="auto"/>
          <w:kern w:val="0"/>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注册</w:t>
      </w:r>
      <w:r>
        <w:rPr>
          <w:rFonts w:hint="eastAsia" w:ascii="宋体" w:hAnsi="宋体" w:eastAsia="宋体" w:cs="宋体"/>
          <w:color w:val="auto"/>
          <w:sz w:val="21"/>
          <w:szCs w:val="21"/>
          <w:highlight w:val="none"/>
        </w:rPr>
        <w:t>证书且证明专业为土木建筑工程</w:t>
      </w:r>
      <w:r>
        <w:rPr>
          <w:rFonts w:hint="eastAsia" w:ascii="宋体" w:hAnsi="宋体" w:cs="宋体"/>
          <w:color w:val="auto"/>
          <w:sz w:val="21"/>
          <w:szCs w:val="21"/>
          <w:highlight w:val="none"/>
          <w:lang w:val="en-US" w:eastAsia="zh-CN"/>
        </w:rPr>
        <w:t>专业或安装工程专业</w:t>
      </w:r>
      <w:r>
        <w:rPr>
          <w:rFonts w:hint="eastAsia" w:ascii="宋体" w:hAnsi="宋体" w:eastAsia="宋体" w:cs="宋体"/>
          <w:color w:val="auto"/>
          <w:sz w:val="21"/>
          <w:szCs w:val="21"/>
          <w:highlight w:val="none"/>
        </w:rPr>
        <w:t xml:space="preserve">的证明材料 </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 xml:space="preserve"> </w:t>
      </w:r>
    </w:p>
    <w:p w14:paraId="7BC4350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（6）投标人须提供法定代表人（或委托代理人）及拟派的上述项目负责人和项目组成员须持有社保部门出具的本单位为其缴纳的投标前近三个月的养老保险证明</w:t>
      </w:r>
      <w:r>
        <w:rPr>
          <w:rFonts w:hint="eastAsia" w:ascii="宋体" w:hAnsi="宋体" w:eastAsia="宋体" w:cs="宋体"/>
          <w:color w:val="auto"/>
          <w:sz w:val="21"/>
          <w:szCs w:val="21"/>
          <w:highlight w:val="none"/>
          <w:lang w:val="en-US" w:eastAsia="zh-CN"/>
        </w:rPr>
        <w:t>材料；投标人是事业单位的，须其主管部门出具证明（证明文件两个月内有效）；注：若投标人拟派的项目负责人为已退休人员，须同时提供①退休证明材料；②与投标人签订的返聘劳动合同；③项目负责人社保卡所在银行出具的退休工资流水；④银行出具的工资流水和返聘单位出具的工资表（加盖返聘单位公章，现聘用单位（投标人）所发工资）。</w:t>
      </w:r>
    </w:p>
    <w:p w14:paraId="37BEF1B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投标人拟任项目负责人自2021年3月1日至投标截止时间止，承担过单项合同施工金额300万元及以上的市政道路工程或道路安全提升项目成果文件编制业绩【同时提供①工程量清单和最高投标限价编制报告；②合同。业绩时间以合同签订时间为准；业绩金额以编制报告金额为准，项目负责人姓名以合同中为准】</w:t>
      </w:r>
      <w:r>
        <w:rPr>
          <w:rFonts w:hint="eastAsia" w:ascii="宋体" w:hAnsi="宋体" w:eastAsia="宋体" w:cs="宋体"/>
          <w:color w:val="auto"/>
          <w:sz w:val="21"/>
          <w:szCs w:val="21"/>
          <w:highlight w:val="none"/>
          <w:lang w:val="en-US" w:eastAsia="zh-CN"/>
        </w:rPr>
        <w:t>；</w:t>
      </w:r>
    </w:p>
    <w:p w14:paraId="5A4D9BC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51E8197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投标人认为需要提供的其他材料。</w:t>
      </w: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207"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207"/>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2"/>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2"/>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462CCD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color w:val="auto"/>
          <w:szCs w:val="21"/>
          <w:highlight w:val="none"/>
        </w:rPr>
      </w:pPr>
      <w:r>
        <w:rPr>
          <w:rFonts w:hint="eastAsia" w:ascii="宋体"/>
          <w:color w:val="auto"/>
          <w:szCs w:val="21"/>
          <w:highlight w:val="none"/>
        </w:rPr>
        <w:t>致：</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招标</w:t>
      </w:r>
      <w:r>
        <w:rPr>
          <w:rFonts w:hint="eastAsia" w:ascii="宋体"/>
          <w:color w:val="auto"/>
          <w:szCs w:val="21"/>
          <w:highlight w:val="none"/>
          <w:u w:val="single"/>
        </w:rPr>
        <w:t xml:space="preserve">人)       </w:t>
      </w:r>
      <w:r>
        <w:rPr>
          <w:rFonts w:hint="eastAsia" w:ascii="宋体"/>
          <w:color w:val="auto"/>
          <w:szCs w:val="21"/>
          <w:highlight w:val="none"/>
        </w:rPr>
        <w:t xml:space="preserve"> </w:t>
      </w:r>
    </w:p>
    <w:p w14:paraId="27BAC3BA">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1.我们决定参加贵单位组织的“</w:t>
      </w:r>
      <w:r>
        <w:rPr>
          <w:rFonts w:hint="eastAsia" w:ascii="宋体"/>
          <w:color w:val="auto"/>
          <w:szCs w:val="21"/>
          <w:highlight w:val="none"/>
          <w:u w:val="single"/>
        </w:rPr>
        <w:t xml:space="preserve"> （项目名称）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”的</w:t>
      </w:r>
      <w:r>
        <w:rPr>
          <w:rFonts w:hint="eastAsia" w:ascii="宋体"/>
          <w:color w:val="auto"/>
          <w:szCs w:val="21"/>
          <w:highlight w:val="none"/>
          <w:lang w:val="en-US" w:eastAsia="zh-CN"/>
        </w:rPr>
        <w:t>招标</w:t>
      </w:r>
      <w:r>
        <w:rPr>
          <w:rFonts w:hint="eastAsia" w:ascii="宋体"/>
          <w:color w:val="auto"/>
          <w:szCs w:val="21"/>
          <w:highlight w:val="none"/>
        </w:rPr>
        <w:t xml:space="preserve">。我方授权 </w:t>
      </w:r>
      <w:r>
        <w:rPr>
          <w:rFonts w:hint="eastAsia" w:ascii="宋体"/>
          <w:color w:val="auto"/>
          <w:szCs w:val="21"/>
          <w:highlight w:val="none"/>
          <w:u w:val="single"/>
        </w:rPr>
        <w:t xml:space="preserve">              </w:t>
      </w:r>
      <w:r>
        <w:rPr>
          <w:rFonts w:hint="eastAsia" w:ascii="宋体"/>
          <w:color w:val="auto"/>
          <w:szCs w:val="21"/>
          <w:highlight w:val="none"/>
        </w:rPr>
        <w:t>(姓名和职务)代表我方</w:t>
      </w:r>
      <w:r>
        <w:rPr>
          <w:rFonts w:hint="eastAsia" w:ascii="宋体"/>
          <w:color w:val="auto"/>
          <w:szCs w:val="21"/>
          <w:highlight w:val="none"/>
          <w:u w:val="single"/>
        </w:rPr>
        <w:t xml:space="preserve">               </w:t>
      </w:r>
      <w:r>
        <w:rPr>
          <w:rFonts w:hint="eastAsia" w:ascii="宋体"/>
          <w:color w:val="auto"/>
          <w:szCs w:val="21"/>
          <w:highlight w:val="none"/>
        </w:rPr>
        <w:t>（投标人的名称）全权处理本项目投标的有关事宜。</w:t>
      </w:r>
    </w:p>
    <w:p w14:paraId="247D7B96">
      <w:pPr>
        <w:keepNext w:val="0"/>
        <w:keepLines w:val="0"/>
        <w:pageBreakBefore w:val="0"/>
        <w:widowControl w:val="0"/>
        <w:suppressLineNumbers w:val="0"/>
        <w:kinsoku/>
        <w:wordWrap/>
        <w:overflowPunct/>
        <w:topLinePunct w:val="0"/>
        <w:autoSpaceDE/>
        <w:autoSpaceDN/>
        <w:bidi w:val="0"/>
        <w:adjustRightInd/>
        <w:snapToGrid/>
        <w:spacing w:before="153" w:beforeLines="50" w:beforeAutospacing="0" w:after="0" w:afterAutospacing="0" w:line="560" w:lineRule="exact"/>
        <w:ind w:left="0" w:right="0" w:firstLine="411" w:firstLineChars="196"/>
        <w:jc w:val="left"/>
        <w:textAlignment w:val="auto"/>
        <w:rPr>
          <w:rFonts w:hint="eastAsia" w:ascii="宋体" w:hAnsi="Times New Roman" w:eastAsia="宋体" w:cs="Times New Roman"/>
          <w:color w:val="auto"/>
          <w:szCs w:val="21"/>
          <w:highlight w:val="none"/>
          <w:lang w:val="en-US" w:eastAsia="zh-CN"/>
        </w:rPr>
      </w:pPr>
      <w:r>
        <w:rPr>
          <w:rFonts w:hint="eastAsia" w:ascii="宋体"/>
          <w:color w:val="auto"/>
          <w:szCs w:val="21"/>
          <w:highlight w:val="none"/>
        </w:rPr>
        <w:t>2.我方愿意按照招标文件规定的各项要求，向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lang w:val="en-US" w:eastAsia="zh-CN"/>
        </w:rPr>
        <w:t>《收费标准》计算费用的</w:t>
      </w:r>
      <w:r>
        <w:rPr>
          <w:rFonts w:hint="eastAsia" w:ascii="宋体"/>
          <w:b/>
          <w:bCs/>
          <w:color w:val="auto"/>
          <w:szCs w:val="21"/>
          <w:highlight w:val="none"/>
          <w:u w:val="single"/>
        </w:rPr>
        <w:t xml:space="preserve">      </w:t>
      </w:r>
      <w:r>
        <w:rPr>
          <w:rFonts w:hint="eastAsia" w:ascii="宋体"/>
          <w:b/>
          <w:bCs/>
          <w:color w:val="auto"/>
          <w:szCs w:val="21"/>
          <w:highlight w:val="none"/>
          <w:lang w:val="en-US" w:eastAsia="zh-CN"/>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rPr>
        <w:t>，</w:t>
      </w:r>
      <w:r>
        <w:rPr>
          <w:rFonts w:hint="eastAsia" w:ascii="宋体" w:hAnsi="Times New Roman" w:eastAsia="宋体" w:cs="Times New Roman"/>
          <w:color w:val="auto"/>
          <w:szCs w:val="21"/>
          <w:highlight w:val="none"/>
        </w:rPr>
        <w:t>服务期：</w:t>
      </w:r>
      <w:r>
        <w:rPr>
          <w:rFonts w:hint="eastAsia" w:ascii="宋体" w:hAnsi="Times New Roman" w:eastAsia="宋体" w:cs="Times New Roman"/>
          <w:color w:val="auto"/>
          <w:szCs w:val="21"/>
          <w:highlight w:val="none"/>
          <w:lang w:val="en-US" w:eastAsia="zh-CN"/>
        </w:rPr>
        <w:t>领取图纸之日起</w:t>
      </w:r>
      <w:r>
        <w:rPr>
          <w:rFonts w:hint="eastAsia" w:ascii="宋体" w:hAnsi="Times New Roman" w:eastAsia="宋体" w:cs="Times New Roman"/>
          <w:color w:val="auto"/>
          <w:szCs w:val="21"/>
          <w:highlight w:val="none"/>
          <w:u w:val="single"/>
          <w:lang w:val="en-US" w:eastAsia="zh-CN"/>
        </w:rPr>
        <w:t xml:space="preserve">   </w:t>
      </w:r>
      <w:r>
        <w:rPr>
          <w:rFonts w:hint="eastAsia" w:ascii="宋体" w:hAnsi="Times New Roman" w:eastAsia="宋体" w:cs="Times New Roman"/>
          <w:color w:val="auto"/>
          <w:szCs w:val="21"/>
          <w:highlight w:val="none"/>
          <w:lang w:val="en-US" w:eastAsia="zh-CN"/>
        </w:rPr>
        <w:t>日内完成工程量清单和最高投标限价的编制及备案工作。</w:t>
      </w:r>
    </w:p>
    <w:p w14:paraId="4BC742CB">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Times New Roman" w:eastAsia="宋体" w:cs="Times New Roman"/>
          <w:color w:val="auto"/>
          <w:szCs w:val="21"/>
          <w:highlight w:val="none"/>
        </w:rPr>
      </w:pPr>
      <w:r>
        <w:rPr>
          <w:rFonts w:hint="eastAsia" w:ascii="宋体" w:hAnsi="Times New Roman" w:eastAsia="宋体" w:cs="Times New Roman"/>
          <w:color w:val="auto"/>
          <w:szCs w:val="21"/>
          <w:highlight w:val="none"/>
        </w:rPr>
        <w:t>3.本项目投标有效期为</w:t>
      </w:r>
      <w:r>
        <w:rPr>
          <w:rFonts w:hint="eastAsia" w:ascii="宋体" w:hAnsi="Times New Roman" w:eastAsia="宋体" w:cs="Times New Roman"/>
          <w:color w:val="auto"/>
          <w:szCs w:val="21"/>
          <w:highlight w:val="none"/>
          <w:u w:val="single"/>
        </w:rPr>
        <w:t xml:space="preserve">  </w:t>
      </w:r>
      <w:r>
        <w:rPr>
          <w:rFonts w:hint="eastAsia" w:ascii="宋体" w:cs="Times New Roman"/>
          <w:color w:val="auto"/>
          <w:szCs w:val="21"/>
          <w:highlight w:val="none"/>
          <w:u w:val="single"/>
          <w:lang w:val="en-US" w:eastAsia="zh-CN"/>
        </w:rPr>
        <w:t xml:space="preserve"> 60 </w:t>
      </w:r>
      <w:r>
        <w:rPr>
          <w:rFonts w:hint="eastAsia" w:ascii="宋体" w:hAnsi="Times New Roman" w:eastAsia="宋体" w:cs="Times New Roman"/>
          <w:color w:val="auto"/>
          <w:szCs w:val="21"/>
          <w:highlight w:val="none"/>
          <w:u w:val="single"/>
        </w:rPr>
        <w:t xml:space="preserve"> </w:t>
      </w:r>
      <w:r>
        <w:rPr>
          <w:rFonts w:hint="eastAsia" w:ascii="宋体" w:hAnsi="Times New Roman" w:eastAsia="宋体" w:cs="Times New Roman"/>
          <w:color w:val="auto"/>
          <w:szCs w:val="21"/>
          <w:highlight w:val="none"/>
        </w:rPr>
        <w:t xml:space="preserve"> 日历天（从投标截止之日算起）。</w:t>
      </w:r>
    </w:p>
    <w:p w14:paraId="5F326992">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4.一旦我方成为合同签字人，我方将严格履行合同规定的责任和义务。</w:t>
      </w:r>
    </w:p>
    <w:p w14:paraId="204B7EC7">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5</w:t>
      </w:r>
      <w:r>
        <w:rPr>
          <w:rFonts w:hint="eastAsia" w:ascii="宋体"/>
          <w:color w:val="auto"/>
          <w:szCs w:val="21"/>
          <w:highlight w:val="none"/>
        </w:rPr>
        <w:t>.若我方中标，愿意为本项目提交的纸质投标文件一式</w:t>
      </w:r>
      <w:r>
        <w:rPr>
          <w:rFonts w:hint="eastAsia" w:ascii="宋体"/>
          <w:color w:val="auto"/>
          <w:szCs w:val="21"/>
          <w:highlight w:val="none"/>
          <w:lang w:val="en-US" w:eastAsia="zh-CN"/>
        </w:rPr>
        <w:t>二</w:t>
      </w:r>
      <w:r>
        <w:rPr>
          <w:rFonts w:hint="eastAsia" w:ascii="宋体"/>
          <w:color w:val="auto"/>
          <w:szCs w:val="21"/>
          <w:highlight w:val="none"/>
        </w:rPr>
        <w:t>份，其中正本一份、副本</w:t>
      </w:r>
      <w:r>
        <w:rPr>
          <w:rFonts w:hint="eastAsia" w:ascii="宋体"/>
          <w:color w:val="auto"/>
          <w:szCs w:val="21"/>
          <w:highlight w:val="none"/>
          <w:lang w:val="en-US" w:eastAsia="zh-CN"/>
        </w:rPr>
        <w:t>一</w:t>
      </w:r>
      <w:r>
        <w:rPr>
          <w:rFonts w:hint="eastAsia" w:ascii="宋体"/>
          <w:color w:val="auto"/>
          <w:szCs w:val="21"/>
          <w:highlight w:val="none"/>
        </w:rPr>
        <w:t>份。</w:t>
      </w:r>
    </w:p>
    <w:p w14:paraId="52593B24">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lang w:val="en-US" w:eastAsia="zh-CN"/>
        </w:rPr>
        <w:t>6</w:t>
      </w:r>
      <w:r>
        <w:rPr>
          <w:rFonts w:hint="eastAsia" w:ascii="宋体"/>
          <w:color w:val="auto"/>
          <w:szCs w:val="21"/>
          <w:highlight w:val="none"/>
        </w:rPr>
        <w:t>.我方愿意提供可能另外要求的、与采购投标有关的文件资料，并保证我方已提供和将要提供的文件是真实的、准确的。</w:t>
      </w:r>
    </w:p>
    <w:p w14:paraId="12403E31">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color w:val="auto"/>
          <w:szCs w:val="21"/>
          <w:highlight w:val="none"/>
        </w:rPr>
      </w:pPr>
      <w:r>
        <w:rPr>
          <w:rFonts w:hint="eastAsia" w:ascii="宋体"/>
          <w:color w:val="auto"/>
          <w:szCs w:val="21"/>
          <w:highlight w:val="none"/>
        </w:rPr>
        <w:t>8.我单位提供如下通讯地址：</w:t>
      </w:r>
      <w:r>
        <w:rPr>
          <w:rFonts w:hint="eastAsia" w:ascii="宋体"/>
          <w:color w:val="auto"/>
          <w:szCs w:val="21"/>
          <w:highlight w:val="none"/>
          <w:u w:val="single"/>
        </w:rPr>
        <w:t xml:space="preserve">                电子邮箱（地址）</w:t>
      </w:r>
      <w:r>
        <w:rPr>
          <w:rFonts w:hint="eastAsia" w:ascii="宋体"/>
          <w:color w:val="auto"/>
          <w:szCs w:val="21"/>
          <w:highlight w:val="none"/>
        </w:rPr>
        <w:t>，确认本项目相关法律文书均通过提供的以上地址送达，相关文书只要发送至以上电子邮箱（地址）即视为送达，投标人愿意承担一切法律后果。</w:t>
      </w:r>
    </w:p>
    <w:p w14:paraId="00DF6C2E">
      <w:pPr>
        <w:pStyle w:val="2"/>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3718D3FE">
      <w:pPr>
        <w:pStyle w:val="5"/>
        <w:spacing w:before="0" w:after="0"/>
        <w:rPr>
          <w:rFonts w:hint="eastAsia" w:ascii="宋体" w:hAnsi="宋体" w:eastAsia="宋体" w:cs="宋体"/>
          <w:color w:val="auto"/>
          <w:highlight w:val="none"/>
          <w:lang w:val="en-US" w:eastAsia="zh-CN"/>
        </w:rPr>
      </w:pPr>
      <w:bookmarkStart w:id="208" w:name="_Toc31498"/>
      <w:bookmarkStart w:id="209" w:name="_Toc6595"/>
      <w:r>
        <w:rPr>
          <w:rFonts w:hint="eastAsia" w:ascii="宋体" w:hAnsi="宋体" w:eastAsia="宋体" w:cs="宋体"/>
          <w:color w:val="auto"/>
          <w:highlight w:val="none"/>
          <w:lang w:val="en-US" w:eastAsia="zh-CN"/>
        </w:rPr>
        <w:t>第五章 招标单位、招标代理机构对本招标文件的确认</w:t>
      </w:r>
      <w:bookmarkEnd w:id="208"/>
      <w:bookmarkEnd w:id="20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2026年校园周边安全护学提升工程（一批次）工程量清单及最高投标限价编制服务项目</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eastAsia="zh-CN"/>
              </w:rPr>
              <w:t>滁州市重点工程建设管理处</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顾莉</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cs="宋体"/>
                <w:color w:val="auto"/>
                <w:sz w:val="28"/>
                <w:szCs w:val="28"/>
                <w:highlight w:val="none"/>
                <w:lang w:val="en-US" w:eastAsia="zh-CN"/>
              </w:rPr>
              <w:t>0550-2599817</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（单位盖章）</w:t>
            </w:r>
          </w:p>
          <w:p w14:paraId="33C2043A">
            <w:pPr>
              <w:ind w:firstLine="5320" w:firstLineChars="19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2026年3月5日</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王芳</w:t>
            </w:r>
          </w:p>
          <w:p w14:paraId="3E3D785F">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r>
              <w:rPr>
                <w:rFonts w:hint="eastAsia" w:ascii="宋体" w:hAnsi="宋体" w:cs="宋体"/>
                <w:color w:val="auto"/>
                <w:sz w:val="28"/>
                <w:szCs w:val="28"/>
                <w:highlight w:val="none"/>
                <w:lang w:eastAsia="zh-CN"/>
              </w:rPr>
              <w:t>0550-3519519</w:t>
            </w:r>
            <w:r>
              <w:rPr>
                <w:rFonts w:hint="eastAsia" w:ascii="宋体" w:hAnsi="宋体" w:cs="宋体"/>
                <w:color w:val="auto"/>
                <w:sz w:val="28"/>
                <w:szCs w:val="28"/>
                <w:highlight w:val="none"/>
                <w:lang w:val="en-US" w:eastAsia="zh-CN"/>
              </w:rPr>
              <w:t>、18955055067</w:t>
            </w:r>
          </w:p>
          <w:p w14:paraId="497AA04E">
            <w:pPr>
              <w:rPr>
                <w:rFonts w:hint="eastAsia" w:ascii="宋体" w:hAnsi="宋体" w:eastAsia="宋体" w:cs="宋体"/>
                <w:color w:val="auto"/>
                <w:sz w:val="28"/>
                <w:szCs w:val="28"/>
                <w:highlight w:val="none"/>
              </w:rPr>
            </w:pPr>
          </w:p>
          <w:p w14:paraId="216C42AC">
            <w:pPr>
              <w:ind w:firstLine="5040" w:firstLineChars="1800"/>
              <w:rPr>
                <w:rFonts w:hint="eastAsia" w:ascii="宋体" w:hAnsi="宋体" w:eastAsia="宋体" w:cs="宋体"/>
                <w:color w:val="auto"/>
                <w:sz w:val="28"/>
                <w:szCs w:val="28"/>
                <w:highlight w:val="none"/>
              </w:rPr>
            </w:pPr>
          </w:p>
          <w:p w14:paraId="60AF574C">
            <w:pPr>
              <w:ind w:firstLine="5320" w:firstLineChars="19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2026年3月5日</w:t>
            </w:r>
          </w:p>
        </w:tc>
      </w:tr>
    </w:tbl>
    <w:p w14:paraId="22D2196B">
      <w:pPr>
        <w:pStyle w:val="20"/>
        <w:jc w:val="left"/>
        <w:rPr>
          <w:rFonts w:hint="eastAsia" w:ascii="宋体" w:hAnsi="宋体" w:eastAsia="宋体" w:cs="宋体"/>
          <w:color w:val="auto"/>
          <w:kern w:val="0"/>
          <w:sz w:val="24"/>
          <w:szCs w:val="24"/>
          <w:highlight w:val="none"/>
        </w:rPr>
      </w:pPr>
    </w:p>
    <w:p w14:paraId="63AE5489">
      <w:pPr>
        <w:pStyle w:val="20"/>
        <w:jc w:val="left"/>
        <w:rPr>
          <w:rFonts w:hint="eastAsia" w:ascii="宋体" w:hAnsi="宋体" w:eastAsia="宋体" w:cs="宋体"/>
          <w:color w:val="auto"/>
          <w:kern w:val="0"/>
          <w:sz w:val="24"/>
          <w:szCs w:val="24"/>
          <w:highlight w:val="none"/>
        </w:rPr>
      </w:pPr>
    </w:p>
    <w:p w14:paraId="542E3EE9">
      <w:pPr>
        <w:pStyle w:val="20"/>
        <w:jc w:val="left"/>
        <w:rPr>
          <w:rFonts w:hint="eastAsia" w:ascii="宋体" w:hAnsi="宋体" w:eastAsia="宋体" w:cs="宋体"/>
          <w:color w:val="auto"/>
          <w:kern w:val="0"/>
          <w:sz w:val="24"/>
          <w:szCs w:val="24"/>
          <w:highlight w:val="none"/>
        </w:rPr>
      </w:pPr>
    </w:p>
    <w:p w14:paraId="386F7769">
      <w:pPr>
        <w:pStyle w:val="2"/>
        <w:ind w:left="199" w:leftChars="95" w:firstLine="198" w:firstLineChars="66"/>
        <w:rPr>
          <w:rFonts w:hint="eastAsia" w:hAnsi="宋体"/>
          <w:color w:val="auto"/>
          <w:sz w:val="30"/>
          <w:szCs w:val="30"/>
          <w:highlight w:val="none"/>
        </w:rPr>
      </w:pPr>
    </w:p>
    <w:p w14:paraId="155ACA93">
      <w:pPr>
        <w:pStyle w:val="2"/>
        <w:ind w:left="199" w:leftChars="95" w:firstLine="198" w:firstLineChars="66"/>
        <w:rPr>
          <w:rFonts w:hint="eastAsia" w:hAnsi="宋体"/>
          <w:color w:val="auto"/>
          <w:sz w:val="30"/>
          <w:szCs w:val="30"/>
          <w:highlight w:val="none"/>
        </w:rPr>
      </w:pPr>
      <w:r>
        <w:rPr>
          <w:rFonts w:hint="eastAsia" w:hAnsi="宋体"/>
          <w:color w:val="auto"/>
          <w:sz w:val="30"/>
          <w:szCs w:val="30"/>
          <w:highlight w:val="none"/>
        </w:rPr>
        <w:t>附件：</w:t>
      </w:r>
    </w:p>
    <w:p w14:paraId="50AFC473">
      <w:pPr>
        <w:pStyle w:val="2"/>
        <w:ind w:left="199" w:leftChars="95" w:firstLine="211" w:firstLineChars="66"/>
        <w:rPr>
          <w:rFonts w:hint="default" w:ascii="Times New Roman" w:hAnsi="Times New Roman" w:eastAsia="楷体_GB2312" w:cs="Times New Roman"/>
          <w:color w:val="auto"/>
          <w:sz w:val="32"/>
          <w:szCs w:val="32"/>
          <w:highlight w:val="none"/>
          <w:shd w:val="clear" w:color="auto" w:fill="auto"/>
          <w:lang w:val="en-US" w:eastAsia="zh-CN"/>
        </w:rPr>
      </w:pPr>
      <w:r>
        <w:rPr>
          <w:rFonts w:hint="default" w:ascii="Times New Roman" w:hAnsi="Times New Roman" w:eastAsia="仿宋_GB2312" w:cs="Times New Roman"/>
          <w:color w:val="auto"/>
          <w:sz w:val="32"/>
          <w:szCs w:val="32"/>
          <w:highlight w:val="none"/>
          <w:shd w:val="clear" w:color="auto" w:fill="auto"/>
        </w:rPr>
        <w:t>滁重〔</w:t>
      </w:r>
      <w:r>
        <w:rPr>
          <w:rFonts w:hint="default" w:ascii="Times New Roman" w:hAnsi="Times New Roman" w:eastAsia="仿宋_GB2312" w:cs="Times New Roman"/>
          <w:color w:val="auto"/>
          <w:sz w:val="32"/>
          <w:szCs w:val="32"/>
          <w:highlight w:val="none"/>
          <w:shd w:val="clear" w:color="auto" w:fill="auto"/>
          <w:lang w:eastAsia="zh-CN"/>
        </w:rPr>
        <w:t>20</w:t>
      </w:r>
      <w:r>
        <w:rPr>
          <w:rFonts w:hint="default" w:ascii="Times New Roman" w:hAnsi="Times New Roman" w:eastAsia="仿宋_GB2312" w:cs="Times New Roman"/>
          <w:color w:val="auto"/>
          <w:sz w:val="32"/>
          <w:szCs w:val="32"/>
          <w:highlight w:val="none"/>
          <w:shd w:val="clear" w:color="auto" w:fill="auto"/>
          <w:lang w:val="en-US" w:eastAsia="zh-CN"/>
        </w:rPr>
        <w:t>22</w:t>
      </w:r>
      <w:r>
        <w:rPr>
          <w:rFonts w:hint="default" w:ascii="Times New Roman" w:hAnsi="Times New Roman" w:eastAsia="仿宋_GB2312"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shd w:val="clear" w:color="auto" w:fill="auto"/>
          <w:lang w:val="en-US" w:eastAsia="zh-CN"/>
        </w:rPr>
        <w:t>55号</w:t>
      </w:r>
    </w:p>
    <w:p w14:paraId="1231DE3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简体" w:cs="Times New Roman"/>
          <w:b w:val="0"/>
          <w:bCs/>
          <w:color w:val="auto"/>
          <w:spacing w:val="-11"/>
          <w:sz w:val="44"/>
          <w:szCs w:val="44"/>
          <w:highlight w:val="none"/>
        </w:rPr>
      </w:pPr>
      <w:r>
        <w:rPr>
          <w:rFonts w:hint="default" w:ascii="Times New Roman" w:hAnsi="Times New Roman" w:eastAsia="方正小标宋简体" w:cs="Times New Roman"/>
          <w:b w:val="0"/>
          <w:bCs/>
          <w:color w:val="auto"/>
          <w:spacing w:val="-11"/>
          <w:sz w:val="44"/>
          <w:szCs w:val="44"/>
          <w:highlight w:val="none"/>
        </w:rPr>
        <w:t>关于印发《工程造价咨询服务管理办法》的通知</w:t>
      </w:r>
    </w:p>
    <w:p w14:paraId="638ADF2B">
      <w:pPr>
        <w:spacing w:line="600" w:lineRule="exact"/>
        <w:rPr>
          <w:rFonts w:hint="default" w:ascii="Times New Roman" w:hAnsi="Times New Roman" w:eastAsia="宋体" w:cs="Times New Roman"/>
          <w:color w:val="auto"/>
          <w:szCs w:val="32"/>
          <w:highlight w:val="none"/>
        </w:rPr>
      </w:pPr>
    </w:p>
    <w:p w14:paraId="37411C05">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outlineLvl w:val="9"/>
        <w:rPr>
          <w:rFonts w:hint="default" w:ascii="Times New Roman" w:hAnsi="Times New Roman" w:eastAsia="仿宋_GB2312" w:cs="Times New Roman"/>
          <w:color w:val="auto"/>
          <w:sz w:val="32"/>
          <w:szCs w:val="32"/>
          <w:highlight w:val="none"/>
        </w:rPr>
      </w:pPr>
      <w:r>
        <w:rPr>
          <w:rFonts w:hint="eastAsia" w:ascii="Times New Roman" w:hAnsi="仿宋_GB2312" w:eastAsia="仿宋_GB2312" w:cs="Times New Roman"/>
          <w:color w:val="auto"/>
          <w:sz w:val="32"/>
          <w:szCs w:val="32"/>
          <w:highlight w:val="none"/>
        </w:rPr>
        <w:t>机关各</w:t>
      </w:r>
      <w:r>
        <w:rPr>
          <w:rFonts w:hint="eastAsia" w:ascii="Times New Roman" w:hAnsi="仿宋_GB2312" w:eastAsia="仿宋_GB2312" w:cs="Times New Roman"/>
          <w:color w:val="auto"/>
          <w:sz w:val="32"/>
          <w:szCs w:val="32"/>
          <w:highlight w:val="none"/>
          <w:lang w:eastAsia="zh-CN"/>
        </w:rPr>
        <w:t>科室</w:t>
      </w:r>
      <w:r>
        <w:rPr>
          <w:rFonts w:hint="eastAsia" w:ascii="Times New Roman" w:hAnsi="仿宋_GB2312" w:eastAsia="仿宋_GB2312" w:cs="Times New Roman"/>
          <w:color w:val="auto"/>
          <w:sz w:val="32"/>
          <w:szCs w:val="32"/>
          <w:highlight w:val="none"/>
        </w:rPr>
        <w:t>、处属各</w:t>
      </w:r>
      <w:r>
        <w:rPr>
          <w:rFonts w:hint="eastAsia" w:ascii="Times New Roman" w:hAnsi="仿宋_GB2312" w:eastAsia="仿宋_GB2312" w:cs="Times New Roman"/>
          <w:color w:val="auto"/>
          <w:sz w:val="32"/>
          <w:szCs w:val="32"/>
          <w:highlight w:val="none"/>
          <w:lang w:val="en-US" w:eastAsia="zh-CN"/>
        </w:rPr>
        <w:t>单位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各工程造价咨询企业</w:t>
      </w:r>
      <w:r>
        <w:rPr>
          <w:rFonts w:hint="default" w:ascii="Times New Roman" w:hAnsi="Times New Roman" w:eastAsia="仿宋_GB2312" w:cs="Times New Roman"/>
          <w:color w:val="auto"/>
          <w:sz w:val="32"/>
          <w:szCs w:val="32"/>
          <w:highlight w:val="none"/>
        </w:rPr>
        <w:t>：</w:t>
      </w:r>
    </w:p>
    <w:p w14:paraId="57D3091F">
      <w:pPr>
        <w:keepNext w:val="0"/>
        <w:keepLines w:val="0"/>
        <w:pageBreakBefore w:val="0"/>
        <w:widowControl w:val="0"/>
        <w:kinsoku/>
        <w:overflowPunct/>
        <w:topLinePunct w:val="0"/>
        <w:autoSpaceDE/>
        <w:autoSpaceDN/>
        <w:bidi w:val="0"/>
        <w:adjustRightInd/>
        <w:snapToGrid/>
        <w:spacing w:line="6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0"/>
          <w:sz w:val="32"/>
          <w:szCs w:val="32"/>
          <w:highlight w:val="none"/>
        </w:rPr>
        <w:t>规范工程</w:t>
      </w:r>
      <w:r>
        <w:rPr>
          <w:rFonts w:hint="default" w:ascii="Times New Roman" w:hAnsi="Times New Roman" w:eastAsia="仿宋_GB2312" w:cs="Times New Roman"/>
          <w:color w:val="auto"/>
          <w:spacing w:val="-4"/>
          <w:kern w:val="0"/>
          <w:sz w:val="32"/>
          <w:szCs w:val="32"/>
          <w:highlight w:val="none"/>
        </w:rPr>
        <w:t>造价咨询企业</w:t>
      </w:r>
      <w:r>
        <w:rPr>
          <w:rFonts w:hint="default" w:ascii="Times New Roman" w:hAnsi="Times New Roman" w:eastAsia="仿宋_GB2312" w:cs="Times New Roman"/>
          <w:color w:val="auto"/>
          <w:kern w:val="0"/>
          <w:sz w:val="32"/>
          <w:szCs w:val="32"/>
          <w:highlight w:val="none"/>
        </w:rPr>
        <w:t>考核工作，</w:t>
      </w:r>
      <w:r>
        <w:rPr>
          <w:rFonts w:hint="default" w:ascii="Times New Roman" w:hAnsi="Times New Roman" w:eastAsia="仿宋_GB2312" w:cs="Times New Roman"/>
          <w:color w:val="auto"/>
          <w:kern w:val="0"/>
          <w:sz w:val="32"/>
          <w:szCs w:val="32"/>
          <w:highlight w:val="none"/>
          <w:lang w:val="en-US" w:eastAsia="zh-CN"/>
        </w:rPr>
        <w:t>2020年10月印发了</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)，试行已满一年，结合工作实际，现予以修订。经2022</w:t>
      </w:r>
      <w:r>
        <w:rPr>
          <w:rFonts w:hint="default" w:ascii="Times New Roman" w:hAnsi="Times New Roman" w:eastAsia="仿宋_GB2312" w:cs="Times New Roman"/>
          <w:color w:val="auto"/>
          <w:sz w:val="32"/>
          <w:szCs w:val="32"/>
          <w:highlight w:val="none"/>
          <w:shd w:val="clear" w:color="auto" w:fill="auto"/>
          <w:lang w:val="en-US" w:eastAsia="zh-CN"/>
        </w:rPr>
        <w:t>年6月</w:t>
      </w:r>
      <w:r>
        <w:rPr>
          <w:rFonts w:hint="eastAsia" w:ascii="Times New Roman" w:hAnsi="Times New Roman" w:eastAsia="仿宋_GB2312" w:cs="Times New Roman"/>
          <w:color w:val="auto"/>
          <w:sz w:val="32"/>
          <w:szCs w:val="32"/>
          <w:highlight w:val="none"/>
          <w:shd w:val="clear" w:color="auto" w:fill="auto"/>
          <w:lang w:val="en-US" w:eastAsia="zh-CN"/>
        </w:rPr>
        <w:t>23日</w:t>
      </w:r>
      <w:r>
        <w:rPr>
          <w:rFonts w:hint="default" w:ascii="Times New Roman" w:hAnsi="Times New Roman" w:eastAsia="仿宋_GB2312" w:cs="Times New Roman"/>
          <w:color w:val="auto"/>
          <w:sz w:val="32"/>
          <w:szCs w:val="32"/>
          <w:highlight w:val="none"/>
          <w:shd w:val="clear" w:color="auto" w:fill="auto"/>
          <w:lang w:val="en-US" w:eastAsia="zh-CN"/>
        </w:rPr>
        <w:t>党组会</w:t>
      </w:r>
      <w:r>
        <w:rPr>
          <w:rFonts w:hint="default" w:ascii="Times New Roman" w:hAnsi="Times New Roman" w:eastAsia="仿宋_GB2312" w:cs="Times New Roman"/>
          <w:color w:val="auto"/>
          <w:sz w:val="32"/>
          <w:szCs w:val="32"/>
          <w:highlight w:val="none"/>
          <w:lang w:val="en-US" w:eastAsia="zh-CN"/>
        </w:rPr>
        <w:t>研究同意，</w:t>
      </w:r>
      <w:r>
        <w:rPr>
          <w:rFonts w:hint="default" w:ascii="Times New Roman" w:hAnsi="Times New Roman" w:eastAsia="仿宋_GB2312" w:cs="Times New Roman"/>
          <w:color w:val="auto"/>
          <w:kern w:val="0"/>
          <w:sz w:val="32"/>
          <w:szCs w:val="32"/>
          <w:highlight w:val="none"/>
          <w:lang w:eastAsia="zh-CN"/>
        </w:rPr>
        <w:t>现印发</w:t>
      </w:r>
      <w:r>
        <w:rPr>
          <w:rFonts w:hint="default" w:ascii="Times New Roman" w:hAnsi="Times New Roman" w:eastAsia="仿宋_GB2312" w:cs="Times New Roman"/>
          <w:color w:val="auto"/>
          <w:sz w:val="32"/>
          <w:szCs w:val="32"/>
          <w:highlight w:val="none"/>
        </w:rPr>
        <w:t>《工程造价咨询服务管理办法》，请认真贯彻执行</w:t>
      </w:r>
      <w:r>
        <w:rPr>
          <w:rFonts w:hint="default" w:ascii="Times New Roman" w:hAnsi="Times New Roman" w:eastAsia="仿宋_GB2312" w:cs="Times New Roman"/>
          <w:color w:val="auto"/>
          <w:kern w:val="0"/>
          <w:sz w:val="32"/>
          <w:szCs w:val="32"/>
          <w:highlight w:val="none"/>
        </w:rPr>
        <w:t>，并及时反馈执行中的意见和</w:t>
      </w:r>
      <w:r>
        <w:rPr>
          <w:rFonts w:hint="default" w:ascii="Times New Roman" w:hAnsi="Times New Roman" w:eastAsia="仿宋_GB2312" w:cs="Times New Roman"/>
          <w:color w:val="auto"/>
          <w:sz w:val="32"/>
          <w:szCs w:val="32"/>
          <w:highlight w:val="none"/>
        </w:rPr>
        <w:t>建议。《工程造价咨询服务管理办法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200143EC">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cs="Times New Roman"/>
          <w:color w:val="auto"/>
          <w:highlight w:val="none"/>
        </w:rPr>
      </w:pPr>
    </w:p>
    <w:p w14:paraId="1C04CB0B">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val="en-US" w:eastAsia="zh-CN"/>
        </w:rPr>
        <w:t xml:space="preserve">    </w:t>
      </w:r>
    </w:p>
    <w:p w14:paraId="52F0F73F">
      <w:pPr>
        <w:keepNext w:val="0"/>
        <w:keepLines w:val="0"/>
        <w:pageBreakBefore w:val="0"/>
        <w:widowControl w:val="0"/>
        <w:kinsoku/>
        <w:overflowPunct/>
        <w:topLinePunct w:val="0"/>
        <w:autoSpaceDE/>
        <w:autoSpaceDN/>
        <w:bidi w:val="0"/>
        <w:adjustRightInd/>
        <w:snapToGrid/>
        <w:spacing w:line="600" w:lineRule="exact"/>
        <w:ind w:firstLine="5120" w:firstLineChars="16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w:t>
      </w:r>
    </w:p>
    <w:p w14:paraId="22CB56EB">
      <w:pPr>
        <w:pStyle w:val="2"/>
        <w:rPr>
          <w:rFonts w:hint="default" w:ascii="Times New Roman" w:hAnsi="Times New Roman" w:eastAsia="仿宋_GB2312" w:cs="Times New Roman"/>
          <w:color w:val="auto"/>
          <w:sz w:val="32"/>
          <w:szCs w:val="32"/>
          <w:highlight w:val="none"/>
        </w:rPr>
      </w:pPr>
    </w:p>
    <w:p w14:paraId="0C9F6B45">
      <w:pPr>
        <w:rPr>
          <w:rFonts w:hint="default"/>
          <w:color w:val="auto"/>
          <w:highlight w:val="none"/>
        </w:rPr>
      </w:pPr>
    </w:p>
    <w:p w14:paraId="4957FAEB">
      <w:pPr>
        <w:pStyle w:val="2"/>
        <w:rPr>
          <w:rFonts w:hint="default"/>
          <w:color w:val="auto"/>
          <w:highlight w:val="none"/>
        </w:rPr>
      </w:pPr>
    </w:p>
    <w:p w14:paraId="7C253514">
      <w:pPr>
        <w:rPr>
          <w:rFonts w:hint="default"/>
          <w:color w:val="auto"/>
          <w:highlight w:val="none"/>
        </w:rPr>
      </w:pPr>
    </w:p>
    <w:p w14:paraId="4F847B55">
      <w:pPr>
        <w:pStyle w:val="2"/>
        <w:rPr>
          <w:rFonts w:hint="default"/>
          <w:color w:val="auto"/>
          <w:highlight w:val="none"/>
        </w:rPr>
      </w:pPr>
    </w:p>
    <w:p w14:paraId="76D122F1">
      <w:pPr>
        <w:rPr>
          <w:rFonts w:hint="default"/>
          <w:color w:val="auto"/>
          <w:highlight w:val="none"/>
        </w:rPr>
      </w:pPr>
    </w:p>
    <w:p w14:paraId="705AA9CA">
      <w:pPr>
        <w:rPr>
          <w:rFonts w:hint="default"/>
          <w:color w:val="auto"/>
          <w:highlight w:val="none"/>
        </w:rPr>
      </w:pPr>
    </w:p>
    <w:p w14:paraId="60EEB4F4">
      <w:pPr>
        <w:pStyle w:val="2"/>
        <w:rPr>
          <w:rFonts w:hint="default"/>
          <w:color w:val="auto"/>
          <w:highlight w:val="none"/>
        </w:rPr>
      </w:pPr>
    </w:p>
    <w:p w14:paraId="0CF9E964">
      <w:pPr>
        <w:rPr>
          <w:rFonts w:hint="default"/>
          <w:color w:val="auto"/>
          <w:highlight w:val="none"/>
        </w:rPr>
      </w:pPr>
    </w:p>
    <w:p w14:paraId="22BBEA42">
      <w:pPr>
        <w:rPr>
          <w:rFonts w:hint="default" w:ascii="Times New Roman" w:hAnsi="Times New Roman" w:eastAsia="方正小标宋简体" w:cs="Times New Roman"/>
          <w:b w:val="0"/>
          <w:bCs/>
          <w:color w:val="auto"/>
          <w:sz w:val="44"/>
          <w:szCs w:val="44"/>
          <w:highlight w:val="none"/>
        </w:rPr>
      </w:pPr>
      <w:r>
        <w:rPr>
          <w:rFonts w:hint="default" w:ascii="Times New Roman" w:hAnsi="Times New Roman" w:eastAsia="方正小标宋简体" w:cs="Times New Roman"/>
          <w:b w:val="0"/>
          <w:bCs/>
          <w:color w:val="auto"/>
          <w:sz w:val="44"/>
          <w:szCs w:val="44"/>
          <w:highlight w:val="none"/>
        </w:rPr>
        <w:br w:type="page"/>
      </w:r>
    </w:p>
    <w:p w14:paraId="69087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b w:val="0"/>
          <w:bCs/>
          <w:color w:val="auto"/>
          <w:sz w:val="44"/>
          <w:szCs w:val="44"/>
          <w:highlight w:val="none"/>
        </w:rPr>
        <w:t>工程造价咨询服务管理办法</w:t>
      </w:r>
    </w:p>
    <w:p w14:paraId="6C5D8947">
      <w:pPr>
        <w:keepNext w:val="0"/>
        <w:keepLines w:val="0"/>
        <w:pageBreakBefore w:val="0"/>
        <w:kinsoku/>
        <w:wordWrap/>
        <w:overflowPunct/>
        <w:topLinePunct w:val="0"/>
        <w:autoSpaceDE/>
        <w:autoSpaceDN/>
        <w:bidi w:val="0"/>
        <w:adjustRightInd/>
        <w:spacing w:line="400" w:lineRule="exact"/>
        <w:ind w:firstLine="3520" w:firstLineChars="1100"/>
        <w:textAlignment w:val="auto"/>
        <w:rPr>
          <w:rFonts w:hint="default" w:ascii="Times New Roman" w:hAnsi="Times New Roman" w:eastAsia="仿宋_GB2312" w:cs="Times New Roman"/>
          <w:color w:val="auto"/>
          <w:sz w:val="32"/>
          <w:szCs w:val="32"/>
          <w:highlight w:val="none"/>
        </w:rPr>
      </w:pPr>
    </w:p>
    <w:p w14:paraId="4AC72A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14:paraId="38D78040">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第一条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为</w:t>
      </w:r>
      <w:r>
        <w:rPr>
          <w:rFonts w:hint="default" w:ascii="Times New Roman" w:hAnsi="Times New Roman" w:eastAsia="仿宋_GB2312" w:cs="Times New Roman"/>
          <w:color w:val="auto"/>
          <w:sz w:val="32"/>
          <w:szCs w:val="32"/>
          <w:highlight w:val="none"/>
        </w:rPr>
        <w:t>加强</w:t>
      </w:r>
      <w:r>
        <w:rPr>
          <w:rFonts w:hint="default" w:ascii="Times New Roman" w:hAnsi="Times New Roman" w:eastAsia="仿宋_GB2312" w:cs="Times New Roman"/>
          <w:color w:val="auto"/>
          <w:spacing w:val="-4"/>
          <w:kern w:val="0"/>
          <w:sz w:val="32"/>
          <w:szCs w:val="32"/>
          <w:highlight w:val="none"/>
        </w:rPr>
        <w:t>我处工程造价咨询服务管理</w:t>
      </w:r>
      <w:r>
        <w:rPr>
          <w:rFonts w:hint="default" w:ascii="Times New Roman" w:hAnsi="Times New Roman" w:eastAsia="仿宋_GB2312" w:cs="Times New Roman"/>
          <w:color w:val="auto"/>
          <w:sz w:val="32"/>
          <w:szCs w:val="32"/>
          <w:highlight w:val="none"/>
        </w:rPr>
        <w:t>，提高造价成果质量和工作效率，严格控制政府投资，防范风险，强化廉政建设，根据相关规定，结合我处实际，</w:t>
      </w:r>
      <w:r>
        <w:rPr>
          <w:rFonts w:hint="default" w:ascii="Times New Roman" w:hAnsi="Times New Roman" w:eastAsia="仿宋_GB2312" w:cs="Times New Roman"/>
          <w:color w:val="auto"/>
          <w:kern w:val="0"/>
          <w:sz w:val="32"/>
          <w:szCs w:val="32"/>
          <w:highlight w:val="none"/>
        </w:rPr>
        <w:t>制定</w:t>
      </w:r>
      <w:r>
        <w:rPr>
          <w:rFonts w:hint="default" w:ascii="Times New Roman" w:hAnsi="Times New Roman" w:eastAsia="仿宋_GB2312" w:cs="Times New Roman"/>
          <w:color w:val="auto"/>
          <w:sz w:val="32"/>
          <w:szCs w:val="32"/>
          <w:highlight w:val="none"/>
        </w:rPr>
        <w:t>本办法。</w:t>
      </w:r>
    </w:p>
    <w:p w14:paraId="795BD60B">
      <w:pPr>
        <w:keepNext w:val="0"/>
        <w:keepLines w:val="0"/>
        <w:pageBreakBefore w:val="0"/>
        <w:kinsoku/>
        <w:wordWrap/>
        <w:overflowPunct/>
        <w:topLinePunct w:val="0"/>
        <w:autoSpaceDE/>
        <w:autoSpaceDN/>
        <w:bidi w:val="0"/>
        <w:adjustRightInd/>
        <w:spacing w:line="400" w:lineRule="exact"/>
        <w:ind w:left="0" w:leftChars="0" w:firstLine="627"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pacing w:val="-4"/>
          <w:kern w:val="0"/>
          <w:sz w:val="32"/>
          <w:szCs w:val="32"/>
          <w:highlight w:val="none"/>
        </w:rPr>
        <w:t>第二条</w:t>
      </w:r>
      <w:r>
        <w:rPr>
          <w:rFonts w:hint="default" w:ascii="Times New Roman" w:hAnsi="Times New Roman" w:eastAsia="仿宋_GB2312" w:cs="Times New Roman"/>
          <w:color w:val="auto"/>
          <w:spacing w:val="-4"/>
          <w:kern w:val="0"/>
          <w:sz w:val="32"/>
          <w:szCs w:val="32"/>
          <w:highlight w:val="none"/>
        </w:rPr>
        <w:t xml:space="preserve"> </w:t>
      </w:r>
      <w:r>
        <w:rPr>
          <w:rFonts w:hint="default" w:ascii="Times New Roman" w:hAnsi="Times New Roman" w:eastAsia="仿宋_GB2312" w:cs="Times New Roman"/>
          <w:color w:val="auto"/>
          <w:spacing w:val="-4"/>
          <w:kern w:val="0"/>
          <w:sz w:val="32"/>
          <w:szCs w:val="32"/>
          <w:highlight w:val="none"/>
          <w:lang w:val="en-US" w:eastAsia="zh-CN"/>
        </w:rPr>
        <w:t xml:space="preserve"> </w:t>
      </w:r>
      <w:r>
        <w:rPr>
          <w:rFonts w:hint="default" w:ascii="Times New Roman" w:hAnsi="Times New Roman" w:eastAsia="仿宋_GB2312" w:cs="Times New Roman"/>
          <w:color w:val="auto"/>
          <w:spacing w:val="-4"/>
          <w:kern w:val="0"/>
          <w:sz w:val="32"/>
          <w:szCs w:val="32"/>
          <w:highlight w:val="none"/>
        </w:rPr>
        <w:t>我处委托工程造价咨询企业（以下简称“造价企业”）</w:t>
      </w:r>
      <w:r>
        <w:rPr>
          <w:rFonts w:hint="default" w:ascii="Times New Roman" w:hAnsi="Times New Roman" w:eastAsia="仿宋_GB2312" w:cs="Times New Roman"/>
          <w:color w:val="auto"/>
          <w:spacing w:val="-4"/>
          <w:kern w:val="0"/>
          <w:sz w:val="32"/>
          <w:szCs w:val="32"/>
          <w:highlight w:val="none"/>
          <w:lang w:eastAsia="zh-CN"/>
        </w:rPr>
        <w:t>的</w:t>
      </w:r>
      <w:r>
        <w:rPr>
          <w:rFonts w:hint="default" w:ascii="Times New Roman" w:hAnsi="Times New Roman" w:eastAsia="仿宋_GB2312" w:cs="Times New Roman"/>
          <w:color w:val="auto"/>
          <w:spacing w:val="-4"/>
          <w:kern w:val="0"/>
          <w:sz w:val="32"/>
          <w:szCs w:val="32"/>
          <w:highlight w:val="none"/>
        </w:rPr>
        <w:t>投资估算、设计概算、工程量清单</w:t>
      </w:r>
      <w:r>
        <w:rPr>
          <w:rFonts w:hint="default" w:ascii="Times New Roman" w:hAnsi="Times New Roman" w:eastAsia="仿宋_GB2312" w:cs="Times New Roman"/>
          <w:color w:val="auto"/>
          <w:spacing w:val="-4"/>
          <w:kern w:val="0"/>
          <w:sz w:val="32"/>
          <w:szCs w:val="32"/>
          <w:highlight w:val="none"/>
          <w:lang w:eastAsia="zh-CN"/>
        </w:rPr>
        <w:t>及</w:t>
      </w:r>
      <w:r>
        <w:rPr>
          <w:rFonts w:hint="default" w:ascii="Times New Roman" w:hAnsi="Times New Roman" w:eastAsia="仿宋_GB2312" w:cs="Times New Roman"/>
          <w:color w:val="auto"/>
          <w:spacing w:val="-4"/>
          <w:kern w:val="0"/>
          <w:sz w:val="32"/>
          <w:szCs w:val="32"/>
          <w:highlight w:val="none"/>
        </w:rPr>
        <w:t>最高投标限价编制</w:t>
      </w:r>
      <w:r>
        <w:rPr>
          <w:rFonts w:hint="default" w:ascii="Times New Roman" w:hAnsi="Times New Roman" w:eastAsia="仿宋_GB2312" w:cs="Times New Roman"/>
          <w:color w:val="auto"/>
          <w:spacing w:val="-4"/>
          <w:kern w:val="0"/>
          <w:sz w:val="32"/>
          <w:szCs w:val="32"/>
          <w:highlight w:val="none"/>
          <w:lang w:eastAsia="zh-CN"/>
        </w:rPr>
        <w:t>（以下简称“清单编制”）和审核</w:t>
      </w:r>
      <w:r>
        <w:rPr>
          <w:rFonts w:hint="default" w:ascii="Times New Roman" w:hAnsi="Times New Roman" w:eastAsia="仿宋_GB2312" w:cs="Times New Roman"/>
          <w:color w:val="auto"/>
          <w:spacing w:val="-4"/>
          <w:kern w:val="0"/>
          <w:sz w:val="32"/>
          <w:szCs w:val="32"/>
          <w:highlight w:val="none"/>
        </w:rPr>
        <w:t>、施工阶段全过程造价控制（以下简称“跟踪审计”）、结算审核、第三方复审等咨询业务均适用于本办法。</w:t>
      </w:r>
    </w:p>
    <w:p w14:paraId="5E247A2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第二章 工作流程</w:t>
      </w:r>
    </w:p>
    <w:p w14:paraId="43A68EF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清单编制审核</w:t>
      </w:r>
      <w:r>
        <w:rPr>
          <w:rFonts w:hint="default" w:ascii="Times New Roman" w:hAnsi="Times New Roman" w:eastAsia="仿宋_GB2312" w:cs="Times New Roman"/>
          <w:color w:val="auto"/>
          <w:sz w:val="32"/>
          <w:szCs w:val="32"/>
          <w:highlight w:val="none"/>
        </w:rPr>
        <w:t>流程</w:t>
      </w:r>
    </w:p>
    <w:p w14:paraId="310B8CA0">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工程技术科提供图审合格的完整纸质图、电子图和勘察报告等相关设计文件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综合计划科委托造价企业</w:t>
      </w:r>
      <w:r>
        <w:rPr>
          <w:rFonts w:hint="default" w:ascii="Times New Roman" w:hAnsi="Times New Roman" w:eastAsia="仿宋_GB2312" w:cs="Times New Roman"/>
          <w:color w:val="auto"/>
          <w:sz w:val="32"/>
          <w:szCs w:val="32"/>
          <w:highlight w:val="none"/>
        </w:rPr>
        <w:t>编制清单→</w:t>
      </w:r>
      <w:r>
        <w:rPr>
          <w:rFonts w:hint="default" w:ascii="Times New Roman" w:hAnsi="Times New Roman" w:eastAsia="仿宋_GB2312" w:cs="Times New Roman"/>
          <w:color w:val="auto"/>
          <w:sz w:val="32"/>
          <w:szCs w:val="32"/>
          <w:highlight w:val="none"/>
          <w:lang w:eastAsia="zh-CN"/>
        </w:rPr>
        <w:t>项目分管领导牵头，组织综合计划科、工程技术科、工程建设科和设计（勘察）单位、清单编制单位等参加清单会审（投资较大、技术复杂、专业性较强的项目，可以委托第三方复审或组织专家论证）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工程技术科督促设计单位按照会审意见限期完成修改，并对最终图纸进行确认</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编制单位出具会审备忘录（编制说明），按会审意见和终版图纸调整</w:t>
      </w:r>
      <w:r>
        <w:rPr>
          <w:rFonts w:hint="default" w:ascii="Times New Roman" w:hAnsi="Times New Roman" w:eastAsia="仿宋_GB2312" w:cs="Times New Roman"/>
          <w:color w:val="auto"/>
          <w:sz w:val="32"/>
          <w:szCs w:val="32"/>
          <w:highlight w:val="none"/>
        </w:rPr>
        <w:t>清单</w:t>
      </w:r>
      <w:r>
        <w:rPr>
          <w:rFonts w:hint="default" w:ascii="Times New Roman" w:hAnsi="Times New Roman" w:eastAsia="仿宋_GB2312" w:cs="Times New Roman"/>
          <w:color w:val="auto"/>
          <w:sz w:val="32"/>
          <w:szCs w:val="32"/>
          <w:highlight w:val="none"/>
          <w:lang w:eastAsia="zh-CN"/>
        </w:rPr>
        <w:t>。其中，</w:t>
      </w:r>
      <w:r>
        <w:rPr>
          <w:rFonts w:hint="default" w:ascii="Times New Roman" w:hAnsi="Times New Roman" w:eastAsia="仿宋_GB2312" w:cs="Times New Roman"/>
          <w:color w:val="auto"/>
          <w:sz w:val="32"/>
          <w:szCs w:val="32"/>
          <w:highlight w:val="none"/>
        </w:rPr>
        <w:t>最高</w:t>
      </w:r>
      <w:r>
        <w:rPr>
          <w:rFonts w:hint="default" w:ascii="Times New Roman" w:hAnsi="Times New Roman" w:eastAsia="仿宋_GB2312" w:cs="Times New Roman"/>
          <w:color w:val="auto"/>
          <w:sz w:val="32"/>
          <w:szCs w:val="32"/>
          <w:highlight w:val="none"/>
          <w:lang w:eastAsia="zh-CN"/>
        </w:rPr>
        <w:t>投标</w:t>
      </w:r>
      <w:r>
        <w:rPr>
          <w:rFonts w:hint="default" w:ascii="Times New Roman" w:hAnsi="Times New Roman" w:eastAsia="仿宋_GB2312" w:cs="Times New Roman"/>
          <w:color w:val="auto"/>
          <w:sz w:val="32"/>
          <w:szCs w:val="32"/>
          <w:highlight w:val="none"/>
        </w:rPr>
        <w:t>限价</w:t>
      </w:r>
      <w:r>
        <w:rPr>
          <w:rFonts w:hint="default" w:ascii="Times New Roman" w:hAnsi="Times New Roman" w:eastAsia="仿宋_GB2312" w:cs="Times New Roman"/>
          <w:color w:val="auto"/>
          <w:sz w:val="32"/>
          <w:szCs w:val="32"/>
          <w:highlight w:val="none"/>
          <w:lang w:eastAsia="zh-CN"/>
        </w:rPr>
        <w:t>一亿元以上项目报送市财政工程造价审核中心审核。（上述限额标准根据市财政局规定同步调整）</w:t>
      </w:r>
    </w:p>
    <w:p w14:paraId="36B399CF">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第四条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流程</w:t>
      </w:r>
    </w:p>
    <w:p w14:paraId="01552592">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万元及以上（绿化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万元及以上）项目</w:t>
      </w:r>
    </w:p>
    <w:p w14:paraId="0B55380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报告→综合计划科复核→跟踪审计单位</w:t>
      </w:r>
      <w:r>
        <w:rPr>
          <w:rFonts w:hint="default" w:ascii="Times New Roman" w:hAnsi="Times New Roman" w:eastAsia="仿宋_GB2312" w:cs="Times New Roman"/>
          <w:color w:val="auto"/>
          <w:sz w:val="32"/>
          <w:szCs w:val="32"/>
          <w:highlight w:val="none"/>
          <w:lang w:eastAsia="zh-CN"/>
        </w:rPr>
        <w:t>定稿结算审核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工程建设科报</w:t>
      </w:r>
      <w:r>
        <w:rPr>
          <w:rFonts w:hint="default" w:ascii="Times New Roman" w:hAnsi="Times New Roman" w:eastAsia="仿宋_GB2312" w:cs="Times New Roman"/>
          <w:color w:val="auto"/>
          <w:sz w:val="32"/>
          <w:szCs w:val="32"/>
          <w:highlight w:val="none"/>
        </w:rPr>
        <w:t>市财政工程造价审核中心出具审核意见书并备案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7EC6225">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万元）及以上，</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、园林景观1000</w:t>
      </w:r>
      <w:r>
        <w:rPr>
          <w:rFonts w:hint="default" w:ascii="Times New Roman" w:hAnsi="Times New Roman" w:eastAsia="仿宋_GB2312" w:cs="Times New Roman"/>
          <w:color w:val="auto"/>
          <w:sz w:val="32"/>
          <w:szCs w:val="32"/>
          <w:highlight w:val="none"/>
        </w:rPr>
        <w:t>万元）以下项目</w:t>
      </w:r>
    </w:p>
    <w:p w14:paraId="107B2FC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报告→综合计划科委托第三方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审核并出具结算审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报告→综合计划科复核→第三方</w:t>
      </w:r>
      <w:r>
        <w:rPr>
          <w:rFonts w:hint="default" w:ascii="Times New Roman" w:hAnsi="Times New Roman" w:eastAsia="仿宋_GB2312" w:cs="Times New Roman"/>
          <w:color w:val="auto"/>
          <w:sz w:val="32"/>
          <w:szCs w:val="32"/>
          <w:highlight w:val="none"/>
          <w:lang w:eastAsia="zh-CN"/>
        </w:rPr>
        <w:t>复审单位</w:t>
      </w:r>
      <w:r>
        <w:rPr>
          <w:rFonts w:hint="default" w:ascii="Times New Roman" w:hAnsi="Times New Roman" w:eastAsia="仿宋_GB2312" w:cs="Times New Roman"/>
          <w:color w:val="auto"/>
          <w:sz w:val="32"/>
          <w:szCs w:val="32"/>
          <w:highlight w:val="none"/>
        </w:rPr>
        <w:t>调整结算审</w:t>
      </w:r>
      <w:r>
        <w:rPr>
          <w:rFonts w:hint="default" w:ascii="Times New Roman" w:hAnsi="Times New Roman" w:eastAsia="仿宋_GB2312" w:cs="Times New Roman"/>
          <w:color w:val="auto"/>
          <w:sz w:val="32"/>
          <w:szCs w:val="32"/>
          <w:highlight w:val="none"/>
          <w:lang w:eastAsia="zh-CN"/>
        </w:rPr>
        <w:t>（复）核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2FB59B6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outlineLvl w:val="0"/>
        <w:rPr>
          <w:rFonts w:hint="default" w:ascii="Times New Roman" w:hAnsi="Times New Roman" w:eastAsia="仿宋_GB2312" w:cs="Times New Roman"/>
          <w:color w:val="auto"/>
          <w:sz w:val="32"/>
          <w:szCs w:val="32"/>
          <w:highlight w:val="none"/>
        </w:rPr>
      </w:pPr>
      <w:bookmarkStart w:id="210" w:name="_Toc2443"/>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eastAsia="zh-CN"/>
        </w:rPr>
        <w:t>工程</w:t>
      </w:r>
      <w:r>
        <w:rPr>
          <w:rFonts w:hint="default" w:ascii="Times New Roman" w:hAnsi="Times New Roman" w:eastAsia="仿宋_GB2312" w:cs="Times New Roman"/>
          <w:color w:val="auto"/>
          <w:sz w:val="32"/>
          <w:szCs w:val="32"/>
          <w:highlight w:val="none"/>
        </w:rPr>
        <w:t>合同价</w:t>
      </w:r>
      <w:r>
        <w:rPr>
          <w:rFonts w:hint="default" w:ascii="Times New Roman" w:hAnsi="Times New Roman" w:eastAsia="仿宋_GB2312" w:cs="Times New Roman"/>
          <w:color w:val="auto"/>
          <w:sz w:val="32"/>
          <w:szCs w:val="32"/>
          <w:highlight w:val="none"/>
          <w:lang w:eastAsia="zh-CN"/>
        </w:rPr>
        <w:t>200</w:t>
      </w:r>
      <w:r>
        <w:rPr>
          <w:rFonts w:hint="default" w:ascii="Times New Roman" w:hAnsi="Times New Roman" w:eastAsia="仿宋_GB2312" w:cs="Times New Roman"/>
          <w:color w:val="auto"/>
          <w:sz w:val="32"/>
          <w:szCs w:val="32"/>
          <w:highlight w:val="none"/>
        </w:rPr>
        <w:t>万元（绿化</w:t>
      </w:r>
      <w:r>
        <w:rPr>
          <w:rFonts w:hint="default" w:ascii="Times New Roman" w:hAnsi="Times New Roman" w:eastAsia="仿宋_GB2312" w:cs="Times New Roman"/>
          <w:color w:val="auto"/>
          <w:sz w:val="32"/>
          <w:szCs w:val="32"/>
          <w:highlight w:val="none"/>
          <w:lang w:eastAsia="zh-CN"/>
        </w:rPr>
        <w:t>、园林景观100</w:t>
      </w:r>
      <w:r>
        <w:rPr>
          <w:rFonts w:hint="default" w:ascii="Times New Roman" w:hAnsi="Times New Roman" w:eastAsia="仿宋_GB2312" w:cs="Times New Roman"/>
          <w:color w:val="auto"/>
          <w:sz w:val="32"/>
          <w:szCs w:val="32"/>
          <w:highlight w:val="none"/>
        </w:rPr>
        <w:t>万元）以下项目</w:t>
      </w:r>
      <w:bookmarkEnd w:id="210"/>
    </w:p>
    <w:p w14:paraId="5BB9B67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施工单位向跟踪审计单位报送结算资料</w:t>
      </w:r>
      <w:r>
        <w:rPr>
          <w:rFonts w:hint="default" w:ascii="Times New Roman" w:hAnsi="Times New Roman" w:eastAsia="仿宋_GB2312" w:cs="Times New Roman"/>
          <w:color w:val="auto"/>
          <w:sz w:val="32"/>
          <w:szCs w:val="32"/>
          <w:highlight w:val="none"/>
        </w:rPr>
        <w:t>→跟踪审计单位出具</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报告→工程建设科</w:t>
      </w:r>
      <w:r>
        <w:rPr>
          <w:rFonts w:hint="default" w:ascii="Times New Roman" w:hAnsi="Times New Roman" w:eastAsia="仿宋_GB2312" w:cs="Times New Roman"/>
          <w:color w:val="auto"/>
          <w:sz w:val="32"/>
          <w:szCs w:val="32"/>
          <w:highlight w:val="none"/>
          <w:lang w:eastAsia="zh-CN"/>
        </w:rPr>
        <w:t>组织监理、跟审、设计等单位</w:t>
      </w:r>
      <w:r>
        <w:rPr>
          <w:rFonts w:hint="default" w:ascii="Times New Roman" w:hAnsi="Times New Roman" w:eastAsia="仿宋_GB2312" w:cs="Times New Roman"/>
          <w:color w:val="auto"/>
          <w:sz w:val="32"/>
          <w:szCs w:val="32"/>
          <w:highlight w:val="none"/>
        </w:rPr>
        <w:t>审查→综合计划科复核→跟踪审计单位调整</w:t>
      </w:r>
      <w:r>
        <w:rPr>
          <w:rFonts w:hint="default" w:ascii="Times New Roman" w:hAnsi="Times New Roman" w:eastAsia="仿宋_GB2312" w:cs="Times New Roman"/>
          <w:color w:val="auto"/>
          <w:sz w:val="32"/>
          <w:szCs w:val="32"/>
          <w:highlight w:val="none"/>
          <w:lang w:eastAsia="zh-CN"/>
        </w:rPr>
        <w:t>结算审核</w:t>
      </w:r>
      <w:r>
        <w:rPr>
          <w:rFonts w:hint="default" w:ascii="Times New Roman" w:hAnsi="Times New Roman" w:eastAsia="仿宋_GB2312" w:cs="Times New Roman"/>
          <w:color w:val="auto"/>
          <w:sz w:val="32"/>
          <w:szCs w:val="32"/>
          <w:highlight w:val="none"/>
        </w:rPr>
        <w:t>报告→</w:t>
      </w:r>
      <w:r>
        <w:rPr>
          <w:rFonts w:hint="default" w:ascii="Times New Roman" w:hAnsi="Times New Roman" w:eastAsia="仿宋_GB2312" w:cs="Times New Roman"/>
          <w:color w:val="auto"/>
          <w:sz w:val="32"/>
          <w:szCs w:val="32"/>
          <w:highlight w:val="none"/>
          <w:lang w:eastAsia="zh-CN"/>
        </w:rPr>
        <w:t>工程建设科</w:t>
      </w:r>
      <w:r>
        <w:rPr>
          <w:rFonts w:hint="default" w:ascii="Times New Roman" w:hAnsi="Times New Roman" w:eastAsia="仿宋_GB2312" w:cs="Times New Roman"/>
          <w:color w:val="auto"/>
          <w:sz w:val="32"/>
          <w:szCs w:val="32"/>
          <w:highlight w:val="none"/>
        </w:rPr>
        <w:t>备案</w:t>
      </w:r>
      <w:r>
        <w:rPr>
          <w:rFonts w:hint="default" w:ascii="Times New Roman" w:hAnsi="Times New Roman" w:eastAsia="仿宋_GB2312" w:cs="Times New Roman"/>
          <w:color w:val="auto"/>
          <w:sz w:val="32"/>
          <w:szCs w:val="32"/>
          <w:highlight w:val="none"/>
          <w:lang w:eastAsia="zh-CN"/>
        </w:rPr>
        <w:t>存档</w:t>
      </w:r>
      <w:r>
        <w:rPr>
          <w:rFonts w:hint="default" w:ascii="Times New Roman" w:hAnsi="Times New Roman" w:eastAsia="仿宋_GB2312" w:cs="Times New Roman"/>
          <w:color w:val="auto"/>
          <w:sz w:val="32"/>
          <w:szCs w:val="32"/>
          <w:highlight w:val="none"/>
        </w:rPr>
        <w:t>。</w:t>
      </w:r>
    </w:p>
    <w:p w14:paraId="4FCD7067">
      <w:pPr>
        <w:pStyle w:val="2"/>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上述限额标准根据市财政局规定同步调整。</w:t>
      </w:r>
    </w:p>
    <w:p w14:paraId="70D76E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第三章 业务委托</w:t>
      </w:r>
    </w:p>
    <w:p w14:paraId="7179038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公开方式</w:t>
      </w:r>
    </w:p>
    <w:p w14:paraId="393ABEA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综合计划科根据项目性质和特点，编制招标文件，经综合计划科</w:t>
      </w:r>
      <w:r>
        <w:rPr>
          <w:rFonts w:hint="default" w:ascii="Times New Roman" w:hAnsi="Times New Roman" w:eastAsia="仿宋_GB2312" w:cs="Times New Roman"/>
          <w:b w:val="0"/>
          <w:bCs w:val="0"/>
          <w:color w:val="auto"/>
          <w:sz w:val="32"/>
          <w:szCs w:val="32"/>
          <w:highlight w:val="none"/>
          <w:lang w:eastAsia="zh-CN"/>
        </w:rPr>
        <w:t>分管</w:t>
      </w:r>
      <w:r>
        <w:rPr>
          <w:rFonts w:hint="default" w:ascii="Times New Roman" w:hAnsi="Times New Roman" w:eastAsia="仿宋_GB2312" w:cs="Times New Roman"/>
          <w:b w:val="0"/>
          <w:bCs w:val="0"/>
          <w:color w:val="auto"/>
          <w:sz w:val="32"/>
          <w:szCs w:val="32"/>
          <w:highlight w:val="none"/>
        </w:rPr>
        <w:t>领导</w:t>
      </w:r>
      <w:r>
        <w:rPr>
          <w:rFonts w:hint="default" w:ascii="Times New Roman" w:hAnsi="Times New Roman" w:eastAsia="仿宋_GB2312" w:cs="Times New Roman"/>
          <w:color w:val="auto"/>
          <w:sz w:val="32"/>
          <w:szCs w:val="32"/>
          <w:highlight w:val="none"/>
        </w:rPr>
        <w:t>批准，在处门户网站公开招标。</w:t>
      </w:r>
    </w:p>
    <w:p w14:paraId="7FDB283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rPr>
        <w:t>造价企业</w:t>
      </w:r>
      <w:r>
        <w:rPr>
          <w:rFonts w:hint="default" w:ascii="Times New Roman" w:hAnsi="Times New Roman" w:eastAsia="仿宋_GB2312" w:cs="Times New Roman"/>
          <w:color w:val="auto"/>
          <w:kern w:val="0"/>
          <w:sz w:val="32"/>
          <w:szCs w:val="32"/>
          <w:highlight w:val="none"/>
          <w:lang w:eastAsia="zh-CN"/>
        </w:rPr>
        <w:t>自主报名，递交投标文件</w:t>
      </w:r>
      <w:r>
        <w:rPr>
          <w:rFonts w:hint="default" w:ascii="Times New Roman" w:hAnsi="Times New Roman" w:eastAsia="仿宋_GB2312" w:cs="Times New Roman"/>
          <w:color w:val="auto"/>
          <w:sz w:val="32"/>
          <w:szCs w:val="32"/>
          <w:highlight w:val="none"/>
        </w:rPr>
        <w:t>。</w:t>
      </w:r>
    </w:p>
    <w:p w14:paraId="64CA99F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开标时</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组织资格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通过审查</w:t>
      </w:r>
      <w:r>
        <w:rPr>
          <w:rFonts w:hint="default" w:ascii="Times New Roman" w:hAnsi="Times New Roman" w:eastAsia="仿宋_GB2312" w:cs="Times New Roman"/>
          <w:color w:val="auto"/>
          <w:kern w:val="0"/>
          <w:sz w:val="32"/>
          <w:szCs w:val="32"/>
          <w:highlight w:val="none"/>
        </w:rPr>
        <w:t>的</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不</w:t>
      </w:r>
      <w:r>
        <w:rPr>
          <w:rFonts w:hint="default" w:ascii="Times New Roman" w:hAnsi="Times New Roman" w:eastAsia="仿宋_GB2312" w:cs="Times New Roman"/>
          <w:color w:val="auto"/>
          <w:kern w:val="0"/>
          <w:sz w:val="32"/>
          <w:szCs w:val="32"/>
          <w:highlight w:val="none"/>
          <w:lang w:eastAsia="zh-CN"/>
        </w:rPr>
        <w:t>得</w:t>
      </w:r>
      <w:r>
        <w:rPr>
          <w:rFonts w:hint="default" w:ascii="Times New Roman" w:hAnsi="Times New Roman" w:eastAsia="仿宋_GB2312" w:cs="Times New Roman"/>
          <w:color w:val="auto"/>
          <w:kern w:val="0"/>
          <w:sz w:val="32"/>
          <w:szCs w:val="32"/>
          <w:highlight w:val="none"/>
        </w:rPr>
        <w:t>少于三家，否则，再次</w:t>
      </w:r>
      <w:r>
        <w:rPr>
          <w:rFonts w:hint="default" w:ascii="Times New Roman" w:hAnsi="Times New Roman" w:eastAsia="仿宋_GB2312" w:cs="Times New Roman"/>
          <w:color w:val="auto"/>
          <w:sz w:val="32"/>
          <w:szCs w:val="32"/>
          <w:highlight w:val="none"/>
        </w:rPr>
        <w:t>发布项目招标公告，如第二次仍少于三家，可转为竞争性谈判或单一来源采购。</w:t>
      </w:r>
    </w:p>
    <w:p w14:paraId="67145C38">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现场公开</w:t>
      </w:r>
      <w:r>
        <w:rPr>
          <w:rFonts w:hint="default" w:ascii="Times New Roman" w:hAnsi="Times New Roman" w:eastAsia="仿宋_GB2312" w:cs="Times New Roman"/>
          <w:color w:val="auto"/>
          <w:sz w:val="32"/>
          <w:szCs w:val="32"/>
          <w:highlight w:val="none"/>
          <w:lang w:eastAsia="zh-CN"/>
        </w:rPr>
        <w:t>确</w:t>
      </w:r>
      <w:r>
        <w:rPr>
          <w:rFonts w:hint="default" w:ascii="Times New Roman" w:hAnsi="Times New Roman" w:eastAsia="仿宋_GB2312" w:cs="Times New Roman"/>
          <w:color w:val="auto"/>
          <w:sz w:val="32"/>
          <w:szCs w:val="32"/>
          <w:highlight w:val="none"/>
        </w:rPr>
        <w:t>定造价企业，</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结果在处门户网站公示。</w:t>
      </w:r>
    </w:p>
    <w:p w14:paraId="4F6CD7C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(五)</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公示期满无异议，综合计划科发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54982722">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邀请方式</w:t>
      </w:r>
    </w:p>
    <w:p w14:paraId="5DD7E6E7">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综合计划科根据项目性质和特点，筛选、</w:t>
      </w:r>
      <w:r>
        <w:rPr>
          <w:rFonts w:hint="default" w:ascii="Times New Roman" w:hAnsi="Times New Roman" w:eastAsia="仿宋_GB2312" w:cs="Times New Roman"/>
          <w:color w:val="auto"/>
          <w:sz w:val="32"/>
          <w:szCs w:val="32"/>
          <w:highlight w:val="none"/>
          <w:lang w:eastAsia="zh-CN"/>
        </w:rPr>
        <w:t>初审</w:t>
      </w:r>
      <w:r>
        <w:rPr>
          <w:rFonts w:hint="default" w:ascii="Times New Roman" w:hAnsi="Times New Roman" w:eastAsia="仿宋_GB2312" w:cs="Times New Roman"/>
          <w:color w:val="auto"/>
          <w:sz w:val="32"/>
          <w:szCs w:val="32"/>
          <w:highlight w:val="none"/>
        </w:rPr>
        <w:t>并推荐不少于</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家造价企业，综合计划科分管领导</w:t>
      </w:r>
      <w:r>
        <w:rPr>
          <w:rFonts w:hint="default" w:ascii="Times New Roman" w:hAnsi="Times New Roman" w:eastAsia="仿宋_GB2312" w:cs="Times New Roman"/>
          <w:color w:val="auto"/>
          <w:sz w:val="32"/>
          <w:szCs w:val="32"/>
          <w:highlight w:val="none"/>
          <w:lang w:eastAsia="zh-CN"/>
        </w:rPr>
        <w:t>组织审查，报</w:t>
      </w:r>
      <w:r>
        <w:rPr>
          <w:rFonts w:hint="default" w:ascii="Times New Roman" w:hAnsi="Times New Roman" w:eastAsia="仿宋_GB2312" w:cs="Times New Roman"/>
          <w:color w:val="auto"/>
          <w:sz w:val="32"/>
          <w:szCs w:val="32"/>
          <w:highlight w:val="none"/>
        </w:rPr>
        <w:t>主要领导</w:t>
      </w:r>
      <w:r>
        <w:rPr>
          <w:rFonts w:hint="default" w:ascii="Times New Roman" w:hAnsi="Times New Roman" w:eastAsia="仿宋_GB2312" w:cs="Times New Roman"/>
          <w:color w:val="auto"/>
          <w:sz w:val="32"/>
          <w:szCs w:val="32"/>
          <w:highlight w:val="none"/>
          <w:lang w:eastAsia="zh-CN"/>
        </w:rPr>
        <w:t>批准后</w:t>
      </w:r>
      <w:r>
        <w:rPr>
          <w:rFonts w:hint="default" w:ascii="Times New Roman" w:hAnsi="Times New Roman" w:eastAsia="仿宋_GB2312" w:cs="Times New Roman"/>
          <w:color w:val="auto"/>
          <w:sz w:val="32"/>
          <w:szCs w:val="32"/>
          <w:highlight w:val="none"/>
        </w:rPr>
        <w:t>向被推荐企业发出邀请。</w:t>
      </w:r>
    </w:p>
    <w:p w14:paraId="37F6A86A">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被推荐的造价企业按照要求，参加项目竞价</w:t>
      </w:r>
      <w:r>
        <w:rPr>
          <w:rFonts w:hint="default" w:ascii="Times New Roman" w:hAnsi="Times New Roman" w:eastAsia="仿宋_GB2312" w:cs="Times New Roman"/>
          <w:color w:val="auto"/>
          <w:sz w:val="32"/>
          <w:szCs w:val="32"/>
          <w:highlight w:val="none"/>
          <w:lang w:eastAsia="zh-CN"/>
        </w:rPr>
        <w:t>。</w:t>
      </w:r>
    </w:p>
    <w:p w14:paraId="56F4E9D0">
      <w:pPr>
        <w:keepNext w:val="0"/>
        <w:keepLines w:val="0"/>
        <w:pageBreakBefore w:val="0"/>
        <w:kinsoku/>
        <w:wordWrap/>
        <w:overflowPunct/>
        <w:topLinePunct w:val="0"/>
        <w:autoSpaceDE/>
        <w:autoSpaceDN/>
        <w:bidi w:val="0"/>
        <w:adjustRightInd/>
        <w:spacing w:line="400" w:lineRule="exact"/>
        <w:ind w:left="0"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综合计划科发</w:t>
      </w:r>
      <w:r>
        <w:rPr>
          <w:rFonts w:hint="default" w:ascii="Times New Roman" w:hAnsi="Times New Roman" w:eastAsia="仿宋_GB2312" w:cs="Times New Roman"/>
          <w:color w:val="auto"/>
          <w:sz w:val="32"/>
          <w:szCs w:val="32"/>
          <w:highlight w:val="none"/>
          <w:lang w:eastAsia="zh-CN"/>
        </w:rPr>
        <w:t>中标</w:t>
      </w:r>
      <w:r>
        <w:rPr>
          <w:rFonts w:hint="default" w:ascii="Times New Roman" w:hAnsi="Times New Roman" w:eastAsia="仿宋_GB2312" w:cs="Times New Roman"/>
          <w:color w:val="auto"/>
          <w:sz w:val="32"/>
          <w:szCs w:val="32"/>
          <w:highlight w:val="none"/>
        </w:rPr>
        <w:t>通知书，与造价企业签订合同。</w:t>
      </w:r>
    </w:p>
    <w:p w14:paraId="64F25C7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指定方式</w:t>
      </w:r>
    </w:p>
    <w:p w14:paraId="712343EE">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涉铁、涉军、涉密、电力、供水、燃气、古建筑、智能化等特殊项目，</w:t>
      </w:r>
      <w:r>
        <w:rPr>
          <w:rFonts w:hint="default" w:ascii="Times New Roman" w:hAnsi="Times New Roman" w:eastAsia="仿宋_GB2312" w:cs="Times New Roman"/>
          <w:color w:val="auto"/>
          <w:sz w:val="32"/>
          <w:szCs w:val="32"/>
          <w:highlight w:val="none"/>
          <w:lang w:eastAsia="zh-CN"/>
        </w:rPr>
        <w:t>且</w:t>
      </w:r>
      <w:r>
        <w:rPr>
          <w:rFonts w:hint="default" w:ascii="Times New Roman" w:hAnsi="Times New Roman" w:eastAsia="仿宋_GB2312" w:cs="Times New Roman"/>
          <w:color w:val="auto"/>
          <w:sz w:val="32"/>
          <w:szCs w:val="32"/>
          <w:highlight w:val="none"/>
        </w:rPr>
        <w:t>只有</w:t>
      </w:r>
      <w:r>
        <w:rPr>
          <w:rFonts w:hint="default" w:ascii="Times New Roman" w:hAnsi="Times New Roman" w:eastAsia="仿宋_GB2312" w:cs="Times New Roman"/>
          <w:color w:val="auto"/>
          <w:sz w:val="32"/>
          <w:szCs w:val="32"/>
          <w:highlight w:val="none"/>
          <w:lang w:eastAsia="zh-CN"/>
        </w:rPr>
        <w:t>极</w:t>
      </w:r>
      <w:r>
        <w:rPr>
          <w:rFonts w:hint="default" w:ascii="Times New Roman" w:hAnsi="Times New Roman" w:eastAsia="仿宋_GB2312" w:cs="Times New Roman"/>
          <w:color w:val="auto"/>
          <w:sz w:val="32"/>
          <w:szCs w:val="32"/>
          <w:highlight w:val="none"/>
        </w:rPr>
        <w:t>少量潜在造价企业可供选择的，由综合计划科选择具备相应</w:t>
      </w:r>
      <w:r>
        <w:rPr>
          <w:rFonts w:hint="default" w:ascii="Times New Roman" w:hAnsi="Times New Roman" w:eastAsia="仿宋_GB2312" w:cs="Times New Roman"/>
          <w:color w:val="auto"/>
          <w:sz w:val="32"/>
          <w:szCs w:val="32"/>
          <w:highlight w:val="none"/>
          <w:lang w:eastAsia="zh-CN"/>
        </w:rPr>
        <w:t>业务能力</w:t>
      </w:r>
      <w:r>
        <w:rPr>
          <w:rFonts w:hint="default" w:ascii="Times New Roman" w:hAnsi="Times New Roman" w:eastAsia="仿宋_GB2312" w:cs="Times New Roman"/>
          <w:color w:val="auto"/>
          <w:sz w:val="32"/>
          <w:szCs w:val="32"/>
          <w:highlight w:val="none"/>
        </w:rPr>
        <w:t>的造价企业，经综合计划科分管领导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w:t>
      </w:r>
      <w:r>
        <w:rPr>
          <w:rFonts w:hint="default" w:ascii="Times New Roman" w:hAnsi="Times New Roman" w:eastAsia="仿宋_GB2312" w:cs="Times New Roman"/>
          <w:color w:val="auto"/>
          <w:sz w:val="32"/>
          <w:szCs w:val="32"/>
          <w:highlight w:val="none"/>
        </w:rPr>
        <w:t>主任办公会研究通过后进行委托。</w:t>
      </w:r>
    </w:p>
    <w:p w14:paraId="0872B47B">
      <w:pPr>
        <w:pStyle w:val="2"/>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w:t>
      </w:r>
      <w:r>
        <w:rPr>
          <w:rFonts w:hint="eastAsia" w:eastAsia="仿宋_GB2312" w:cs="Times New Roman"/>
          <w:b/>
          <w:bCs/>
          <w:color w:val="auto"/>
          <w:sz w:val="32"/>
          <w:szCs w:val="32"/>
          <w:highlight w:val="none"/>
          <w:lang w:val="en-US" w:eastAsia="zh-CN"/>
        </w:rPr>
        <w:t>八</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kern w:val="0"/>
          <w:sz w:val="32"/>
          <w:szCs w:val="32"/>
          <w:highlight w:val="none"/>
        </w:rPr>
        <w:t>造价咨询服务</w:t>
      </w:r>
      <w:r>
        <w:rPr>
          <w:rFonts w:hint="default" w:ascii="Times New Roman" w:hAnsi="Times New Roman" w:eastAsia="仿宋_GB2312" w:cs="Times New Roman"/>
          <w:color w:val="auto"/>
          <w:sz w:val="32"/>
          <w:szCs w:val="32"/>
          <w:highlight w:val="none"/>
        </w:rPr>
        <w:t>费单项合同估算价</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rPr>
        <w:t>万元及以上项目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综合计划科根据项目性质和特点，编制招标文件，经综合计划科分管领导</w:t>
      </w:r>
      <w:r>
        <w:rPr>
          <w:rFonts w:hint="default" w:ascii="Times New Roman" w:hAnsi="Times New Roman" w:eastAsia="仿宋_GB2312" w:cs="Times New Roman"/>
          <w:color w:val="auto"/>
          <w:sz w:val="32"/>
          <w:szCs w:val="32"/>
          <w:highlight w:val="none"/>
          <w:lang w:eastAsia="zh-CN"/>
        </w:rPr>
        <w:t>审核</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报主要领导批准后在市公共资源交易中心</w:t>
      </w:r>
      <w:r>
        <w:rPr>
          <w:rFonts w:hint="default" w:ascii="Times New Roman" w:hAnsi="Times New Roman" w:eastAsia="仿宋_GB2312" w:cs="Times New Roman"/>
          <w:color w:val="auto"/>
          <w:sz w:val="32"/>
          <w:szCs w:val="32"/>
          <w:highlight w:val="none"/>
        </w:rPr>
        <w:t>公开招标。</w:t>
      </w:r>
    </w:p>
    <w:p w14:paraId="7749E4B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kern w:val="36"/>
          <w:sz w:val="32"/>
          <w:szCs w:val="32"/>
          <w:highlight w:val="none"/>
        </w:rPr>
      </w:pPr>
      <w:r>
        <w:rPr>
          <w:rFonts w:hint="default" w:ascii="Times New Roman" w:hAnsi="Times New Roman" w:eastAsia="黑体" w:cs="Times New Roman"/>
          <w:color w:val="auto"/>
          <w:sz w:val="32"/>
          <w:szCs w:val="32"/>
          <w:highlight w:val="none"/>
        </w:rPr>
        <w:t>第四章 服务费用</w:t>
      </w:r>
    </w:p>
    <w:p w14:paraId="0FBC5D48">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b/>
          <w:bCs/>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清单编制服务费用、投资估算、设计概算等</w:t>
      </w:r>
      <w:r>
        <w:rPr>
          <w:rFonts w:hint="default" w:ascii="Times New Roman" w:hAnsi="Times New Roman" w:eastAsia="仿宋_GB2312" w:cs="Times New Roman"/>
          <w:color w:val="auto"/>
          <w:sz w:val="32"/>
          <w:szCs w:val="32"/>
          <w:highlight w:val="none"/>
        </w:rPr>
        <w:t>其他工程造价咨询服务</w:t>
      </w:r>
      <w:r>
        <w:rPr>
          <w:rFonts w:hint="default" w:ascii="Times New Roman" w:hAnsi="Times New Roman" w:eastAsia="仿宋_GB2312" w:cs="Times New Roman"/>
          <w:color w:val="auto"/>
          <w:kern w:val="0"/>
          <w:sz w:val="32"/>
          <w:szCs w:val="32"/>
          <w:highlight w:val="none"/>
        </w:rPr>
        <w:t>费</w:t>
      </w:r>
      <w:r>
        <w:rPr>
          <w:rFonts w:hint="default" w:ascii="Times New Roman" w:hAnsi="Times New Roman" w:eastAsia="仿宋_GB2312" w:cs="Times New Roman"/>
          <w:color w:val="auto"/>
          <w:sz w:val="32"/>
          <w:szCs w:val="32"/>
          <w:highlight w:val="none"/>
          <w:lang w:eastAsia="zh-CN"/>
        </w:rPr>
        <w:t>参照执行《安徽省建设工程造价咨询服务项目及收费标准》（皖价服</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 w:cs="Times New Roman"/>
          <w:color w:val="auto"/>
          <w:sz w:val="32"/>
          <w:szCs w:val="32"/>
          <w:highlight w:val="none"/>
          <w:shd w:val="clear" w:color="auto" w:fill="auto"/>
          <w:lang w:eastAsia="zh-CN"/>
        </w:rPr>
        <w:t>20</w:t>
      </w:r>
      <w:r>
        <w:rPr>
          <w:rFonts w:hint="default" w:ascii="Times New Roman" w:hAnsi="Times New Roman" w:eastAsia="仿宋" w:cs="Times New Roman"/>
          <w:color w:val="auto"/>
          <w:sz w:val="32"/>
          <w:szCs w:val="32"/>
          <w:highlight w:val="none"/>
          <w:shd w:val="clear" w:color="auto" w:fill="auto"/>
          <w:lang w:val="en-US" w:eastAsia="zh-CN"/>
        </w:rPr>
        <w:t>07</w:t>
      </w:r>
      <w:r>
        <w:rPr>
          <w:rFonts w:hint="default" w:ascii="Times New Roman" w:hAnsi="Times New Roman" w:eastAsia="仿宋" w:cs="Times New Roman"/>
          <w:color w:val="auto"/>
          <w:sz w:val="32"/>
          <w:szCs w:val="32"/>
          <w:highlight w:val="none"/>
          <w:shd w:val="clear" w:color="auto" w:fill="auto"/>
        </w:rPr>
        <w:t>〕</w:t>
      </w:r>
      <w:r>
        <w:rPr>
          <w:rFonts w:hint="default" w:ascii="Times New Roman" w:hAnsi="Times New Roman" w:eastAsia="仿宋_GB2312" w:cs="Times New Roman"/>
          <w:color w:val="auto"/>
          <w:sz w:val="32"/>
          <w:szCs w:val="32"/>
          <w:highlight w:val="none"/>
          <w:lang w:val="en-US" w:eastAsia="zh-CN"/>
        </w:rPr>
        <w:t>86号</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eastAsia="zh-CN"/>
        </w:rPr>
        <w:t>清单编制服务费由综合计划科按照工程难易程度提出下浮率（一般为</w:t>
      </w:r>
      <w:r>
        <w:rPr>
          <w:rFonts w:hint="default" w:ascii="Times New Roman" w:hAnsi="Times New Roman" w:eastAsia="仿宋_GB2312" w:cs="Times New Roman"/>
          <w:b/>
          <w:bCs/>
          <w:color w:val="auto"/>
          <w:sz w:val="32"/>
          <w:szCs w:val="32"/>
          <w:highlight w:val="none"/>
          <w:lang w:val="en-US" w:eastAsia="zh-CN"/>
        </w:rPr>
        <w:t>40%-60%）</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rPr>
        <w:t>经综合计划科分管领导</w:t>
      </w:r>
      <w:r>
        <w:rPr>
          <w:rFonts w:hint="default" w:ascii="Times New Roman" w:hAnsi="Times New Roman" w:eastAsia="仿宋_GB2312" w:cs="Times New Roman"/>
          <w:b/>
          <w:bCs/>
          <w:color w:val="auto"/>
          <w:sz w:val="32"/>
          <w:szCs w:val="32"/>
          <w:highlight w:val="none"/>
          <w:lang w:eastAsia="zh-CN"/>
        </w:rPr>
        <w:t>批准后实施。特别复杂或特殊的项目报主任办公会研究通过后可不下浮。</w:t>
      </w:r>
    </w:p>
    <w:p w14:paraId="72C06B6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项目跟踪审计、结算审核固定费率执行下列标准：</w:t>
      </w:r>
    </w:p>
    <w:p w14:paraId="1ED0092D">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项目跟踪审计服务费标准</w:t>
      </w:r>
    </w:p>
    <w:tbl>
      <w:tblPr>
        <w:tblStyle w:val="45"/>
        <w:tblW w:w="8247" w:type="dxa"/>
        <w:jc w:val="center"/>
        <w:tblLayout w:type="fixed"/>
        <w:tblCellMar>
          <w:top w:w="0" w:type="dxa"/>
          <w:left w:w="108" w:type="dxa"/>
          <w:bottom w:w="0" w:type="dxa"/>
          <w:right w:w="108" w:type="dxa"/>
        </w:tblCellMar>
      </w:tblPr>
      <w:tblGrid>
        <w:gridCol w:w="3685"/>
        <w:gridCol w:w="2262"/>
        <w:gridCol w:w="2300"/>
      </w:tblGrid>
      <w:tr w14:paraId="56CFC27E">
        <w:tblPrEx>
          <w:tblCellMar>
            <w:top w:w="0" w:type="dxa"/>
            <w:left w:w="108" w:type="dxa"/>
            <w:bottom w:w="0" w:type="dxa"/>
            <w:right w:w="108" w:type="dxa"/>
          </w:tblCellMar>
        </w:tblPrEx>
        <w:trPr>
          <w:trHeight w:val="70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00EA875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6768ACB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基本费</w:t>
            </w:r>
          </w:p>
        </w:tc>
        <w:tc>
          <w:tcPr>
            <w:tcW w:w="2300" w:type="dxa"/>
            <w:tcBorders>
              <w:top w:val="single" w:color="auto" w:sz="4" w:space="0"/>
              <w:left w:val="nil"/>
              <w:bottom w:val="single" w:color="auto" w:sz="4" w:space="0"/>
              <w:right w:val="single" w:color="auto" w:sz="4" w:space="0"/>
            </w:tcBorders>
            <w:noWrap w:val="0"/>
            <w:vAlign w:val="center"/>
          </w:tcPr>
          <w:p w14:paraId="3DF9F5D0">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4E895913">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E066D37">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single" w:color="auto" w:sz="4" w:space="0"/>
              <w:bottom w:val="single" w:color="auto" w:sz="4" w:space="0"/>
              <w:right w:val="single" w:color="auto" w:sz="4" w:space="0"/>
            </w:tcBorders>
            <w:noWrap w:val="0"/>
            <w:vAlign w:val="center"/>
          </w:tcPr>
          <w:p w14:paraId="27B8094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6BBDE8A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682E7A7A">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62D5863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以内（含）</w:t>
            </w:r>
          </w:p>
        </w:tc>
        <w:tc>
          <w:tcPr>
            <w:tcW w:w="2262" w:type="dxa"/>
            <w:tcBorders>
              <w:top w:val="single" w:color="auto" w:sz="4" w:space="0"/>
              <w:left w:val="nil"/>
              <w:bottom w:val="single" w:color="auto" w:sz="4" w:space="0"/>
              <w:right w:val="single" w:color="auto" w:sz="4" w:space="0"/>
            </w:tcBorders>
            <w:noWrap w:val="0"/>
            <w:vAlign w:val="center"/>
          </w:tcPr>
          <w:p w14:paraId="728B4A4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C514F9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217E22A">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5A85F1DB">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6F06924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5</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75B9424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74593421">
        <w:tblPrEx>
          <w:tblCellMar>
            <w:top w:w="0" w:type="dxa"/>
            <w:left w:w="108" w:type="dxa"/>
            <w:bottom w:w="0" w:type="dxa"/>
            <w:right w:w="108" w:type="dxa"/>
          </w:tblCellMar>
        </w:tblPrEx>
        <w:trPr>
          <w:trHeight w:val="430" w:hRule="atLeast"/>
          <w:jc w:val="center"/>
        </w:trPr>
        <w:tc>
          <w:tcPr>
            <w:tcW w:w="3685" w:type="dxa"/>
            <w:tcBorders>
              <w:top w:val="nil"/>
              <w:left w:val="single" w:color="auto" w:sz="4" w:space="0"/>
              <w:bottom w:val="single" w:color="auto" w:sz="4" w:space="0"/>
              <w:right w:val="single" w:color="auto" w:sz="4" w:space="0"/>
            </w:tcBorders>
            <w:noWrap w:val="0"/>
            <w:vAlign w:val="center"/>
          </w:tcPr>
          <w:p w14:paraId="3CB449D9">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val="en-US" w:eastAsia="zh-CN"/>
              </w:rPr>
              <w:t>5</w:t>
            </w:r>
            <w:r>
              <w:rPr>
                <w:rFonts w:hint="default" w:ascii="Times New Roman" w:hAnsi="Times New Roman" w:eastAsia="仿宋_GB2312" w:cs="Times New Roman"/>
                <w:color w:val="auto"/>
                <w:kern w:val="0"/>
                <w:sz w:val="32"/>
                <w:szCs w:val="32"/>
                <w:highlight w:val="none"/>
                <w:lang w:eastAsia="zh-CN"/>
              </w:rPr>
              <w:t>0000</w:t>
            </w:r>
            <w:r>
              <w:rPr>
                <w:rFonts w:hint="default" w:ascii="Times New Roman" w:hAnsi="Times New Roman" w:eastAsia="仿宋_GB2312" w:cs="Times New Roman"/>
                <w:color w:val="auto"/>
                <w:kern w:val="0"/>
                <w:sz w:val="32"/>
                <w:szCs w:val="32"/>
                <w:highlight w:val="none"/>
              </w:rPr>
              <w:t>以内（含）</w:t>
            </w:r>
          </w:p>
        </w:tc>
        <w:tc>
          <w:tcPr>
            <w:tcW w:w="2262" w:type="dxa"/>
            <w:tcBorders>
              <w:top w:val="nil"/>
              <w:left w:val="nil"/>
              <w:bottom w:val="single" w:color="auto" w:sz="4" w:space="0"/>
              <w:right w:val="single" w:color="auto" w:sz="4" w:space="0"/>
            </w:tcBorders>
            <w:noWrap w:val="0"/>
            <w:vAlign w:val="center"/>
          </w:tcPr>
          <w:p w14:paraId="006E780A">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3</w:t>
            </w:r>
            <w:r>
              <w:rPr>
                <w:rFonts w:hint="default" w:ascii="Times New Roman" w:hAnsi="Times New Roman" w:eastAsia="仿宋_GB2312" w:cs="Times New Roman"/>
                <w:color w:val="auto"/>
                <w:kern w:val="0"/>
                <w:sz w:val="32"/>
                <w:szCs w:val="32"/>
                <w:highlight w:val="none"/>
              </w:rPr>
              <w:t>‰</w:t>
            </w:r>
          </w:p>
        </w:tc>
        <w:tc>
          <w:tcPr>
            <w:tcW w:w="2300" w:type="dxa"/>
            <w:tcBorders>
              <w:top w:val="nil"/>
              <w:left w:val="nil"/>
              <w:bottom w:val="single" w:color="auto" w:sz="4" w:space="0"/>
              <w:right w:val="single" w:color="auto" w:sz="4" w:space="0"/>
            </w:tcBorders>
            <w:noWrap w:val="0"/>
            <w:vAlign w:val="center"/>
          </w:tcPr>
          <w:p w14:paraId="006502A6">
            <w:pPr>
              <w:keepNext w:val="0"/>
              <w:keepLines w:val="0"/>
              <w:pageBreakBefore w:val="0"/>
              <w:widowControl/>
              <w:kinsoku/>
              <w:wordWrap/>
              <w:overflowPunct/>
              <w:topLinePunct w:val="0"/>
              <w:autoSpaceDE/>
              <w:autoSpaceDN/>
              <w:bidi w:val="0"/>
              <w:adjustRightInd/>
              <w:spacing w:line="400" w:lineRule="exact"/>
              <w:jc w:val="center"/>
              <w:textAlignment w:val="auto"/>
              <w:rPr>
                <w:rFonts w:hint="default" w:ascii="Times New Roman" w:hAnsi="Times New Roman" w:eastAsia="仿宋_GB2312" w:cs="Times New Roman"/>
                <w:b/>
                <w:bCs/>
                <w:color w:val="auto"/>
                <w:kern w:val="0"/>
                <w:sz w:val="32"/>
                <w:szCs w:val="32"/>
                <w:highlight w:val="none"/>
                <w:lang w:val="en-US"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44911F06">
        <w:tblPrEx>
          <w:tblCellMar>
            <w:top w:w="0" w:type="dxa"/>
            <w:left w:w="108" w:type="dxa"/>
            <w:bottom w:w="0" w:type="dxa"/>
            <w:right w:w="108" w:type="dxa"/>
          </w:tblCellMar>
        </w:tblPrEx>
        <w:trPr>
          <w:trHeight w:val="430" w:hRule="atLeast"/>
          <w:jc w:val="center"/>
        </w:trPr>
        <w:tc>
          <w:tcPr>
            <w:tcW w:w="3685" w:type="dxa"/>
            <w:tcBorders>
              <w:top w:val="single" w:color="auto" w:sz="4" w:space="0"/>
              <w:left w:val="single" w:color="auto" w:sz="4" w:space="0"/>
              <w:bottom w:val="single" w:color="auto" w:sz="4" w:space="0"/>
              <w:right w:val="single" w:color="auto" w:sz="4" w:space="0"/>
            </w:tcBorders>
            <w:noWrap w:val="0"/>
            <w:vAlign w:val="center"/>
          </w:tcPr>
          <w:p w14:paraId="3022121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50000</w:t>
            </w:r>
            <w:r>
              <w:rPr>
                <w:rFonts w:hint="default" w:ascii="Times New Roman" w:hAnsi="Times New Roman" w:eastAsia="仿宋_GB2312" w:cs="Times New Roman"/>
                <w:color w:val="auto"/>
                <w:kern w:val="0"/>
                <w:sz w:val="32"/>
                <w:szCs w:val="32"/>
                <w:highlight w:val="none"/>
              </w:rPr>
              <w:t>以上</w:t>
            </w:r>
          </w:p>
        </w:tc>
        <w:tc>
          <w:tcPr>
            <w:tcW w:w="2262" w:type="dxa"/>
            <w:tcBorders>
              <w:top w:val="single" w:color="auto" w:sz="4" w:space="0"/>
              <w:left w:val="nil"/>
              <w:bottom w:val="single" w:color="auto" w:sz="4" w:space="0"/>
              <w:right w:val="single" w:color="auto" w:sz="4" w:space="0"/>
            </w:tcBorders>
            <w:noWrap w:val="0"/>
            <w:vAlign w:val="center"/>
          </w:tcPr>
          <w:p w14:paraId="15163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8</w:t>
            </w:r>
            <w:r>
              <w:rPr>
                <w:rFonts w:hint="default" w:ascii="Times New Roman" w:hAnsi="Times New Roman" w:eastAsia="仿宋_GB2312" w:cs="Times New Roman"/>
                <w:color w:val="auto"/>
                <w:kern w:val="0"/>
                <w:sz w:val="32"/>
                <w:szCs w:val="32"/>
                <w:highlight w:val="none"/>
              </w:rPr>
              <w:t>‰</w:t>
            </w:r>
          </w:p>
        </w:tc>
        <w:tc>
          <w:tcPr>
            <w:tcW w:w="2300" w:type="dxa"/>
            <w:tcBorders>
              <w:top w:val="single" w:color="auto" w:sz="4" w:space="0"/>
              <w:left w:val="nil"/>
              <w:bottom w:val="single" w:color="auto" w:sz="4" w:space="0"/>
              <w:right w:val="single" w:color="auto" w:sz="4" w:space="0"/>
            </w:tcBorders>
            <w:noWrap w:val="0"/>
            <w:vAlign w:val="center"/>
          </w:tcPr>
          <w:p w14:paraId="2BBF294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lang w:eastAsia="zh-CN"/>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33C28906">
      <w:pPr>
        <w:keepNext w:val="0"/>
        <w:keepLines w:val="0"/>
        <w:pageBreakBefore w:val="0"/>
        <w:numPr>
          <w:ilvl w:val="0"/>
          <w:numId w:val="2"/>
        </w:numPr>
        <w:kinsoku/>
        <w:wordWrap/>
        <w:overflowPunct/>
        <w:topLinePunct w:val="0"/>
        <w:autoSpaceDE/>
        <w:autoSpaceDN/>
        <w:bidi w:val="0"/>
        <w:adjustRightInd/>
        <w:snapToGrid w:val="0"/>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项目结算审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服务费标准</w:t>
      </w:r>
    </w:p>
    <w:tbl>
      <w:tblPr>
        <w:tblStyle w:val="45"/>
        <w:tblW w:w="0" w:type="auto"/>
        <w:jc w:val="center"/>
        <w:tblLayout w:type="fixed"/>
        <w:tblCellMar>
          <w:top w:w="0" w:type="dxa"/>
          <w:left w:w="108" w:type="dxa"/>
          <w:bottom w:w="0" w:type="dxa"/>
          <w:right w:w="108" w:type="dxa"/>
        </w:tblCellMar>
      </w:tblPr>
      <w:tblGrid>
        <w:gridCol w:w="3705"/>
        <w:gridCol w:w="2280"/>
        <w:gridCol w:w="2340"/>
      </w:tblGrid>
      <w:tr w14:paraId="09A42833">
        <w:tblPrEx>
          <w:tblCellMar>
            <w:top w:w="0" w:type="dxa"/>
            <w:left w:w="108" w:type="dxa"/>
            <w:bottom w:w="0" w:type="dxa"/>
            <w:right w:w="108" w:type="dxa"/>
          </w:tblCellMar>
        </w:tblPrEx>
        <w:trPr>
          <w:trHeight w:val="435"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1EBC6618">
            <w:pPr>
              <w:keepNext w:val="0"/>
              <w:keepLines w:val="0"/>
              <w:pageBreakBefore w:val="0"/>
              <w:widowControl/>
              <w:kinsoku/>
              <w:wordWrap/>
              <w:overflowPunct/>
              <w:topLinePunct w:val="0"/>
              <w:autoSpaceDE/>
              <w:autoSpaceDN/>
              <w:bidi w:val="0"/>
              <w:adjustRightInd/>
              <w:spacing w:line="400" w:lineRule="exact"/>
              <w:ind w:left="0" w:leftChars="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工程造价金额（万元）</w:t>
            </w:r>
          </w:p>
        </w:tc>
        <w:tc>
          <w:tcPr>
            <w:tcW w:w="2280" w:type="dxa"/>
            <w:tcBorders>
              <w:top w:val="single" w:color="auto" w:sz="4" w:space="0"/>
              <w:left w:val="nil"/>
              <w:bottom w:val="single" w:color="auto" w:sz="4" w:space="0"/>
              <w:right w:val="single" w:color="auto" w:sz="4" w:space="0"/>
            </w:tcBorders>
            <w:noWrap w:val="0"/>
            <w:vAlign w:val="center"/>
          </w:tcPr>
          <w:p w14:paraId="7AEEDA2A">
            <w:pPr>
              <w:keepNext w:val="0"/>
              <w:keepLines w:val="0"/>
              <w:pageBreakBefore w:val="0"/>
              <w:widowControl/>
              <w:kinsoku/>
              <w:wordWrap/>
              <w:overflowPunct/>
              <w:topLinePunct w:val="0"/>
              <w:autoSpaceDE/>
              <w:autoSpaceDN/>
              <w:bidi w:val="0"/>
              <w:adjustRightInd/>
              <w:spacing w:line="400" w:lineRule="exact"/>
              <w:textAlignment w:val="auto"/>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基本费</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元</w:t>
            </w:r>
            <w:r>
              <w:rPr>
                <w:rFonts w:hint="default" w:ascii="Times New Roman" w:hAnsi="Times New Roman" w:eastAsia="仿宋_GB2312" w:cs="Times New Roman"/>
                <w:color w:val="auto"/>
                <w:kern w:val="0"/>
                <w:sz w:val="32"/>
                <w:szCs w:val="32"/>
                <w:highlight w:val="none"/>
                <w:lang w:eastAsia="zh-CN"/>
              </w:rPr>
              <w:t>）</w:t>
            </w:r>
          </w:p>
        </w:tc>
        <w:tc>
          <w:tcPr>
            <w:tcW w:w="2340" w:type="dxa"/>
            <w:tcBorders>
              <w:top w:val="single" w:color="auto" w:sz="4" w:space="0"/>
              <w:left w:val="nil"/>
              <w:bottom w:val="single" w:color="auto" w:sz="4" w:space="0"/>
              <w:right w:val="single" w:color="auto" w:sz="4" w:space="0"/>
            </w:tcBorders>
            <w:noWrap w:val="0"/>
            <w:vAlign w:val="center"/>
          </w:tcPr>
          <w:p w14:paraId="49B2E207">
            <w:pPr>
              <w:keepNext w:val="0"/>
              <w:keepLines w:val="0"/>
              <w:pageBreakBefore w:val="0"/>
              <w:widowControl/>
              <w:kinsoku/>
              <w:wordWrap/>
              <w:overflowPunct/>
              <w:topLinePunct w:val="0"/>
              <w:autoSpaceDE/>
              <w:autoSpaceDN/>
              <w:bidi w:val="0"/>
              <w:adjustRightInd/>
              <w:spacing w:line="400" w:lineRule="exact"/>
              <w:ind w:left="0" w:leftChars="0" w:firstLine="320" w:firstLineChars="100"/>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审核成果费</w:t>
            </w:r>
          </w:p>
        </w:tc>
      </w:tr>
      <w:tr w14:paraId="62DA5D2B">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16A5BFCF">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以内</w:t>
            </w:r>
          </w:p>
        </w:tc>
        <w:tc>
          <w:tcPr>
            <w:tcW w:w="2280" w:type="dxa"/>
            <w:tcBorders>
              <w:top w:val="nil"/>
              <w:left w:val="nil"/>
              <w:bottom w:val="single" w:color="auto" w:sz="4" w:space="0"/>
              <w:right w:val="single" w:color="auto" w:sz="4" w:space="0"/>
            </w:tcBorders>
            <w:noWrap w:val="0"/>
            <w:vAlign w:val="center"/>
          </w:tcPr>
          <w:p w14:paraId="14B14D3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5000</w:t>
            </w:r>
          </w:p>
        </w:tc>
        <w:tc>
          <w:tcPr>
            <w:tcW w:w="2340" w:type="dxa"/>
            <w:tcBorders>
              <w:top w:val="nil"/>
              <w:left w:val="nil"/>
              <w:bottom w:val="single" w:color="auto" w:sz="4" w:space="0"/>
              <w:right w:val="single" w:color="auto" w:sz="4" w:space="0"/>
            </w:tcBorders>
            <w:noWrap w:val="0"/>
            <w:vAlign w:val="center"/>
          </w:tcPr>
          <w:p w14:paraId="67506465">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1ED48D00">
        <w:tblPrEx>
          <w:tblCellMar>
            <w:top w:w="0" w:type="dxa"/>
            <w:left w:w="108" w:type="dxa"/>
            <w:bottom w:w="0" w:type="dxa"/>
            <w:right w:w="108" w:type="dxa"/>
          </w:tblCellMar>
        </w:tblPrEx>
        <w:trPr>
          <w:trHeight w:val="430" w:hRule="atLeast"/>
          <w:jc w:val="center"/>
        </w:trPr>
        <w:tc>
          <w:tcPr>
            <w:tcW w:w="3705" w:type="dxa"/>
            <w:tcBorders>
              <w:top w:val="nil"/>
              <w:left w:val="single" w:color="auto" w:sz="4" w:space="0"/>
              <w:bottom w:val="single" w:color="auto" w:sz="4" w:space="0"/>
              <w:right w:val="single" w:color="auto" w:sz="4" w:space="0"/>
            </w:tcBorders>
            <w:noWrap w:val="0"/>
            <w:vAlign w:val="center"/>
          </w:tcPr>
          <w:p w14:paraId="7159E1E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500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以内（含）</w:t>
            </w:r>
          </w:p>
        </w:tc>
        <w:tc>
          <w:tcPr>
            <w:tcW w:w="2280" w:type="dxa"/>
            <w:tcBorders>
              <w:top w:val="nil"/>
              <w:left w:val="nil"/>
              <w:bottom w:val="single" w:color="auto" w:sz="4" w:space="0"/>
              <w:right w:val="single" w:color="auto" w:sz="4" w:space="0"/>
            </w:tcBorders>
            <w:noWrap w:val="0"/>
            <w:vAlign w:val="center"/>
          </w:tcPr>
          <w:p w14:paraId="44367D52">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8000</w:t>
            </w:r>
          </w:p>
        </w:tc>
        <w:tc>
          <w:tcPr>
            <w:tcW w:w="2340" w:type="dxa"/>
            <w:tcBorders>
              <w:top w:val="nil"/>
              <w:left w:val="nil"/>
              <w:bottom w:val="single" w:color="auto" w:sz="4" w:space="0"/>
              <w:right w:val="single" w:color="auto" w:sz="4" w:space="0"/>
            </w:tcBorders>
            <w:noWrap w:val="0"/>
            <w:vAlign w:val="center"/>
          </w:tcPr>
          <w:p w14:paraId="24D3FE8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B78C135">
        <w:tblPrEx>
          <w:tblCellMar>
            <w:top w:w="0" w:type="dxa"/>
            <w:left w:w="108" w:type="dxa"/>
            <w:bottom w:w="0" w:type="dxa"/>
            <w:right w:w="108" w:type="dxa"/>
          </w:tblCellMar>
        </w:tblPrEx>
        <w:trPr>
          <w:trHeight w:val="176"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526861D0">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以内（含）</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601EAE">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0C37C61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r w14:paraId="58E8D1DC">
        <w:tblPrEx>
          <w:tblCellMar>
            <w:top w:w="0" w:type="dxa"/>
            <w:left w:w="108" w:type="dxa"/>
            <w:bottom w:w="0" w:type="dxa"/>
            <w:right w:w="108" w:type="dxa"/>
          </w:tblCellMar>
        </w:tblPrEx>
        <w:trPr>
          <w:trHeight w:val="430" w:hRule="atLeast"/>
          <w:jc w:val="center"/>
        </w:trPr>
        <w:tc>
          <w:tcPr>
            <w:tcW w:w="3705" w:type="dxa"/>
            <w:tcBorders>
              <w:top w:val="single" w:color="auto" w:sz="4" w:space="0"/>
              <w:left w:val="single" w:color="auto" w:sz="4" w:space="0"/>
              <w:bottom w:val="single" w:color="auto" w:sz="4" w:space="0"/>
              <w:right w:val="single" w:color="auto" w:sz="4" w:space="0"/>
            </w:tcBorders>
            <w:noWrap w:val="0"/>
            <w:vAlign w:val="center"/>
          </w:tcPr>
          <w:p w14:paraId="49F0F3D8">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10000</w:t>
            </w:r>
            <w:r>
              <w:rPr>
                <w:rFonts w:hint="default" w:ascii="Times New Roman" w:hAnsi="Times New Roman" w:eastAsia="仿宋_GB2312" w:cs="Times New Roman"/>
                <w:color w:val="auto"/>
                <w:kern w:val="0"/>
                <w:sz w:val="32"/>
                <w:szCs w:val="32"/>
                <w:highlight w:val="none"/>
              </w:rPr>
              <w:t>以上</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F5E9DB1">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lang w:eastAsia="zh-CN"/>
              </w:rPr>
              <w:t>20000</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6C9BB8BD">
            <w:pPr>
              <w:keepNext w:val="0"/>
              <w:keepLines w:val="0"/>
              <w:pageBreakBefore w:val="0"/>
              <w:widowControl/>
              <w:kinsoku/>
              <w:wordWrap/>
              <w:overflowPunct/>
              <w:topLinePunct w:val="0"/>
              <w:autoSpaceDE/>
              <w:autoSpaceDN/>
              <w:bidi w:val="0"/>
              <w:adjustRightInd/>
              <w:spacing w:line="400" w:lineRule="exact"/>
              <w:ind w:left="0" w:leftChars="0"/>
              <w:jc w:val="center"/>
              <w:textAlignment w:val="auto"/>
              <w:rPr>
                <w:rFonts w:hint="default" w:ascii="Times New Roman" w:hAnsi="Times New Roman" w:eastAsia="仿宋_GB2312" w:cs="Times New Roman"/>
                <w:b/>
                <w:bCs/>
                <w:color w:val="auto"/>
                <w:kern w:val="0"/>
                <w:sz w:val="32"/>
                <w:szCs w:val="32"/>
                <w:highlight w:val="none"/>
              </w:rPr>
            </w:pPr>
            <w:r>
              <w:rPr>
                <w:rFonts w:hint="default" w:ascii="Times New Roman" w:hAnsi="Times New Roman" w:eastAsia="仿宋_GB2312" w:cs="Times New Roman"/>
                <w:b/>
                <w:bCs/>
                <w:color w:val="auto"/>
                <w:kern w:val="0"/>
                <w:sz w:val="32"/>
                <w:szCs w:val="32"/>
                <w:highlight w:val="none"/>
                <w:lang w:val="en-US" w:eastAsia="zh-CN"/>
              </w:rPr>
              <w:t>4</w:t>
            </w:r>
            <w:r>
              <w:rPr>
                <w:rFonts w:hint="default" w:ascii="Times New Roman" w:hAnsi="Times New Roman" w:eastAsia="仿宋_GB2312" w:cs="Times New Roman"/>
                <w:b/>
                <w:bCs/>
                <w:color w:val="auto"/>
                <w:kern w:val="0"/>
                <w:sz w:val="32"/>
                <w:szCs w:val="32"/>
                <w:highlight w:val="none"/>
              </w:rPr>
              <w:t>%</w:t>
            </w:r>
          </w:p>
        </w:tc>
      </w:tr>
    </w:tbl>
    <w:p w14:paraId="2E816A04">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注：</w:t>
      </w:r>
      <w:r>
        <w:rPr>
          <w:rFonts w:hint="default" w:ascii="Times New Roman" w:hAnsi="Times New Roman" w:eastAsia="仿宋_GB2312" w:cs="Times New Roman"/>
          <w:color w:val="auto"/>
          <w:sz w:val="32"/>
          <w:szCs w:val="32"/>
          <w:highlight w:val="none"/>
          <w:lang w:val="en-US" w:eastAsia="zh-CN"/>
        </w:rPr>
        <w:t xml:space="preserve">1. </w:t>
      </w:r>
      <w:r>
        <w:rPr>
          <w:rFonts w:hint="default" w:ascii="Times New Roman" w:hAnsi="Times New Roman" w:eastAsia="仿宋_GB2312" w:cs="Times New Roman"/>
          <w:color w:val="auto"/>
          <w:sz w:val="32"/>
          <w:szCs w:val="32"/>
          <w:highlight w:val="none"/>
          <w:lang w:eastAsia="zh-CN"/>
        </w:rPr>
        <w:t>服务</w:t>
      </w:r>
      <w:r>
        <w:rPr>
          <w:rFonts w:hint="default" w:ascii="Times New Roman" w:hAnsi="Times New Roman" w:eastAsia="仿宋_GB2312" w:cs="Times New Roman"/>
          <w:color w:val="auto"/>
          <w:sz w:val="32"/>
          <w:szCs w:val="32"/>
          <w:highlight w:val="none"/>
        </w:rPr>
        <w:t>费计算方式为：基本费+审核成果费。其中，跟踪审计服务基本费计算基数为审定金额；审核成果费计算基数为</w:t>
      </w:r>
      <w:r>
        <w:rPr>
          <w:rFonts w:hint="default" w:ascii="Times New Roman" w:hAnsi="Times New Roman" w:eastAsia="仿宋_GB2312" w:cs="Times New Roman"/>
          <w:color w:val="auto"/>
          <w:sz w:val="32"/>
          <w:szCs w:val="32"/>
          <w:highlight w:val="none"/>
          <w:lang w:eastAsia="zh-CN"/>
        </w:rPr>
        <w:t>独立</w:t>
      </w:r>
      <w:r>
        <w:rPr>
          <w:rFonts w:hint="default" w:ascii="Times New Roman" w:hAnsi="Times New Roman" w:eastAsia="仿宋_GB2312" w:cs="Times New Roman"/>
          <w:color w:val="auto"/>
          <w:sz w:val="32"/>
          <w:szCs w:val="32"/>
          <w:highlight w:val="none"/>
        </w:rPr>
        <w:t>核减金额。</w:t>
      </w:r>
    </w:p>
    <w:p w14:paraId="26A80FCA">
      <w:pPr>
        <w:keepNext w:val="0"/>
        <w:keepLines w:val="0"/>
        <w:pageBreakBefore w:val="0"/>
        <w:numPr>
          <w:ilvl w:val="0"/>
          <w:numId w:val="3"/>
        </w:numPr>
        <w:kinsoku/>
        <w:wordWrap/>
        <w:overflowPunct/>
        <w:topLinePunct w:val="0"/>
        <w:autoSpaceDE/>
        <w:autoSpaceDN/>
        <w:bidi w:val="0"/>
        <w:adjustRightInd/>
        <w:spacing w:line="400" w:lineRule="exact"/>
        <w:ind w:left="0" w:leftChars="0" w:firstLine="1280" w:firstLine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工程造价审减率超过</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将对施工单位进行处罚，处罚金额为</w:t>
      </w:r>
      <w:r>
        <w:rPr>
          <w:rFonts w:hint="default" w:ascii="Times New Roman" w:hAnsi="Times New Roman" w:eastAsia="仿宋_GB2312" w:cs="Times New Roman"/>
          <w:color w:val="auto"/>
          <w:sz w:val="32"/>
          <w:szCs w:val="32"/>
          <w:highlight w:val="none"/>
        </w:rPr>
        <w:t>审减率</w:t>
      </w:r>
      <w:r>
        <w:rPr>
          <w:rFonts w:hint="default" w:ascii="Times New Roman" w:hAnsi="Times New Roman" w:eastAsia="仿宋_GB2312" w:cs="Times New Roman"/>
          <w:color w:val="auto"/>
          <w:sz w:val="32"/>
          <w:szCs w:val="32"/>
          <w:highlight w:val="none"/>
          <w:lang w:eastAsia="zh-CN"/>
        </w:rPr>
        <w:t>超出</w:t>
      </w:r>
      <w:r>
        <w:rPr>
          <w:rFonts w:hint="default"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以上的报送金额的</w:t>
      </w:r>
      <w:r>
        <w:rPr>
          <w:rFonts w:hint="default" w:ascii="Times New Roman" w:hAnsi="Times New Roman" w:eastAsia="仿宋_GB2312" w:cs="Times New Roman"/>
          <w:b/>
          <w:bCs/>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由综合计划科在定案时明确处罚金额报工程监管科落实处罚</w:t>
      </w:r>
      <w:r>
        <w:rPr>
          <w:rFonts w:hint="default" w:ascii="Times New Roman" w:hAnsi="Times New Roman" w:eastAsia="仿宋_GB2312" w:cs="Times New Roman"/>
          <w:b w:val="0"/>
          <w:bCs w:val="0"/>
          <w:color w:val="auto"/>
          <w:sz w:val="32"/>
          <w:szCs w:val="32"/>
          <w:highlight w:val="none"/>
        </w:rPr>
        <w:t>。</w:t>
      </w:r>
    </w:p>
    <w:p w14:paraId="469F803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对复杂项目</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造价成果有争议或存疑项目可委托第三方复审</w:t>
      </w:r>
      <w:r>
        <w:rPr>
          <w:rFonts w:hint="default" w:ascii="Times New Roman" w:hAnsi="Times New Roman" w:eastAsia="仿宋_GB2312" w:cs="Times New Roman"/>
          <w:color w:val="auto"/>
          <w:sz w:val="32"/>
          <w:szCs w:val="32"/>
          <w:highlight w:val="none"/>
          <w:lang w:eastAsia="zh-CN"/>
        </w:rPr>
        <w:t>（清单编制复审、结算复审），服务</w:t>
      </w:r>
      <w:r>
        <w:rPr>
          <w:rFonts w:hint="default" w:ascii="Times New Roman" w:hAnsi="Times New Roman" w:eastAsia="仿宋_GB2312" w:cs="Times New Roman"/>
          <w:color w:val="auto"/>
          <w:sz w:val="32"/>
          <w:szCs w:val="32"/>
          <w:highlight w:val="none"/>
        </w:rPr>
        <w:t>费用</w:t>
      </w:r>
      <w:r>
        <w:rPr>
          <w:rFonts w:hint="default" w:ascii="Times New Roman" w:hAnsi="Times New Roman" w:eastAsia="仿宋_GB2312" w:cs="Times New Roman"/>
          <w:color w:val="auto"/>
          <w:sz w:val="32"/>
          <w:szCs w:val="32"/>
          <w:highlight w:val="none"/>
          <w:lang w:eastAsia="zh-CN"/>
        </w:rPr>
        <w:t>同</w:t>
      </w:r>
      <w:r>
        <w:rPr>
          <w:rFonts w:hint="default" w:ascii="Times New Roman" w:hAnsi="Times New Roman" w:eastAsia="仿宋_GB2312" w:cs="Times New Roman"/>
          <w:color w:val="auto"/>
          <w:sz w:val="32"/>
          <w:szCs w:val="32"/>
          <w:highlight w:val="none"/>
        </w:rPr>
        <w:t>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服务费。</w:t>
      </w:r>
      <w:r>
        <w:rPr>
          <w:rFonts w:hint="default" w:ascii="Times New Roman" w:hAnsi="Times New Roman" w:eastAsia="黑体" w:cs="Times New Roman"/>
          <w:color w:val="auto"/>
          <w:sz w:val="32"/>
          <w:szCs w:val="32"/>
          <w:highlight w:val="none"/>
          <w:lang w:val="en-US" w:eastAsia="zh-CN"/>
        </w:rPr>
        <w:t xml:space="preserve">  </w:t>
      </w:r>
    </w:p>
    <w:p w14:paraId="586553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服务要求</w:t>
      </w:r>
    </w:p>
    <w:p w14:paraId="1022A47C">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需安排具备相应资格条件和类似业绩且经验丰富的造价人员编制清单及最高投标限价，严格执行三级复核制度，对工程造价咨询成果负经济、法律责任，编制人员必须进行现场踏勘，发现与设计不符的需经设计部门核实确认，变化较大的需重新设计。</w:t>
      </w:r>
    </w:p>
    <w:p w14:paraId="0A99473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跟踪审计</w:t>
      </w:r>
      <w:r>
        <w:rPr>
          <w:rFonts w:hint="default" w:ascii="Times New Roman" w:hAnsi="Times New Roman" w:eastAsia="仿宋_GB2312" w:cs="Times New Roman"/>
          <w:color w:val="auto"/>
          <w:sz w:val="32"/>
          <w:szCs w:val="32"/>
          <w:highlight w:val="none"/>
        </w:rPr>
        <w:t>项目开工前，造价企业需将项目任命文报综合计划科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工程建设科，同一个造价人员在我处同时承揽</w:t>
      </w:r>
      <w:r>
        <w:rPr>
          <w:rFonts w:hint="default" w:ascii="Times New Roman" w:hAnsi="Times New Roman" w:eastAsia="仿宋_GB2312" w:cs="Times New Roman"/>
          <w:color w:val="auto"/>
          <w:sz w:val="32"/>
          <w:szCs w:val="32"/>
          <w:highlight w:val="none"/>
          <w:lang w:eastAsia="zh-CN"/>
        </w:rPr>
        <w:t>跟踪审计业</w:t>
      </w:r>
      <w:r>
        <w:rPr>
          <w:rFonts w:hint="default" w:ascii="Times New Roman" w:hAnsi="Times New Roman" w:eastAsia="仿宋_GB2312" w:cs="Times New Roman"/>
          <w:color w:val="auto"/>
          <w:sz w:val="32"/>
          <w:szCs w:val="32"/>
          <w:highlight w:val="none"/>
        </w:rPr>
        <w:t>务不得超过</w:t>
      </w:r>
      <w:r>
        <w:rPr>
          <w:rFonts w:hint="default" w:ascii="Times New Roman" w:hAnsi="Times New Roman" w:eastAsia="仿宋_GB2312" w:cs="Times New Roman"/>
          <w:color w:val="auto"/>
          <w:sz w:val="32"/>
          <w:szCs w:val="32"/>
          <w:highlight w:val="none"/>
          <w:lang w:eastAsia="zh-CN"/>
        </w:rPr>
        <w:t>三</w:t>
      </w:r>
      <w:r>
        <w:rPr>
          <w:rFonts w:hint="default" w:ascii="Times New Roman" w:hAnsi="Times New Roman" w:eastAsia="仿宋_GB2312" w:cs="Times New Roman"/>
          <w:color w:val="auto"/>
          <w:sz w:val="32"/>
          <w:szCs w:val="32"/>
          <w:highlight w:val="none"/>
        </w:rPr>
        <w:t>个项目</w:t>
      </w:r>
      <w:r>
        <w:rPr>
          <w:rFonts w:hint="default" w:ascii="Times New Roman" w:hAnsi="Times New Roman" w:eastAsia="仿宋_GB2312" w:cs="Times New Roman"/>
          <w:color w:val="auto"/>
          <w:sz w:val="32"/>
          <w:szCs w:val="32"/>
          <w:highlight w:val="none"/>
          <w:lang w:eastAsia="zh-CN"/>
        </w:rPr>
        <w:t>，且不得在两个以上市本级以外的地区同时承揽业务</w:t>
      </w:r>
      <w:r>
        <w:rPr>
          <w:rFonts w:hint="default" w:ascii="Times New Roman" w:hAnsi="Times New Roman" w:eastAsia="仿宋_GB2312" w:cs="Times New Roman"/>
          <w:color w:val="auto"/>
          <w:sz w:val="32"/>
          <w:szCs w:val="32"/>
          <w:highlight w:val="none"/>
        </w:rPr>
        <w:t>。</w:t>
      </w:r>
    </w:p>
    <w:p w14:paraId="67C0A50F">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项目组</w:t>
      </w:r>
      <w:r>
        <w:rPr>
          <w:rFonts w:hint="default" w:ascii="Times New Roman" w:hAnsi="Times New Roman" w:eastAsia="仿宋_GB2312" w:cs="Times New Roman"/>
          <w:color w:val="auto"/>
          <w:sz w:val="32"/>
          <w:szCs w:val="32"/>
          <w:highlight w:val="none"/>
          <w:lang w:eastAsia="zh-CN"/>
        </w:rPr>
        <w:t>人员变更，</w:t>
      </w:r>
      <w:r>
        <w:rPr>
          <w:rFonts w:hint="default" w:ascii="Times New Roman" w:hAnsi="Times New Roman" w:eastAsia="仿宋_GB2312" w:cs="Times New Roman"/>
          <w:color w:val="auto"/>
          <w:sz w:val="32"/>
          <w:szCs w:val="32"/>
          <w:highlight w:val="none"/>
        </w:rPr>
        <w:t>变更后人员</w:t>
      </w:r>
      <w:r>
        <w:rPr>
          <w:rFonts w:hint="default" w:ascii="Times New Roman" w:hAnsi="Times New Roman" w:eastAsia="仿宋_GB2312" w:cs="Times New Roman"/>
          <w:color w:val="auto"/>
          <w:sz w:val="32"/>
          <w:szCs w:val="32"/>
          <w:highlight w:val="none"/>
          <w:lang w:eastAsia="zh-CN"/>
        </w:rPr>
        <w:t>必</w:t>
      </w:r>
      <w:r>
        <w:rPr>
          <w:rFonts w:hint="default" w:ascii="Times New Roman" w:hAnsi="Times New Roman" w:eastAsia="仿宋_GB2312" w:cs="Times New Roman"/>
          <w:color w:val="auto"/>
          <w:sz w:val="32"/>
          <w:szCs w:val="32"/>
          <w:highlight w:val="none"/>
        </w:rPr>
        <w:t>须</w:t>
      </w:r>
      <w:r>
        <w:rPr>
          <w:rFonts w:hint="default" w:ascii="Times New Roman" w:hAnsi="Times New Roman" w:eastAsia="仿宋_GB2312" w:cs="Times New Roman"/>
          <w:color w:val="auto"/>
          <w:sz w:val="32"/>
          <w:szCs w:val="32"/>
          <w:highlight w:val="none"/>
          <w:lang w:eastAsia="zh-CN"/>
        </w:rPr>
        <w:t>满足</w:t>
      </w:r>
      <w:r>
        <w:rPr>
          <w:rFonts w:hint="default" w:ascii="Times New Roman" w:hAnsi="Times New Roman" w:eastAsia="仿宋_GB2312" w:cs="Times New Roman"/>
          <w:color w:val="auto"/>
          <w:sz w:val="32"/>
          <w:szCs w:val="32"/>
          <w:highlight w:val="none"/>
        </w:rPr>
        <w:t>本项目</w:t>
      </w:r>
      <w:r>
        <w:rPr>
          <w:rFonts w:hint="default" w:ascii="Times New Roman" w:hAnsi="Times New Roman" w:eastAsia="仿宋_GB2312" w:cs="Times New Roman"/>
          <w:color w:val="auto"/>
          <w:sz w:val="32"/>
          <w:szCs w:val="32"/>
          <w:highlight w:val="none"/>
          <w:lang w:eastAsia="zh-CN"/>
        </w:rPr>
        <w:t>招标</w:t>
      </w:r>
      <w:r>
        <w:rPr>
          <w:rFonts w:hint="default" w:ascii="Times New Roman" w:hAnsi="Times New Roman" w:eastAsia="仿宋_GB2312" w:cs="Times New Roman"/>
          <w:color w:val="auto"/>
          <w:sz w:val="32"/>
          <w:szCs w:val="32"/>
          <w:highlight w:val="none"/>
        </w:rPr>
        <w:t>要求</w:t>
      </w:r>
      <w:r>
        <w:rPr>
          <w:rFonts w:hint="default" w:ascii="Times New Roman" w:hAnsi="Times New Roman" w:eastAsia="仿宋_GB2312" w:cs="Times New Roman"/>
          <w:color w:val="auto"/>
          <w:sz w:val="32"/>
          <w:szCs w:val="32"/>
          <w:highlight w:val="none"/>
          <w:lang w:eastAsia="zh-CN"/>
        </w:rPr>
        <w:t>。由造价企业向综合计划科提出申请并提供相应证明，工程建设</w:t>
      </w:r>
      <w:r>
        <w:rPr>
          <w:rFonts w:hint="default" w:ascii="Times New Roman" w:hAnsi="Times New Roman" w:eastAsia="仿宋_GB2312" w:cs="Times New Roman"/>
          <w:color w:val="auto"/>
          <w:sz w:val="32"/>
          <w:szCs w:val="32"/>
          <w:highlight w:val="none"/>
        </w:rPr>
        <w:t>科</w:t>
      </w:r>
      <w:r>
        <w:rPr>
          <w:rFonts w:hint="default" w:ascii="Times New Roman" w:hAnsi="Times New Roman" w:eastAsia="仿宋_GB2312" w:cs="Times New Roman"/>
          <w:color w:val="auto"/>
          <w:sz w:val="32"/>
          <w:szCs w:val="32"/>
          <w:highlight w:val="none"/>
          <w:lang w:eastAsia="zh-CN"/>
        </w:rPr>
        <w:t>和综合计划科会商提出意见，报综合计划科分管领导批准</w:t>
      </w:r>
      <w:r>
        <w:rPr>
          <w:rFonts w:hint="default" w:ascii="Times New Roman" w:hAnsi="Times New Roman" w:eastAsia="仿宋_GB2312" w:cs="Times New Roman"/>
          <w:color w:val="auto"/>
          <w:sz w:val="32"/>
          <w:szCs w:val="32"/>
          <w:highlight w:val="none"/>
        </w:rPr>
        <w:t>后予以备案</w:t>
      </w:r>
      <w:r>
        <w:rPr>
          <w:rFonts w:hint="default" w:ascii="Times New Roman" w:hAnsi="Times New Roman" w:eastAsia="仿宋_GB2312" w:cs="Times New Roman"/>
          <w:color w:val="auto"/>
          <w:sz w:val="32"/>
          <w:szCs w:val="32"/>
          <w:highlight w:val="none"/>
          <w:lang w:eastAsia="zh-CN"/>
        </w:rPr>
        <w:t>。</w:t>
      </w:r>
    </w:p>
    <w:p w14:paraId="5AB6E5B3">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项目组负责人因以下原因变更不予处罚：①</w:t>
      </w:r>
      <w:r>
        <w:rPr>
          <w:rFonts w:hint="default" w:ascii="Times New Roman" w:hAnsi="Times New Roman" w:eastAsia="仿宋_GB2312" w:cs="Times New Roman"/>
          <w:color w:val="auto"/>
          <w:sz w:val="32"/>
          <w:szCs w:val="32"/>
          <w:highlight w:val="none"/>
        </w:rPr>
        <w:t>亡故</w:t>
      </w:r>
      <w:r>
        <w:rPr>
          <w:rFonts w:hint="default" w:ascii="Times New Roman" w:hAnsi="Times New Roman" w:eastAsia="仿宋_GB2312" w:cs="Times New Roman"/>
          <w:color w:val="auto"/>
          <w:sz w:val="32"/>
          <w:szCs w:val="32"/>
          <w:highlight w:val="none"/>
          <w:lang w:eastAsia="zh-CN"/>
        </w:rPr>
        <w:t>；②</w:t>
      </w:r>
      <w:r>
        <w:rPr>
          <w:rFonts w:hint="default" w:ascii="Times New Roman" w:hAnsi="Times New Roman" w:eastAsia="仿宋_GB2312" w:cs="Times New Roman"/>
          <w:color w:val="auto"/>
          <w:sz w:val="32"/>
          <w:szCs w:val="32"/>
          <w:highlight w:val="none"/>
        </w:rPr>
        <w:t>重病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或重伤</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三个月以上，不能履行职责</w:t>
      </w:r>
      <w:r>
        <w:rPr>
          <w:rFonts w:hint="default" w:ascii="Times New Roman" w:hAnsi="Times New Roman" w:eastAsia="仿宋_GB2312" w:cs="Times New Roman"/>
          <w:color w:val="auto"/>
          <w:sz w:val="32"/>
          <w:szCs w:val="32"/>
          <w:highlight w:val="none"/>
          <w:lang w:eastAsia="zh-CN"/>
        </w:rPr>
        <w:t>；③</w:t>
      </w:r>
      <w:r>
        <w:rPr>
          <w:rFonts w:hint="default" w:ascii="Times New Roman" w:hAnsi="Times New Roman" w:eastAsia="仿宋_GB2312" w:cs="Times New Roman"/>
          <w:color w:val="auto"/>
          <w:sz w:val="32"/>
          <w:szCs w:val="32"/>
          <w:highlight w:val="none"/>
        </w:rPr>
        <w:t>受到刑事或行政处罚，不能胜任；</w:t>
      </w:r>
      <w:r>
        <w:rPr>
          <w:rFonts w:hint="default" w:ascii="Times New Roman" w:hAnsi="Times New Roman" w:eastAsia="仿宋_GB2312" w:cs="Times New Roman"/>
          <w:color w:val="auto"/>
          <w:sz w:val="32"/>
          <w:szCs w:val="32"/>
          <w:highlight w:val="none"/>
          <w:lang w:eastAsia="zh-CN"/>
        </w:rPr>
        <w:t>④</w:t>
      </w:r>
      <w:r>
        <w:rPr>
          <w:rFonts w:hint="default" w:ascii="Times New Roman" w:hAnsi="Times New Roman" w:eastAsia="仿宋_GB2312" w:cs="Times New Roman"/>
          <w:color w:val="auto"/>
          <w:sz w:val="32"/>
          <w:szCs w:val="32"/>
          <w:highlight w:val="none"/>
        </w:rPr>
        <w:t>犯罪被羁押或判刑；</w:t>
      </w:r>
      <w:r>
        <w:rPr>
          <w:rFonts w:hint="default" w:ascii="Times New Roman" w:hAnsi="Times New Roman" w:eastAsia="仿宋_GB2312" w:cs="Times New Roman"/>
          <w:color w:val="auto"/>
          <w:sz w:val="32"/>
          <w:szCs w:val="32"/>
          <w:highlight w:val="none"/>
          <w:lang w:eastAsia="zh-CN"/>
        </w:rPr>
        <w:t>⑤</w:t>
      </w:r>
      <w:r>
        <w:rPr>
          <w:rFonts w:hint="default" w:ascii="Times New Roman" w:hAnsi="Times New Roman" w:eastAsia="仿宋_GB2312" w:cs="Times New Roman"/>
          <w:color w:val="auto"/>
          <w:sz w:val="32"/>
          <w:szCs w:val="32"/>
          <w:highlight w:val="none"/>
        </w:rPr>
        <w:t>被责令停止职业资格</w:t>
      </w:r>
      <w:r>
        <w:rPr>
          <w:rFonts w:hint="default" w:ascii="Times New Roman" w:hAnsi="Times New Roman" w:eastAsia="仿宋_GB2312" w:cs="Times New Roman"/>
          <w:color w:val="auto"/>
          <w:sz w:val="32"/>
          <w:szCs w:val="32"/>
          <w:highlight w:val="none"/>
          <w:lang w:eastAsia="zh-CN"/>
        </w:rPr>
        <w:t>。其他原因</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造价企业</w:t>
      </w:r>
      <w:r>
        <w:rPr>
          <w:rFonts w:hint="default" w:ascii="Times New Roman" w:hAnsi="Times New Roman" w:eastAsia="仿宋_GB2312" w:cs="Times New Roman"/>
          <w:color w:val="auto"/>
          <w:sz w:val="32"/>
          <w:szCs w:val="32"/>
          <w:highlight w:val="none"/>
        </w:rPr>
        <w:t>须缴纳</w:t>
      </w:r>
      <w:r>
        <w:rPr>
          <w:rFonts w:hint="default"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万元违约金</w:t>
      </w:r>
      <w:r>
        <w:rPr>
          <w:rFonts w:hint="default" w:ascii="Times New Roman" w:hAnsi="Times New Roman" w:eastAsia="仿宋_GB2312" w:cs="Times New Roman"/>
          <w:color w:val="auto"/>
          <w:sz w:val="32"/>
          <w:szCs w:val="32"/>
          <w:highlight w:val="none"/>
          <w:lang w:eastAsia="zh-CN"/>
        </w:rPr>
        <w:t>。</w:t>
      </w:r>
    </w:p>
    <w:p w14:paraId="4BE39F4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0"/>
          <w:sz w:val="32"/>
          <w:szCs w:val="32"/>
          <w:highlight w:val="none"/>
          <w:lang w:eastAsia="zh-CN"/>
        </w:rPr>
        <w:t>跟踪审计单位</w:t>
      </w:r>
      <w:r>
        <w:rPr>
          <w:rFonts w:hint="default" w:ascii="Times New Roman" w:hAnsi="Times New Roman" w:eastAsia="仿宋_GB2312" w:cs="Times New Roman"/>
          <w:color w:val="auto"/>
          <w:sz w:val="32"/>
          <w:szCs w:val="32"/>
          <w:highlight w:val="none"/>
          <w:lang w:eastAsia="zh-CN"/>
        </w:rPr>
        <w:t>审计</w:t>
      </w:r>
      <w:r>
        <w:rPr>
          <w:rFonts w:hint="default" w:ascii="Times New Roman" w:hAnsi="Times New Roman" w:eastAsia="仿宋_GB2312" w:cs="Times New Roman"/>
          <w:color w:val="auto"/>
          <w:sz w:val="32"/>
          <w:szCs w:val="32"/>
          <w:highlight w:val="none"/>
        </w:rPr>
        <w:t>组每月</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日前</w:t>
      </w:r>
      <w:r>
        <w:rPr>
          <w:rFonts w:hint="default" w:ascii="Times New Roman" w:hAnsi="Times New Roman" w:eastAsia="仿宋_GB2312" w:cs="Times New Roman"/>
          <w:color w:val="auto"/>
          <w:sz w:val="32"/>
          <w:szCs w:val="32"/>
          <w:highlight w:val="none"/>
          <w:lang w:eastAsia="zh-CN"/>
        </w:rPr>
        <w:t>向</w:t>
      </w:r>
      <w:r>
        <w:rPr>
          <w:rFonts w:hint="default" w:ascii="Times New Roman" w:hAnsi="Times New Roman" w:eastAsia="仿宋_GB2312" w:cs="Times New Roman"/>
          <w:color w:val="auto"/>
          <w:sz w:val="32"/>
          <w:szCs w:val="32"/>
          <w:highlight w:val="none"/>
        </w:rPr>
        <w:t>综合计划科报送审计月报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color w:val="auto"/>
          <w:sz w:val="32"/>
          <w:szCs w:val="32"/>
          <w:highlight w:val="none"/>
          <w:lang w:eastAsia="zh-CN"/>
        </w:rPr>
        <w:t>抄送</w:t>
      </w:r>
      <w:r>
        <w:rPr>
          <w:rFonts w:hint="default" w:ascii="Times New Roman" w:hAnsi="Times New Roman" w:eastAsia="仿宋_GB2312" w:cs="Times New Roman"/>
          <w:color w:val="auto"/>
          <w:sz w:val="32"/>
          <w:szCs w:val="32"/>
          <w:highlight w:val="none"/>
        </w:rPr>
        <w:t>工程建设科，月报主要</w:t>
      </w:r>
      <w:r>
        <w:rPr>
          <w:rFonts w:hint="default" w:ascii="Times New Roman" w:hAnsi="Times New Roman" w:eastAsia="仿宋_GB2312" w:cs="Times New Roman"/>
          <w:color w:val="auto"/>
          <w:sz w:val="32"/>
          <w:szCs w:val="32"/>
          <w:highlight w:val="none"/>
          <w:lang w:eastAsia="zh-CN"/>
        </w:rPr>
        <w:t>反映</w:t>
      </w:r>
      <w:r>
        <w:rPr>
          <w:rFonts w:hint="default" w:ascii="Times New Roman" w:hAnsi="Times New Roman" w:eastAsia="仿宋_GB2312" w:cs="Times New Roman"/>
          <w:color w:val="auto"/>
          <w:sz w:val="32"/>
          <w:szCs w:val="32"/>
          <w:highlight w:val="none"/>
        </w:rPr>
        <w:t>项目的进度、工程计量、工程变更等涉及工程造价方面的内容。</w:t>
      </w:r>
    </w:p>
    <w:p w14:paraId="23D42C9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结算审核单位</w:t>
      </w:r>
      <w:r>
        <w:rPr>
          <w:rFonts w:hint="default" w:ascii="Times New Roman" w:hAnsi="Times New Roman" w:eastAsia="仿宋_GB2312" w:cs="Times New Roman"/>
          <w:color w:val="auto"/>
          <w:sz w:val="32"/>
          <w:szCs w:val="32"/>
          <w:highlight w:val="none"/>
        </w:rPr>
        <w:t>应在</w:t>
      </w:r>
      <w:r>
        <w:rPr>
          <w:rFonts w:hint="default"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以下）或</w:t>
      </w:r>
      <w:r>
        <w:rPr>
          <w:rFonts w:hint="default" w:ascii="Times New Roman" w:hAnsi="Times New Roman" w:eastAsia="仿宋_GB2312" w:cs="Times New Roman"/>
          <w:color w:val="auto"/>
          <w:sz w:val="32"/>
          <w:szCs w:val="32"/>
          <w:highlight w:val="none"/>
          <w:lang w:eastAsia="zh-CN"/>
        </w:rPr>
        <w:t>10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造价5000</w:t>
      </w:r>
      <w:r>
        <w:rPr>
          <w:rFonts w:hint="default" w:ascii="Times New Roman" w:hAnsi="Times New Roman" w:eastAsia="仿宋_GB2312" w:cs="Times New Roman"/>
          <w:color w:val="auto"/>
          <w:sz w:val="32"/>
          <w:szCs w:val="32"/>
          <w:highlight w:val="none"/>
        </w:rPr>
        <w:t>万</w:t>
      </w:r>
      <w:r>
        <w:rPr>
          <w:rFonts w:hint="default" w:ascii="Times New Roman" w:hAnsi="Times New Roman" w:eastAsia="仿宋_GB2312" w:cs="Times New Roman"/>
          <w:color w:val="auto"/>
          <w:sz w:val="32"/>
          <w:szCs w:val="32"/>
          <w:highlight w:val="none"/>
          <w:lang w:eastAsia="zh-CN"/>
        </w:rPr>
        <w:t>元</w:t>
      </w:r>
      <w:r>
        <w:rPr>
          <w:rFonts w:hint="default" w:ascii="Times New Roman" w:hAnsi="Times New Roman" w:eastAsia="仿宋_GB2312" w:cs="Times New Roman"/>
          <w:color w:val="auto"/>
          <w:sz w:val="32"/>
          <w:szCs w:val="32"/>
          <w:highlight w:val="none"/>
        </w:rPr>
        <w:t>以上）内，对施工单位报送的项目结算资料进行完整性检查，一次性书面告知，限期补充齐全。在实施结算审计</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程中，原则上不再接收施工单位提供的变更签证资料。如遇特殊情况，补充资料</w:t>
      </w:r>
      <w:r>
        <w:rPr>
          <w:rFonts w:hint="default" w:ascii="Times New Roman" w:hAnsi="Times New Roman" w:eastAsia="仿宋_GB2312" w:cs="Times New Roman"/>
          <w:color w:val="auto"/>
          <w:sz w:val="32"/>
          <w:szCs w:val="32"/>
          <w:highlight w:val="none"/>
          <w:lang w:eastAsia="zh-CN"/>
        </w:rPr>
        <w:t>需</w:t>
      </w: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w:t>
      </w:r>
    </w:p>
    <w:p w14:paraId="40948EE5">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造价企业结算审</w:t>
      </w:r>
      <w:r>
        <w:rPr>
          <w:rFonts w:hint="default" w:ascii="Times New Roman" w:hAnsi="Times New Roman" w:eastAsia="仿宋_GB2312" w:cs="Times New Roman"/>
          <w:color w:val="auto"/>
          <w:sz w:val="32"/>
          <w:szCs w:val="32"/>
          <w:highlight w:val="none"/>
          <w:lang w:eastAsia="zh-CN"/>
        </w:rPr>
        <w:t>核</w:t>
      </w:r>
      <w:r>
        <w:rPr>
          <w:rFonts w:hint="default" w:ascii="Times New Roman" w:hAnsi="Times New Roman" w:eastAsia="仿宋_GB2312" w:cs="Times New Roman"/>
          <w:color w:val="auto"/>
          <w:sz w:val="32"/>
          <w:szCs w:val="32"/>
          <w:highlight w:val="none"/>
        </w:rPr>
        <w:t>的项目，造价在</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万元以下、</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2000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万元以上的单项工程，应</w:t>
      </w:r>
      <w:r>
        <w:rPr>
          <w:rFonts w:hint="default"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rPr>
        <w:t>在施工单位报送的项目结算资料完整</w:t>
      </w:r>
      <w:r>
        <w:rPr>
          <w:rFonts w:hint="default" w:ascii="Times New Roman" w:hAnsi="Times New Roman" w:eastAsia="仿宋_GB2312" w:cs="Times New Roman"/>
          <w:color w:val="auto"/>
          <w:sz w:val="32"/>
          <w:szCs w:val="32"/>
          <w:highlight w:val="none"/>
          <w:lang w:eastAsia="zh-CN"/>
        </w:rPr>
        <w:t>后的20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45</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highlight w:val="none"/>
          <w:lang w:eastAsia="zh-CN"/>
        </w:rPr>
        <w:t>60</w:t>
      </w:r>
      <w:r>
        <w:rPr>
          <w:rFonts w:hint="default" w:ascii="Times New Roman" w:hAnsi="Times New Roman" w:eastAsia="仿宋_GB2312" w:cs="Times New Roman"/>
          <w:color w:val="auto"/>
          <w:sz w:val="32"/>
          <w:szCs w:val="32"/>
          <w:highlight w:val="none"/>
        </w:rPr>
        <w:t>日内完成，并出具审核报告。如遇特殊情况，经</w:t>
      </w:r>
      <w:r>
        <w:rPr>
          <w:rFonts w:hint="default" w:ascii="Times New Roman" w:hAnsi="Times New Roman" w:eastAsia="仿宋_GB2312" w:cs="Times New Roman"/>
          <w:color w:val="auto"/>
          <w:sz w:val="32"/>
          <w:szCs w:val="32"/>
          <w:highlight w:val="none"/>
          <w:lang w:eastAsia="zh-CN"/>
        </w:rPr>
        <w:t>工程建设科和</w:t>
      </w:r>
      <w:r>
        <w:rPr>
          <w:rFonts w:hint="default" w:ascii="Times New Roman" w:hAnsi="Times New Roman" w:eastAsia="仿宋_GB2312" w:cs="Times New Roman"/>
          <w:color w:val="auto"/>
          <w:sz w:val="32"/>
          <w:szCs w:val="32"/>
          <w:highlight w:val="none"/>
        </w:rPr>
        <w:t>项目分管领导同意，可适当延长，延长时间最长不得超过</w:t>
      </w:r>
      <w:r>
        <w:rPr>
          <w:rFonts w:hint="default" w:ascii="Times New Roman" w:hAnsi="Times New Roman" w:eastAsia="仿宋_GB2312" w:cs="Times New Roman"/>
          <w:color w:val="auto"/>
          <w:sz w:val="32"/>
          <w:szCs w:val="32"/>
          <w:highlight w:val="none"/>
          <w:lang w:eastAsia="zh-CN"/>
        </w:rPr>
        <w:t>30</w:t>
      </w:r>
      <w:r>
        <w:rPr>
          <w:rFonts w:hint="default" w:ascii="Times New Roman" w:hAnsi="Times New Roman" w:eastAsia="仿宋_GB2312" w:cs="Times New Roman"/>
          <w:color w:val="auto"/>
          <w:sz w:val="32"/>
          <w:szCs w:val="32"/>
          <w:highlight w:val="none"/>
        </w:rPr>
        <w:t>日。</w:t>
      </w:r>
    </w:p>
    <w:p w14:paraId="2DA95C62">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sz w:val="32"/>
          <w:szCs w:val="32"/>
          <w:highlight w:val="none"/>
          <w:lang w:eastAsia="zh-CN"/>
        </w:rPr>
        <w:t>清单编制</w:t>
      </w:r>
      <w:r>
        <w:rPr>
          <w:rFonts w:hint="default" w:ascii="Times New Roman" w:hAnsi="Times New Roman" w:eastAsia="仿宋_GB2312" w:cs="Times New Roman"/>
          <w:color w:val="auto"/>
          <w:sz w:val="32"/>
          <w:szCs w:val="32"/>
          <w:highlight w:val="none"/>
        </w:rPr>
        <w:t>的项目</w:t>
      </w:r>
      <w:r>
        <w:rPr>
          <w:rFonts w:hint="default" w:ascii="Times New Roman" w:hAnsi="Times New Roman" w:eastAsia="仿宋_GB2312" w:cs="Times New Roman"/>
          <w:color w:val="auto"/>
          <w:sz w:val="32"/>
          <w:szCs w:val="32"/>
          <w:highlight w:val="none"/>
          <w:lang w:eastAsia="zh-CN"/>
        </w:rPr>
        <w:t>，估算最高投标限价在</w:t>
      </w:r>
      <w:r>
        <w:rPr>
          <w:rFonts w:hint="default" w:ascii="Times New Roman" w:hAnsi="Times New Roman" w:eastAsia="仿宋_GB2312" w:cs="Times New Roman"/>
          <w:color w:val="auto"/>
          <w:sz w:val="32"/>
          <w:szCs w:val="32"/>
          <w:highlight w:val="none"/>
          <w:lang w:val="en-US" w:eastAsia="zh-CN"/>
        </w:rPr>
        <w:t xml:space="preserve">500万元以下、500万元-1000万元、1000万元-5000万元、5000万元-10000万元、10000万元以上的项目，应分别在7日、15日、20日、25日、30日内完成。特殊项目经综合计划科分管领导同意可以适当缩短或延长编制时间。  </w:t>
      </w:r>
      <w:r>
        <w:rPr>
          <w:rFonts w:hint="default" w:ascii="Times New Roman" w:hAnsi="Times New Roman" w:eastAsia="仿宋_GB2312" w:cs="Times New Roman"/>
          <w:color w:val="auto"/>
          <w:sz w:val="32"/>
          <w:szCs w:val="32"/>
          <w:highlight w:val="none"/>
        </w:rPr>
        <w:t xml:space="preserve">   </w:t>
      </w:r>
    </w:p>
    <w:p w14:paraId="61F984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 服务考核</w:t>
      </w:r>
    </w:p>
    <w:p w14:paraId="12606106">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十九</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考核分类</w:t>
      </w:r>
    </w:p>
    <w:p w14:paraId="557BCC9C">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考核分为</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跟踪审计服务质量考核</w:t>
      </w:r>
      <w:r>
        <w:rPr>
          <w:rFonts w:hint="default" w:ascii="Times New Roman" w:hAnsi="Times New Roman" w:eastAsia="仿宋_GB2312" w:cs="Times New Roman"/>
          <w:color w:val="auto"/>
          <w:sz w:val="32"/>
          <w:szCs w:val="32"/>
          <w:highlight w:val="none"/>
          <w:lang w:eastAsia="zh-CN"/>
        </w:rPr>
        <w:t>和</w:t>
      </w:r>
      <w:r>
        <w:rPr>
          <w:rStyle w:val="155"/>
          <w:rFonts w:hint="default" w:ascii="Times New Roman" w:hAnsi="Times New Roman" w:eastAsia="仿宋_GB2312" w:cs="Times New Roman"/>
          <w:b w:val="0"/>
          <w:bCs w:val="0"/>
          <w:color w:val="auto"/>
          <w:sz w:val="32"/>
          <w:szCs w:val="32"/>
          <w:highlight w:val="none"/>
        </w:rPr>
        <w:t>结算审</w:t>
      </w:r>
      <w:r>
        <w:rPr>
          <w:rStyle w:val="155"/>
          <w:rFonts w:hint="default" w:ascii="Times New Roman" w:hAnsi="Times New Roman" w:cs="Times New Roman"/>
          <w:b w:val="0"/>
          <w:bCs w:val="0"/>
          <w:color w:val="auto"/>
          <w:sz w:val="32"/>
          <w:szCs w:val="32"/>
          <w:highlight w:val="none"/>
          <w:lang w:eastAsia="zh-CN"/>
        </w:rPr>
        <w:t>（复）</w:t>
      </w:r>
      <w:r>
        <w:rPr>
          <w:rStyle w:val="155"/>
          <w:rFonts w:hint="default" w:ascii="Times New Roman" w:hAnsi="Times New Roman" w:eastAsia="仿宋_GB2312" w:cs="Times New Roman"/>
          <w:b w:val="0"/>
          <w:bCs w:val="0"/>
          <w:color w:val="auto"/>
          <w:sz w:val="32"/>
          <w:szCs w:val="32"/>
          <w:highlight w:val="none"/>
        </w:rPr>
        <w:t>核</w:t>
      </w:r>
      <w:r>
        <w:rPr>
          <w:rStyle w:val="155"/>
          <w:rFonts w:hint="default" w:ascii="Times New Roman" w:hAnsi="Times New Roman" w:cs="Times New Roman"/>
          <w:b w:val="0"/>
          <w:bCs w:val="0"/>
          <w:color w:val="auto"/>
          <w:sz w:val="32"/>
          <w:szCs w:val="32"/>
          <w:highlight w:val="none"/>
          <w:lang w:eastAsia="zh-CN"/>
        </w:rPr>
        <w:t>成果质量</w:t>
      </w:r>
      <w:r>
        <w:rPr>
          <w:rStyle w:val="155"/>
          <w:rFonts w:hint="default" w:ascii="Times New Roman" w:hAnsi="Times New Roman" w:eastAsia="仿宋_GB2312" w:cs="Times New Roman"/>
          <w:b w:val="0"/>
          <w:bCs w:val="0"/>
          <w:color w:val="auto"/>
          <w:sz w:val="32"/>
          <w:szCs w:val="32"/>
          <w:highlight w:val="none"/>
        </w:rPr>
        <w:t>考核</w:t>
      </w:r>
      <w:r>
        <w:rPr>
          <w:rFonts w:hint="default" w:ascii="Times New Roman" w:hAnsi="Times New Roman" w:eastAsia="仿宋_GB2312" w:cs="Times New Roman"/>
          <w:color w:val="auto"/>
          <w:sz w:val="32"/>
          <w:szCs w:val="32"/>
          <w:highlight w:val="none"/>
        </w:rPr>
        <w:t>。</w:t>
      </w:r>
    </w:p>
    <w:p w14:paraId="6A929E8A">
      <w:pPr>
        <w:keepNext w:val="0"/>
        <w:keepLines w:val="0"/>
        <w:pageBreakBefore w:val="0"/>
        <w:kinsoku/>
        <w:wordWrap/>
        <w:overflowPunct/>
        <w:topLinePunct w:val="0"/>
        <w:autoSpaceDE/>
        <w:autoSpaceDN/>
        <w:bidi w:val="0"/>
        <w:adjustRightInd/>
        <w:spacing w:line="400" w:lineRule="exact"/>
        <w:ind w:left="0" w:leftChars="0" w:firstLine="643"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清单编制质量考核</w:t>
      </w:r>
      <w:r>
        <w:rPr>
          <w:rFonts w:hint="default" w:ascii="Times New Roman" w:hAnsi="Times New Roman" w:eastAsia="仿宋_GB2312" w:cs="Times New Roman"/>
          <w:color w:val="auto"/>
          <w:sz w:val="32"/>
          <w:szCs w:val="32"/>
          <w:highlight w:val="none"/>
        </w:rPr>
        <w:t>标准见《滁州市重点工程建设管理处工程量清单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最高投标限价编制质量考核表》（附件</w:t>
      </w:r>
      <w:r>
        <w:rPr>
          <w:rFonts w:hint="default"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p>
    <w:p w14:paraId="29976A61">
      <w:pPr>
        <w:keepNext w:val="0"/>
        <w:keepLines w:val="0"/>
        <w:pageBreakBefore w:val="0"/>
        <w:kinsoku/>
        <w:wordWrap/>
        <w:overflowPunct/>
        <w:topLinePunct w:val="0"/>
        <w:autoSpaceDE/>
        <w:autoSpaceDN/>
        <w:bidi w:val="0"/>
        <w:adjustRightInd/>
        <w:spacing w:line="400" w:lineRule="exact"/>
        <w:ind w:firstLine="643"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跟踪审计服务质量日常考核原则上每季度安排一次。考核以各造价企业单个审计项目为单位，对单个审计项目审计实施过程和完成情况进行综合考核，满分为</w:t>
      </w:r>
      <w:r>
        <w:rPr>
          <w:rFonts w:hint="default" w:ascii="Times New Roman" w:hAnsi="Times New Roman" w:eastAsia="仿宋_GB2312" w:cs="Times New Roman"/>
          <w:color w:val="auto"/>
          <w:sz w:val="32"/>
          <w:szCs w:val="32"/>
          <w:highlight w:val="none"/>
          <w:lang w:eastAsia="zh-CN"/>
        </w:rPr>
        <w:t>100</w:t>
      </w:r>
      <w:r>
        <w:rPr>
          <w:rFonts w:hint="default" w:ascii="Times New Roman" w:hAnsi="Times New Roman" w:eastAsia="仿宋_GB2312" w:cs="Times New Roman"/>
          <w:color w:val="auto"/>
          <w:sz w:val="32"/>
          <w:szCs w:val="32"/>
          <w:highlight w:val="none"/>
        </w:rPr>
        <w:t>分，考核标准见《滁州市重点工程建设管理处跟踪审计服务质量日常考核表》（附件</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）。考核结果设“优”、“良”、“中”、“差”四个等级，考核得分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分及以上的项目评“优”，考核得分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分的项目评“良”，考核得分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val="en-US" w:eastAsia="zh-CN"/>
        </w:rPr>
        <w:t>85</w:t>
      </w:r>
      <w:r>
        <w:rPr>
          <w:rFonts w:hint="default" w:ascii="Times New Roman" w:hAnsi="Times New Roman" w:eastAsia="仿宋_GB2312" w:cs="Times New Roman"/>
          <w:color w:val="auto"/>
          <w:sz w:val="32"/>
          <w:szCs w:val="32"/>
          <w:highlight w:val="none"/>
        </w:rPr>
        <w:t>分的项目评“中”，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分以下的项目评“差”。对评“优” 项目的审计组予以通报表扬</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color w:val="auto"/>
          <w:sz w:val="32"/>
          <w:szCs w:val="32"/>
          <w:highlight w:val="none"/>
        </w:rPr>
        <w:t>对评“中”项目的审计组进行约谈；评“差”项目的审计组予以通报批评，进行约谈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处罚</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eastAsia="zh-CN"/>
        </w:rPr>
        <w:t>000</w:t>
      </w:r>
      <w:r>
        <w:rPr>
          <w:rFonts w:hint="default" w:ascii="Times New Roman" w:hAnsi="Times New Roman" w:eastAsia="仿宋_GB2312" w:cs="Times New Roman"/>
          <w:b w:val="0"/>
          <w:bCs w:val="0"/>
          <w:color w:val="auto"/>
          <w:sz w:val="32"/>
          <w:szCs w:val="32"/>
          <w:highlight w:val="none"/>
        </w:rPr>
        <w:t>元</w:t>
      </w:r>
      <w:r>
        <w:rPr>
          <w:rFonts w:hint="default" w:ascii="Times New Roman" w:hAnsi="Times New Roman" w:eastAsia="仿宋_GB2312" w:cs="Times New Roman"/>
          <w:b w:val="0"/>
          <w:bCs w:val="0"/>
          <w:color w:val="auto"/>
          <w:sz w:val="32"/>
          <w:szCs w:val="32"/>
          <w:highlight w:val="none"/>
          <w:lang w:eastAsia="zh-CN"/>
        </w:rPr>
        <w:t>及</w:t>
      </w:r>
      <w:r>
        <w:rPr>
          <w:rFonts w:hint="default" w:ascii="Times New Roman" w:hAnsi="Times New Roman" w:eastAsia="仿宋_GB2312" w:cs="Times New Roman"/>
          <w:b w:val="0"/>
          <w:bCs w:val="0"/>
          <w:color w:val="auto"/>
          <w:sz w:val="32"/>
          <w:szCs w:val="32"/>
          <w:highlight w:val="none"/>
          <w:lang w:val="en-US" w:eastAsia="zh-CN"/>
        </w:rPr>
        <w:t>暂停业务3</w:t>
      </w:r>
      <w:r>
        <w:rPr>
          <w:rFonts w:hint="default" w:ascii="Times New Roman" w:hAnsi="Times New Roman" w:eastAsia="仿宋_GB2312" w:cs="Times New Roman"/>
          <w:b w:val="0"/>
          <w:bCs w:val="0"/>
          <w:color w:val="auto"/>
          <w:sz w:val="32"/>
          <w:szCs w:val="32"/>
          <w:highlight w:val="none"/>
        </w:rPr>
        <w:t>个月，</w:t>
      </w:r>
      <w:r>
        <w:rPr>
          <w:rFonts w:hint="default" w:ascii="Times New Roman" w:hAnsi="Times New Roman" w:eastAsia="仿宋_GB2312" w:cs="Times New Roman"/>
          <w:b w:val="0"/>
          <w:bCs w:val="0"/>
          <w:color w:val="auto"/>
          <w:sz w:val="32"/>
          <w:szCs w:val="32"/>
          <w:highlight w:val="none"/>
          <w:lang w:val="en-US" w:eastAsia="zh-CN"/>
        </w:rPr>
        <w:t>连续两个</w:t>
      </w:r>
      <w:r>
        <w:rPr>
          <w:rFonts w:hint="default" w:ascii="Times New Roman" w:hAnsi="Times New Roman" w:eastAsia="仿宋_GB2312" w:cs="Times New Roman"/>
          <w:b w:val="0"/>
          <w:bCs w:val="0"/>
          <w:color w:val="auto"/>
          <w:sz w:val="32"/>
          <w:szCs w:val="32"/>
          <w:highlight w:val="none"/>
          <w:lang w:eastAsia="zh-CN"/>
        </w:rPr>
        <w:t>季度评</w:t>
      </w:r>
      <w:r>
        <w:rPr>
          <w:rFonts w:hint="default" w:ascii="Times New Roman" w:hAnsi="Times New Roman" w:eastAsia="仿宋_GB2312" w:cs="Times New Roman"/>
          <w:b w:val="0"/>
          <w:bCs w:val="0"/>
          <w:color w:val="auto"/>
          <w:sz w:val="32"/>
          <w:szCs w:val="32"/>
          <w:highlight w:val="none"/>
        </w:rPr>
        <w:t>“差”</w:t>
      </w:r>
      <w:r>
        <w:rPr>
          <w:rFonts w:hint="default" w:ascii="Times New Roman" w:hAnsi="Times New Roman" w:eastAsia="仿宋_GB2312" w:cs="Times New Roman"/>
          <w:b w:val="0"/>
          <w:bCs w:val="0"/>
          <w:color w:val="auto"/>
          <w:sz w:val="32"/>
          <w:szCs w:val="32"/>
          <w:highlight w:val="none"/>
          <w:lang w:eastAsia="zh-CN"/>
        </w:rPr>
        <w:t>的，</w:t>
      </w:r>
      <w:r>
        <w:rPr>
          <w:rFonts w:hint="default" w:ascii="Times New Roman" w:hAnsi="Times New Roman" w:eastAsia="仿宋_GB2312" w:cs="Times New Roman"/>
          <w:b w:val="0"/>
          <w:bCs w:val="0"/>
          <w:color w:val="auto"/>
          <w:sz w:val="32"/>
          <w:szCs w:val="32"/>
          <w:highlight w:val="none"/>
          <w:lang w:val="en-US" w:eastAsia="zh-CN"/>
        </w:rPr>
        <w:t>暂停业务12</w:t>
      </w:r>
      <w:r>
        <w:rPr>
          <w:rFonts w:hint="default" w:ascii="Times New Roman" w:hAnsi="Times New Roman" w:eastAsia="仿宋_GB2312" w:cs="Times New Roman"/>
          <w:b w:val="0"/>
          <w:bCs w:val="0"/>
          <w:color w:val="auto"/>
          <w:sz w:val="32"/>
          <w:szCs w:val="32"/>
          <w:highlight w:val="none"/>
        </w:rPr>
        <w:t>个月。</w:t>
      </w:r>
    </w:p>
    <w:p w14:paraId="7C02DFC9">
      <w:pPr>
        <w:keepNext w:val="0"/>
        <w:keepLines w:val="0"/>
        <w:pageBreakBefore w:val="0"/>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color w:val="auto"/>
          <w:sz w:val="32"/>
          <w:szCs w:val="32"/>
          <w:highlight w:val="none"/>
        </w:rPr>
        <w:t>年度考核以当年所有项目日常考核结果</w:t>
      </w:r>
      <w:r>
        <w:rPr>
          <w:rFonts w:hint="default" w:ascii="Times New Roman" w:hAnsi="Times New Roman" w:eastAsia="仿宋_GB2312" w:cs="Times New Roman"/>
          <w:b w:val="0"/>
          <w:bCs w:val="0"/>
          <w:color w:val="auto"/>
          <w:sz w:val="32"/>
          <w:szCs w:val="32"/>
          <w:highlight w:val="none"/>
          <w:lang w:eastAsia="zh-CN"/>
        </w:rPr>
        <w:t>（本年度至少参评两次及以上）</w:t>
      </w:r>
      <w:r>
        <w:rPr>
          <w:rFonts w:hint="default" w:ascii="Times New Roman" w:hAnsi="Times New Roman" w:eastAsia="仿宋_GB2312" w:cs="Times New Roman"/>
          <w:b w:val="0"/>
          <w:bCs w:val="0"/>
          <w:color w:val="auto"/>
          <w:sz w:val="32"/>
          <w:szCs w:val="32"/>
          <w:highlight w:val="none"/>
        </w:rPr>
        <w:t>平均分作为年度综合评定分值，考核结果分设“优”、“良”、“中”、“差”四个等级。考核得</w:t>
      </w:r>
      <w:r>
        <w:rPr>
          <w:rFonts w:hint="default" w:ascii="Times New Roman" w:hAnsi="Times New Roman" w:eastAsia="仿宋_GB2312" w:cs="Times New Roman"/>
          <w:color w:val="auto"/>
          <w:sz w:val="32"/>
          <w:szCs w:val="32"/>
          <w:highlight w:val="none"/>
        </w:rPr>
        <w:t>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分及以上的造价企业评“优”，考核得分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分的造价企业评“良”，考核得分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分的造价企业评“中”，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分以下的造价企业评“差”。年度考核评“优”的造价企业予以通报表扬；年度考核评“差”的造价企业予以通报批评且</w:t>
      </w:r>
      <w:r>
        <w:rPr>
          <w:rFonts w:hint="default" w:ascii="Times New Roman" w:hAnsi="Times New Roman" w:eastAsia="仿宋_GB2312" w:cs="Times New Roman"/>
          <w:color w:val="auto"/>
          <w:sz w:val="32"/>
          <w:szCs w:val="32"/>
          <w:highlight w:val="none"/>
          <w:lang w:val="en-US" w:eastAsia="zh-CN"/>
        </w:rPr>
        <w:t>暂停业务</w:t>
      </w:r>
      <w:r>
        <w:rPr>
          <w:rFonts w:hint="default" w:ascii="Times New Roman" w:hAnsi="Times New Roman" w:eastAsia="仿宋_GB2312" w:cs="Times New Roman"/>
          <w:color w:val="auto"/>
          <w:sz w:val="32"/>
          <w:szCs w:val="32"/>
          <w:highlight w:val="none"/>
          <w:lang w:eastAsia="zh-CN"/>
        </w:rPr>
        <w:t>12</w:t>
      </w:r>
      <w:r>
        <w:rPr>
          <w:rFonts w:hint="default" w:ascii="Times New Roman" w:hAnsi="Times New Roman" w:eastAsia="仿宋_GB2312" w:cs="Times New Roman"/>
          <w:color w:val="auto"/>
          <w:sz w:val="32"/>
          <w:szCs w:val="32"/>
          <w:highlight w:val="none"/>
        </w:rPr>
        <w:t>个月。</w:t>
      </w:r>
    </w:p>
    <w:p w14:paraId="60F93DBD">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Style w:val="155"/>
          <w:rFonts w:hint="default" w:ascii="Times New Roman" w:hAnsi="Times New Roman" w:eastAsia="仿宋_GB2312" w:cs="Times New Roman"/>
          <w:b w:val="0"/>
          <w:color w:val="auto"/>
          <w:sz w:val="32"/>
          <w:szCs w:val="32"/>
          <w:highlight w:val="none"/>
        </w:rPr>
        <w:t>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w:t>
      </w:r>
      <w:r>
        <w:rPr>
          <w:rFonts w:hint="default" w:ascii="Times New Roman" w:hAnsi="Times New Roman" w:eastAsia="仿宋_GB2312" w:cs="Times New Roman"/>
          <w:color w:val="auto"/>
          <w:sz w:val="32"/>
          <w:szCs w:val="32"/>
          <w:highlight w:val="none"/>
        </w:rPr>
        <w:t>标准见《滁州市重点工程建设管理处</w:t>
      </w:r>
      <w:r>
        <w:rPr>
          <w:rStyle w:val="155"/>
          <w:rFonts w:hint="default" w:ascii="Times New Roman" w:hAnsi="Times New Roman" w:eastAsia="仿宋_GB2312" w:cs="Times New Roman"/>
          <w:b w:val="0"/>
          <w:color w:val="auto"/>
          <w:sz w:val="32"/>
          <w:szCs w:val="32"/>
          <w:highlight w:val="none"/>
        </w:rPr>
        <w:t>项目结算审</w:t>
      </w:r>
      <w:r>
        <w:rPr>
          <w:rStyle w:val="155"/>
          <w:rFonts w:hint="default" w:ascii="Times New Roman" w:hAnsi="Times New Roman" w:cs="Times New Roman"/>
          <w:b w:val="0"/>
          <w:color w:val="auto"/>
          <w:sz w:val="32"/>
          <w:szCs w:val="32"/>
          <w:highlight w:val="none"/>
          <w:lang w:eastAsia="zh-CN"/>
        </w:rPr>
        <w:t>（复）</w:t>
      </w:r>
      <w:r>
        <w:rPr>
          <w:rStyle w:val="155"/>
          <w:rFonts w:hint="default" w:ascii="Times New Roman" w:hAnsi="Times New Roman" w:eastAsia="仿宋_GB2312" w:cs="Times New Roman"/>
          <w:b w:val="0"/>
          <w:color w:val="auto"/>
          <w:sz w:val="32"/>
          <w:szCs w:val="32"/>
          <w:highlight w:val="none"/>
        </w:rPr>
        <w:t>核</w:t>
      </w:r>
      <w:r>
        <w:rPr>
          <w:rStyle w:val="155"/>
          <w:rFonts w:hint="default" w:ascii="Times New Roman" w:hAnsi="Times New Roman" w:cs="Times New Roman"/>
          <w:b w:val="0"/>
          <w:color w:val="auto"/>
          <w:sz w:val="32"/>
          <w:szCs w:val="32"/>
          <w:highlight w:val="none"/>
          <w:lang w:eastAsia="zh-CN"/>
        </w:rPr>
        <w:t>成果质量</w:t>
      </w:r>
      <w:r>
        <w:rPr>
          <w:rStyle w:val="155"/>
          <w:rFonts w:hint="default" w:ascii="Times New Roman" w:hAnsi="Times New Roman" w:eastAsia="仿宋_GB2312" w:cs="Times New Roman"/>
          <w:b w:val="0"/>
          <w:color w:val="auto"/>
          <w:sz w:val="32"/>
          <w:szCs w:val="32"/>
          <w:highlight w:val="none"/>
        </w:rPr>
        <w:t>考核表</w:t>
      </w: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年度考核根据当年</w:t>
      </w:r>
      <w:r>
        <w:rPr>
          <w:rFonts w:hint="default" w:ascii="Times New Roman" w:hAnsi="Times New Roman" w:eastAsia="仿宋_GB2312" w:cs="Times New Roman"/>
          <w:color w:val="auto"/>
          <w:sz w:val="32"/>
          <w:szCs w:val="32"/>
          <w:highlight w:val="none"/>
          <w:lang w:eastAsia="zh-CN"/>
        </w:rPr>
        <w:t>完成结算的</w:t>
      </w:r>
      <w:r>
        <w:rPr>
          <w:rFonts w:hint="default" w:ascii="Times New Roman" w:hAnsi="Times New Roman" w:eastAsia="仿宋_GB2312" w:cs="Times New Roman"/>
          <w:color w:val="auto"/>
          <w:sz w:val="32"/>
          <w:szCs w:val="32"/>
          <w:highlight w:val="none"/>
        </w:rPr>
        <w:t>项目考核结果平均分作为年度综合评定分值，考核结果设“优”、“良”、“中”、“差”四个等级，得分</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分及以上的年度考核评“优”，得分</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9</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分的评“良”，得分</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分（含）-</w:t>
      </w:r>
      <w:r>
        <w:rPr>
          <w:rFonts w:hint="default"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分的评“中”，</w:t>
      </w:r>
      <w:r>
        <w:rPr>
          <w:rFonts w:hint="default" w:ascii="Times New Roman" w:hAnsi="Times New Roman" w:eastAsia="仿宋_GB2312" w:cs="Times New Roman"/>
          <w:color w:val="auto"/>
          <w:sz w:val="32"/>
          <w:szCs w:val="32"/>
          <w:highlight w:val="none"/>
          <w:lang w:eastAsia="zh-CN"/>
        </w:rPr>
        <w:t>70</w:t>
      </w:r>
      <w:r>
        <w:rPr>
          <w:rFonts w:hint="default" w:ascii="Times New Roman" w:hAnsi="Times New Roman" w:eastAsia="仿宋_GB2312" w:cs="Times New Roman"/>
          <w:color w:val="auto"/>
          <w:sz w:val="32"/>
          <w:szCs w:val="32"/>
          <w:highlight w:val="none"/>
        </w:rPr>
        <w:t>分以下的评“差”。年度考核评“优”的造价企业予以通报表扬；年度考核评“差”的造价企业予以通报批评</w:t>
      </w:r>
      <w:r>
        <w:rPr>
          <w:rFonts w:hint="default" w:ascii="Times New Roman" w:hAnsi="Times New Roman" w:eastAsia="仿宋_GB2312" w:cs="Times New Roman"/>
          <w:color w:val="auto"/>
          <w:sz w:val="32"/>
          <w:szCs w:val="32"/>
          <w:highlight w:val="none"/>
          <w:lang w:eastAsia="zh-CN"/>
        </w:rPr>
        <w:t>并</w:t>
      </w:r>
      <w:r>
        <w:rPr>
          <w:rFonts w:hint="default" w:ascii="Times New Roman" w:hAnsi="Times New Roman" w:eastAsia="仿宋_GB2312" w:cs="Times New Roman"/>
          <w:color w:val="auto"/>
          <w:sz w:val="32"/>
          <w:szCs w:val="32"/>
          <w:highlight w:val="none"/>
        </w:rPr>
        <w:t>进行约谈。</w:t>
      </w:r>
    </w:p>
    <w:p w14:paraId="2B87FD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第七章 罚则</w:t>
      </w:r>
    </w:p>
    <w:p w14:paraId="54F3FB77">
      <w:pPr>
        <w:keepNext w:val="0"/>
        <w:keepLines w:val="0"/>
        <w:pageBreakBefore w:val="0"/>
        <w:numPr>
          <w:ilvl w:val="0"/>
          <w:numId w:val="0"/>
        </w:numPr>
        <w:kinsoku/>
        <w:wordWrap/>
        <w:overflowPunct/>
        <w:topLinePunct w:val="0"/>
        <w:autoSpaceDE/>
        <w:autoSpaceDN/>
        <w:bidi w:val="0"/>
        <w:adjustRightInd/>
        <w:spacing w:line="400" w:lineRule="exact"/>
        <w:ind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第二十</w:t>
      </w:r>
      <w:r>
        <w:rPr>
          <w:rFonts w:hint="eastAsia" w:eastAsia="仿宋_GB2312" w:cs="Times New Roman"/>
          <w:b/>
          <w:bCs/>
          <w:color w:val="auto"/>
          <w:sz w:val="32"/>
          <w:szCs w:val="32"/>
          <w:highlight w:val="none"/>
          <w:lang w:val="en-US" w:eastAsia="zh-CN"/>
        </w:rPr>
        <w:t>三</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项目施工过程中发现清单错漏项，累计5万元（含）-30万元（不含）的，给予企业4000元的违约金处罚；累计30万元（含）-50万元（不含）的，给予企业8000元的违约金处罚；累计50万元（含）-100万元（不含）的，给予企业12000元的违约金处罚；累计100万元（含）以上且误差率3%（含）以内的，给予企业20000元的违约金处罚，暂停业务6个月；累计100万元（含）以上的且误差率在3%（不含）-5%（含）的，暂停业务12个月，给予企业10%咨询服务费的违约金处罚且不低于20000元；累计100万元（含）以上的且误差率超过5%（含）的，暂停业务12个月，给予企业50%咨询服务费的违约金处罚且不低于20000元并对企业及相关责任人进行通报，上述违约金处罚以服务费用总额为上限。</w:t>
      </w:r>
    </w:p>
    <w:p w14:paraId="427758E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eastAsia="zh-CN"/>
        </w:rPr>
        <w:t>第二十</w:t>
      </w:r>
      <w:r>
        <w:rPr>
          <w:rFonts w:hint="eastAsia" w:eastAsia="仿宋_GB2312" w:cs="Times New Roman"/>
          <w:b/>
          <w:bCs/>
          <w:color w:val="auto"/>
          <w:sz w:val="32"/>
          <w:szCs w:val="32"/>
          <w:highlight w:val="none"/>
          <w:lang w:val="en-US" w:eastAsia="zh-CN"/>
        </w:rPr>
        <w:t>四</w:t>
      </w:r>
      <w:r>
        <w:rPr>
          <w:rFonts w:hint="default" w:ascii="Times New Roman" w:hAnsi="Times New Roman" w:eastAsia="仿宋_GB2312" w:cs="Times New Roman"/>
          <w:b/>
          <w:bCs/>
          <w:color w:val="auto"/>
          <w:sz w:val="32"/>
          <w:szCs w:val="32"/>
          <w:highlight w:val="none"/>
          <w:lang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项目跟踪审计、</w:t>
      </w:r>
      <w:r>
        <w:rPr>
          <w:rFonts w:hint="default" w:ascii="Times New Roman" w:hAnsi="Times New Roman" w:eastAsia="仿宋_GB2312" w:cs="Times New Roman"/>
          <w:b w:val="0"/>
          <w:bCs w:val="0"/>
          <w:color w:val="auto"/>
          <w:sz w:val="32"/>
          <w:szCs w:val="32"/>
          <w:highlight w:val="none"/>
        </w:rPr>
        <w:t>结算审核服务费</w:t>
      </w:r>
      <w:r>
        <w:rPr>
          <w:rFonts w:hint="default" w:ascii="Times New Roman" w:hAnsi="Times New Roman" w:eastAsia="仿宋_GB2312" w:cs="Times New Roman"/>
          <w:b w:val="0"/>
          <w:bCs w:val="0"/>
          <w:color w:val="auto"/>
          <w:sz w:val="32"/>
          <w:szCs w:val="32"/>
          <w:highlight w:val="none"/>
          <w:lang w:eastAsia="zh-CN"/>
        </w:rPr>
        <w:t>的误差违约金处罚</w:t>
      </w:r>
      <w:r>
        <w:rPr>
          <w:rFonts w:hint="default" w:ascii="Times New Roman" w:hAnsi="Times New Roman" w:eastAsia="仿宋_GB2312" w:cs="Times New Roman"/>
          <w:color w:val="auto"/>
          <w:sz w:val="32"/>
          <w:szCs w:val="32"/>
          <w:highlight w:val="none"/>
        </w:rPr>
        <w:t>根据第三方复审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综合计划科复核</w:t>
      </w:r>
      <w:r>
        <w:rPr>
          <w:rFonts w:hint="default" w:ascii="Times New Roman" w:hAnsi="Times New Roman" w:eastAsia="仿宋_GB2312" w:cs="Times New Roman"/>
          <w:color w:val="auto"/>
          <w:sz w:val="32"/>
          <w:szCs w:val="32"/>
          <w:highlight w:val="none"/>
          <w:lang w:eastAsia="zh-CN"/>
        </w:rPr>
        <w:t>或</w:t>
      </w:r>
      <w:r>
        <w:rPr>
          <w:rFonts w:hint="default" w:ascii="Times New Roman" w:hAnsi="Times New Roman" w:eastAsia="仿宋_GB2312" w:cs="Times New Roman"/>
          <w:color w:val="auto"/>
          <w:sz w:val="32"/>
          <w:szCs w:val="32"/>
          <w:highlight w:val="none"/>
        </w:rPr>
        <w:t>市财政工程造价审核中心</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审核结果</w:t>
      </w:r>
      <w:r>
        <w:rPr>
          <w:rFonts w:hint="default" w:ascii="Times New Roman" w:hAnsi="Times New Roman" w:eastAsia="仿宋_GB2312" w:cs="Times New Roman"/>
          <w:color w:val="auto"/>
          <w:sz w:val="32"/>
          <w:szCs w:val="32"/>
          <w:highlight w:val="none"/>
          <w:lang w:eastAsia="zh-CN"/>
        </w:rPr>
        <w:t>确定</w:t>
      </w:r>
      <w:r>
        <w:rPr>
          <w:rFonts w:hint="default" w:ascii="Times New Roman" w:hAnsi="Times New Roman" w:eastAsia="仿宋_GB2312" w:cs="Times New Roman"/>
          <w:color w:val="auto"/>
          <w:sz w:val="32"/>
          <w:szCs w:val="32"/>
          <w:highlight w:val="none"/>
        </w:rPr>
        <w:t>：</w:t>
      </w:r>
    </w:p>
    <w:p w14:paraId="2D009790">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25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53C4FBE2">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50</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49182F4F">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审核结果误差在</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%（含）之间，</w:t>
      </w:r>
      <w:r>
        <w:rPr>
          <w:rFonts w:hint="default" w:ascii="Times New Roman" w:hAnsi="Times New Roman" w:eastAsia="仿宋_GB2312" w:cs="Times New Roman"/>
          <w:color w:val="auto"/>
          <w:sz w:val="32"/>
          <w:szCs w:val="32"/>
          <w:highlight w:val="none"/>
          <w:lang w:eastAsia="zh-CN"/>
        </w:rPr>
        <w:t>以服务费的</w:t>
      </w:r>
      <w:r>
        <w:rPr>
          <w:rFonts w:hint="default" w:ascii="Times New Roman" w:hAnsi="Times New Roman" w:eastAsia="仿宋_GB2312" w:cs="Times New Roman"/>
          <w:b/>
          <w:bCs/>
          <w:color w:val="auto"/>
          <w:sz w:val="32"/>
          <w:szCs w:val="32"/>
          <w:highlight w:val="none"/>
          <w:lang w:val="en-US" w:eastAsia="zh-CN"/>
        </w:rPr>
        <w:t>75</w:t>
      </w:r>
      <w:r>
        <w:rPr>
          <w:rFonts w:hint="default" w:ascii="Times New Roman" w:hAnsi="Times New Roman" w:eastAsia="仿宋_GB2312" w:cs="Times New Roman"/>
          <w:b/>
          <w:bCs/>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rPr>
        <w:t>；</w:t>
      </w:r>
    </w:p>
    <w:p w14:paraId="1DCE3536">
      <w:pPr>
        <w:keepNext w:val="0"/>
        <w:keepLines w:val="0"/>
        <w:pageBreakBefore w:val="0"/>
        <w:numPr>
          <w:ilvl w:val="0"/>
          <w:numId w:val="4"/>
        </w:numPr>
        <w:kinsoku/>
        <w:wordWrap/>
        <w:overflowPunct/>
        <w:topLinePunct w:val="0"/>
        <w:autoSpaceDE/>
        <w:autoSpaceDN/>
        <w:bidi w:val="0"/>
        <w:adjustRightInd/>
        <w:spacing w:line="400" w:lineRule="exact"/>
        <w:ind w:left="-10" w:leftChars="0" w:firstLine="640" w:firstLineChars="0"/>
        <w:jc w:val="left"/>
        <w:textAlignment w:val="auto"/>
        <w:rPr>
          <w:rFonts w:hint="default" w:ascii="Times New Roman" w:hAnsi="Times New Roman"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审核结果误差超过</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eastAsia="zh-CN"/>
        </w:rPr>
        <w:t>以全额服务费</w:t>
      </w:r>
      <w:r>
        <w:rPr>
          <w:rFonts w:hint="default" w:ascii="Times New Roman" w:hAnsi="Times New Roman" w:eastAsia="仿宋_GB2312" w:cs="Times New Roman"/>
          <w:b w:val="0"/>
          <w:bCs w:val="0"/>
          <w:color w:val="auto"/>
          <w:sz w:val="32"/>
          <w:szCs w:val="32"/>
          <w:highlight w:val="none"/>
          <w:lang w:eastAsia="zh-CN"/>
        </w:rPr>
        <w:t>作为违约金</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 xml:space="preserve">同时，工程造价 </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6个月</w:t>
      </w:r>
      <w:r>
        <w:rPr>
          <w:rFonts w:hint="default" w:ascii="Times New Roman" w:hAnsi="Times New Roman" w:eastAsia="仿宋_GB2312" w:cs="Times New Roman"/>
          <w:color w:val="auto"/>
          <w:sz w:val="32"/>
          <w:szCs w:val="32"/>
          <w:highlight w:val="none"/>
        </w:rPr>
        <w:t xml:space="preserve">；工程造价 </w:t>
      </w:r>
      <w:r>
        <w:rPr>
          <w:rFonts w:hint="default" w:ascii="Times New Roman" w:hAnsi="Times New Roman" w:eastAsia="仿宋_GB2312" w:cs="Times New Roman"/>
          <w:color w:val="auto"/>
          <w:sz w:val="32"/>
          <w:szCs w:val="32"/>
          <w:highlight w:val="none"/>
          <w:lang w:eastAsia="zh-CN"/>
        </w:rPr>
        <w:t>5000</w:t>
      </w:r>
      <w:r>
        <w:rPr>
          <w:rFonts w:hint="default" w:ascii="Times New Roman" w:hAnsi="Times New Roman" w:eastAsia="仿宋_GB2312" w:cs="Times New Roman"/>
          <w:color w:val="auto"/>
          <w:sz w:val="32"/>
          <w:szCs w:val="32"/>
          <w:highlight w:val="none"/>
        </w:rPr>
        <w:t xml:space="preserve"> 万元以上项目，</w:t>
      </w:r>
      <w:r>
        <w:rPr>
          <w:rFonts w:hint="default" w:ascii="Times New Roman" w:hAnsi="Times New Roman" w:eastAsia="仿宋_GB2312" w:cs="Times New Roman"/>
          <w:color w:val="auto"/>
          <w:sz w:val="32"/>
          <w:szCs w:val="32"/>
          <w:highlight w:val="none"/>
          <w:lang w:eastAsia="zh-CN"/>
        </w:rPr>
        <w:t>暂停</w:t>
      </w:r>
      <w:r>
        <w:rPr>
          <w:rFonts w:hint="default" w:ascii="Times New Roman" w:hAnsi="Times New Roman" w:eastAsia="仿宋_GB2312" w:cs="Times New Roman"/>
          <w:color w:val="auto"/>
          <w:sz w:val="32"/>
          <w:szCs w:val="32"/>
          <w:highlight w:val="none"/>
        </w:rPr>
        <w:t>业务</w:t>
      </w:r>
      <w:r>
        <w:rPr>
          <w:rFonts w:hint="default" w:ascii="Times New Roman" w:hAnsi="Times New Roman" w:eastAsia="仿宋_GB2312" w:cs="Times New Roman"/>
          <w:color w:val="auto"/>
          <w:sz w:val="32"/>
          <w:szCs w:val="32"/>
          <w:highlight w:val="none"/>
          <w:lang w:val="en-US" w:eastAsia="zh-CN"/>
        </w:rPr>
        <w:t>12个月。</w:t>
      </w:r>
    </w:p>
    <w:p w14:paraId="2B54126E">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第二十</w:t>
      </w:r>
      <w:r>
        <w:rPr>
          <w:rFonts w:hint="eastAsia"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造价企业应在规定时间内提交</w:t>
      </w:r>
      <w:r>
        <w:rPr>
          <w:rFonts w:hint="default" w:ascii="Times New Roman" w:hAnsi="Times New Roman" w:eastAsia="仿宋_GB2312" w:cs="Times New Roman"/>
          <w:color w:val="auto"/>
          <w:sz w:val="32"/>
          <w:szCs w:val="32"/>
          <w:highlight w:val="none"/>
          <w:lang w:eastAsia="zh-CN"/>
        </w:rPr>
        <w:t>咨询成果文件</w:t>
      </w:r>
      <w:r>
        <w:rPr>
          <w:rFonts w:hint="default" w:ascii="Times New Roman" w:hAnsi="Times New Roman" w:eastAsia="仿宋_GB2312" w:cs="Times New Roman"/>
          <w:color w:val="auto"/>
          <w:sz w:val="32"/>
          <w:szCs w:val="32"/>
          <w:highlight w:val="none"/>
        </w:rPr>
        <w:t>，因造价企业原因未能按</w:t>
      </w:r>
      <w:r>
        <w:rPr>
          <w:rFonts w:hint="default" w:ascii="Times New Roman" w:hAnsi="Times New Roman" w:eastAsia="仿宋_GB2312" w:cs="Times New Roman"/>
          <w:color w:val="auto"/>
          <w:sz w:val="32"/>
          <w:szCs w:val="32"/>
          <w:highlight w:val="none"/>
          <w:lang w:eastAsia="zh-CN"/>
        </w:rPr>
        <w:t>时</w:t>
      </w:r>
      <w:r>
        <w:rPr>
          <w:rFonts w:hint="default" w:ascii="Times New Roman" w:hAnsi="Times New Roman" w:eastAsia="仿宋_GB2312" w:cs="Times New Roman"/>
          <w:color w:val="auto"/>
          <w:sz w:val="32"/>
          <w:szCs w:val="32"/>
          <w:highlight w:val="none"/>
        </w:rPr>
        <w:t>提交，超过</w:t>
      </w:r>
      <w:r>
        <w:rPr>
          <w:rFonts w:hint="default"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500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过15</w:t>
      </w:r>
      <w:r>
        <w:rPr>
          <w:rFonts w:hint="default" w:ascii="Times New Roman" w:hAnsi="Times New Roman" w:eastAsia="仿宋_GB2312" w:cs="Times New Roman"/>
          <w:color w:val="auto"/>
          <w:sz w:val="32"/>
          <w:szCs w:val="32"/>
          <w:highlight w:val="none"/>
        </w:rPr>
        <w:t>日的，扣咨询服务费</w:t>
      </w:r>
      <w:r>
        <w:rPr>
          <w:rFonts w:hint="default" w:ascii="Times New Roman" w:hAnsi="Times New Roman" w:eastAsia="仿宋_GB2312" w:cs="Times New Roman"/>
          <w:color w:val="auto"/>
          <w:sz w:val="32"/>
          <w:szCs w:val="32"/>
          <w:highlight w:val="none"/>
          <w:lang w:eastAsia="zh-CN"/>
        </w:rPr>
        <w:t>1000</w:t>
      </w:r>
      <w:r>
        <w:rPr>
          <w:rFonts w:hint="default" w:ascii="Times New Roman" w:hAnsi="Times New Roman" w:eastAsia="仿宋_GB2312" w:cs="Times New Roman"/>
          <w:color w:val="auto"/>
          <w:sz w:val="32"/>
          <w:szCs w:val="32"/>
          <w:highlight w:val="none"/>
        </w:rPr>
        <w:t>元/日；超</w:t>
      </w:r>
      <w:r>
        <w:rPr>
          <w:rFonts w:hint="default" w:ascii="Times New Roman" w:hAnsi="Times New Roman" w:eastAsia="仿宋_GB2312" w:cs="Times New Roman"/>
          <w:color w:val="auto"/>
          <w:sz w:val="32"/>
          <w:szCs w:val="32"/>
          <w:highlight w:val="none"/>
          <w:lang w:eastAsia="zh-CN"/>
        </w:rPr>
        <w:t>过</w:t>
      </w:r>
      <w:r>
        <w:rPr>
          <w:rFonts w:hint="default" w:ascii="Times New Roman" w:hAnsi="Times New Roman" w:eastAsia="仿宋_GB2312" w:cs="Times New Roman"/>
          <w:color w:val="auto"/>
          <w:sz w:val="32"/>
          <w:szCs w:val="32"/>
          <w:highlight w:val="none"/>
        </w:rPr>
        <w:t>规定时间一半以上的，终止委托</w:t>
      </w:r>
      <w:r>
        <w:rPr>
          <w:rFonts w:hint="default" w:ascii="Times New Roman" w:hAnsi="Times New Roman" w:eastAsia="仿宋_GB2312" w:cs="Times New Roman"/>
          <w:color w:val="auto"/>
          <w:sz w:val="32"/>
          <w:szCs w:val="32"/>
          <w:highlight w:val="none"/>
          <w:lang w:eastAsia="zh-CN"/>
        </w:rPr>
        <w:t>业务</w:t>
      </w:r>
      <w:r>
        <w:rPr>
          <w:rFonts w:hint="default" w:ascii="Times New Roman" w:hAnsi="Times New Roman" w:eastAsia="仿宋_GB2312" w:cs="Times New Roman"/>
          <w:color w:val="auto"/>
          <w:sz w:val="32"/>
          <w:szCs w:val="32"/>
          <w:highlight w:val="none"/>
        </w:rPr>
        <w:t>。</w:t>
      </w:r>
    </w:p>
    <w:p w14:paraId="3AA6F107">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w:t>
      </w:r>
      <w:r>
        <w:rPr>
          <w:rFonts w:hint="default" w:ascii="Times New Roman" w:hAnsi="Times New Roman" w:eastAsia="仿宋_GB2312" w:cs="Times New Roman"/>
          <w:color w:val="auto"/>
          <w:kern w:val="0"/>
          <w:sz w:val="32"/>
          <w:szCs w:val="32"/>
          <w:highlight w:val="none"/>
        </w:rPr>
        <w:t>（</w:t>
      </w:r>
      <w:r>
        <w:rPr>
          <w:rFonts w:hint="default" w:ascii="Times New Roman" w:hAnsi="Times New Roman" w:eastAsia="仿宋_GB2312" w:cs="Times New Roman"/>
          <w:color w:val="auto"/>
          <w:sz w:val="32"/>
          <w:szCs w:val="32"/>
          <w:highlight w:val="none"/>
        </w:rPr>
        <w:t>人员）不得接受项目施工单位的结算编制等影响审计独立性的业务，一经发现，</w:t>
      </w:r>
      <w:r>
        <w:rPr>
          <w:rFonts w:hint="default" w:ascii="Times New Roman" w:hAnsi="Times New Roman" w:eastAsia="仿宋_GB2312" w:cs="Times New Roman"/>
          <w:color w:val="auto"/>
          <w:sz w:val="32"/>
          <w:szCs w:val="32"/>
          <w:highlight w:val="none"/>
          <w:lang w:eastAsia="zh-CN"/>
        </w:rPr>
        <w:t>终止</w:t>
      </w:r>
      <w:r>
        <w:rPr>
          <w:rFonts w:hint="default" w:ascii="Times New Roman" w:hAnsi="Times New Roman" w:eastAsia="仿宋_GB2312" w:cs="Times New Roman"/>
          <w:color w:val="auto"/>
          <w:sz w:val="32"/>
          <w:szCs w:val="32"/>
          <w:highlight w:val="none"/>
        </w:rPr>
        <w:t>项目造价咨询委托协议，并在处官网通报，同时抄送市审计局，市住建局，市财政局</w:t>
      </w:r>
      <w:r>
        <w:rPr>
          <w:rFonts w:hint="default" w:ascii="Times New Roman" w:hAnsi="Times New Roman" w:eastAsia="仿宋_GB2312" w:cs="Times New Roman"/>
          <w:color w:val="auto"/>
          <w:sz w:val="32"/>
          <w:szCs w:val="32"/>
          <w:highlight w:val="none"/>
          <w:lang w:eastAsia="zh-CN"/>
        </w:rPr>
        <w:t>，市公管局</w:t>
      </w:r>
      <w:r>
        <w:rPr>
          <w:rFonts w:hint="default" w:ascii="Times New Roman" w:hAnsi="Times New Roman" w:eastAsia="仿宋_GB2312" w:cs="Times New Roman"/>
          <w:color w:val="auto"/>
          <w:sz w:val="32"/>
          <w:szCs w:val="32"/>
          <w:highlight w:val="none"/>
        </w:rPr>
        <w:t>。</w:t>
      </w:r>
    </w:p>
    <w:p w14:paraId="388D75A1">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二十</w:t>
      </w:r>
      <w:r>
        <w:rPr>
          <w:rFonts w:hint="eastAsia" w:eastAsia="仿宋_GB2312" w:cs="Times New Roman"/>
          <w:b/>
          <w:bCs/>
          <w:color w:val="auto"/>
          <w:sz w:val="32"/>
          <w:szCs w:val="32"/>
          <w:highlight w:val="none"/>
          <w:lang w:val="en-US" w:eastAsia="zh-CN"/>
        </w:rPr>
        <w:t>七</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造价企业有下列情形之一的，可扣减审计服务费用，终止审计委托协议，提请行政主管部门给予警告、通报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有限期或无限期禁止从事我处项目等处罚</w:t>
      </w:r>
      <w:r>
        <w:rPr>
          <w:rFonts w:hint="default" w:ascii="Times New Roman" w:hAnsi="Times New Roman" w:eastAsia="仿宋_GB2312" w:cs="Times New Roman"/>
          <w:color w:val="auto"/>
          <w:sz w:val="32"/>
          <w:szCs w:val="32"/>
          <w:highlight w:val="none"/>
          <w:lang w:eastAsia="zh-CN"/>
        </w:rPr>
        <w:t>，构成犯罪的，依法追究刑事责任</w:t>
      </w:r>
      <w:r>
        <w:rPr>
          <w:rFonts w:hint="default" w:ascii="Times New Roman" w:hAnsi="Times New Roman" w:eastAsia="仿宋_GB2312" w:cs="Times New Roman"/>
          <w:color w:val="auto"/>
          <w:sz w:val="32"/>
          <w:szCs w:val="32"/>
          <w:highlight w:val="none"/>
        </w:rPr>
        <w:t>：</w:t>
      </w:r>
    </w:p>
    <w:p w14:paraId="2F82BC99">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工程结算审核报告存在重大失误或质量低劣；</w:t>
      </w:r>
    </w:p>
    <w:p w14:paraId="7C33F91C">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因自身工作错误或过失造成重大损失；</w:t>
      </w:r>
    </w:p>
    <w:p w14:paraId="2C18A93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未经允许私自向施工单位透露审核情况或信息；</w:t>
      </w:r>
    </w:p>
    <w:p w14:paraId="702EA5F5">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向相关单位或个人索要财物等谋取不正当利益；</w:t>
      </w:r>
    </w:p>
    <w:p w14:paraId="249FAD4E">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单独或与其他各方串通舞弊、弄虚作假；</w:t>
      </w:r>
    </w:p>
    <w:p w14:paraId="52E49EC7">
      <w:pPr>
        <w:keepNext w:val="0"/>
        <w:keepLines w:val="0"/>
        <w:pageBreakBefore w:val="0"/>
        <w:numPr>
          <w:ilvl w:val="0"/>
          <w:numId w:val="5"/>
        </w:numPr>
        <w:kinsoku/>
        <w:wordWrap/>
        <w:overflowPunct/>
        <w:topLinePunct w:val="0"/>
        <w:autoSpaceDE/>
        <w:autoSpaceDN/>
        <w:bidi w:val="0"/>
        <w:adjustRightInd/>
        <w:spacing w:line="400" w:lineRule="exact"/>
        <w:ind w:left="0" w:leftChars="0"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其他违反法律法规和</w:t>
      </w:r>
      <w:r>
        <w:rPr>
          <w:rFonts w:hint="default"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rPr>
        <w:t>的行为。</w:t>
      </w:r>
    </w:p>
    <w:p w14:paraId="0668D6B9">
      <w:pPr>
        <w:keepNext w:val="0"/>
        <w:keepLines w:val="0"/>
        <w:pageBreakBefore w:val="0"/>
        <w:kinsoku/>
        <w:wordWrap/>
        <w:overflowPunct/>
        <w:topLinePunct w:val="0"/>
        <w:autoSpaceDE/>
        <w:autoSpaceDN/>
        <w:bidi w:val="0"/>
        <w:adjustRightInd/>
        <w:spacing w:line="400" w:lineRule="exact"/>
        <w:ind w:left="0" w:leftChars="0" w:firstLine="643" w:firstLineChars="200"/>
        <w:jc w:val="left"/>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eastAsia" w:eastAsia="仿宋_GB2312" w:cs="Times New Roman"/>
          <w:b/>
          <w:bCs/>
          <w:color w:val="auto"/>
          <w:sz w:val="32"/>
          <w:szCs w:val="32"/>
          <w:highlight w:val="none"/>
          <w:lang w:val="en-US" w:eastAsia="zh-CN"/>
        </w:rPr>
        <w:t>二十八</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造价企业存在转包、违法分包等行为的，</w:t>
      </w:r>
      <w:r>
        <w:rPr>
          <w:rFonts w:hint="default" w:ascii="Times New Roman" w:hAnsi="Times New Roman" w:eastAsia="仿宋_GB2312" w:cs="Times New Roman"/>
          <w:color w:val="auto"/>
          <w:sz w:val="32"/>
          <w:szCs w:val="32"/>
          <w:highlight w:val="none"/>
        </w:rPr>
        <w:t>无证人员执业、挂靠执业、执业人员不到岗等违反相关</w:t>
      </w:r>
      <w:r>
        <w:rPr>
          <w:rFonts w:hint="default" w:ascii="Times New Roman" w:hAnsi="Times New Roman" w:eastAsia="仿宋_GB2312" w:cs="Times New Roman"/>
          <w:color w:val="auto"/>
          <w:sz w:val="32"/>
          <w:szCs w:val="32"/>
          <w:highlight w:val="none"/>
          <w:lang w:eastAsia="zh-CN"/>
        </w:rPr>
        <w:t>法规的，将按相关法规进行处罚，终止</w:t>
      </w:r>
      <w:r>
        <w:rPr>
          <w:rFonts w:hint="default" w:ascii="Times New Roman" w:hAnsi="Times New Roman" w:eastAsia="仿宋_GB2312" w:cs="Times New Roman"/>
          <w:color w:val="auto"/>
          <w:sz w:val="32"/>
          <w:szCs w:val="32"/>
          <w:highlight w:val="none"/>
        </w:rPr>
        <w:t>委托业务。</w:t>
      </w:r>
    </w:p>
    <w:p w14:paraId="4BF85ED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第八章 附则</w:t>
      </w:r>
    </w:p>
    <w:p w14:paraId="20649371">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第</w:t>
      </w:r>
      <w:r>
        <w:rPr>
          <w:rFonts w:hint="eastAsia" w:eastAsia="仿宋_GB2312" w:cs="Times New Roman"/>
          <w:b/>
          <w:bCs/>
          <w:color w:val="auto"/>
          <w:sz w:val="32"/>
          <w:szCs w:val="32"/>
          <w:highlight w:val="none"/>
          <w:lang w:val="en-US" w:eastAsia="zh-CN"/>
        </w:rPr>
        <w:t>二十九</w:t>
      </w:r>
      <w:r>
        <w:rPr>
          <w:rFonts w:hint="default" w:ascii="Times New Roman" w:hAnsi="Times New Roman" w:eastAsia="仿宋_GB2312" w:cs="Times New Roman"/>
          <w:b/>
          <w:bCs/>
          <w:color w:val="auto"/>
          <w:sz w:val="32"/>
          <w:szCs w:val="32"/>
          <w:highlight w:val="none"/>
          <w:lang w:val="en-US" w:eastAsia="zh-CN"/>
        </w:rPr>
        <w:t>条</w:t>
      </w:r>
      <w:r>
        <w:rPr>
          <w:rFonts w:hint="default" w:ascii="Times New Roman" w:hAnsi="Times New Roman" w:eastAsia="仿宋_GB2312" w:cs="Times New Roman"/>
          <w:color w:val="auto"/>
          <w:sz w:val="32"/>
          <w:szCs w:val="32"/>
          <w:highlight w:val="none"/>
          <w:lang w:val="en-US" w:eastAsia="zh-CN"/>
        </w:rPr>
        <w:t xml:space="preserve">  对</w:t>
      </w:r>
      <w:r>
        <w:rPr>
          <w:rFonts w:hint="default" w:ascii="Times New Roman" w:hAnsi="Times New Roman" w:eastAsia="仿宋_GB2312" w:cs="Times New Roman"/>
          <w:color w:val="auto"/>
          <w:sz w:val="32"/>
          <w:szCs w:val="32"/>
          <w:highlight w:val="none"/>
          <w:lang w:eastAsia="zh-CN"/>
        </w:rPr>
        <w:t>清单编制企业的处罚，由工程建设科牵头，召集设计、清单编制、施工、监理、跟踪审计、工程监管科、综合计划科，并提出处理意见，经项目分管领导批准后，工程建设科报主任办公会研究，工程监管科落实处罚。</w:t>
      </w:r>
    </w:p>
    <w:p w14:paraId="0704E26E">
      <w:pPr>
        <w:keepNext w:val="0"/>
        <w:keepLines w:val="0"/>
        <w:pageBreakBefore w:val="0"/>
        <w:kinsoku/>
        <w:wordWrap/>
        <w:overflowPunct/>
        <w:topLinePunct w:val="0"/>
        <w:autoSpaceDE/>
        <w:autoSpaceDN/>
        <w:bidi w:val="0"/>
        <w:adjustRightInd/>
        <w:snapToGrid w:val="0"/>
        <w:spacing w:line="40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考核由综合计划科负责</w:t>
      </w:r>
      <w:r>
        <w:rPr>
          <w:rFonts w:hint="default" w:ascii="Times New Roman" w:hAnsi="Times New Roman" w:eastAsia="仿宋_GB2312" w:cs="Times New Roman"/>
          <w:color w:val="auto"/>
          <w:sz w:val="32"/>
          <w:szCs w:val="32"/>
          <w:highlight w:val="none"/>
          <w:lang w:eastAsia="zh-CN"/>
        </w:rPr>
        <w:t>实施</w:t>
      </w:r>
      <w:r>
        <w:rPr>
          <w:rFonts w:hint="default" w:ascii="Times New Roman" w:hAnsi="Times New Roman" w:eastAsia="仿宋_GB2312" w:cs="Times New Roman"/>
          <w:color w:val="auto"/>
          <w:sz w:val="32"/>
          <w:szCs w:val="32"/>
          <w:highlight w:val="none"/>
        </w:rPr>
        <w:t>，工程建设相关科室配合</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考核结果</w:t>
      </w:r>
      <w:r>
        <w:rPr>
          <w:rFonts w:hint="default" w:ascii="Times New Roman" w:hAnsi="Times New Roman" w:eastAsia="仿宋_GB2312" w:cs="Times New Roman"/>
          <w:b w:val="0"/>
          <w:bCs w:val="0"/>
          <w:color w:val="auto"/>
          <w:sz w:val="32"/>
          <w:szCs w:val="32"/>
          <w:highlight w:val="none"/>
          <w:lang w:eastAsia="zh-CN"/>
        </w:rPr>
        <w:t>经</w:t>
      </w:r>
      <w:r>
        <w:rPr>
          <w:rFonts w:hint="default" w:ascii="Times New Roman" w:hAnsi="Times New Roman" w:eastAsia="仿宋_GB2312" w:cs="Times New Roman"/>
          <w:b w:val="0"/>
          <w:bCs w:val="0"/>
          <w:color w:val="auto"/>
          <w:sz w:val="32"/>
          <w:szCs w:val="32"/>
          <w:highlight w:val="none"/>
        </w:rPr>
        <w:t>综合计划科分管领导</w:t>
      </w:r>
      <w:r>
        <w:rPr>
          <w:rFonts w:hint="default" w:ascii="Times New Roman" w:hAnsi="Times New Roman" w:eastAsia="仿宋_GB2312" w:cs="Times New Roman"/>
          <w:b w:val="0"/>
          <w:bCs w:val="0"/>
          <w:color w:val="auto"/>
          <w:sz w:val="32"/>
          <w:szCs w:val="32"/>
          <w:highlight w:val="none"/>
          <w:lang w:eastAsia="zh-CN"/>
        </w:rPr>
        <w:t>审核</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color w:val="auto"/>
          <w:sz w:val="32"/>
          <w:szCs w:val="32"/>
          <w:highlight w:val="none"/>
        </w:rPr>
        <w:t>综合计划科</w:t>
      </w:r>
      <w:r>
        <w:rPr>
          <w:rFonts w:hint="default" w:ascii="Times New Roman" w:hAnsi="Times New Roman" w:eastAsia="仿宋_GB2312" w:cs="Times New Roman"/>
          <w:b w:val="0"/>
          <w:bCs w:val="0"/>
          <w:color w:val="auto"/>
          <w:sz w:val="32"/>
          <w:szCs w:val="32"/>
          <w:highlight w:val="none"/>
          <w:lang w:eastAsia="zh-CN"/>
        </w:rPr>
        <w:t>报</w:t>
      </w:r>
      <w:r>
        <w:rPr>
          <w:rFonts w:hint="default" w:ascii="Times New Roman" w:hAnsi="Times New Roman" w:eastAsia="仿宋_GB2312" w:cs="Times New Roman"/>
          <w:b w:val="0"/>
          <w:bCs w:val="0"/>
          <w:color w:val="auto"/>
          <w:sz w:val="32"/>
          <w:szCs w:val="32"/>
          <w:highlight w:val="none"/>
        </w:rPr>
        <w:t>主任办公会</w:t>
      </w:r>
      <w:r>
        <w:rPr>
          <w:rFonts w:hint="default" w:ascii="Times New Roman" w:hAnsi="Times New Roman" w:eastAsia="仿宋_GB2312" w:cs="Times New Roman"/>
          <w:b w:val="0"/>
          <w:bCs w:val="0"/>
          <w:color w:val="auto"/>
          <w:sz w:val="32"/>
          <w:szCs w:val="32"/>
          <w:highlight w:val="none"/>
          <w:lang w:eastAsia="zh-CN"/>
        </w:rPr>
        <w:t>研究，</w:t>
      </w:r>
      <w:r>
        <w:rPr>
          <w:rFonts w:hint="default" w:ascii="Times New Roman" w:hAnsi="Times New Roman" w:eastAsia="仿宋_GB2312" w:cs="Times New Roman"/>
          <w:color w:val="auto"/>
          <w:sz w:val="32"/>
          <w:szCs w:val="32"/>
          <w:highlight w:val="none"/>
          <w:lang w:eastAsia="zh-CN"/>
        </w:rPr>
        <w:t>工程监管科</w:t>
      </w:r>
      <w:r>
        <w:rPr>
          <w:rFonts w:hint="default" w:ascii="Times New Roman" w:hAnsi="Times New Roman" w:eastAsia="仿宋_GB2312" w:cs="Times New Roman"/>
          <w:b w:val="0"/>
          <w:bCs w:val="0"/>
          <w:color w:val="auto"/>
          <w:sz w:val="32"/>
          <w:szCs w:val="32"/>
          <w:highlight w:val="none"/>
          <w:lang w:eastAsia="zh-CN"/>
        </w:rPr>
        <w:t>落实</w:t>
      </w:r>
      <w:r>
        <w:rPr>
          <w:rFonts w:hint="default" w:ascii="Times New Roman" w:hAnsi="Times New Roman" w:eastAsia="仿宋_GB2312" w:cs="Times New Roman"/>
          <w:color w:val="auto"/>
          <w:sz w:val="32"/>
          <w:szCs w:val="32"/>
          <w:highlight w:val="none"/>
          <w:lang w:eastAsia="zh-CN"/>
        </w:rPr>
        <w:t>处罚</w:t>
      </w:r>
      <w:r>
        <w:rPr>
          <w:rFonts w:hint="default" w:ascii="Times New Roman" w:hAnsi="Times New Roman" w:eastAsia="仿宋_GB2312" w:cs="Times New Roman"/>
          <w:b w:val="0"/>
          <w:bCs w:val="0"/>
          <w:color w:val="auto"/>
          <w:sz w:val="32"/>
          <w:szCs w:val="32"/>
          <w:highlight w:val="none"/>
          <w:lang w:eastAsia="zh-CN"/>
        </w:rPr>
        <w:t>。</w:t>
      </w:r>
    </w:p>
    <w:p w14:paraId="69EEFBA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一</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暂停业务范围包括清单编制、跟踪审计和结算审核等，暂停时间自</w:t>
      </w:r>
      <w:r>
        <w:rPr>
          <w:rFonts w:hint="default" w:ascii="Times New Roman" w:hAnsi="Times New Roman" w:eastAsia="仿宋_GB2312" w:cs="Times New Roman"/>
          <w:b w:val="0"/>
          <w:bCs w:val="0"/>
          <w:color w:val="auto"/>
          <w:sz w:val="32"/>
          <w:szCs w:val="32"/>
          <w:highlight w:val="none"/>
          <w:lang w:val="en-US" w:eastAsia="zh-CN"/>
        </w:rPr>
        <w:t>主任办公会研究通过之日起计算。</w:t>
      </w:r>
    </w:p>
    <w:p w14:paraId="27779C98">
      <w:pPr>
        <w:keepNext w:val="0"/>
        <w:keepLines w:val="0"/>
        <w:pageBreakBefore w:val="0"/>
        <w:kinsoku/>
        <w:wordWrap/>
        <w:overflowPunct/>
        <w:topLinePunct w:val="0"/>
        <w:autoSpaceDE/>
        <w:autoSpaceDN/>
        <w:bidi w:val="0"/>
        <w:adjustRightInd/>
        <w:spacing w:line="400" w:lineRule="exact"/>
        <w:ind w:firstLine="645"/>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eastAsia="仿宋_GB2312" w:cs="Times New Roman"/>
          <w:b/>
          <w:bCs/>
          <w:color w:val="auto"/>
          <w:sz w:val="32"/>
          <w:szCs w:val="32"/>
          <w:highlight w:val="none"/>
          <w:lang w:eastAsia="zh-CN"/>
        </w:rPr>
        <w:t>三十</w:t>
      </w:r>
      <w:r>
        <w:rPr>
          <w:rFonts w:hint="eastAsia" w:eastAsia="仿宋_GB2312" w:cs="Times New Roman"/>
          <w:b/>
          <w:bCs/>
          <w:color w:val="auto"/>
          <w:sz w:val="32"/>
          <w:szCs w:val="32"/>
          <w:highlight w:val="none"/>
          <w:lang w:val="en-US" w:eastAsia="zh-CN"/>
        </w:rPr>
        <w:t>二</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本办法自</w:t>
      </w:r>
      <w:r>
        <w:rPr>
          <w:rFonts w:hint="default" w:ascii="Times New Roman" w:hAnsi="Times New Roman" w:eastAsia="仿宋_GB2312" w:cs="Times New Roman"/>
          <w:color w:val="auto"/>
          <w:sz w:val="32"/>
          <w:szCs w:val="32"/>
          <w:highlight w:val="none"/>
          <w:lang w:val="en-US" w:eastAsia="zh-CN"/>
        </w:rPr>
        <w:t>2022年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日</w:t>
      </w:r>
      <w:r>
        <w:rPr>
          <w:rFonts w:hint="default" w:ascii="Times New Roman" w:hAnsi="Times New Roman" w:eastAsia="仿宋_GB2312" w:cs="Times New Roman"/>
          <w:color w:val="auto"/>
          <w:sz w:val="32"/>
          <w:szCs w:val="32"/>
          <w:highlight w:val="none"/>
        </w:rPr>
        <w:t>起施行，处属各中心可参照执行</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《工程造价咨询服务管理办法</w:t>
      </w:r>
      <w:r>
        <w:rPr>
          <w:rFonts w:hint="default" w:ascii="Times New Roman" w:hAnsi="Times New Roman" w:eastAsia="仿宋_GB2312" w:cs="Times New Roman"/>
          <w:color w:val="auto"/>
          <w:sz w:val="32"/>
          <w:szCs w:val="32"/>
          <w:highlight w:val="none"/>
          <w:lang w:eastAsia="zh-CN"/>
        </w:rPr>
        <w:t>（试行）</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 w:cs="Times New Roman"/>
          <w:color w:val="auto"/>
          <w:sz w:val="32"/>
          <w:szCs w:val="32"/>
          <w:highlight w:val="none"/>
          <w:shd w:val="clear" w:color="auto" w:fill="auto"/>
          <w:lang w:val="en-US" w:eastAsia="zh-CN"/>
        </w:rPr>
        <w:t>61</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《工程</w:t>
      </w:r>
      <w:r>
        <w:rPr>
          <w:rFonts w:hint="default" w:ascii="Times New Roman" w:hAnsi="Times New Roman" w:eastAsia="仿宋_GB2312" w:cs="Times New Roman"/>
          <w:color w:val="auto"/>
          <w:sz w:val="32"/>
          <w:szCs w:val="32"/>
          <w:highlight w:val="none"/>
          <w:lang w:eastAsia="zh-CN"/>
        </w:rPr>
        <w:t>量清单及最高投标限价编制管理办法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滁重〔</w:t>
      </w:r>
      <w:r>
        <w:rPr>
          <w:rFonts w:hint="default" w:ascii="Times New Roman" w:hAnsi="Times New Roman" w:eastAsia="仿宋_GB2312" w:cs="Times New Roman"/>
          <w:color w:val="auto"/>
          <w:sz w:val="32"/>
          <w:szCs w:val="32"/>
          <w:highlight w:val="none"/>
          <w:lang w:eastAsia="zh-CN"/>
        </w:rPr>
        <w:t>20</w:t>
      </w:r>
      <w:r>
        <w:rPr>
          <w:rFonts w:hint="default" w:ascii="Times New Roman" w:hAnsi="Times New Roman" w:eastAsia="仿宋_GB2312" w:cs="Times New Roman"/>
          <w:color w:val="auto"/>
          <w:sz w:val="32"/>
          <w:szCs w:val="32"/>
          <w:highlight w:val="none"/>
          <w:lang w:val="en-US" w:eastAsia="zh-CN"/>
        </w:rPr>
        <w:t>19</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46</w:t>
      </w:r>
      <w:r>
        <w:rPr>
          <w:rFonts w:hint="default" w:ascii="Times New Roman" w:hAnsi="Times New Roman" w:eastAsia="仿宋_GB2312" w:cs="Times New Roman"/>
          <w:color w:val="auto"/>
          <w:sz w:val="32"/>
          <w:szCs w:val="32"/>
          <w:highlight w:val="none"/>
        </w:rPr>
        <w:t>号</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废止。</w:t>
      </w:r>
    </w:p>
    <w:p w14:paraId="46314354">
      <w:pPr>
        <w:keepNext w:val="0"/>
        <w:keepLines w:val="0"/>
        <w:pageBreakBefore w:val="0"/>
        <w:kinsoku/>
        <w:wordWrap/>
        <w:overflowPunct/>
        <w:topLinePunct w:val="0"/>
        <w:autoSpaceDE/>
        <w:autoSpaceDN/>
        <w:bidi w:val="0"/>
        <w:adjustRightInd/>
        <w:spacing w:line="400" w:lineRule="exact"/>
        <w:textAlignment w:val="auto"/>
        <w:rPr>
          <w:rFonts w:hint="default" w:ascii="Times New Roman" w:hAnsi="Times New Roman" w:cs="Times New Roman"/>
          <w:color w:val="auto"/>
          <w:sz w:val="32"/>
          <w:szCs w:val="32"/>
          <w:highlight w:val="none"/>
        </w:rPr>
      </w:pPr>
    </w:p>
    <w:p w14:paraId="49F73DC8">
      <w:pPr>
        <w:keepNext w:val="0"/>
        <w:keepLines w:val="0"/>
        <w:pageBreakBefore w:val="0"/>
        <w:widowControl w:val="0"/>
        <w:kinsoku/>
        <w:wordWrap/>
        <w:overflowPunct/>
        <w:topLinePunct w:val="0"/>
        <w:autoSpaceDE/>
        <w:autoSpaceDN/>
        <w:bidi w:val="0"/>
        <w:adjustRightInd/>
        <w:snapToGrid/>
        <w:spacing w:line="400" w:lineRule="exact"/>
        <w:ind w:left="1700" w:leftChars="200" w:hanging="1280" w:hangingChars="4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《滁州市重点工程建设管理处工程量清单</w:t>
      </w:r>
      <w:r>
        <w:rPr>
          <w:rFonts w:hint="default" w:ascii="Times New Roman" w:hAnsi="Times New Roman" w:eastAsia="仿宋_GB2312" w:cs="Times New Roman"/>
          <w:color w:val="auto"/>
          <w:sz w:val="32"/>
          <w:szCs w:val="32"/>
          <w:highlight w:val="none"/>
          <w:lang w:eastAsia="zh-CN"/>
        </w:rPr>
        <w:t>及</w:t>
      </w:r>
      <w:r>
        <w:rPr>
          <w:rFonts w:hint="default" w:ascii="Times New Roman" w:hAnsi="Times New Roman" w:eastAsia="仿宋_GB2312" w:cs="Times New Roman"/>
          <w:color w:val="auto"/>
          <w:sz w:val="32"/>
          <w:szCs w:val="32"/>
          <w:highlight w:val="none"/>
        </w:rPr>
        <w:t>最高投标限价编制质量考核表》</w:t>
      </w:r>
    </w:p>
    <w:p w14:paraId="5211ECED">
      <w:pPr>
        <w:keepNext w:val="0"/>
        <w:keepLines w:val="0"/>
        <w:pageBreakBefore w:val="0"/>
        <w:widowControl w:val="0"/>
        <w:kinsoku/>
        <w:wordWrap/>
        <w:overflowPunct/>
        <w:topLinePunct w:val="0"/>
        <w:autoSpaceDE/>
        <w:autoSpaceDN/>
        <w:bidi w:val="0"/>
        <w:adjustRightInd/>
        <w:snapToGrid/>
        <w:spacing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《滁州市重点工程建设管理处</w:t>
      </w:r>
      <w:r>
        <w:rPr>
          <w:rFonts w:hint="default" w:ascii="Times New Roman" w:hAnsi="Times New Roman" w:eastAsia="仿宋_GB2312" w:cs="Times New Roman"/>
          <w:color w:val="auto"/>
          <w:sz w:val="32"/>
          <w:szCs w:val="32"/>
          <w:highlight w:val="none"/>
          <w:lang w:eastAsia="zh-CN"/>
        </w:rPr>
        <w:t>跟踪</w:t>
      </w:r>
      <w:r>
        <w:rPr>
          <w:rStyle w:val="155"/>
          <w:rFonts w:hint="default" w:ascii="Times New Roman" w:hAnsi="Times New Roman" w:eastAsia="仿宋_GB2312" w:cs="Times New Roman"/>
          <w:b w:val="0"/>
          <w:color w:val="auto"/>
          <w:sz w:val="32"/>
          <w:szCs w:val="32"/>
          <w:highlight w:val="none"/>
          <w:lang w:bidi="ar"/>
        </w:rPr>
        <w:t>审计服务质量日常考核表</w:t>
      </w:r>
      <w:r>
        <w:rPr>
          <w:rFonts w:hint="default" w:ascii="Times New Roman" w:hAnsi="Times New Roman" w:eastAsia="仿宋_GB2312" w:cs="Times New Roman"/>
          <w:color w:val="auto"/>
          <w:sz w:val="32"/>
          <w:szCs w:val="32"/>
          <w:highlight w:val="none"/>
        </w:rPr>
        <w:t>》</w:t>
      </w:r>
    </w:p>
    <w:tbl>
      <w:tblPr>
        <w:tblStyle w:val="46"/>
        <w:tblpPr w:leftFromText="180" w:rightFromText="180" w:vertAnchor="text" w:horzAnchor="page" w:tblpXSpec="center" w:tblpY="1462"/>
        <w:tblOverlap w:val="never"/>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54"/>
      </w:tblGrid>
      <w:tr w14:paraId="555630B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54" w:type="dxa"/>
            <w:tcBorders>
              <w:top w:val="single" w:color="auto" w:sz="12" w:space="0"/>
              <w:bottom w:val="single" w:color="auto" w:sz="4" w:space="0"/>
              <w:tl2br w:val="nil"/>
              <w:tr2bl w:val="nil"/>
            </w:tcBorders>
            <w:noWrap w:val="0"/>
            <w:vAlign w:val="top"/>
          </w:tcPr>
          <w:p w14:paraId="771C9E0B">
            <w:pPr>
              <w:keepNext w:val="0"/>
              <w:keepLines w:val="0"/>
              <w:pageBreakBefore w:val="0"/>
              <w:widowControl w:val="0"/>
              <w:kinsoku/>
              <w:wordWrap/>
              <w:overflowPunct/>
              <w:topLinePunct w:val="0"/>
              <w:autoSpaceDE/>
              <w:autoSpaceDN/>
              <w:bidi w:val="0"/>
              <w:adjustRightInd/>
              <w:snapToGrid/>
              <w:spacing w:line="400" w:lineRule="exact"/>
              <w:ind w:left="0" w:left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color w:val="auto"/>
                <w:kern w:val="0"/>
                <w:sz w:val="32"/>
                <w:szCs w:val="32"/>
                <w:highlight w:val="none"/>
              </w:rPr>
              <w:t>抄送：市审计局，市住建局，市财政局，市公管局</w:t>
            </w:r>
          </w:p>
        </w:tc>
      </w:tr>
      <w:tr w14:paraId="38558A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tcBorders>
              <w:top w:val="single" w:color="auto" w:sz="4" w:space="0"/>
              <w:bottom w:val="single" w:color="auto" w:sz="12" w:space="0"/>
              <w:tl2br w:val="nil"/>
              <w:tr2bl w:val="nil"/>
            </w:tcBorders>
            <w:noWrap w:val="0"/>
            <w:vAlign w:val="top"/>
          </w:tcPr>
          <w:p w14:paraId="13076E55">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Times New Roman" w:hAnsi="Times New Roman" w:eastAsia="仿宋_GB2312" w:cs="Times New Roman"/>
                <w:b w:val="0"/>
                <w:bCs w:val="0"/>
                <w:color w:val="auto"/>
                <w:sz w:val="32"/>
                <w:szCs w:val="32"/>
                <w:highlight w:val="none"/>
                <w:vertAlign w:val="baseline"/>
                <w:lang w:val="en-US" w:eastAsia="zh-CN"/>
              </w:rPr>
            </w:pPr>
            <w:r>
              <w:rPr>
                <w:rFonts w:hint="default" w:ascii="Times New Roman" w:hAnsi="Times New Roman" w:eastAsia="仿宋_GB2312" w:cs="Times New Roman"/>
                <w:b w:val="0"/>
                <w:bCs w:val="0"/>
                <w:color w:val="auto"/>
                <w:sz w:val="32"/>
                <w:szCs w:val="32"/>
                <w:highlight w:val="none"/>
                <w:lang w:val="en-US" w:eastAsia="zh-CN"/>
              </w:rPr>
              <w:t>滁州市重点工程建设管理处办公室        2022年9月5日印发</w:t>
            </w:r>
          </w:p>
        </w:tc>
      </w:tr>
    </w:tbl>
    <w:p w14:paraId="4A67A413">
      <w:pPr>
        <w:pStyle w:val="2"/>
        <w:keepNext w:val="0"/>
        <w:keepLines w:val="0"/>
        <w:pageBreakBefore w:val="0"/>
        <w:widowControl w:val="0"/>
        <w:kinsoku/>
        <w:wordWrap/>
        <w:overflowPunct/>
        <w:topLinePunct w:val="0"/>
        <w:autoSpaceDE/>
        <w:autoSpaceDN/>
        <w:bidi w:val="0"/>
        <w:adjustRightInd/>
        <w:snapToGrid/>
        <w:spacing w:after="0" w:line="400" w:lineRule="exact"/>
        <w:ind w:left="1370" w:leftChars="500" w:hanging="320" w:hangingChars="1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《滁州市重点工程建设管理处结算审</w:t>
      </w:r>
      <w:r>
        <w:rPr>
          <w:rFonts w:hint="default" w:ascii="Times New Roman" w:hAnsi="Times New Roman" w:eastAsia="仿宋_GB2312" w:cs="Times New Roman"/>
          <w:color w:val="auto"/>
          <w:sz w:val="32"/>
          <w:szCs w:val="32"/>
          <w:highlight w:val="none"/>
          <w:lang w:eastAsia="zh-CN"/>
        </w:rPr>
        <w:t>（复）</w:t>
      </w:r>
      <w:r>
        <w:rPr>
          <w:rFonts w:hint="default" w:ascii="Times New Roman" w:hAnsi="Times New Roman" w:eastAsia="仿宋_GB2312" w:cs="Times New Roman"/>
          <w:color w:val="auto"/>
          <w:sz w:val="32"/>
          <w:szCs w:val="32"/>
          <w:highlight w:val="none"/>
        </w:rPr>
        <w:t>核</w:t>
      </w:r>
      <w:r>
        <w:rPr>
          <w:rFonts w:hint="default" w:ascii="Times New Roman" w:hAnsi="Times New Roman" w:eastAsia="仿宋_GB2312" w:cs="Times New Roman"/>
          <w:color w:val="auto"/>
          <w:sz w:val="32"/>
          <w:szCs w:val="32"/>
          <w:highlight w:val="none"/>
          <w:lang w:eastAsia="zh-CN"/>
        </w:rPr>
        <w:t>成果质量</w:t>
      </w:r>
      <w:r>
        <w:rPr>
          <w:rFonts w:hint="default" w:ascii="Times New Roman" w:hAnsi="Times New Roman" w:eastAsia="仿宋_GB2312" w:cs="Times New Roman"/>
          <w:color w:val="auto"/>
          <w:sz w:val="32"/>
          <w:szCs w:val="32"/>
          <w:highlight w:val="none"/>
        </w:rPr>
        <w:t>考核表》</w:t>
      </w:r>
    </w:p>
    <w:p w14:paraId="7747B6AC">
      <w:pPr>
        <w:pStyle w:val="28"/>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default" w:ascii="Times New Roman" w:hAnsi="Times New Roman" w:eastAsia="仿宋_GB2312" w:cs="Times New Roman"/>
          <w:color w:val="auto"/>
          <w:sz w:val="32"/>
          <w:szCs w:val="32"/>
          <w:highlight w:val="none"/>
          <w:lang w:val="en-US" w:eastAsia="zh-CN"/>
        </w:rPr>
        <w:sectPr>
          <w:footerReference r:id="rId8"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51C7697F">
      <w:pPr>
        <w:pStyle w:val="2"/>
        <w:spacing w:line="240" w:lineRule="auto"/>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tbl>
      <w:tblPr>
        <w:tblStyle w:val="45"/>
        <w:tblpPr w:leftFromText="180" w:rightFromText="180" w:vertAnchor="text" w:horzAnchor="page" w:tblpX="795" w:tblpY="744"/>
        <w:tblOverlap w:val="never"/>
        <w:tblW w:w="10412" w:type="dxa"/>
        <w:jc w:val="center"/>
        <w:tblLayout w:type="fixed"/>
        <w:tblCellMar>
          <w:top w:w="0" w:type="dxa"/>
          <w:left w:w="0" w:type="dxa"/>
          <w:bottom w:w="0" w:type="dxa"/>
          <w:right w:w="0" w:type="dxa"/>
        </w:tblCellMar>
      </w:tblPr>
      <w:tblGrid>
        <w:gridCol w:w="640"/>
        <w:gridCol w:w="689"/>
        <w:gridCol w:w="2928"/>
        <w:gridCol w:w="566"/>
        <w:gridCol w:w="702"/>
        <w:gridCol w:w="1030"/>
        <w:gridCol w:w="3857"/>
      </w:tblGrid>
      <w:tr w14:paraId="5745EAB2">
        <w:tblPrEx>
          <w:tblCellMar>
            <w:top w:w="0" w:type="dxa"/>
            <w:left w:w="0" w:type="dxa"/>
            <w:bottom w:w="0" w:type="dxa"/>
            <w:right w:w="0" w:type="dxa"/>
          </w:tblCellMar>
        </w:tblPrEx>
        <w:trPr>
          <w:trHeight w:val="435" w:hRule="atLeast"/>
          <w:jc w:val="center"/>
        </w:trPr>
        <w:tc>
          <w:tcPr>
            <w:tcW w:w="10412" w:type="dxa"/>
            <w:gridSpan w:val="7"/>
            <w:tcBorders>
              <w:top w:val="nil"/>
              <w:left w:val="nil"/>
              <w:bottom w:val="single" w:color="000000" w:sz="4" w:space="0"/>
              <w:right w:val="nil"/>
            </w:tcBorders>
            <w:noWrap w:val="0"/>
            <w:tcMar>
              <w:top w:w="15" w:type="dxa"/>
              <w:left w:w="15" w:type="dxa"/>
              <w:right w:w="15" w:type="dxa"/>
            </w:tcMar>
            <w:vAlign w:val="center"/>
          </w:tcPr>
          <w:p w14:paraId="53EB4CDA">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Style w:val="149"/>
                <w:rFonts w:hint="eastAsia" w:ascii="宋体" w:hAnsi="宋体" w:eastAsia="宋体" w:cs="宋体"/>
                <w:b w:val="0"/>
                <w:color w:val="auto"/>
                <w:highlight w:val="none"/>
                <w:lang w:bidi="ar"/>
              </w:rPr>
              <w:t>项目工程量清单</w:t>
            </w:r>
            <w:r>
              <w:rPr>
                <w:rStyle w:val="149"/>
                <w:rFonts w:hint="eastAsia" w:ascii="宋体" w:hAnsi="宋体" w:eastAsia="宋体" w:cs="宋体"/>
                <w:b w:val="0"/>
                <w:color w:val="auto"/>
                <w:highlight w:val="none"/>
                <w:lang w:eastAsia="zh-CN" w:bidi="ar"/>
              </w:rPr>
              <w:t>及</w:t>
            </w:r>
            <w:r>
              <w:rPr>
                <w:rStyle w:val="149"/>
                <w:rFonts w:hint="eastAsia" w:ascii="宋体" w:hAnsi="宋体" w:eastAsia="宋体" w:cs="宋体"/>
                <w:b w:val="0"/>
                <w:color w:val="auto"/>
                <w:highlight w:val="none"/>
                <w:lang w:bidi="ar"/>
              </w:rPr>
              <w:t xml:space="preserve">最高投标限价编制质量考核表 </w:t>
            </w:r>
          </w:p>
        </w:tc>
      </w:tr>
      <w:tr w14:paraId="284BAF87">
        <w:tblPrEx>
          <w:tblCellMar>
            <w:top w:w="0" w:type="dxa"/>
            <w:left w:w="0" w:type="dxa"/>
            <w:bottom w:w="0" w:type="dxa"/>
            <w:right w:w="0" w:type="dxa"/>
          </w:tblCellMar>
        </w:tblPrEx>
        <w:trPr>
          <w:trHeight w:val="503" w:hRule="atLeast"/>
          <w:jc w:val="center"/>
        </w:trPr>
        <w:tc>
          <w:tcPr>
            <w:tcW w:w="6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7703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kern w:val="0"/>
                <w:sz w:val="22"/>
                <w:szCs w:val="22"/>
                <w:highlight w:val="none"/>
                <w:lang w:eastAsia="zh-CN" w:bidi="ar"/>
              </w:rPr>
              <w:t>序号</w:t>
            </w:r>
          </w:p>
        </w:tc>
        <w:tc>
          <w:tcPr>
            <w:tcW w:w="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6125D8">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9066EB">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3A31C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1D8F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439650">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D328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27C981FF">
        <w:tblPrEx>
          <w:tblCellMar>
            <w:top w:w="0" w:type="dxa"/>
            <w:left w:w="0" w:type="dxa"/>
            <w:bottom w:w="0" w:type="dxa"/>
            <w:right w:w="0" w:type="dxa"/>
          </w:tblCellMar>
        </w:tblPrEx>
        <w:trPr>
          <w:trHeight w:val="90" w:hRule="atLeast"/>
          <w:jc w:val="center"/>
        </w:trPr>
        <w:tc>
          <w:tcPr>
            <w:tcW w:w="6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AA0F3D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一</w:t>
            </w:r>
          </w:p>
        </w:tc>
        <w:tc>
          <w:tcPr>
            <w:tcW w:w="68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A81AEC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基本考核分</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BD6C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人员能力是否具备胜任本项目需要</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B52DA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D76D1">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CB3EAE">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C8880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eastAsia="zh-CN" w:bidi="ar"/>
              </w:rPr>
              <w:t>需在项目开始编制前向综合计划科报送编制审核组成员任命文件：</w:t>
            </w:r>
            <w:r>
              <w:rPr>
                <w:rFonts w:hint="eastAsia" w:ascii="宋体" w:hAnsi="宋体" w:eastAsia="宋体" w:cs="宋体"/>
                <w:color w:val="auto"/>
                <w:kern w:val="0"/>
                <w:sz w:val="24"/>
                <w:szCs w:val="24"/>
                <w:highlight w:val="none"/>
                <w:lang w:val="en-US" w:eastAsia="zh-CN" w:bidi="ar"/>
              </w:rPr>
              <w:t>5分</w:t>
            </w:r>
          </w:p>
          <w:p w14:paraId="2FA08CB6">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编制</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复核人员资格：5分                                      </w:t>
            </w:r>
          </w:p>
          <w:p w14:paraId="4BB90FC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会审汇报人员资格 ：</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 xml:space="preserve">分                  </w:t>
            </w:r>
          </w:p>
        </w:tc>
      </w:tr>
      <w:tr w14:paraId="2AE1F268">
        <w:tblPrEx>
          <w:tblCellMar>
            <w:top w:w="0" w:type="dxa"/>
            <w:left w:w="0" w:type="dxa"/>
            <w:bottom w:w="0" w:type="dxa"/>
            <w:right w:w="0" w:type="dxa"/>
          </w:tblCellMar>
        </w:tblPrEx>
        <w:trPr>
          <w:trHeight w:val="541"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235A8EEC">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1A50FB5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3760F7">
            <w:pPr>
              <w:widowControl/>
              <w:numPr>
                <w:ilvl w:val="0"/>
                <w:numId w:val="0"/>
              </w:numPr>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现场踏勘</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95AFB">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37B7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5C7BB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FA906">
            <w:pPr>
              <w:widowControl/>
              <w:jc w:val="left"/>
              <w:textAlignment w:val="center"/>
              <w:rPr>
                <w:rFonts w:hint="eastAsia" w:ascii="宋体" w:hAnsi="宋体" w:eastAsia="宋体" w:cs="宋体"/>
                <w:color w:val="auto"/>
                <w:sz w:val="24"/>
                <w:szCs w:val="24"/>
                <w:highlight w:val="none"/>
                <w:lang w:val="en-US" w:eastAsia="zh-CN"/>
              </w:rPr>
            </w:pPr>
          </w:p>
        </w:tc>
      </w:tr>
      <w:tr w14:paraId="3B2B88FF">
        <w:tblPrEx>
          <w:tblCellMar>
            <w:top w:w="0" w:type="dxa"/>
            <w:left w:w="0" w:type="dxa"/>
            <w:bottom w:w="0" w:type="dxa"/>
            <w:right w:w="0" w:type="dxa"/>
          </w:tblCellMar>
        </w:tblPrEx>
        <w:trPr>
          <w:trHeight w:val="171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E2E258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A3425F7">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FB165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3.是否按时完成清单编制</w:t>
            </w:r>
            <w:r>
              <w:rPr>
                <w:rFonts w:hint="eastAsia" w:ascii="宋体" w:hAnsi="宋体" w:eastAsia="宋体" w:cs="宋体"/>
                <w:color w:val="auto"/>
                <w:kern w:val="0"/>
                <w:sz w:val="24"/>
                <w:szCs w:val="24"/>
                <w:highlight w:val="none"/>
                <w:lang w:bidi="ar"/>
              </w:rPr>
              <w:t>清单</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6043D3">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6AD2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39C5A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5462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原则上</w:t>
            </w:r>
            <w:r>
              <w:rPr>
                <w:rStyle w:val="151"/>
                <w:rFonts w:hint="eastAsia" w:ascii="宋体" w:hAnsi="宋体" w:eastAsia="宋体" w:cs="宋体"/>
                <w:color w:val="auto"/>
                <w:sz w:val="24"/>
                <w:szCs w:val="24"/>
                <w:highlight w:val="none"/>
                <w:lang w:bidi="ar"/>
              </w:rPr>
              <w:t>500</w:t>
            </w:r>
            <w:r>
              <w:rPr>
                <w:rStyle w:val="152"/>
                <w:rFonts w:hint="eastAsia" w:ascii="宋体" w:hAnsi="宋体" w:eastAsia="宋体" w:cs="宋体"/>
                <w:color w:val="auto"/>
                <w:sz w:val="24"/>
                <w:szCs w:val="24"/>
                <w:highlight w:val="none"/>
                <w:lang w:bidi="ar"/>
              </w:rPr>
              <w:t>万元以下项目编制时间为</w:t>
            </w:r>
            <w:r>
              <w:rPr>
                <w:rStyle w:val="151"/>
                <w:rFonts w:hint="eastAsia" w:ascii="宋体" w:hAnsi="宋体" w:eastAsia="宋体" w:cs="宋体"/>
                <w:color w:val="auto"/>
                <w:sz w:val="24"/>
                <w:szCs w:val="24"/>
                <w:highlight w:val="none"/>
                <w:lang w:bidi="ar"/>
              </w:rPr>
              <w:t>7</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500-1000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15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万元项目</w:t>
            </w:r>
            <w:r>
              <w:rPr>
                <w:rStyle w:val="151"/>
                <w:rFonts w:hint="eastAsia" w:ascii="宋体" w:hAnsi="宋体" w:eastAsia="宋体" w:cs="宋体"/>
                <w:color w:val="auto"/>
                <w:sz w:val="24"/>
                <w:szCs w:val="24"/>
                <w:highlight w:val="none"/>
                <w:lang w:bidi="ar"/>
              </w:rPr>
              <w:t>20</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5000</w:t>
            </w:r>
            <w:r>
              <w:rPr>
                <w:rStyle w:val="152"/>
                <w:rFonts w:hint="eastAsia" w:ascii="宋体" w:hAnsi="宋体" w:eastAsia="宋体" w:cs="宋体"/>
                <w:color w:val="auto"/>
                <w:sz w:val="24"/>
                <w:szCs w:val="24"/>
                <w:highlight w:val="none"/>
                <w:lang w:bidi="ar"/>
              </w:rPr>
              <w:t>万元</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亿元项目</w:t>
            </w:r>
            <w:r>
              <w:rPr>
                <w:rStyle w:val="151"/>
                <w:rFonts w:hint="eastAsia" w:ascii="宋体" w:hAnsi="宋体" w:eastAsia="宋体" w:cs="宋体"/>
                <w:color w:val="auto"/>
                <w:sz w:val="24"/>
                <w:szCs w:val="24"/>
                <w:highlight w:val="none"/>
                <w:lang w:bidi="ar"/>
              </w:rPr>
              <w:t>25</w:t>
            </w:r>
            <w:r>
              <w:rPr>
                <w:rStyle w:val="152"/>
                <w:rFonts w:hint="eastAsia" w:ascii="宋体" w:hAnsi="宋体" w:eastAsia="宋体" w:cs="宋体"/>
                <w:color w:val="auto"/>
                <w:sz w:val="24"/>
                <w:szCs w:val="24"/>
                <w:highlight w:val="none"/>
                <w:lang w:bidi="ar"/>
              </w:rPr>
              <w:t>天，</w:t>
            </w:r>
            <w:r>
              <w:rPr>
                <w:rStyle w:val="151"/>
                <w:rFonts w:hint="eastAsia" w:ascii="宋体" w:hAnsi="宋体" w:eastAsia="宋体" w:cs="宋体"/>
                <w:color w:val="auto"/>
                <w:sz w:val="24"/>
                <w:szCs w:val="24"/>
                <w:highlight w:val="none"/>
                <w:lang w:bidi="ar"/>
              </w:rPr>
              <w:t>1</w:t>
            </w:r>
            <w:r>
              <w:rPr>
                <w:rStyle w:val="152"/>
                <w:rFonts w:hint="eastAsia" w:ascii="宋体" w:hAnsi="宋体" w:eastAsia="宋体" w:cs="宋体"/>
                <w:color w:val="auto"/>
                <w:sz w:val="24"/>
                <w:szCs w:val="24"/>
                <w:highlight w:val="none"/>
                <w:lang w:bidi="ar"/>
              </w:rPr>
              <w:t>亿元以上项目不低于</w:t>
            </w:r>
            <w:r>
              <w:rPr>
                <w:rStyle w:val="151"/>
                <w:rFonts w:hint="eastAsia" w:ascii="宋体" w:hAnsi="宋体" w:eastAsia="宋体" w:cs="宋体"/>
                <w:color w:val="auto"/>
                <w:sz w:val="24"/>
                <w:szCs w:val="24"/>
                <w:highlight w:val="none"/>
                <w:lang w:bidi="ar"/>
              </w:rPr>
              <w:t>30</w:t>
            </w:r>
            <w:r>
              <w:rPr>
                <w:rStyle w:val="152"/>
                <w:rFonts w:hint="eastAsia" w:ascii="宋体" w:hAnsi="宋体" w:eastAsia="宋体" w:cs="宋体"/>
                <w:color w:val="auto"/>
                <w:sz w:val="24"/>
                <w:szCs w:val="24"/>
                <w:highlight w:val="none"/>
                <w:lang w:bidi="ar"/>
              </w:rPr>
              <w:t>天，特殊项目经处领导同意可以适当缩短或延长编制时间</w:t>
            </w:r>
            <w:r>
              <w:rPr>
                <w:rStyle w:val="152"/>
                <w:rFonts w:hint="eastAsia" w:ascii="宋体" w:hAnsi="宋体" w:eastAsia="宋体" w:cs="宋体"/>
                <w:color w:val="auto"/>
                <w:sz w:val="24"/>
                <w:szCs w:val="24"/>
                <w:highlight w:val="none"/>
                <w:lang w:eastAsia="zh-CN" w:bidi="ar"/>
              </w:rPr>
              <w:t>。每延误</w:t>
            </w:r>
            <w:r>
              <w:rPr>
                <w:rStyle w:val="152"/>
                <w:rFonts w:hint="eastAsia" w:ascii="宋体" w:hAnsi="宋体" w:eastAsia="宋体" w:cs="宋体"/>
                <w:color w:val="auto"/>
                <w:sz w:val="24"/>
                <w:szCs w:val="24"/>
                <w:highlight w:val="none"/>
                <w:lang w:val="en-US" w:eastAsia="zh-CN" w:bidi="ar"/>
              </w:rPr>
              <w:t>1</w:t>
            </w:r>
            <w:r>
              <w:rPr>
                <w:rStyle w:val="152"/>
                <w:rFonts w:hint="eastAsia" w:ascii="宋体" w:hAnsi="宋体" w:eastAsia="宋体" w:cs="宋体"/>
                <w:color w:val="auto"/>
                <w:sz w:val="24"/>
                <w:szCs w:val="24"/>
                <w:highlight w:val="none"/>
                <w:lang w:eastAsia="zh-CN" w:bidi="ar"/>
              </w:rPr>
              <w:t>天扣</w:t>
            </w:r>
            <w:r>
              <w:rPr>
                <w:rStyle w:val="152"/>
                <w:rFonts w:hint="eastAsia" w:ascii="宋体" w:hAnsi="宋体" w:eastAsia="宋体" w:cs="宋体"/>
                <w:color w:val="auto"/>
                <w:sz w:val="24"/>
                <w:szCs w:val="24"/>
                <w:highlight w:val="none"/>
                <w:lang w:val="en-US" w:eastAsia="zh-CN" w:bidi="ar"/>
              </w:rPr>
              <w:t>1分，扣完为止。</w:t>
            </w:r>
          </w:p>
        </w:tc>
      </w:tr>
      <w:tr w14:paraId="06EE182A">
        <w:tblPrEx>
          <w:tblCellMar>
            <w:top w:w="0" w:type="dxa"/>
            <w:left w:w="0" w:type="dxa"/>
            <w:bottom w:w="0" w:type="dxa"/>
            <w:right w:w="0" w:type="dxa"/>
          </w:tblCellMar>
        </w:tblPrEx>
        <w:trPr>
          <w:trHeight w:val="480"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6F2E2BB9">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41C636D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46B471">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会审发现错漏情况</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4D7C62">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20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41684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EDC34">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C4C0B">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本项基本分</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分，出现</w:t>
            </w:r>
            <w:r>
              <w:rPr>
                <w:rFonts w:hint="eastAsia" w:ascii="宋体" w:hAnsi="宋体" w:eastAsia="宋体" w:cs="宋体"/>
                <w:color w:val="auto"/>
                <w:kern w:val="0"/>
                <w:sz w:val="24"/>
                <w:szCs w:val="24"/>
                <w:highlight w:val="none"/>
                <w:lang w:eastAsia="zh-CN" w:bidi="ar"/>
              </w:rPr>
              <w:t>单项</w:t>
            </w:r>
            <w:r>
              <w:rPr>
                <w:rFonts w:hint="eastAsia" w:ascii="宋体" w:hAnsi="宋体" w:eastAsia="宋体" w:cs="宋体"/>
                <w:color w:val="auto"/>
                <w:kern w:val="0"/>
                <w:sz w:val="24"/>
                <w:szCs w:val="24"/>
                <w:highlight w:val="none"/>
                <w:lang w:bidi="ar"/>
              </w:rPr>
              <w:t>工程量计算误差超过15%每项扣1分，清单描述错误或未描述或描述不清楚或组价错误每项扣2分，取费错误每项扣5分，扣完为止</w:t>
            </w:r>
          </w:p>
        </w:tc>
      </w:tr>
      <w:tr w14:paraId="1EA0C599">
        <w:tblPrEx>
          <w:tblCellMar>
            <w:top w:w="0" w:type="dxa"/>
            <w:left w:w="0" w:type="dxa"/>
            <w:bottom w:w="0" w:type="dxa"/>
            <w:right w:w="0" w:type="dxa"/>
          </w:tblCellMar>
        </w:tblPrEx>
        <w:trPr>
          <w:trHeight w:val="93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70EF0C9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3D7BBFB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48855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成果文件修改定稿时间满足会议要求</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F42BB8">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CA608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B631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848488">
            <w:pPr>
              <w:jc w:val="left"/>
              <w:rPr>
                <w:rFonts w:hint="eastAsia" w:ascii="宋体" w:hAnsi="宋体" w:eastAsia="宋体" w:cs="宋体"/>
                <w:color w:val="auto"/>
                <w:sz w:val="24"/>
                <w:szCs w:val="24"/>
                <w:highlight w:val="none"/>
              </w:rPr>
            </w:pPr>
          </w:p>
        </w:tc>
      </w:tr>
      <w:tr w14:paraId="2656486A">
        <w:tblPrEx>
          <w:tblCellMar>
            <w:top w:w="0" w:type="dxa"/>
            <w:left w:w="0" w:type="dxa"/>
            <w:bottom w:w="0" w:type="dxa"/>
            <w:right w:w="0" w:type="dxa"/>
          </w:tblCellMar>
        </w:tblPrEx>
        <w:trPr>
          <w:trHeight w:val="872" w:hRule="atLeast"/>
          <w:jc w:val="center"/>
        </w:trPr>
        <w:tc>
          <w:tcPr>
            <w:tcW w:w="640" w:type="dxa"/>
            <w:vMerge w:val="continue"/>
            <w:tcBorders>
              <w:left w:val="single" w:color="000000" w:sz="4" w:space="0"/>
              <w:right w:val="single" w:color="000000" w:sz="4" w:space="0"/>
            </w:tcBorders>
            <w:noWrap w:val="0"/>
            <w:tcMar>
              <w:top w:w="15" w:type="dxa"/>
              <w:left w:w="15" w:type="dxa"/>
              <w:right w:w="15" w:type="dxa"/>
            </w:tcMar>
            <w:vAlign w:val="center"/>
          </w:tcPr>
          <w:p w14:paraId="5F6BE33E">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559511D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03F95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eastAsia="zh-CN" w:bidi="ar"/>
              </w:rPr>
              <w:t>备忘录（</w:t>
            </w:r>
            <w:r>
              <w:rPr>
                <w:rFonts w:hint="eastAsia" w:ascii="宋体" w:hAnsi="宋体" w:eastAsia="宋体" w:cs="宋体"/>
                <w:color w:val="auto"/>
                <w:kern w:val="0"/>
                <w:sz w:val="24"/>
                <w:szCs w:val="24"/>
                <w:highlight w:val="none"/>
                <w:lang w:bidi="ar"/>
              </w:rPr>
              <w:t>编制说明</w:t>
            </w:r>
            <w:r>
              <w:rPr>
                <w:rFonts w:hint="eastAsia" w:ascii="宋体" w:hAnsi="宋体" w:eastAsia="宋体" w:cs="宋体"/>
                <w:color w:val="auto"/>
                <w:kern w:val="0"/>
                <w:sz w:val="24"/>
                <w:szCs w:val="24"/>
                <w:highlight w:val="none"/>
                <w:lang w:eastAsia="zh-CN" w:bidi="ar"/>
              </w:rPr>
              <w:t>）</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37DC">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1F79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A6CC21">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7CAE35">
            <w:pPr>
              <w:jc w:val="left"/>
              <w:rPr>
                <w:rFonts w:hint="eastAsia" w:ascii="宋体" w:hAnsi="宋体" w:eastAsia="宋体" w:cs="宋体"/>
                <w:color w:val="auto"/>
                <w:sz w:val="24"/>
                <w:szCs w:val="24"/>
                <w:highlight w:val="none"/>
              </w:rPr>
            </w:pPr>
          </w:p>
        </w:tc>
      </w:tr>
      <w:tr w14:paraId="116614D6">
        <w:tblPrEx>
          <w:tblCellMar>
            <w:top w:w="0" w:type="dxa"/>
            <w:left w:w="0" w:type="dxa"/>
            <w:bottom w:w="0" w:type="dxa"/>
            <w:right w:w="0" w:type="dxa"/>
          </w:tblCellMar>
        </w:tblPrEx>
        <w:trPr>
          <w:trHeight w:val="90" w:hRule="atLeast"/>
          <w:jc w:val="center"/>
        </w:trPr>
        <w:tc>
          <w:tcPr>
            <w:tcW w:w="640"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66EEB794">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1C7842D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473EBB42">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7.业主综合评价</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612CD0">
            <w:pPr>
              <w:widowControl/>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10</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EDC37">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51CE54">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7630E9">
            <w:pPr>
              <w:jc w:val="left"/>
              <w:rPr>
                <w:rFonts w:hint="eastAsia" w:ascii="宋体" w:hAnsi="宋体" w:eastAsia="宋体" w:cs="宋体"/>
                <w:color w:val="auto"/>
                <w:sz w:val="24"/>
                <w:szCs w:val="24"/>
                <w:highlight w:val="none"/>
              </w:rPr>
            </w:pPr>
          </w:p>
        </w:tc>
      </w:tr>
      <w:tr w14:paraId="469D4441">
        <w:tblPrEx>
          <w:tblCellMar>
            <w:top w:w="0" w:type="dxa"/>
            <w:left w:w="0" w:type="dxa"/>
            <w:bottom w:w="0" w:type="dxa"/>
            <w:right w:w="0" w:type="dxa"/>
          </w:tblCellMar>
        </w:tblPrEx>
        <w:trPr>
          <w:trHeight w:val="1400" w:hRule="atLeast"/>
          <w:jc w:val="center"/>
        </w:trPr>
        <w:tc>
          <w:tcPr>
            <w:tcW w:w="64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53E7A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68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9A8A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扣分项</w:t>
            </w:r>
          </w:p>
        </w:tc>
        <w:tc>
          <w:tcPr>
            <w:tcW w:w="292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68BCD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r>
              <w:rPr>
                <w:rFonts w:hint="eastAsia" w:ascii="宋体" w:hAnsi="宋体" w:eastAsia="宋体" w:cs="宋体"/>
                <w:color w:val="auto"/>
                <w:kern w:val="0"/>
                <w:sz w:val="24"/>
                <w:szCs w:val="24"/>
                <w:highlight w:val="none"/>
                <w:lang w:bidi="ar"/>
              </w:rPr>
              <w:t>存在转包、违法分包嫌疑</w:t>
            </w:r>
          </w:p>
        </w:tc>
        <w:tc>
          <w:tcPr>
            <w:tcW w:w="56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8F9ED5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A15196">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33897F">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14EAAB">
            <w:pPr>
              <w:widowControl/>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bidi="ar"/>
              </w:rPr>
              <w:t>编制人员与投标</w:t>
            </w:r>
            <w:r>
              <w:rPr>
                <w:rFonts w:hint="eastAsia" w:ascii="宋体" w:hAnsi="宋体" w:eastAsia="宋体" w:cs="宋体"/>
                <w:color w:val="auto"/>
                <w:kern w:val="0"/>
                <w:sz w:val="24"/>
                <w:szCs w:val="24"/>
                <w:highlight w:val="none"/>
                <w:lang w:eastAsia="zh-CN" w:bidi="ar"/>
              </w:rPr>
              <w:t>时</w:t>
            </w:r>
            <w:r>
              <w:rPr>
                <w:rFonts w:hint="eastAsia" w:ascii="宋体" w:hAnsi="宋体" w:eastAsia="宋体" w:cs="宋体"/>
                <w:color w:val="auto"/>
                <w:kern w:val="0"/>
                <w:sz w:val="24"/>
                <w:szCs w:val="24"/>
                <w:highlight w:val="none"/>
                <w:lang w:bidi="ar"/>
              </w:rPr>
              <w:t>人员一致；成果文件签章人员与实际编制人员一致；人员变更报送批准，且变更人员符合项目招标时人员配备要求，不符合要求</w:t>
            </w:r>
            <w:r>
              <w:rPr>
                <w:rFonts w:hint="eastAsia" w:ascii="宋体" w:hAnsi="宋体" w:eastAsia="宋体" w:cs="宋体"/>
                <w:color w:val="auto"/>
                <w:kern w:val="0"/>
                <w:sz w:val="24"/>
                <w:szCs w:val="24"/>
                <w:highlight w:val="none"/>
                <w:lang w:eastAsia="zh-CN" w:bidi="ar"/>
              </w:rPr>
              <w:t>的每项</w:t>
            </w:r>
            <w:r>
              <w:rPr>
                <w:rFonts w:hint="eastAsia" w:ascii="宋体" w:hAnsi="宋体" w:eastAsia="宋体" w:cs="宋体"/>
                <w:color w:val="auto"/>
                <w:kern w:val="0"/>
                <w:sz w:val="24"/>
                <w:szCs w:val="24"/>
                <w:highlight w:val="none"/>
                <w:lang w:bidi="ar"/>
              </w:rPr>
              <w:t>扣10分</w:t>
            </w:r>
          </w:p>
        </w:tc>
      </w:tr>
      <w:tr w14:paraId="407CB5B4">
        <w:tblPrEx>
          <w:tblCellMar>
            <w:top w:w="0" w:type="dxa"/>
            <w:left w:w="0" w:type="dxa"/>
            <w:bottom w:w="0" w:type="dxa"/>
            <w:right w:w="0" w:type="dxa"/>
          </w:tblCellMar>
        </w:tblPrEx>
        <w:trPr>
          <w:trHeight w:val="1061" w:hRule="atLeast"/>
          <w:jc w:val="center"/>
        </w:trPr>
        <w:tc>
          <w:tcPr>
            <w:tcW w:w="640"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14:paraId="4141160B">
            <w:pPr>
              <w:jc w:val="center"/>
              <w:rPr>
                <w:rFonts w:hint="eastAsia" w:ascii="宋体" w:hAnsi="宋体" w:eastAsia="宋体" w:cs="宋体"/>
                <w:color w:val="auto"/>
                <w:sz w:val="24"/>
                <w:szCs w:val="24"/>
                <w:highlight w:val="none"/>
              </w:rPr>
            </w:pPr>
          </w:p>
        </w:tc>
        <w:tc>
          <w:tcPr>
            <w:tcW w:w="689" w:type="dxa"/>
            <w:vMerge w:val="continue"/>
            <w:tcBorders>
              <w:top w:val="single" w:color="auto" w:sz="4" w:space="0"/>
              <w:left w:val="single" w:color="000000" w:sz="4" w:space="0"/>
              <w:right w:val="single" w:color="000000" w:sz="4" w:space="0"/>
            </w:tcBorders>
            <w:noWrap w:val="0"/>
            <w:tcMar>
              <w:top w:w="15" w:type="dxa"/>
              <w:left w:w="15" w:type="dxa"/>
              <w:right w:w="15" w:type="dxa"/>
            </w:tcMar>
            <w:vAlign w:val="center"/>
          </w:tcPr>
          <w:p w14:paraId="455D43FE">
            <w:pPr>
              <w:jc w:val="center"/>
              <w:rPr>
                <w:rFonts w:hint="eastAsia" w:ascii="宋体" w:hAnsi="宋体" w:eastAsia="宋体" w:cs="宋体"/>
                <w:color w:val="auto"/>
                <w:sz w:val="24"/>
                <w:szCs w:val="24"/>
                <w:highlight w:val="none"/>
              </w:rPr>
            </w:pPr>
          </w:p>
        </w:tc>
        <w:tc>
          <w:tcPr>
            <w:tcW w:w="292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786C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r>
              <w:rPr>
                <w:rFonts w:hint="eastAsia" w:ascii="宋体" w:hAnsi="宋体" w:eastAsia="宋体" w:cs="宋体"/>
                <w:color w:val="auto"/>
                <w:kern w:val="0"/>
                <w:sz w:val="24"/>
                <w:szCs w:val="24"/>
                <w:highlight w:val="none"/>
                <w:lang w:bidi="ar"/>
              </w:rPr>
              <w:t>施工过程中发现清单错漏单项</w:t>
            </w:r>
            <w:r>
              <w:rPr>
                <w:rFonts w:hint="eastAsia" w:ascii="宋体" w:hAnsi="宋体" w:eastAsia="宋体" w:cs="宋体"/>
                <w:color w:val="auto"/>
                <w:kern w:val="0"/>
                <w:sz w:val="24"/>
                <w:szCs w:val="24"/>
                <w:highlight w:val="none"/>
                <w:lang w:val="en-US" w:eastAsia="zh-CN" w:bidi="ar"/>
              </w:rPr>
              <w:t>5万元（含）-30万元（不含）的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7A29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1783B">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9B6F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F448B8">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每次扣5分</w:t>
            </w:r>
          </w:p>
        </w:tc>
      </w:tr>
      <w:tr w14:paraId="7A0F8B84">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B7267D">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C9D74FC">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67416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30万元（含）-50万元（不含）的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83B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54022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44E67C">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7F291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10</w:t>
            </w:r>
            <w:r>
              <w:rPr>
                <w:rFonts w:hint="eastAsia" w:ascii="宋体" w:hAnsi="宋体" w:eastAsia="宋体" w:cs="宋体"/>
                <w:color w:val="auto"/>
                <w:kern w:val="0"/>
                <w:sz w:val="24"/>
                <w:szCs w:val="24"/>
                <w:highlight w:val="none"/>
                <w:lang w:bidi="ar"/>
              </w:rPr>
              <w:t>分</w:t>
            </w:r>
          </w:p>
        </w:tc>
      </w:tr>
      <w:tr w14:paraId="7F261B70">
        <w:tblPrEx>
          <w:tblCellMar>
            <w:top w:w="0" w:type="dxa"/>
            <w:left w:w="0" w:type="dxa"/>
            <w:bottom w:w="0" w:type="dxa"/>
            <w:right w:w="0" w:type="dxa"/>
          </w:tblCellMar>
        </w:tblPrEx>
        <w:trPr>
          <w:trHeight w:val="1061"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0ECB03B">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AA9212D">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D8578">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50万元（含）-100万元（不含）的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DC382">
            <w:pPr>
              <w:widowControl/>
              <w:jc w:val="center"/>
              <w:textAlignment w:val="center"/>
              <w:rPr>
                <w:rFonts w:hint="eastAsia" w:ascii="宋体" w:hAnsi="宋体" w:eastAsia="宋体" w:cs="宋体"/>
                <w:color w:val="auto"/>
                <w:kern w:val="0"/>
                <w:sz w:val="24"/>
                <w:szCs w:val="24"/>
                <w:highlight w:val="none"/>
                <w:lang w:bidi="ar"/>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3DB37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BC20A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2EA67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20</w:t>
            </w:r>
            <w:r>
              <w:rPr>
                <w:rFonts w:hint="eastAsia" w:ascii="宋体" w:hAnsi="宋体" w:eastAsia="宋体" w:cs="宋体"/>
                <w:color w:val="auto"/>
                <w:kern w:val="0"/>
                <w:sz w:val="24"/>
                <w:szCs w:val="24"/>
                <w:highlight w:val="none"/>
                <w:lang w:bidi="ar"/>
              </w:rPr>
              <w:t>分</w:t>
            </w:r>
          </w:p>
        </w:tc>
      </w:tr>
      <w:tr w14:paraId="6A74C286">
        <w:tblPrEx>
          <w:tblCellMar>
            <w:top w:w="0" w:type="dxa"/>
            <w:left w:w="0" w:type="dxa"/>
            <w:bottom w:w="0" w:type="dxa"/>
            <w:right w:w="0" w:type="dxa"/>
          </w:tblCellMar>
        </w:tblPrEx>
        <w:trPr>
          <w:trHeight w:val="1169"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0847C6B8">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258B3266">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6FEF4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w:t>
            </w:r>
            <w:r>
              <w:rPr>
                <w:rFonts w:hint="eastAsia" w:ascii="宋体" w:hAnsi="宋体" w:eastAsia="宋体" w:cs="宋体"/>
                <w:color w:val="auto"/>
                <w:kern w:val="0"/>
                <w:sz w:val="24"/>
                <w:szCs w:val="24"/>
                <w:highlight w:val="none"/>
                <w:lang w:bidi="ar"/>
              </w:rPr>
              <w:t>万元</w:t>
            </w:r>
            <w:r>
              <w:rPr>
                <w:rFonts w:hint="eastAsia" w:ascii="宋体" w:hAnsi="宋体" w:eastAsia="宋体" w:cs="宋体"/>
                <w:color w:val="auto"/>
                <w:kern w:val="0"/>
                <w:sz w:val="24"/>
                <w:szCs w:val="24"/>
                <w:highlight w:val="none"/>
                <w:lang w:val="en-US" w:eastAsia="zh-CN" w:bidi="ar"/>
              </w:rPr>
              <w:t>且误差率3%（含）以内的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3B3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D1AD42">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78F065">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BEE78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30</w:t>
            </w:r>
            <w:r>
              <w:rPr>
                <w:rFonts w:hint="eastAsia" w:ascii="宋体" w:hAnsi="宋体" w:eastAsia="宋体" w:cs="宋体"/>
                <w:color w:val="auto"/>
                <w:kern w:val="0"/>
                <w:sz w:val="24"/>
                <w:szCs w:val="24"/>
                <w:highlight w:val="none"/>
                <w:lang w:bidi="ar"/>
              </w:rPr>
              <w:t>分</w:t>
            </w:r>
          </w:p>
        </w:tc>
      </w:tr>
      <w:tr w14:paraId="29B7F7EC">
        <w:tblPrEx>
          <w:tblCellMar>
            <w:top w:w="0" w:type="dxa"/>
            <w:left w:w="0" w:type="dxa"/>
            <w:bottom w:w="0" w:type="dxa"/>
            <w:right w:w="0" w:type="dxa"/>
          </w:tblCellMar>
        </w:tblPrEx>
        <w:trPr>
          <w:trHeight w:val="1363" w:hRule="atLeast"/>
          <w:jc w:val="center"/>
        </w:trPr>
        <w:tc>
          <w:tcPr>
            <w:tcW w:w="640" w:type="dxa"/>
            <w:vMerge w:val="continue"/>
            <w:tcBorders>
              <w:left w:val="single" w:color="auto" w:sz="4" w:space="0"/>
              <w:right w:val="single" w:color="000000" w:sz="4" w:space="0"/>
            </w:tcBorders>
            <w:noWrap w:val="0"/>
            <w:tcMar>
              <w:top w:w="15" w:type="dxa"/>
              <w:left w:w="15" w:type="dxa"/>
              <w:right w:w="15" w:type="dxa"/>
            </w:tcMar>
            <w:vAlign w:val="center"/>
          </w:tcPr>
          <w:p w14:paraId="56011C21">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right w:val="single" w:color="000000" w:sz="4" w:space="0"/>
            </w:tcBorders>
            <w:noWrap w:val="0"/>
            <w:tcMar>
              <w:top w:w="15" w:type="dxa"/>
              <w:left w:w="15" w:type="dxa"/>
              <w:right w:w="15" w:type="dxa"/>
            </w:tcMar>
            <w:vAlign w:val="center"/>
          </w:tcPr>
          <w:p w14:paraId="60DA2A3F">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3A2C0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100万元（含）以上的且误差率在3%（不含）-5%（含）的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B5A593">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FFADEF">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FF308">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2AC9E6">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40</w:t>
            </w:r>
            <w:r>
              <w:rPr>
                <w:rFonts w:hint="eastAsia" w:ascii="宋体" w:hAnsi="宋体" w:eastAsia="宋体" w:cs="宋体"/>
                <w:color w:val="auto"/>
                <w:kern w:val="0"/>
                <w:sz w:val="24"/>
                <w:szCs w:val="24"/>
                <w:highlight w:val="none"/>
                <w:lang w:bidi="ar"/>
              </w:rPr>
              <w:t>分</w:t>
            </w:r>
          </w:p>
        </w:tc>
      </w:tr>
      <w:tr w14:paraId="6D948B65">
        <w:tblPrEx>
          <w:tblCellMar>
            <w:top w:w="0" w:type="dxa"/>
            <w:left w:w="0" w:type="dxa"/>
            <w:bottom w:w="0" w:type="dxa"/>
            <w:right w:w="0" w:type="dxa"/>
          </w:tblCellMar>
        </w:tblPrEx>
        <w:trPr>
          <w:trHeight w:val="1396" w:hRule="atLeast"/>
          <w:jc w:val="center"/>
        </w:trPr>
        <w:tc>
          <w:tcPr>
            <w:tcW w:w="640"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14:paraId="64B455B3">
            <w:pPr>
              <w:jc w:val="center"/>
              <w:rPr>
                <w:rFonts w:hint="eastAsia" w:ascii="宋体" w:hAnsi="宋体" w:eastAsia="宋体" w:cs="宋体"/>
                <w:color w:val="auto"/>
                <w:sz w:val="24"/>
                <w:szCs w:val="24"/>
                <w:highlight w:val="none"/>
              </w:rPr>
            </w:pPr>
          </w:p>
        </w:tc>
        <w:tc>
          <w:tcPr>
            <w:tcW w:w="68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CED53F1">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3A4AF1">
            <w:pPr>
              <w:widowControl/>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r>
              <w:rPr>
                <w:rFonts w:hint="eastAsia" w:ascii="宋体" w:hAnsi="宋体" w:eastAsia="宋体" w:cs="宋体"/>
                <w:color w:val="auto"/>
                <w:kern w:val="0"/>
                <w:sz w:val="24"/>
                <w:szCs w:val="24"/>
                <w:highlight w:val="none"/>
                <w:lang w:bidi="ar"/>
              </w:rPr>
              <w:t>施工过程中发现清单错漏</w:t>
            </w:r>
            <w:r>
              <w:rPr>
                <w:rFonts w:hint="eastAsia" w:ascii="宋体" w:hAnsi="宋体" w:eastAsia="宋体" w:cs="宋体"/>
                <w:color w:val="auto"/>
                <w:kern w:val="0"/>
                <w:sz w:val="24"/>
                <w:szCs w:val="24"/>
                <w:highlight w:val="none"/>
                <w:lang w:eastAsia="zh-CN" w:bidi="ar"/>
              </w:rPr>
              <w:t>累计</w:t>
            </w:r>
            <w:r>
              <w:rPr>
                <w:rFonts w:hint="eastAsia" w:ascii="宋体" w:hAnsi="宋体" w:eastAsia="宋体" w:cs="宋体"/>
                <w:color w:val="auto"/>
                <w:kern w:val="0"/>
                <w:sz w:val="24"/>
                <w:szCs w:val="24"/>
                <w:highlight w:val="none"/>
                <w:lang w:val="en-US" w:eastAsia="zh-CN" w:bidi="ar"/>
              </w:rPr>
              <w:t>100万元（含）以上的且误差率超过5%（含）的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DCC979">
            <w:pPr>
              <w:jc w:val="center"/>
              <w:rPr>
                <w:rFonts w:hint="eastAsia" w:ascii="宋体" w:hAnsi="宋体" w:eastAsia="宋体" w:cs="宋体"/>
                <w:color w:val="auto"/>
                <w:sz w:val="24"/>
                <w:szCs w:val="24"/>
                <w:highlight w:val="none"/>
              </w:rPr>
            </w:pP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BDCEE">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AB2036">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B7DF2C">
            <w:pPr>
              <w:widowControl/>
              <w:jc w:val="left"/>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扣</w:t>
            </w:r>
            <w:r>
              <w:rPr>
                <w:rFonts w:hint="eastAsia" w:ascii="宋体" w:hAnsi="宋体" w:eastAsia="宋体" w:cs="宋体"/>
                <w:color w:val="auto"/>
                <w:kern w:val="0"/>
                <w:sz w:val="24"/>
                <w:szCs w:val="24"/>
                <w:highlight w:val="none"/>
                <w:lang w:val="en-US" w:eastAsia="zh-CN" w:bidi="ar"/>
              </w:rPr>
              <w:t>50</w:t>
            </w:r>
            <w:r>
              <w:rPr>
                <w:rFonts w:hint="eastAsia" w:ascii="宋体" w:hAnsi="宋体" w:eastAsia="宋体" w:cs="宋体"/>
                <w:color w:val="auto"/>
                <w:kern w:val="0"/>
                <w:sz w:val="24"/>
                <w:szCs w:val="24"/>
                <w:highlight w:val="none"/>
                <w:lang w:bidi="ar"/>
              </w:rPr>
              <w:t>分</w:t>
            </w:r>
          </w:p>
        </w:tc>
      </w:tr>
      <w:tr w14:paraId="5B7ED349">
        <w:tblPrEx>
          <w:tblCellMar>
            <w:top w:w="0" w:type="dxa"/>
            <w:left w:w="0" w:type="dxa"/>
            <w:bottom w:w="0" w:type="dxa"/>
            <w:right w:w="0" w:type="dxa"/>
          </w:tblCellMar>
        </w:tblPrEx>
        <w:trPr>
          <w:trHeight w:val="645"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27C75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68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11A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加分项</w:t>
            </w: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64747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bidi="ar"/>
              </w:rPr>
              <w:t>发现设计重大错漏</w:t>
            </w:r>
          </w:p>
        </w:tc>
        <w:tc>
          <w:tcPr>
            <w:tcW w:w="56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5CDCFDEE">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22256BA9">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3598870">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2A46CF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2DCA6B3B">
        <w:tblPrEx>
          <w:tblCellMar>
            <w:top w:w="0" w:type="dxa"/>
            <w:left w:w="0" w:type="dxa"/>
            <w:bottom w:w="0" w:type="dxa"/>
            <w:right w:w="0" w:type="dxa"/>
          </w:tblCellMar>
        </w:tblPrEx>
        <w:trPr>
          <w:trHeight w:val="718"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D66755">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D5C32">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EECBD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r>
              <w:rPr>
                <w:rFonts w:hint="eastAsia" w:ascii="宋体" w:hAnsi="宋体" w:eastAsia="宋体" w:cs="宋体"/>
                <w:color w:val="auto"/>
                <w:kern w:val="0"/>
                <w:sz w:val="24"/>
                <w:szCs w:val="24"/>
                <w:highlight w:val="none"/>
                <w:lang w:bidi="ar"/>
              </w:rPr>
              <w:t>提出合理化意见被采纳的</w:t>
            </w:r>
          </w:p>
        </w:tc>
        <w:tc>
          <w:tcPr>
            <w:tcW w:w="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B6D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CEA10">
            <w:pPr>
              <w:jc w:val="left"/>
              <w:rPr>
                <w:rFonts w:hint="eastAsia" w:ascii="宋体" w:hAnsi="宋体" w:eastAsia="宋体" w:cs="宋体"/>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BB6E43">
            <w:pPr>
              <w:jc w:val="left"/>
              <w:rPr>
                <w:rFonts w:hint="eastAsia" w:ascii="宋体" w:hAnsi="宋体" w:eastAsia="宋体" w:cs="宋体"/>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7850A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每项加5分</w:t>
            </w:r>
          </w:p>
        </w:tc>
      </w:tr>
      <w:tr w14:paraId="6C2C5956">
        <w:tblPrEx>
          <w:tblCellMar>
            <w:top w:w="0" w:type="dxa"/>
            <w:left w:w="0" w:type="dxa"/>
            <w:bottom w:w="0" w:type="dxa"/>
            <w:right w:w="0" w:type="dxa"/>
          </w:tblCellMar>
        </w:tblPrEx>
        <w:trPr>
          <w:trHeight w:val="784"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A3E9D7">
            <w:pPr>
              <w:jc w:val="center"/>
              <w:rPr>
                <w:rFonts w:hint="eastAsia" w:ascii="宋体" w:hAnsi="宋体" w:eastAsia="宋体" w:cs="宋体"/>
                <w:color w:val="auto"/>
                <w:sz w:val="24"/>
                <w:szCs w:val="24"/>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C2D259">
            <w:pPr>
              <w:jc w:val="center"/>
              <w:rPr>
                <w:rFonts w:hint="eastAsia" w:ascii="宋体" w:hAnsi="宋体" w:eastAsia="宋体" w:cs="宋体"/>
                <w:color w:val="auto"/>
                <w:sz w:val="24"/>
                <w:szCs w:val="24"/>
                <w:highlight w:val="none"/>
              </w:rPr>
            </w:pPr>
          </w:p>
        </w:tc>
        <w:tc>
          <w:tcPr>
            <w:tcW w:w="2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3C3B9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r>
              <w:rPr>
                <w:rFonts w:hint="eastAsia" w:ascii="宋体" w:hAnsi="宋体" w:eastAsia="宋体" w:cs="宋体"/>
                <w:color w:val="auto"/>
                <w:kern w:val="0"/>
                <w:sz w:val="24"/>
                <w:szCs w:val="24"/>
                <w:highlight w:val="none"/>
                <w:lang w:bidi="ar"/>
              </w:rPr>
              <w:t>发现并移交经济案件线索且被立案查处</w:t>
            </w:r>
          </w:p>
        </w:tc>
        <w:tc>
          <w:tcPr>
            <w:tcW w:w="56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E50C74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tc>
        <w:tc>
          <w:tcPr>
            <w:tcW w:w="70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0262A128">
            <w:pPr>
              <w:jc w:val="left"/>
              <w:rPr>
                <w:rFonts w:hint="eastAsia" w:ascii="宋体" w:hAnsi="宋体" w:eastAsia="宋体" w:cs="宋体"/>
                <w:color w:val="auto"/>
                <w:sz w:val="24"/>
                <w:szCs w:val="24"/>
                <w:highlight w:val="none"/>
              </w:rPr>
            </w:pPr>
          </w:p>
        </w:tc>
        <w:tc>
          <w:tcPr>
            <w:tcW w:w="103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0089FB1">
            <w:pPr>
              <w:jc w:val="left"/>
              <w:rPr>
                <w:rFonts w:hint="eastAsia" w:ascii="宋体" w:hAnsi="宋体" w:eastAsia="宋体" w:cs="宋体"/>
                <w:color w:val="auto"/>
                <w:sz w:val="24"/>
                <w:szCs w:val="24"/>
                <w:highlight w:val="none"/>
              </w:rPr>
            </w:pPr>
          </w:p>
        </w:tc>
        <w:tc>
          <w:tcPr>
            <w:tcW w:w="385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7175181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每件加20分</w:t>
            </w:r>
          </w:p>
        </w:tc>
      </w:tr>
      <w:tr w14:paraId="0CA81264">
        <w:tblPrEx>
          <w:tblCellMar>
            <w:top w:w="0" w:type="dxa"/>
            <w:left w:w="0" w:type="dxa"/>
            <w:bottom w:w="0" w:type="dxa"/>
            <w:right w:w="0" w:type="dxa"/>
          </w:tblCellMar>
        </w:tblPrEx>
        <w:trPr>
          <w:trHeight w:val="470" w:hRule="atLeast"/>
          <w:jc w:val="center"/>
        </w:trPr>
        <w:tc>
          <w:tcPr>
            <w:tcW w:w="48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A33C8">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7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B9086">
            <w:pPr>
              <w:jc w:val="left"/>
              <w:rPr>
                <w:rFonts w:hint="eastAsia" w:ascii="宋体" w:hAnsi="宋体" w:eastAsia="宋体" w:cs="宋体"/>
                <w:b/>
                <w:color w:val="auto"/>
                <w:sz w:val="24"/>
                <w:szCs w:val="24"/>
                <w:highlight w:val="none"/>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D9B23">
            <w:pPr>
              <w:jc w:val="left"/>
              <w:rPr>
                <w:rFonts w:hint="eastAsia" w:ascii="宋体" w:hAnsi="宋体" w:eastAsia="宋体" w:cs="宋体"/>
                <w:b/>
                <w:color w:val="auto"/>
                <w:sz w:val="24"/>
                <w:szCs w:val="24"/>
                <w:highlight w:val="none"/>
              </w:rPr>
            </w:pPr>
          </w:p>
        </w:tc>
        <w:tc>
          <w:tcPr>
            <w:tcW w:w="38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E436CF">
            <w:pPr>
              <w:jc w:val="left"/>
              <w:rPr>
                <w:rFonts w:hint="eastAsia" w:ascii="宋体" w:hAnsi="宋体" w:eastAsia="宋体" w:cs="宋体"/>
                <w:color w:val="auto"/>
                <w:sz w:val="24"/>
                <w:szCs w:val="24"/>
                <w:highlight w:val="none"/>
              </w:rPr>
            </w:pPr>
          </w:p>
        </w:tc>
      </w:tr>
      <w:tr w14:paraId="52340764">
        <w:tblPrEx>
          <w:tblCellMar>
            <w:top w:w="0" w:type="dxa"/>
            <w:left w:w="0" w:type="dxa"/>
            <w:bottom w:w="0" w:type="dxa"/>
            <w:right w:w="0" w:type="dxa"/>
          </w:tblCellMar>
        </w:tblPrEx>
        <w:trPr>
          <w:trHeight w:val="944" w:hRule="atLeast"/>
          <w:jc w:val="center"/>
        </w:trPr>
        <w:tc>
          <w:tcPr>
            <w:tcW w:w="10412"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D2CC01A">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 xml:space="preserve">造价咨询人员签字：               考核人员签字 ：              </w:t>
            </w:r>
          </w:p>
          <w:p w14:paraId="633CB4C3">
            <w:pPr>
              <w:widowControl/>
              <w:textAlignment w:val="center"/>
              <w:rPr>
                <w:rFonts w:hint="eastAsia" w:ascii="宋体" w:hAnsi="宋体" w:eastAsia="宋体" w:cs="宋体"/>
                <w:color w:val="auto"/>
                <w:kern w:val="0"/>
                <w:sz w:val="24"/>
                <w:szCs w:val="24"/>
                <w:highlight w:val="none"/>
                <w:lang w:bidi="ar"/>
              </w:rPr>
            </w:pPr>
          </w:p>
          <w:p w14:paraId="52BF021C">
            <w:pPr>
              <w:widowControl/>
              <w:ind w:firstLine="7560" w:firstLineChars="3150"/>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4"/>
                <w:rFonts w:hint="eastAsia" w:ascii="宋体" w:hAnsi="宋体" w:eastAsia="宋体" w:cs="宋体"/>
                <w:color w:val="auto"/>
                <w:sz w:val="24"/>
                <w:szCs w:val="24"/>
                <w:highlight w:val="none"/>
                <w:lang w:bidi="ar"/>
              </w:rPr>
              <w:t xml:space="preserve">日     </w:t>
            </w:r>
          </w:p>
        </w:tc>
      </w:tr>
    </w:tbl>
    <w:p w14:paraId="7E9CCC01">
      <w:pPr>
        <w:pStyle w:val="2"/>
        <w:spacing w:line="240" w:lineRule="auto"/>
        <w:ind w:left="0" w:leftChars="0" w:firstLine="0" w:firstLineChars="0"/>
        <w:rPr>
          <w:rFonts w:hint="eastAsia" w:ascii="宋体" w:hAnsi="宋体" w:eastAsia="宋体" w:cs="宋体"/>
          <w:color w:val="auto"/>
          <w:sz w:val="32"/>
          <w:szCs w:val="32"/>
          <w:highlight w:val="none"/>
        </w:rPr>
      </w:pPr>
    </w:p>
    <w:p w14:paraId="15FDB7B2">
      <w:pPr>
        <w:pStyle w:val="2"/>
        <w:spacing w:line="240" w:lineRule="auto"/>
        <w:ind w:left="0" w:leftChars="0" w:firstLine="0" w:firstLineChars="0"/>
        <w:rPr>
          <w:rFonts w:hint="eastAsia" w:ascii="宋体" w:hAnsi="宋体" w:eastAsia="宋体" w:cs="宋体"/>
          <w:color w:val="auto"/>
          <w:sz w:val="32"/>
          <w:szCs w:val="32"/>
          <w:highlight w:val="none"/>
        </w:rPr>
      </w:pPr>
    </w:p>
    <w:p w14:paraId="344C7DD0">
      <w:pPr>
        <w:rPr>
          <w:rFonts w:hint="eastAsia" w:ascii="宋体" w:hAnsi="宋体" w:eastAsia="宋体" w:cs="宋体"/>
          <w:color w:val="auto"/>
          <w:sz w:val="32"/>
          <w:szCs w:val="32"/>
          <w:highlight w:val="none"/>
        </w:rPr>
      </w:pPr>
    </w:p>
    <w:p w14:paraId="4A2B78AE">
      <w:pPr>
        <w:pStyle w:val="2"/>
        <w:rPr>
          <w:rFonts w:hint="eastAsia" w:ascii="宋体" w:hAnsi="宋体" w:eastAsia="宋体" w:cs="宋体"/>
          <w:color w:val="auto"/>
          <w:sz w:val="32"/>
          <w:szCs w:val="32"/>
          <w:highlight w:val="none"/>
        </w:rPr>
      </w:pPr>
    </w:p>
    <w:p w14:paraId="7409AD80">
      <w:pPr>
        <w:rPr>
          <w:rFonts w:hint="eastAsia" w:ascii="宋体" w:hAnsi="宋体" w:eastAsia="宋体" w:cs="宋体"/>
          <w:color w:val="auto"/>
          <w:sz w:val="32"/>
          <w:szCs w:val="32"/>
          <w:highlight w:val="none"/>
        </w:rPr>
      </w:pPr>
    </w:p>
    <w:p w14:paraId="3EA97D51">
      <w:pPr>
        <w:pStyle w:val="2"/>
        <w:rPr>
          <w:rFonts w:hint="eastAsia" w:ascii="宋体" w:hAnsi="宋体" w:eastAsia="宋体" w:cs="宋体"/>
          <w:color w:val="auto"/>
          <w:sz w:val="32"/>
          <w:szCs w:val="32"/>
          <w:highlight w:val="none"/>
        </w:rPr>
      </w:pPr>
    </w:p>
    <w:p w14:paraId="3DFCAA94">
      <w:pPr>
        <w:rPr>
          <w:rFonts w:hint="eastAsia" w:ascii="宋体" w:hAnsi="宋体" w:eastAsia="宋体" w:cs="宋体"/>
          <w:color w:val="auto"/>
          <w:sz w:val="32"/>
          <w:szCs w:val="32"/>
          <w:highlight w:val="none"/>
        </w:rPr>
      </w:pPr>
    </w:p>
    <w:p w14:paraId="3E001B22">
      <w:pPr>
        <w:pStyle w:val="2"/>
        <w:rPr>
          <w:rFonts w:hint="eastAsia"/>
          <w:color w:val="auto"/>
          <w:highlight w:val="none"/>
        </w:rPr>
      </w:pPr>
    </w:p>
    <w:p w14:paraId="525AF85E">
      <w:pPr>
        <w:rPr>
          <w:rFonts w:hint="eastAsia" w:ascii="宋体" w:hAnsi="宋体" w:eastAsia="宋体" w:cs="宋体"/>
          <w:color w:val="auto"/>
          <w:sz w:val="32"/>
          <w:szCs w:val="32"/>
          <w:highlight w:val="none"/>
        </w:rPr>
      </w:pPr>
    </w:p>
    <w:p w14:paraId="52B20293">
      <w:pPr>
        <w:pStyle w:val="2"/>
        <w:spacing w:line="24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2</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892"/>
        <w:gridCol w:w="2720"/>
        <w:gridCol w:w="712"/>
        <w:gridCol w:w="596"/>
        <w:gridCol w:w="1002"/>
        <w:gridCol w:w="3520"/>
      </w:tblGrid>
      <w:tr w14:paraId="1014D78D">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2C504765">
            <w:pPr>
              <w:widowControl/>
              <w:jc w:val="center"/>
              <w:textAlignment w:val="center"/>
              <w:rPr>
                <w:rFonts w:hint="eastAsia" w:ascii="宋体" w:hAnsi="宋体" w:eastAsia="宋体" w:cs="宋体"/>
                <w:b/>
                <w:color w:val="auto"/>
                <w:szCs w:val="32"/>
                <w:highlight w:val="none"/>
              </w:rPr>
            </w:pPr>
            <w:r>
              <w:rPr>
                <w:rFonts w:hint="eastAsia" w:ascii="宋体" w:hAnsi="宋体" w:eastAsia="宋体" w:cs="宋体"/>
                <w:b/>
                <w:color w:val="auto"/>
                <w:kern w:val="0"/>
                <w:szCs w:val="32"/>
                <w:highlight w:val="none"/>
                <w:u w:val="single"/>
                <w:lang w:bidi="ar"/>
              </w:rPr>
              <w:t xml:space="preserve">                         </w:t>
            </w:r>
            <w:r>
              <w:rPr>
                <w:rFonts w:hint="eastAsia" w:ascii="宋体" w:hAnsi="宋体" w:eastAsia="宋体" w:cs="宋体"/>
                <w:b/>
                <w:color w:val="auto"/>
                <w:kern w:val="0"/>
                <w:szCs w:val="32"/>
                <w:highlight w:val="none"/>
                <w:u w:val="single"/>
                <w:lang w:val="en-US" w:eastAsia="zh-CN" w:bidi="ar"/>
              </w:rPr>
              <w:t xml:space="preserve">   </w:t>
            </w:r>
            <w:r>
              <w:rPr>
                <w:rFonts w:hint="eastAsia" w:ascii="宋体" w:hAnsi="宋体" w:eastAsia="宋体" w:cs="宋体"/>
                <w:b/>
                <w:color w:val="auto"/>
                <w:kern w:val="0"/>
                <w:szCs w:val="32"/>
                <w:highlight w:val="none"/>
                <w:u w:val="single"/>
                <w:lang w:bidi="ar"/>
              </w:rPr>
              <w:t xml:space="preserve">    </w:t>
            </w:r>
            <w:r>
              <w:rPr>
                <w:rStyle w:val="155"/>
                <w:rFonts w:hint="eastAsia" w:ascii="宋体" w:hAnsi="宋体" w:eastAsia="宋体" w:cs="宋体"/>
                <w:b w:val="0"/>
                <w:color w:val="auto"/>
                <w:highlight w:val="none"/>
                <w:lang w:bidi="ar"/>
              </w:rPr>
              <w:t>项目</w:t>
            </w:r>
            <w:r>
              <w:rPr>
                <w:rStyle w:val="155"/>
                <w:rFonts w:hint="eastAsia" w:ascii="宋体" w:hAnsi="宋体" w:eastAsia="宋体" w:cs="宋体"/>
                <w:b w:val="0"/>
                <w:color w:val="auto"/>
                <w:highlight w:val="none"/>
                <w:lang w:eastAsia="zh-CN" w:bidi="ar"/>
              </w:rPr>
              <w:t>跟踪</w:t>
            </w:r>
            <w:r>
              <w:rPr>
                <w:rStyle w:val="155"/>
                <w:rFonts w:hint="eastAsia" w:ascii="宋体" w:hAnsi="宋体" w:eastAsia="宋体" w:cs="宋体"/>
                <w:b w:val="0"/>
                <w:color w:val="auto"/>
                <w:highlight w:val="none"/>
                <w:lang w:bidi="ar"/>
              </w:rPr>
              <w:t xml:space="preserve">审计服务质量日常考核表           </w:t>
            </w:r>
          </w:p>
        </w:tc>
      </w:tr>
      <w:tr w14:paraId="73404592">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76A9A8">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bidi="ar"/>
              </w:rPr>
              <w:t>序号</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30866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指标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291CE4">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内容</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94DAEE">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B0951">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得分</w:t>
            </w: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5BD026">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打分说明</w:t>
            </w: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86A37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lang w:bidi="ar"/>
              </w:rPr>
              <w:t>备注</w:t>
            </w:r>
          </w:p>
        </w:tc>
      </w:tr>
      <w:tr w14:paraId="454D6840">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7FCBF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eastAsia="zh-CN" w:bidi="ar"/>
              </w:rPr>
              <w:t>一</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D0619A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人员组成</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变更</w:t>
            </w:r>
            <w:r>
              <w:rPr>
                <w:rFonts w:hint="eastAsia" w:ascii="宋体" w:hAnsi="宋体" w:eastAsia="宋体" w:cs="宋体"/>
                <w:color w:val="auto"/>
                <w:kern w:val="0"/>
                <w:sz w:val="24"/>
                <w:szCs w:val="24"/>
                <w:highlight w:val="none"/>
                <w:lang w:eastAsia="zh-CN" w:bidi="ar"/>
              </w:rPr>
              <w:t>及前期准备</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278F69">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是否具备胜任本项目跟踪审计工作能力</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BA03A0">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B7CA0B">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588F7">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2E8E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eastAsia="zh-CN" w:bidi="ar"/>
              </w:rPr>
              <w:t>需有与跟审投标文件、委托协议一致的</w:t>
            </w:r>
            <w:r>
              <w:rPr>
                <w:rFonts w:hint="eastAsia" w:ascii="宋体" w:hAnsi="宋体" w:eastAsia="宋体" w:cs="宋体"/>
                <w:color w:val="auto"/>
                <w:kern w:val="0"/>
                <w:sz w:val="21"/>
                <w:szCs w:val="21"/>
                <w:highlight w:val="none"/>
                <w:lang w:bidi="ar"/>
              </w:rPr>
              <w:t>任命文</w:t>
            </w:r>
            <w:r>
              <w:rPr>
                <w:rFonts w:hint="eastAsia" w:ascii="宋体" w:hAnsi="宋体" w:eastAsia="宋体" w:cs="宋体"/>
                <w:color w:val="auto"/>
                <w:kern w:val="0"/>
                <w:sz w:val="21"/>
                <w:szCs w:val="21"/>
                <w:highlight w:val="none"/>
                <w:lang w:eastAsia="zh-CN" w:bidi="ar"/>
              </w:rPr>
              <w:t>并</w:t>
            </w:r>
            <w:r>
              <w:rPr>
                <w:rFonts w:hint="eastAsia" w:ascii="宋体" w:hAnsi="宋体" w:eastAsia="宋体" w:cs="宋体"/>
                <w:color w:val="auto"/>
                <w:kern w:val="0"/>
                <w:sz w:val="21"/>
                <w:szCs w:val="21"/>
                <w:highlight w:val="none"/>
                <w:lang w:bidi="ar"/>
              </w:rPr>
              <w:t>及时报送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人员变更</w:t>
            </w:r>
            <w:r>
              <w:rPr>
                <w:rFonts w:hint="eastAsia" w:ascii="宋体" w:hAnsi="宋体" w:eastAsia="宋体" w:cs="宋体"/>
                <w:color w:val="auto"/>
                <w:kern w:val="0"/>
                <w:sz w:val="21"/>
                <w:szCs w:val="21"/>
                <w:highlight w:val="none"/>
                <w:lang w:eastAsia="zh-CN" w:bidi="ar"/>
              </w:rPr>
              <w:t>的，程序</w:t>
            </w:r>
            <w:r>
              <w:rPr>
                <w:rFonts w:hint="eastAsia" w:ascii="宋体" w:hAnsi="宋体" w:eastAsia="宋体" w:cs="宋体"/>
                <w:color w:val="auto"/>
                <w:kern w:val="0"/>
                <w:sz w:val="21"/>
                <w:szCs w:val="21"/>
                <w:highlight w:val="none"/>
                <w:lang w:bidi="ar"/>
              </w:rPr>
              <w:t>是否</w:t>
            </w:r>
            <w:r>
              <w:rPr>
                <w:rFonts w:hint="eastAsia" w:ascii="宋体" w:hAnsi="宋体" w:eastAsia="宋体" w:cs="宋体"/>
                <w:color w:val="auto"/>
                <w:kern w:val="0"/>
                <w:sz w:val="21"/>
                <w:szCs w:val="21"/>
                <w:highlight w:val="none"/>
                <w:lang w:eastAsia="zh-CN" w:bidi="ar"/>
              </w:rPr>
              <w:t>按管理办法完成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若不一致或未办理变更手续</w:t>
            </w:r>
            <w:r>
              <w:rPr>
                <w:rFonts w:hint="eastAsia" w:ascii="宋体" w:hAnsi="宋体" w:eastAsia="宋体" w:cs="宋体"/>
                <w:color w:val="auto"/>
                <w:kern w:val="0"/>
                <w:sz w:val="21"/>
                <w:szCs w:val="21"/>
                <w:highlight w:val="none"/>
                <w:lang w:eastAsia="zh-CN" w:bidi="ar"/>
              </w:rPr>
              <w:t>的，本项</w:t>
            </w:r>
            <w:r>
              <w:rPr>
                <w:rFonts w:hint="eastAsia" w:ascii="宋体" w:hAnsi="宋体" w:eastAsia="宋体" w:cs="宋体"/>
                <w:color w:val="auto"/>
                <w:kern w:val="0"/>
                <w:sz w:val="21"/>
                <w:szCs w:val="21"/>
                <w:highlight w:val="none"/>
                <w:lang w:bidi="ar"/>
              </w:rPr>
              <w:t>得0分</w:t>
            </w:r>
          </w:p>
        </w:tc>
      </w:tr>
      <w:tr w14:paraId="570B743F">
        <w:tblPrEx>
          <w:tblCellMar>
            <w:top w:w="0" w:type="dxa"/>
            <w:left w:w="0" w:type="dxa"/>
            <w:bottom w:w="0" w:type="dxa"/>
            <w:right w:w="0" w:type="dxa"/>
          </w:tblCellMar>
        </w:tblPrEx>
        <w:trPr>
          <w:trHeight w:val="1462"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013F0D3B">
            <w:pPr>
              <w:widowControl/>
              <w:jc w:val="center"/>
              <w:textAlignment w:val="center"/>
              <w:rPr>
                <w:rFonts w:hint="eastAsia" w:ascii="宋体" w:hAnsi="宋体" w:eastAsia="宋体" w:cs="宋体"/>
                <w:color w:val="auto"/>
                <w:kern w:val="0"/>
                <w:sz w:val="24"/>
                <w:szCs w:val="24"/>
                <w:highlight w:val="none"/>
                <w:lang w:bidi="ar"/>
              </w:rPr>
            </w:pPr>
          </w:p>
        </w:tc>
        <w:tc>
          <w:tcPr>
            <w:tcW w:w="892" w:type="dxa"/>
            <w:vMerge w:val="continue"/>
            <w:tcBorders>
              <w:left w:val="single" w:color="000000" w:sz="4" w:space="0"/>
              <w:right w:val="single" w:color="000000" w:sz="4" w:space="0"/>
            </w:tcBorders>
            <w:noWrap w:val="0"/>
            <w:tcMar>
              <w:top w:w="15" w:type="dxa"/>
              <w:left w:w="15" w:type="dxa"/>
              <w:right w:w="15" w:type="dxa"/>
            </w:tcMar>
            <w:vAlign w:val="center"/>
          </w:tcPr>
          <w:p w14:paraId="64F384A0">
            <w:pPr>
              <w:widowControl/>
              <w:jc w:val="center"/>
              <w:textAlignment w:val="center"/>
              <w:rPr>
                <w:rFonts w:hint="eastAsia" w:ascii="宋体" w:hAnsi="宋体" w:eastAsia="宋体" w:cs="宋体"/>
                <w:color w:val="auto"/>
                <w:kern w:val="0"/>
                <w:sz w:val="24"/>
                <w:szCs w:val="24"/>
                <w:highlight w:val="none"/>
                <w:lang w:bidi="ar"/>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B0A2F1">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到岗履职</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1A8C12">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4</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B0D0E9">
            <w:pPr>
              <w:jc w:val="left"/>
              <w:rPr>
                <w:rFonts w:hint="eastAsia" w:ascii="宋体" w:hAnsi="宋体" w:eastAsia="宋体" w:cs="宋体"/>
                <w:color w:val="auto"/>
                <w:kern w:val="2"/>
                <w:sz w:val="24"/>
                <w:szCs w:val="24"/>
                <w:highlight w:val="none"/>
                <w:lang w:val="en-US" w:eastAsia="zh-CN" w:bidi="ar-SA"/>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BBF13">
            <w:pPr>
              <w:jc w:val="left"/>
              <w:rPr>
                <w:rFonts w:hint="eastAsia" w:ascii="宋体" w:hAnsi="宋体" w:eastAsia="宋体" w:cs="宋体"/>
                <w:color w:val="auto"/>
                <w:kern w:val="2"/>
                <w:sz w:val="24"/>
                <w:szCs w:val="24"/>
                <w:highlight w:val="none"/>
                <w:lang w:val="en-US" w:eastAsia="zh-CN" w:bidi="ar-SA"/>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0FF3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业主、监理反映履职情况，经检查组询问，项目负责人或现场审计人员是否了解工程现场情况，</w:t>
            </w:r>
            <w:r>
              <w:rPr>
                <w:rFonts w:hint="eastAsia" w:ascii="宋体" w:hAnsi="宋体" w:eastAsia="宋体" w:cs="宋体"/>
                <w:color w:val="auto"/>
                <w:kern w:val="0"/>
                <w:sz w:val="21"/>
                <w:szCs w:val="21"/>
                <w:highlight w:val="none"/>
                <w:lang w:eastAsia="zh-CN" w:bidi="ar"/>
              </w:rPr>
              <w:t>有驻场要求的需考核打卡</w:t>
            </w:r>
            <w:r>
              <w:rPr>
                <w:rFonts w:hint="eastAsia" w:ascii="宋体" w:hAnsi="宋体" w:eastAsia="宋体" w:cs="宋体"/>
                <w:color w:val="auto"/>
                <w:kern w:val="0"/>
                <w:sz w:val="21"/>
                <w:szCs w:val="21"/>
                <w:highlight w:val="none"/>
                <w:lang w:bidi="ar"/>
              </w:rPr>
              <w:t>情况。</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）主要会议未参加或单项隐蔽工程未参与计量的，本项得</w:t>
            </w:r>
            <w:r>
              <w:rPr>
                <w:rFonts w:hint="eastAsia" w:ascii="宋体" w:hAnsi="宋体" w:eastAsia="宋体" w:cs="宋体"/>
                <w:color w:val="auto"/>
                <w:kern w:val="0"/>
                <w:sz w:val="21"/>
                <w:szCs w:val="21"/>
                <w:highlight w:val="none"/>
                <w:lang w:val="en-US" w:eastAsia="zh-CN" w:bidi="ar"/>
              </w:rPr>
              <w:t>0分（本项由业主代表参与打分）</w:t>
            </w:r>
          </w:p>
        </w:tc>
      </w:tr>
      <w:tr w14:paraId="592F05F5">
        <w:tblPrEx>
          <w:tblCellMar>
            <w:top w:w="0" w:type="dxa"/>
            <w:left w:w="0" w:type="dxa"/>
            <w:bottom w:w="0" w:type="dxa"/>
            <w:right w:w="0" w:type="dxa"/>
          </w:tblCellMar>
        </w:tblPrEx>
        <w:trPr>
          <w:trHeight w:val="813"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79EE721">
            <w:pPr>
              <w:widowControl/>
              <w:jc w:val="center"/>
              <w:textAlignment w:val="center"/>
              <w:rPr>
                <w:rFonts w:hint="eastAsia" w:ascii="宋体" w:hAnsi="宋体" w:eastAsia="宋体" w:cs="宋体"/>
                <w:color w:val="auto"/>
                <w:sz w:val="24"/>
                <w:szCs w:val="24"/>
                <w:highlight w:val="none"/>
                <w:lang w:eastAsia="zh-CN"/>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70C62D8">
            <w:pPr>
              <w:widowControl/>
              <w:jc w:val="center"/>
              <w:textAlignment w:val="center"/>
              <w:rPr>
                <w:rFonts w:hint="eastAsia" w:ascii="宋体" w:hAnsi="宋体" w:eastAsia="宋体" w:cs="宋体"/>
                <w:color w:val="auto"/>
                <w:sz w:val="24"/>
                <w:szCs w:val="24"/>
                <w:highlight w:val="none"/>
                <w:lang w:val="en-US" w:eastAsia="zh-CN"/>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ED6CE5">
            <w:pPr>
              <w:widowControl/>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eastAsia="zh-CN" w:bidi="ar"/>
              </w:rPr>
              <w:t>资料是否收集齐全</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86C7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3E3D61">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609D88">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C0A5C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需有招标文件、工程量清单及最高投标限价、中标单位投标文件、建设工程施工合同、图纸等前期资料。未收集齐全的，本项得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分</w:t>
            </w:r>
          </w:p>
        </w:tc>
      </w:tr>
      <w:tr w14:paraId="21C7E927">
        <w:tblPrEx>
          <w:tblCellMar>
            <w:top w:w="0" w:type="dxa"/>
            <w:left w:w="0" w:type="dxa"/>
            <w:bottom w:w="0" w:type="dxa"/>
            <w:right w:w="0" w:type="dxa"/>
          </w:tblCellMar>
        </w:tblPrEx>
        <w:trPr>
          <w:trHeight w:val="1427" w:hRule="atLeast"/>
          <w:jc w:val="center"/>
        </w:trPr>
        <w:tc>
          <w:tcPr>
            <w:tcW w:w="556"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14:paraId="143439D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二</w:t>
            </w:r>
          </w:p>
        </w:tc>
        <w:tc>
          <w:tcPr>
            <w:tcW w:w="89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2E0299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审计实施方案</w:t>
            </w:r>
          </w:p>
        </w:tc>
        <w:tc>
          <w:tcPr>
            <w:tcW w:w="2720"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928906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内容规范、全面、针对性强，按照《关于进一步规范政府投资项目跟踪审计实施方案及清单复核报告制度的通知》要求编写</w:t>
            </w:r>
          </w:p>
        </w:tc>
        <w:tc>
          <w:tcPr>
            <w:tcW w:w="71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5A170A7">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C8359A7">
            <w:pPr>
              <w:jc w:val="left"/>
              <w:rPr>
                <w:rFonts w:hint="eastAsia" w:ascii="宋体" w:hAnsi="宋体" w:eastAsia="宋体" w:cs="宋体"/>
                <w:color w:val="auto"/>
                <w:sz w:val="24"/>
                <w:szCs w:val="24"/>
                <w:highlight w:val="none"/>
              </w:rPr>
            </w:pPr>
          </w:p>
        </w:tc>
        <w:tc>
          <w:tcPr>
            <w:tcW w:w="1002"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5D46EEEE">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0FB23D1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要素：1.总述2.人员配置3.工作内容4.跟踪审计重点5.审计程序6.审计质量保证措施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开工前报送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603A1A02">
        <w:tblPrEx>
          <w:tblCellMar>
            <w:top w:w="0" w:type="dxa"/>
            <w:left w:w="0" w:type="dxa"/>
            <w:bottom w:w="0" w:type="dxa"/>
            <w:right w:w="0" w:type="dxa"/>
          </w:tblCellMar>
        </w:tblPrEx>
        <w:trPr>
          <w:trHeight w:val="1307"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50CF1C6">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三</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EAACE69">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清单复核记录</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E446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是否完整反映招投标清单价格中错漏，并提出应对措施，是否按照《关于进一步规范政府投资项目跟踪审计实施方案及清单复核报告制度的通知》要求编写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0687B">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47267">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119044">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89C4A">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要素：1.</w:t>
            </w:r>
            <w:r>
              <w:rPr>
                <w:rFonts w:hint="eastAsia" w:ascii="宋体" w:hAnsi="宋体" w:eastAsia="宋体" w:cs="宋体"/>
                <w:color w:val="auto"/>
                <w:kern w:val="0"/>
                <w:sz w:val="21"/>
                <w:szCs w:val="21"/>
                <w:highlight w:val="none"/>
                <w:lang w:eastAsia="zh-CN" w:bidi="ar"/>
              </w:rPr>
              <w:t>重新计算异常</w:t>
            </w:r>
            <w:r>
              <w:rPr>
                <w:rFonts w:hint="eastAsia" w:ascii="宋体" w:hAnsi="宋体" w:eastAsia="宋体" w:cs="宋体"/>
                <w:color w:val="auto"/>
                <w:kern w:val="0"/>
                <w:sz w:val="21"/>
                <w:szCs w:val="21"/>
                <w:highlight w:val="none"/>
                <w:lang w:bidi="ar"/>
              </w:rPr>
              <w:t>工程量2.</w:t>
            </w:r>
            <w:r>
              <w:rPr>
                <w:rFonts w:hint="eastAsia" w:ascii="宋体" w:hAnsi="宋体" w:eastAsia="宋体" w:cs="宋体"/>
                <w:color w:val="auto"/>
                <w:kern w:val="0"/>
                <w:sz w:val="21"/>
                <w:szCs w:val="21"/>
                <w:highlight w:val="none"/>
                <w:lang w:eastAsia="zh-CN" w:bidi="ar"/>
              </w:rPr>
              <w:t>清单描述问题</w:t>
            </w:r>
            <w:r>
              <w:rPr>
                <w:rFonts w:hint="eastAsia" w:ascii="宋体" w:hAnsi="宋体" w:eastAsia="宋体" w:cs="宋体"/>
                <w:color w:val="auto"/>
                <w:kern w:val="0"/>
                <w:sz w:val="21"/>
                <w:szCs w:val="21"/>
                <w:highlight w:val="none"/>
                <w:lang w:bidi="ar"/>
              </w:rPr>
              <w:t>3.清单错漏项4.异常投标单价5.应对措施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不好0分、较好</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分、很好</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分</w:t>
            </w:r>
            <w:r>
              <w:rPr>
                <w:rFonts w:hint="eastAsia" w:ascii="宋体" w:hAnsi="宋体" w:eastAsia="宋体" w:cs="宋体"/>
                <w:color w:val="auto"/>
                <w:kern w:val="0"/>
                <w:sz w:val="21"/>
                <w:szCs w:val="21"/>
                <w:highlight w:val="none"/>
                <w:lang w:eastAsia="zh-CN" w:bidi="ar"/>
              </w:rPr>
              <w:t>）。于开工一个月内</w:t>
            </w:r>
            <w:r>
              <w:rPr>
                <w:rFonts w:hint="eastAsia" w:ascii="宋体" w:hAnsi="宋体" w:eastAsia="宋体" w:cs="宋体"/>
                <w:color w:val="auto"/>
                <w:kern w:val="0"/>
                <w:sz w:val="21"/>
                <w:szCs w:val="21"/>
                <w:highlight w:val="none"/>
                <w:lang w:bidi="ar"/>
              </w:rPr>
              <w:t>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r>
              <w:rPr>
                <w:rFonts w:hint="eastAsia" w:ascii="宋体" w:hAnsi="宋体" w:eastAsia="宋体" w:cs="宋体"/>
                <w:color w:val="auto"/>
                <w:kern w:val="0"/>
                <w:sz w:val="21"/>
                <w:szCs w:val="21"/>
                <w:highlight w:val="none"/>
                <w:lang w:val="en-US" w:eastAsia="zh-CN" w:bidi="ar"/>
              </w:rPr>
              <w:t>1分</w:t>
            </w:r>
            <w:r>
              <w:rPr>
                <w:rFonts w:hint="eastAsia" w:ascii="宋体" w:hAnsi="宋体" w:eastAsia="宋体" w:cs="宋体"/>
                <w:color w:val="auto"/>
                <w:kern w:val="0"/>
                <w:sz w:val="21"/>
                <w:szCs w:val="21"/>
                <w:highlight w:val="none"/>
                <w:lang w:bidi="ar"/>
              </w:rPr>
              <w:t>）</w:t>
            </w:r>
          </w:p>
        </w:tc>
      </w:tr>
      <w:tr w14:paraId="75DA3736">
        <w:tblPrEx>
          <w:tblCellMar>
            <w:top w:w="0" w:type="dxa"/>
            <w:left w:w="0" w:type="dxa"/>
            <w:bottom w:w="0" w:type="dxa"/>
            <w:right w:w="0" w:type="dxa"/>
          </w:tblCellMar>
        </w:tblPrEx>
        <w:trPr>
          <w:trHeight w:val="219"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9F044DE">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3EA59A1">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8CB43">
            <w:pPr>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2.施工过程及时更新清单复核情况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BA715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ADF71">
            <w:pPr>
              <w:jc w:val="center"/>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E50A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F96EC">
            <w:pPr>
              <w:jc w:val="center"/>
              <w:rPr>
                <w:rFonts w:hint="eastAsia" w:ascii="宋体" w:hAnsi="宋体" w:eastAsia="宋体" w:cs="宋体"/>
                <w:color w:val="auto"/>
                <w:sz w:val="21"/>
                <w:szCs w:val="21"/>
                <w:highlight w:val="none"/>
              </w:rPr>
            </w:pPr>
          </w:p>
        </w:tc>
      </w:tr>
      <w:tr w14:paraId="50677A88">
        <w:tblPrEx>
          <w:tblCellMar>
            <w:top w:w="0" w:type="dxa"/>
            <w:left w:w="0" w:type="dxa"/>
            <w:bottom w:w="0" w:type="dxa"/>
            <w:right w:w="0" w:type="dxa"/>
          </w:tblCellMar>
        </w:tblPrEx>
        <w:trPr>
          <w:trHeight w:val="1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6D794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四</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BED8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造价例会</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C355">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明确项目参建各方签字权责任人</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AC9A6D">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8464AB">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72737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4B45A">
            <w:pPr>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需有参建各方公章、项目负责人签字及执业章</w:t>
            </w:r>
          </w:p>
        </w:tc>
      </w:tr>
      <w:tr w14:paraId="56176D20">
        <w:tblPrEx>
          <w:tblCellMar>
            <w:top w:w="0" w:type="dxa"/>
            <w:left w:w="0" w:type="dxa"/>
            <w:bottom w:w="0" w:type="dxa"/>
            <w:right w:w="0" w:type="dxa"/>
          </w:tblCellMar>
        </w:tblPrEx>
        <w:trPr>
          <w:trHeight w:val="14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C29DA">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C76D3">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B7BCA3">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有无与会各方代表签字的会议纪要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65C684">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34532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EF8B61">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C32DE9">
            <w:pPr>
              <w:jc w:val="left"/>
              <w:rPr>
                <w:rFonts w:hint="eastAsia" w:ascii="宋体" w:hAnsi="宋体" w:eastAsia="宋体" w:cs="宋体"/>
                <w:color w:val="auto"/>
                <w:sz w:val="21"/>
                <w:szCs w:val="21"/>
                <w:highlight w:val="none"/>
              </w:rPr>
            </w:pPr>
          </w:p>
        </w:tc>
      </w:tr>
      <w:tr w14:paraId="10BD2321">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E0F5E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6913E2">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63C2A4">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是否报送备案</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711F0">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1</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23866">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314DD">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983633">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于</w:t>
            </w:r>
            <w:r>
              <w:rPr>
                <w:rFonts w:hint="eastAsia" w:ascii="宋体" w:hAnsi="宋体" w:eastAsia="宋体" w:cs="宋体"/>
                <w:color w:val="auto"/>
                <w:kern w:val="0"/>
                <w:sz w:val="21"/>
                <w:szCs w:val="21"/>
                <w:highlight w:val="none"/>
                <w:lang w:bidi="ar"/>
              </w:rPr>
              <w:t>会议后3日内报送</w:t>
            </w:r>
            <w:r>
              <w:rPr>
                <w:rFonts w:hint="eastAsia" w:ascii="宋体" w:hAnsi="宋体" w:eastAsia="宋体" w:cs="宋体"/>
                <w:color w:val="auto"/>
                <w:kern w:val="0"/>
                <w:sz w:val="21"/>
                <w:szCs w:val="21"/>
                <w:highlight w:val="none"/>
                <w:lang w:eastAsia="zh-CN" w:bidi="ar"/>
              </w:rPr>
              <w:t>综合计划科和业主代表</w:t>
            </w:r>
            <w:r>
              <w:rPr>
                <w:rFonts w:hint="eastAsia" w:ascii="宋体" w:hAnsi="宋体" w:eastAsia="宋体" w:cs="宋体"/>
                <w:color w:val="auto"/>
                <w:kern w:val="0"/>
                <w:sz w:val="21"/>
                <w:szCs w:val="21"/>
                <w:highlight w:val="none"/>
                <w:lang w:bidi="ar"/>
              </w:rPr>
              <w:t>备案</w:t>
            </w:r>
          </w:p>
        </w:tc>
      </w:tr>
      <w:tr w14:paraId="43E91F31">
        <w:tblPrEx>
          <w:tblCellMar>
            <w:top w:w="0" w:type="dxa"/>
            <w:left w:w="0" w:type="dxa"/>
            <w:bottom w:w="0" w:type="dxa"/>
            <w:right w:w="0" w:type="dxa"/>
          </w:tblCellMar>
        </w:tblPrEx>
        <w:trPr>
          <w:trHeight w:val="75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63C621">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五</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01A99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审计日志</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97F71">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是否真实全面反映日常跟踪审计工作情况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43D53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7</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02950">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CBA33">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28780">
            <w:pPr>
              <w:widowControl/>
              <w:numPr>
                <w:ilvl w:val="0"/>
                <w:numId w:val="0"/>
              </w:numPr>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bidi="ar"/>
              </w:rPr>
              <w:t>要素：1.当日工程进展情况2.当日</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.当日参加会议的记录</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.工程变更事项</w:t>
            </w:r>
            <w:r>
              <w:rPr>
                <w:rFonts w:hint="eastAsia" w:ascii="宋体" w:hAnsi="宋体" w:eastAsia="宋体" w:cs="宋体"/>
                <w:color w:val="auto"/>
                <w:kern w:val="0"/>
                <w:sz w:val="21"/>
                <w:szCs w:val="21"/>
                <w:highlight w:val="none"/>
                <w:lang w:val="en-US" w:eastAsia="zh-CN" w:bidi="ar"/>
              </w:rPr>
              <w:t>6.当日影像资料。不真实或间隔超过一周的，本项得0分</w:t>
            </w:r>
          </w:p>
        </w:tc>
      </w:tr>
      <w:tr w14:paraId="6D619552">
        <w:tblPrEx>
          <w:tblCellMar>
            <w:top w:w="0" w:type="dxa"/>
            <w:left w:w="0" w:type="dxa"/>
            <w:bottom w:w="0" w:type="dxa"/>
            <w:right w:w="0" w:type="dxa"/>
          </w:tblCellMar>
        </w:tblPrEx>
        <w:trPr>
          <w:trHeight w:val="959"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3A0636">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w:t>
            </w:r>
          </w:p>
        </w:tc>
        <w:tc>
          <w:tcPr>
            <w:tcW w:w="8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7BCA8D">
            <w:pPr>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审计月报</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A1EC5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按月编报并报送</w:t>
            </w:r>
            <w:r>
              <w:rPr>
                <w:rFonts w:hint="eastAsia" w:ascii="宋体" w:hAnsi="宋体" w:eastAsia="宋体" w:cs="宋体"/>
                <w:color w:val="auto"/>
                <w:kern w:val="0"/>
                <w:sz w:val="24"/>
                <w:szCs w:val="24"/>
                <w:highlight w:val="none"/>
                <w:lang w:eastAsia="zh-CN" w:bidi="ar"/>
              </w:rPr>
              <w:t>综合计划科和业主代表</w:t>
            </w:r>
            <w:r>
              <w:rPr>
                <w:rFonts w:hint="eastAsia" w:ascii="宋体" w:hAnsi="宋体" w:eastAsia="宋体" w:cs="宋体"/>
                <w:color w:val="auto"/>
                <w:kern w:val="0"/>
                <w:sz w:val="24"/>
                <w:szCs w:val="24"/>
                <w:highlight w:val="none"/>
                <w:lang w:bidi="ar"/>
              </w:rPr>
              <w:t>备案（每月5日前报送）</w:t>
            </w: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是否真实全面反映月度主要跟踪审计工作情况</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F358D1">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8</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D6213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284F8E">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74659">
            <w:pPr>
              <w:widowControl/>
              <w:numPr>
                <w:ilvl w:val="0"/>
                <w:numId w:val="0"/>
              </w:numPr>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1.漏报、迟报一次扣1分，2分扣完为止；</w:t>
            </w:r>
          </w:p>
          <w:p w14:paraId="2EA5278A">
            <w:pPr>
              <w:widowControl/>
              <w:numPr>
                <w:ilvl w:val="0"/>
                <w:numId w:val="0"/>
              </w:numPr>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要素：1.主要工程进展情况2.主要</w:t>
            </w:r>
            <w:r>
              <w:rPr>
                <w:rFonts w:hint="eastAsia" w:ascii="宋体" w:hAnsi="宋体" w:eastAsia="宋体" w:cs="宋体"/>
                <w:color w:val="auto"/>
                <w:kern w:val="0"/>
                <w:sz w:val="21"/>
                <w:szCs w:val="21"/>
                <w:highlight w:val="none"/>
                <w:lang w:val="en-US" w:eastAsia="zh-CN" w:bidi="ar"/>
              </w:rPr>
              <w:t>计量</w:t>
            </w:r>
            <w:r>
              <w:rPr>
                <w:rFonts w:hint="eastAsia" w:ascii="宋体" w:hAnsi="宋体" w:eastAsia="宋体" w:cs="宋体"/>
                <w:color w:val="auto"/>
                <w:kern w:val="0"/>
                <w:sz w:val="21"/>
                <w:szCs w:val="21"/>
                <w:highlight w:val="none"/>
                <w:lang w:eastAsia="zh-CN" w:bidi="ar"/>
              </w:rPr>
              <w:t>计价事项</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eastAsia="zh-CN" w:bidi="ar"/>
              </w:rPr>
              <w:t>.参加会议的记录</w:t>
            </w:r>
            <w:r>
              <w:rPr>
                <w:rFonts w:hint="eastAsia" w:ascii="宋体" w:hAnsi="宋体" w:eastAsia="宋体" w:cs="宋体"/>
                <w:color w:val="auto"/>
                <w:kern w:val="0"/>
                <w:sz w:val="21"/>
                <w:szCs w:val="21"/>
                <w:highlight w:val="none"/>
                <w:lang w:val="en-US" w:eastAsia="zh-CN" w:bidi="ar"/>
              </w:rPr>
              <w:t>4.当月</w:t>
            </w:r>
            <w:r>
              <w:rPr>
                <w:rFonts w:hint="eastAsia" w:ascii="宋体" w:hAnsi="宋体" w:eastAsia="宋体" w:cs="宋体"/>
                <w:color w:val="auto"/>
                <w:kern w:val="0"/>
                <w:sz w:val="21"/>
                <w:szCs w:val="21"/>
                <w:highlight w:val="none"/>
                <w:lang w:eastAsia="zh-CN" w:bidi="ar"/>
              </w:rPr>
              <w:t>进度款审核情况</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eastAsia="zh-CN" w:bidi="ar"/>
              </w:rPr>
              <w:t>.当月工程变更事项</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主要</w:t>
            </w:r>
            <w:r>
              <w:rPr>
                <w:rFonts w:hint="eastAsia" w:ascii="宋体" w:hAnsi="宋体" w:eastAsia="宋体" w:cs="宋体"/>
                <w:color w:val="auto"/>
                <w:kern w:val="0"/>
                <w:sz w:val="21"/>
                <w:szCs w:val="21"/>
                <w:highlight w:val="none"/>
                <w:lang w:val="en-US" w:eastAsia="zh-CN" w:bidi="ar"/>
              </w:rPr>
              <w:t>影像资料。不真实的，本项得0分</w:t>
            </w:r>
          </w:p>
        </w:tc>
      </w:tr>
      <w:tr w14:paraId="48199DEC">
        <w:tblPrEx>
          <w:tblCellMar>
            <w:top w:w="0" w:type="dxa"/>
            <w:left w:w="0" w:type="dxa"/>
            <w:bottom w:w="0" w:type="dxa"/>
            <w:right w:w="0" w:type="dxa"/>
          </w:tblCellMar>
        </w:tblPrEx>
        <w:trPr>
          <w:trHeight w:val="114"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39BE6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七</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90C8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工程进度款审核支付</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71CFA">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是否根据合同约定审核工程进度款支付申请资料</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E169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1ED03">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1569B">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167090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一处不真实的，本项得</w:t>
            </w:r>
            <w:r>
              <w:rPr>
                <w:rFonts w:hint="eastAsia" w:ascii="宋体" w:hAnsi="宋体" w:eastAsia="宋体" w:cs="宋体"/>
                <w:color w:val="auto"/>
                <w:sz w:val="21"/>
                <w:szCs w:val="21"/>
                <w:highlight w:val="none"/>
                <w:lang w:val="en-US" w:eastAsia="zh-CN"/>
              </w:rPr>
              <w:t>0分</w:t>
            </w:r>
          </w:p>
        </w:tc>
      </w:tr>
      <w:tr w14:paraId="2DD048A0">
        <w:tblPrEx>
          <w:tblCellMar>
            <w:top w:w="0" w:type="dxa"/>
            <w:left w:w="0" w:type="dxa"/>
            <w:bottom w:w="0" w:type="dxa"/>
            <w:right w:w="0" w:type="dxa"/>
          </w:tblCellMar>
        </w:tblPrEx>
        <w:trPr>
          <w:trHeight w:val="90"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236CA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FBC62A">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0FD70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工程进度款支付审批意见是否由项目负责人签字盖章</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C924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1127D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986EE">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right w:val="single" w:color="000000" w:sz="4" w:space="0"/>
            </w:tcBorders>
            <w:noWrap w:val="0"/>
            <w:tcMar>
              <w:top w:w="15" w:type="dxa"/>
              <w:left w:w="15" w:type="dxa"/>
              <w:right w:w="15" w:type="dxa"/>
            </w:tcMar>
            <w:vAlign w:val="center"/>
          </w:tcPr>
          <w:p w14:paraId="444A6865">
            <w:pPr>
              <w:jc w:val="left"/>
              <w:rPr>
                <w:rFonts w:hint="eastAsia" w:ascii="宋体" w:hAnsi="宋体" w:eastAsia="宋体" w:cs="宋体"/>
                <w:color w:val="auto"/>
                <w:sz w:val="21"/>
                <w:szCs w:val="21"/>
                <w:highlight w:val="none"/>
              </w:rPr>
            </w:pPr>
          </w:p>
        </w:tc>
      </w:tr>
      <w:tr w14:paraId="3D538311">
        <w:tblPrEx>
          <w:tblCellMar>
            <w:top w:w="0" w:type="dxa"/>
            <w:left w:w="0" w:type="dxa"/>
            <w:bottom w:w="0" w:type="dxa"/>
            <w:right w:w="0" w:type="dxa"/>
          </w:tblCellMar>
        </w:tblPrEx>
        <w:trPr>
          <w:trHeight w:val="9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DD10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458ECB">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76763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是否建立相应工程计量支付管理台账</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1CAE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7D2DCE">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3541A2">
            <w:pPr>
              <w:jc w:val="left"/>
              <w:rPr>
                <w:rFonts w:hint="eastAsia" w:ascii="宋体" w:hAnsi="宋体" w:eastAsia="宋体" w:cs="宋体"/>
                <w:color w:val="auto"/>
                <w:sz w:val="24"/>
                <w:szCs w:val="24"/>
                <w:highlight w:val="none"/>
              </w:rPr>
            </w:pPr>
          </w:p>
        </w:tc>
        <w:tc>
          <w:tcPr>
            <w:tcW w:w="352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973E0F6">
            <w:pPr>
              <w:jc w:val="left"/>
              <w:rPr>
                <w:rFonts w:hint="eastAsia" w:ascii="宋体" w:hAnsi="宋体" w:eastAsia="宋体" w:cs="宋体"/>
                <w:color w:val="auto"/>
                <w:sz w:val="21"/>
                <w:szCs w:val="21"/>
                <w:highlight w:val="none"/>
              </w:rPr>
            </w:pPr>
          </w:p>
        </w:tc>
      </w:tr>
      <w:tr w14:paraId="2600B659">
        <w:tblPrEx>
          <w:tblCellMar>
            <w:top w:w="0" w:type="dxa"/>
            <w:left w:w="0" w:type="dxa"/>
            <w:bottom w:w="0" w:type="dxa"/>
            <w:right w:w="0" w:type="dxa"/>
          </w:tblCellMar>
        </w:tblPrEx>
        <w:trPr>
          <w:trHeight w:val="446"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DAF68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八</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B4966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工程计量及合法性</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A716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是否及时、真实、准确计量</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E89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15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3156AA">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04F6DC">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DDA0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抽查复核，一处不真实、不准确</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r>
              <w:rPr>
                <w:rFonts w:hint="eastAsia" w:ascii="宋体" w:hAnsi="宋体" w:eastAsia="宋体" w:cs="宋体"/>
                <w:color w:val="auto"/>
                <w:kern w:val="0"/>
                <w:sz w:val="21"/>
                <w:szCs w:val="21"/>
                <w:highlight w:val="none"/>
                <w:lang w:bidi="ar"/>
              </w:rPr>
              <w:t>不及时计量扣</w:t>
            </w: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分，若影响计量结果</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w:t>
            </w:r>
          </w:p>
        </w:tc>
      </w:tr>
      <w:tr w14:paraId="3FB2B53D">
        <w:tblPrEx>
          <w:tblCellMar>
            <w:top w:w="0" w:type="dxa"/>
            <w:left w:w="0" w:type="dxa"/>
            <w:bottom w:w="0" w:type="dxa"/>
            <w:right w:w="0" w:type="dxa"/>
          </w:tblCellMar>
        </w:tblPrEx>
        <w:trPr>
          <w:trHeight w:val="523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2EB5F6">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88377C">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4A1B6B">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计量记录、简图及影像资料是否齐全，计量方法是否规范</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036A9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71684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050DBB">
            <w:pPr>
              <w:jc w:val="left"/>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A1981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计量资料中中期计量单、计量底稿、影像资料应一一对应；</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隐蔽工程计量时应留下带有位置、桩号、计量标记等可识别的影像资料，必要的简图和计算底稿</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.工程场地平整、绿化土方、建筑垃圾等涉及土石方工程量的计量，应附详细测量记录</w:t>
            </w:r>
            <w:r>
              <w:rPr>
                <w:rFonts w:hint="eastAsia" w:ascii="宋体" w:hAnsi="宋体" w:eastAsia="宋体" w:cs="宋体"/>
                <w:color w:val="auto"/>
                <w:kern w:val="0"/>
                <w:sz w:val="21"/>
                <w:szCs w:val="21"/>
                <w:highlight w:val="none"/>
                <w:lang w:eastAsia="zh-CN" w:bidi="ar"/>
              </w:rPr>
              <w:t>。道路桥梁类与原始地形地貌发生重大变化的土方及建筑垃圾；道路桥梁类不规则不易计量或总量超过</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000方</w:t>
            </w:r>
            <w:r>
              <w:rPr>
                <w:rFonts w:hint="eastAsia" w:ascii="宋体" w:hAnsi="宋体" w:eastAsia="宋体" w:cs="宋体"/>
                <w:color w:val="auto"/>
                <w:kern w:val="0"/>
                <w:sz w:val="21"/>
                <w:szCs w:val="21"/>
                <w:highlight w:val="none"/>
                <w:lang w:eastAsia="zh-CN" w:bidi="ar"/>
              </w:rPr>
              <w:t>的沟塘清淤；景观、水环境类地形复杂或地形地貌发生重大变化数量超过</w:t>
            </w:r>
            <w:r>
              <w:rPr>
                <w:rFonts w:hint="eastAsia" w:ascii="宋体" w:hAnsi="宋体" w:eastAsia="宋体" w:cs="宋体"/>
                <w:color w:val="auto"/>
                <w:kern w:val="0"/>
                <w:sz w:val="21"/>
                <w:szCs w:val="21"/>
                <w:highlight w:val="none"/>
                <w:lang w:val="en-US" w:eastAsia="zh-CN" w:bidi="ar"/>
              </w:rPr>
              <w:t>1000方的挖填土方；房建类基槽开挖前的原地貌测绘，</w:t>
            </w:r>
            <w:r>
              <w:rPr>
                <w:rFonts w:hint="eastAsia" w:ascii="宋体" w:hAnsi="宋体" w:eastAsia="宋体" w:cs="宋体"/>
                <w:color w:val="auto"/>
                <w:kern w:val="0"/>
                <w:sz w:val="21"/>
                <w:szCs w:val="21"/>
                <w:highlight w:val="none"/>
                <w:lang w:bidi="ar"/>
              </w:rPr>
              <w:t>应</w:t>
            </w:r>
            <w:r>
              <w:rPr>
                <w:rFonts w:hint="eastAsia" w:ascii="宋体" w:hAnsi="宋体" w:eastAsia="宋体" w:cs="宋体"/>
                <w:color w:val="auto"/>
                <w:kern w:val="0"/>
                <w:sz w:val="21"/>
                <w:szCs w:val="21"/>
                <w:highlight w:val="none"/>
                <w:lang w:eastAsia="zh-CN" w:bidi="ar"/>
              </w:rPr>
              <w:t>书面</w:t>
            </w:r>
            <w:r>
              <w:rPr>
                <w:rFonts w:hint="eastAsia" w:ascii="宋体" w:hAnsi="宋体" w:eastAsia="宋体" w:cs="宋体"/>
                <w:color w:val="auto"/>
                <w:kern w:val="0"/>
                <w:sz w:val="21"/>
                <w:szCs w:val="21"/>
                <w:highlight w:val="none"/>
                <w:lang w:bidi="ar"/>
              </w:rPr>
              <w:t>提请业主请测绘部门测绘</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.土方地形变化较大的，应保留施工前后对应的影像资料。不好0分、一般</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分、较好8分、很好10分</w:t>
            </w:r>
          </w:p>
        </w:tc>
      </w:tr>
      <w:tr w14:paraId="7EA587E0">
        <w:tblPrEx>
          <w:tblCellMar>
            <w:top w:w="0" w:type="dxa"/>
            <w:left w:w="0" w:type="dxa"/>
            <w:bottom w:w="0" w:type="dxa"/>
            <w:right w:w="0" w:type="dxa"/>
          </w:tblCellMar>
        </w:tblPrEx>
        <w:trPr>
          <w:trHeight w:val="579"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4E0DE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九</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CFBB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工程变更程序（包括暂定量项目）</w:t>
            </w: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69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工程变更手续是否及时、规范办理，证明资料是否齐全，否则有无书面催告</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9BC9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61D4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39A603">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17921">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不好0分、一般</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分、较好5分、很好7分</w:t>
            </w:r>
            <w:r>
              <w:rPr>
                <w:rFonts w:hint="eastAsia" w:ascii="宋体" w:hAnsi="宋体" w:eastAsia="宋体" w:cs="宋体"/>
                <w:color w:val="auto"/>
                <w:kern w:val="0"/>
                <w:sz w:val="21"/>
                <w:szCs w:val="21"/>
                <w:highlight w:val="none"/>
                <w:lang w:val="en-US" w:eastAsia="zh-CN" w:bidi="ar"/>
              </w:rPr>
              <w:t>（本项业主代表参与打分）</w:t>
            </w:r>
          </w:p>
        </w:tc>
      </w:tr>
      <w:tr w14:paraId="46746103">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30F45C">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D504D">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47A18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54BF0">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DF3F03">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FCBDB7">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3C761E">
            <w:pPr>
              <w:jc w:val="left"/>
              <w:rPr>
                <w:rFonts w:hint="eastAsia" w:ascii="宋体" w:hAnsi="宋体" w:eastAsia="宋体" w:cs="宋体"/>
                <w:color w:val="auto"/>
                <w:sz w:val="21"/>
                <w:szCs w:val="21"/>
                <w:highlight w:val="none"/>
              </w:rPr>
            </w:pPr>
          </w:p>
        </w:tc>
      </w:tr>
      <w:tr w14:paraId="3383F845">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78A9D0">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F9B4B">
            <w:pPr>
              <w:jc w:val="center"/>
              <w:rPr>
                <w:rFonts w:hint="eastAsia" w:ascii="宋体" w:hAnsi="宋体" w:eastAsia="宋体" w:cs="宋体"/>
                <w:color w:val="auto"/>
                <w:sz w:val="24"/>
                <w:szCs w:val="24"/>
                <w:highlight w:val="none"/>
              </w:rPr>
            </w:pPr>
          </w:p>
        </w:tc>
        <w:tc>
          <w:tcPr>
            <w:tcW w:w="27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76120E">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估算造价超过</w:t>
            </w:r>
            <w:r>
              <w:rPr>
                <w:rFonts w:hint="eastAsia" w:ascii="宋体" w:hAnsi="宋体" w:eastAsia="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bidi="ar"/>
              </w:rPr>
              <w:t>万元的重大事项是否上报</w:t>
            </w:r>
          </w:p>
        </w:tc>
        <w:tc>
          <w:tcPr>
            <w:tcW w:w="7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9A9A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5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839926">
            <w:pPr>
              <w:jc w:val="left"/>
              <w:rPr>
                <w:rFonts w:hint="eastAsia" w:ascii="宋体" w:hAnsi="宋体" w:eastAsia="宋体" w:cs="宋体"/>
                <w:color w:val="auto"/>
                <w:sz w:val="24"/>
                <w:szCs w:val="24"/>
                <w:highlight w:val="none"/>
              </w:rPr>
            </w:pPr>
          </w:p>
        </w:tc>
        <w:tc>
          <w:tcPr>
            <w:tcW w:w="100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0E9811">
            <w:pPr>
              <w:jc w:val="left"/>
              <w:rPr>
                <w:rFonts w:hint="eastAsia" w:ascii="宋体" w:hAnsi="宋体" w:eastAsia="宋体" w:cs="宋体"/>
                <w:color w:val="auto"/>
                <w:sz w:val="24"/>
                <w:szCs w:val="24"/>
                <w:highlight w:val="none"/>
              </w:rPr>
            </w:pPr>
          </w:p>
        </w:tc>
        <w:tc>
          <w:tcPr>
            <w:tcW w:w="352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03FEC0">
            <w:pPr>
              <w:widowControl/>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单个变更事项一项不符合要求</w:t>
            </w:r>
            <w:r>
              <w:rPr>
                <w:rFonts w:hint="eastAsia" w:ascii="宋体" w:hAnsi="宋体" w:eastAsia="宋体" w:cs="宋体"/>
                <w:color w:val="auto"/>
                <w:kern w:val="0"/>
                <w:sz w:val="21"/>
                <w:szCs w:val="21"/>
                <w:highlight w:val="none"/>
                <w:lang w:eastAsia="zh-CN" w:bidi="ar"/>
              </w:rPr>
              <w:t>，本项得</w:t>
            </w:r>
            <w:r>
              <w:rPr>
                <w:rFonts w:hint="eastAsia" w:ascii="宋体" w:hAnsi="宋体" w:eastAsia="宋体" w:cs="宋体"/>
                <w:color w:val="auto"/>
                <w:kern w:val="0"/>
                <w:sz w:val="21"/>
                <w:szCs w:val="21"/>
                <w:highlight w:val="none"/>
                <w:lang w:val="en-US" w:eastAsia="zh-CN" w:bidi="ar"/>
              </w:rPr>
              <w:t>0分（本项业主代表参与打分）</w:t>
            </w:r>
          </w:p>
        </w:tc>
      </w:tr>
      <w:tr w14:paraId="64ECF00A">
        <w:tblPrEx>
          <w:tblCellMar>
            <w:top w:w="0" w:type="dxa"/>
            <w:left w:w="0" w:type="dxa"/>
            <w:bottom w:w="0" w:type="dxa"/>
            <w:right w:w="0" w:type="dxa"/>
          </w:tblCellMar>
        </w:tblPrEx>
        <w:trPr>
          <w:trHeight w:val="312"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6EEA2">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D5FAD7">
            <w:pPr>
              <w:jc w:val="center"/>
              <w:rPr>
                <w:rFonts w:hint="eastAsia" w:ascii="宋体" w:hAnsi="宋体" w:eastAsia="宋体" w:cs="宋体"/>
                <w:color w:val="auto"/>
                <w:sz w:val="24"/>
                <w:szCs w:val="24"/>
                <w:highlight w:val="none"/>
              </w:rPr>
            </w:pPr>
          </w:p>
        </w:tc>
        <w:tc>
          <w:tcPr>
            <w:tcW w:w="27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4191B9">
            <w:pPr>
              <w:jc w:val="left"/>
              <w:rPr>
                <w:rFonts w:hint="eastAsia" w:ascii="宋体" w:hAnsi="宋体" w:eastAsia="宋体" w:cs="宋体"/>
                <w:color w:val="auto"/>
                <w:sz w:val="24"/>
                <w:szCs w:val="24"/>
                <w:highlight w:val="none"/>
              </w:rPr>
            </w:pPr>
          </w:p>
        </w:tc>
        <w:tc>
          <w:tcPr>
            <w:tcW w:w="7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E531BB">
            <w:pPr>
              <w:jc w:val="center"/>
              <w:rPr>
                <w:rFonts w:hint="eastAsia" w:ascii="宋体" w:hAnsi="宋体" w:eastAsia="宋体" w:cs="宋体"/>
                <w:color w:val="auto"/>
                <w:sz w:val="24"/>
                <w:szCs w:val="24"/>
                <w:highlight w:val="none"/>
              </w:rPr>
            </w:pPr>
          </w:p>
        </w:tc>
        <w:tc>
          <w:tcPr>
            <w:tcW w:w="5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092ED8">
            <w:pPr>
              <w:jc w:val="left"/>
              <w:rPr>
                <w:rFonts w:hint="eastAsia" w:ascii="宋体" w:hAnsi="宋体" w:eastAsia="宋体" w:cs="宋体"/>
                <w:color w:val="auto"/>
                <w:sz w:val="24"/>
                <w:szCs w:val="24"/>
                <w:highlight w:val="none"/>
              </w:rPr>
            </w:pPr>
          </w:p>
        </w:tc>
        <w:tc>
          <w:tcPr>
            <w:tcW w:w="100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44AD1B">
            <w:pPr>
              <w:jc w:val="left"/>
              <w:rPr>
                <w:rFonts w:hint="eastAsia" w:ascii="宋体" w:hAnsi="宋体" w:eastAsia="宋体" w:cs="宋体"/>
                <w:color w:val="auto"/>
                <w:sz w:val="24"/>
                <w:szCs w:val="24"/>
                <w:highlight w:val="none"/>
              </w:rPr>
            </w:pPr>
          </w:p>
        </w:tc>
        <w:tc>
          <w:tcPr>
            <w:tcW w:w="352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51C163">
            <w:pPr>
              <w:jc w:val="left"/>
              <w:rPr>
                <w:rFonts w:hint="eastAsia" w:ascii="宋体" w:hAnsi="宋体" w:eastAsia="宋体" w:cs="宋体"/>
                <w:color w:val="auto"/>
                <w:sz w:val="21"/>
                <w:szCs w:val="21"/>
                <w:highlight w:val="none"/>
              </w:rPr>
            </w:pPr>
          </w:p>
        </w:tc>
      </w:tr>
      <w:tr w14:paraId="3A9B7083">
        <w:tblPrEx>
          <w:tblCellMar>
            <w:top w:w="0" w:type="dxa"/>
            <w:left w:w="0" w:type="dxa"/>
            <w:bottom w:w="0" w:type="dxa"/>
            <w:right w:w="0" w:type="dxa"/>
          </w:tblCellMar>
        </w:tblPrEx>
        <w:trPr>
          <w:trHeight w:val="1068"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0119970">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十</w:t>
            </w:r>
          </w:p>
        </w:tc>
        <w:tc>
          <w:tcPr>
            <w:tcW w:w="89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BC33B4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内部控制程序</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093F116">
            <w:pPr>
              <w:widowControl/>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bidi="ar"/>
              </w:rPr>
              <w:t>对工程项目暂定价设备和材料价格参与市场考察、独立调查或审查并提出意见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CC66BE">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2</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C48BE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F4F7A">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52B6876">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bidi="ar"/>
              </w:rPr>
              <w:t>跟</w:t>
            </w:r>
            <w:r>
              <w:rPr>
                <w:rFonts w:hint="eastAsia" w:ascii="宋体" w:hAnsi="宋体" w:eastAsia="宋体" w:cs="宋体"/>
                <w:color w:val="auto"/>
                <w:kern w:val="0"/>
                <w:sz w:val="21"/>
                <w:szCs w:val="21"/>
                <w:highlight w:val="none"/>
                <w:lang w:eastAsia="zh-CN" w:bidi="ar"/>
              </w:rPr>
              <w:t>审</w:t>
            </w:r>
            <w:r>
              <w:rPr>
                <w:rFonts w:hint="eastAsia" w:ascii="宋体" w:hAnsi="宋体" w:eastAsia="宋体" w:cs="宋体"/>
                <w:color w:val="auto"/>
                <w:kern w:val="0"/>
                <w:sz w:val="21"/>
                <w:szCs w:val="21"/>
                <w:highlight w:val="none"/>
                <w:lang w:bidi="ar"/>
              </w:rPr>
              <w:t>人员对工地所需暂定价材料、设备价格要定期询价，随时</w:t>
            </w:r>
            <w:r>
              <w:rPr>
                <w:rFonts w:hint="eastAsia" w:ascii="宋体" w:hAnsi="宋体" w:eastAsia="宋体" w:cs="宋体"/>
                <w:color w:val="auto"/>
                <w:kern w:val="0"/>
                <w:sz w:val="21"/>
                <w:szCs w:val="21"/>
                <w:highlight w:val="none"/>
                <w:lang w:eastAsia="zh-CN" w:bidi="ar"/>
              </w:rPr>
              <w:t>掌握</w:t>
            </w:r>
            <w:r>
              <w:rPr>
                <w:rFonts w:hint="eastAsia" w:ascii="宋体" w:hAnsi="宋体" w:eastAsia="宋体" w:cs="宋体"/>
                <w:color w:val="auto"/>
                <w:kern w:val="0"/>
                <w:sz w:val="21"/>
                <w:szCs w:val="21"/>
                <w:highlight w:val="none"/>
                <w:lang w:bidi="ar"/>
              </w:rPr>
              <w:t>价格的变化情况，为业主提供准确的价格信息，做好询价记录备查</w:t>
            </w:r>
          </w:p>
        </w:tc>
      </w:tr>
      <w:tr w14:paraId="3FFB3BAD">
        <w:tblPrEx>
          <w:tblCellMar>
            <w:top w:w="0" w:type="dxa"/>
            <w:left w:w="0" w:type="dxa"/>
            <w:bottom w:w="0" w:type="dxa"/>
            <w:right w:w="0" w:type="dxa"/>
          </w:tblCellMar>
        </w:tblPrEx>
        <w:trPr>
          <w:trHeight w:val="1275"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F1BE2F9">
            <w:pPr>
              <w:jc w:val="center"/>
              <w:rPr>
                <w:rFonts w:hint="eastAsia" w:ascii="宋体" w:hAnsi="宋体" w:eastAsia="宋体" w:cs="宋体"/>
                <w:color w:val="auto"/>
                <w:sz w:val="24"/>
                <w:szCs w:val="24"/>
                <w:highlight w:val="none"/>
              </w:rPr>
            </w:pPr>
          </w:p>
        </w:tc>
        <w:tc>
          <w:tcPr>
            <w:tcW w:w="89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FD071D">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1151C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协助业主审核因设计变更、现场签证等发生的费用，相应调整造价控制目标，并及时向业主提供造价控制动态分析报告</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36B9C">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
              </w:rPr>
              <w:t>3</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FBD97">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C1F535">
            <w:pPr>
              <w:jc w:val="center"/>
              <w:rPr>
                <w:rFonts w:hint="eastAsia" w:ascii="宋体" w:hAnsi="宋体" w:eastAsia="宋体" w:cs="宋体"/>
                <w:color w:val="auto"/>
                <w:sz w:val="24"/>
                <w:szCs w:val="24"/>
                <w:highlight w:val="none"/>
              </w:rPr>
            </w:pPr>
          </w:p>
        </w:tc>
        <w:tc>
          <w:tcPr>
            <w:tcW w:w="3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B7B56">
            <w:pPr>
              <w:widowControl/>
              <w:jc w:val="left"/>
              <w:textAlignment w:val="center"/>
              <w:rPr>
                <w:rFonts w:hint="eastAsia" w:ascii="宋体" w:hAnsi="宋体" w:eastAsia="宋体" w:cs="宋体"/>
                <w:color w:val="auto"/>
                <w:sz w:val="21"/>
                <w:szCs w:val="21"/>
                <w:highlight w:val="none"/>
              </w:rPr>
            </w:pPr>
          </w:p>
        </w:tc>
      </w:tr>
      <w:tr w14:paraId="0F53F7F4">
        <w:tblPrEx>
          <w:tblCellMar>
            <w:top w:w="0" w:type="dxa"/>
            <w:left w:w="0" w:type="dxa"/>
            <w:bottom w:w="0" w:type="dxa"/>
            <w:right w:w="0" w:type="dxa"/>
          </w:tblCellMar>
        </w:tblPrEx>
        <w:trPr>
          <w:trHeight w:val="3000" w:hRule="atLeast"/>
          <w:jc w:val="center"/>
        </w:trPr>
        <w:tc>
          <w:tcPr>
            <w:tcW w:w="556" w:type="dxa"/>
            <w:tcBorders>
              <w:top w:val="nil"/>
              <w:left w:val="single" w:color="000000" w:sz="4" w:space="0"/>
              <w:bottom w:val="nil"/>
              <w:right w:val="single" w:color="000000" w:sz="4" w:space="0"/>
            </w:tcBorders>
            <w:noWrap w:val="0"/>
            <w:tcMar>
              <w:top w:w="15" w:type="dxa"/>
              <w:left w:w="15" w:type="dxa"/>
              <w:right w:w="15" w:type="dxa"/>
            </w:tcMar>
            <w:vAlign w:val="center"/>
          </w:tcPr>
          <w:p w14:paraId="3E75D663">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十一</w:t>
            </w:r>
          </w:p>
        </w:tc>
        <w:tc>
          <w:tcPr>
            <w:tcW w:w="892" w:type="dxa"/>
            <w:tcBorders>
              <w:top w:val="nil"/>
              <w:left w:val="single" w:color="000000" w:sz="4" w:space="0"/>
              <w:right w:val="single" w:color="000000" w:sz="4" w:space="0"/>
            </w:tcBorders>
            <w:noWrap w:val="0"/>
            <w:tcMar>
              <w:top w:w="15" w:type="dxa"/>
              <w:left w:w="15" w:type="dxa"/>
              <w:right w:w="15" w:type="dxa"/>
            </w:tcMar>
            <w:vAlign w:val="center"/>
          </w:tcPr>
          <w:p w14:paraId="7F117EF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廉洁自律</w:t>
            </w:r>
          </w:p>
        </w:tc>
        <w:tc>
          <w:tcPr>
            <w:tcW w:w="2720" w:type="dxa"/>
            <w:tcBorders>
              <w:top w:val="nil"/>
              <w:left w:val="single" w:color="000000" w:sz="4" w:space="0"/>
              <w:right w:val="single" w:color="000000" w:sz="4" w:space="0"/>
            </w:tcBorders>
            <w:noWrap w:val="0"/>
            <w:tcMar>
              <w:top w:w="15" w:type="dxa"/>
              <w:left w:w="15" w:type="dxa"/>
              <w:right w:w="15" w:type="dxa"/>
            </w:tcMar>
            <w:vAlign w:val="center"/>
          </w:tcPr>
          <w:p w14:paraId="55A7316F">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审计单位是否保持廉洁自律要求</w:t>
            </w:r>
          </w:p>
        </w:tc>
        <w:tc>
          <w:tcPr>
            <w:tcW w:w="712" w:type="dxa"/>
            <w:tcBorders>
              <w:top w:val="nil"/>
              <w:left w:val="single" w:color="000000" w:sz="4" w:space="0"/>
              <w:right w:val="single" w:color="000000" w:sz="4" w:space="0"/>
            </w:tcBorders>
            <w:noWrap w:val="0"/>
            <w:tcMar>
              <w:top w:w="15" w:type="dxa"/>
              <w:left w:w="15" w:type="dxa"/>
              <w:right w:w="15" w:type="dxa"/>
            </w:tcMar>
            <w:vAlign w:val="center"/>
          </w:tcPr>
          <w:p w14:paraId="45957C5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nil"/>
              <w:left w:val="single" w:color="000000" w:sz="4" w:space="0"/>
              <w:right w:val="single" w:color="000000" w:sz="4" w:space="0"/>
            </w:tcBorders>
            <w:noWrap w:val="0"/>
            <w:tcMar>
              <w:top w:w="15" w:type="dxa"/>
              <w:left w:w="15" w:type="dxa"/>
              <w:right w:w="15" w:type="dxa"/>
            </w:tcMar>
            <w:vAlign w:val="center"/>
          </w:tcPr>
          <w:p w14:paraId="3C7F8DCD">
            <w:pPr>
              <w:jc w:val="left"/>
              <w:rPr>
                <w:rFonts w:hint="eastAsia" w:ascii="宋体" w:hAnsi="宋体" w:eastAsia="宋体" w:cs="宋体"/>
                <w:color w:val="auto"/>
                <w:sz w:val="24"/>
                <w:szCs w:val="24"/>
                <w:highlight w:val="none"/>
              </w:rPr>
            </w:pPr>
          </w:p>
        </w:tc>
        <w:tc>
          <w:tcPr>
            <w:tcW w:w="1002" w:type="dxa"/>
            <w:tcBorders>
              <w:top w:val="nil"/>
              <w:left w:val="single" w:color="000000" w:sz="4" w:space="0"/>
              <w:right w:val="single" w:color="000000" w:sz="4" w:space="0"/>
            </w:tcBorders>
            <w:noWrap w:val="0"/>
            <w:tcMar>
              <w:top w:w="15" w:type="dxa"/>
              <w:left w:w="15" w:type="dxa"/>
              <w:right w:w="15" w:type="dxa"/>
            </w:tcMar>
            <w:vAlign w:val="center"/>
          </w:tcPr>
          <w:p w14:paraId="1AEC871F">
            <w:pPr>
              <w:jc w:val="center"/>
              <w:rPr>
                <w:rFonts w:hint="eastAsia" w:ascii="宋体" w:hAnsi="宋体" w:eastAsia="宋体" w:cs="宋体"/>
                <w:color w:val="auto"/>
                <w:sz w:val="24"/>
                <w:szCs w:val="24"/>
                <w:highlight w:val="none"/>
              </w:rPr>
            </w:pPr>
          </w:p>
        </w:tc>
        <w:tc>
          <w:tcPr>
            <w:tcW w:w="3520" w:type="dxa"/>
            <w:tcBorders>
              <w:top w:val="nil"/>
              <w:left w:val="single" w:color="000000" w:sz="4" w:space="0"/>
              <w:right w:val="single" w:color="000000" w:sz="4" w:space="0"/>
            </w:tcBorders>
            <w:noWrap w:val="0"/>
            <w:tcMar>
              <w:top w:w="15" w:type="dxa"/>
              <w:left w:w="15" w:type="dxa"/>
              <w:right w:w="15" w:type="dxa"/>
            </w:tcMar>
            <w:vAlign w:val="center"/>
          </w:tcPr>
          <w:p w14:paraId="34DC621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w:t>
            </w:r>
          </w:p>
        </w:tc>
      </w:tr>
      <w:tr w14:paraId="1A0091C6">
        <w:tblPrEx>
          <w:tblCellMar>
            <w:top w:w="0" w:type="dxa"/>
            <w:left w:w="0" w:type="dxa"/>
            <w:bottom w:w="0" w:type="dxa"/>
            <w:right w:w="0" w:type="dxa"/>
          </w:tblCellMar>
        </w:tblPrEx>
        <w:trPr>
          <w:trHeight w:val="90" w:hRule="atLeast"/>
          <w:jc w:val="center"/>
        </w:trPr>
        <w:tc>
          <w:tcPr>
            <w:tcW w:w="55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E308F">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bidi="ar"/>
              </w:rPr>
              <w:t>十二</w:t>
            </w:r>
          </w:p>
        </w:tc>
        <w:tc>
          <w:tcPr>
            <w:tcW w:w="89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E6AC5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附加分事项</w:t>
            </w: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C3F3DD">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1.因勘察、设计失误或不合理，可能造成损失浪费等问题，及时提出整改和加强管理的合理化建议</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1CBDB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465B88">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22E2D4">
            <w:pPr>
              <w:jc w:val="center"/>
              <w:rPr>
                <w:rFonts w:hint="eastAsia" w:ascii="宋体" w:hAnsi="宋体" w:eastAsia="宋体" w:cs="宋体"/>
                <w:color w:val="auto"/>
                <w:sz w:val="24"/>
                <w:szCs w:val="24"/>
                <w:highlight w:val="none"/>
              </w:rPr>
            </w:pPr>
          </w:p>
        </w:tc>
        <w:tc>
          <w:tcPr>
            <w:tcW w:w="352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FE4AE4">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每一项加分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分，5分为上限</w:t>
            </w:r>
            <w:r>
              <w:rPr>
                <w:rFonts w:hint="eastAsia" w:ascii="宋体" w:hAnsi="宋体" w:eastAsia="宋体" w:cs="宋体"/>
                <w:color w:val="auto"/>
                <w:kern w:val="0"/>
                <w:sz w:val="21"/>
                <w:szCs w:val="21"/>
                <w:highlight w:val="none"/>
                <w:lang w:val="en-US" w:eastAsia="zh-CN" w:bidi="ar"/>
              </w:rPr>
              <w:t>.     确定附加分资料的认定需满足三点要求：（1）满足时效性（设计、地勘等问题的发现需在实施前，未按图施工等问题的发现需为监理未发现但跟审主动发现）；（2）提交建议或发出整改通知函等必需书面；（3）经委托人认可，工程科确认基本事实后由分管领导召集相关科室研究。</w:t>
            </w:r>
          </w:p>
        </w:tc>
      </w:tr>
      <w:tr w14:paraId="54A771F7">
        <w:tblPrEx>
          <w:tblCellMar>
            <w:top w:w="0" w:type="dxa"/>
            <w:left w:w="0" w:type="dxa"/>
            <w:bottom w:w="0" w:type="dxa"/>
            <w:right w:w="0" w:type="dxa"/>
          </w:tblCellMar>
        </w:tblPrEx>
        <w:trPr>
          <w:trHeight w:val="579"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9BACAE">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EF1E8">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F0E3C">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r>
              <w:rPr>
                <w:rFonts w:hint="eastAsia" w:ascii="宋体" w:hAnsi="宋体" w:eastAsia="宋体" w:cs="宋体"/>
                <w:color w:val="auto"/>
                <w:kern w:val="0"/>
                <w:sz w:val="24"/>
                <w:szCs w:val="24"/>
                <w:highlight w:val="none"/>
                <w:lang w:bidi="ar"/>
              </w:rPr>
              <w:t>现场发现实际施工与设计图纸不一致或与招投标清单特征描述不一致、工程质量不合格等问题并及时取证</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2E7DF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CE7055">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9360D1">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E3594D">
            <w:pPr>
              <w:widowControl/>
              <w:jc w:val="left"/>
              <w:textAlignment w:val="center"/>
              <w:rPr>
                <w:rFonts w:hint="eastAsia" w:ascii="宋体" w:hAnsi="宋体" w:eastAsia="宋体" w:cs="宋体"/>
                <w:color w:val="auto"/>
                <w:sz w:val="21"/>
                <w:szCs w:val="21"/>
                <w:highlight w:val="none"/>
              </w:rPr>
            </w:pPr>
          </w:p>
        </w:tc>
      </w:tr>
      <w:tr w14:paraId="30D4C4E1">
        <w:tblPrEx>
          <w:tblCellMar>
            <w:top w:w="0" w:type="dxa"/>
            <w:left w:w="0" w:type="dxa"/>
            <w:bottom w:w="0" w:type="dxa"/>
            <w:right w:w="0" w:type="dxa"/>
          </w:tblCellMar>
        </w:tblPrEx>
        <w:trPr>
          <w:trHeight w:val="431"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C4D87B">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6204D0">
            <w:pPr>
              <w:jc w:val="center"/>
              <w:rPr>
                <w:rFonts w:hint="eastAsia" w:ascii="宋体" w:hAnsi="宋体" w:eastAsia="宋体" w:cs="宋体"/>
                <w:color w:val="auto"/>
                <w:sz w:val="24"/>
                <w:szCs w:val="24"/>
                <w:highlight w:val="none"/>
              </w:rPr>
            </w:pPr>
          </w:p>
        </w:tc>
        <w:tc>
          <w:tcPr>
            <w:tcW w:w="2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094A2">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暂定项目招标或其他采购方式价格明显异常，及时上报</w:t>
            </w:r>
          </w:p>
        </w:tc>
        <w:tc>
          <w:tcPr>
            <w:tcW w:w="7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416D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CD7DF9">
            <w:pPr>
              <w:jc w:val="left"/>
              <w:rPr>
                <w:rFonts w:hint="eastAsia" w:ascii="宋体" w:hAnsi="宋体" w:eastAsia="宋体" w:cs="宋体"/>
                <w:color w:val="auto"/>
                <w:sz w:val="24"/>
                <w:szCs w:val="24"/>
                <w:highlight w:val="none"/>
              </w:rPr>
            </w:pPr>
          </w:p>
        </w:tc>
        <w:tc>
          <w:tcPr>
            <w:tcW w:w="100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D055E7A">
            <w:pPr>
              <w:jc w:val="center"/>
              <w:rPr>
                <w:rFonts w:hint="eastAsia" w:ascii="宋体" w:hAnsi="宋体" w:eastAsia="宋体" w:cs="宋体"/>
                <w:color w:val="auto"/>
                <w:sz w:val="24"/>
                <w:szCs w:val="24"/>
                <w:highlight w:val="none"/>
              </w:rPr>
            </w:pPr>
          </w:p>
        </w:tc>
        <w:tc>
          <w:tcPr>
            <w:tcW w:w="352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4D2B2A">
            <w:pPr>
              <w:widowControl/>
              <w:jc w:val="left"/>
              <w:textAlignment w:val="center"/>
              <w:rPr>
                <w:rFonts w:hint="eastAsia" w:ascii="宋体" w:hAnsi="宋体" w:eastAsia="宋体" w:cs="宋体"/>
                <w:color w:val="auto"/>
                <w:sz w:val="21"/>
                <w:szCs w:val="21"/>
                <w:highlight w:val="none"/>
              </w:rPr>
            </w:pPr>
          </w:p>
        </w:tc>
      </w:tr>
      <w:tr w14:paraId="7A146E24">
        <w:tblPrEx>
          <w:tblCellMar>
            <w:top w:w="0" w:type="dxa"/>
            <w:left w:w="0" w:type="dxa"/>
            <w:bottom w:w="0" w:type="dxa"/>
            <w:right w:w="0" w:type="dxa"/>
          </w:tblCellMar>
        </w:tblPrEx>
        <w:trPr>
          <w:trHeight w:val="228" w:hRule="atLeast"/>
          <w:jc w:val="center"/>
        </w:trPr>
        <w:tc>
          <w:tcPr>
            <w:tcW w:w="55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D9267D">
            <w:pPr>
              <w:jc w:val="center"/>
              <w:rPr>
                <w:rFonts w:hint="eastAsia" w:ascii="宋体" w:hAnsi="宋体" w:eastAsia="宋体" w:cs="宋体"/>
                <w:color w:val="auto"/>
                <w:sz w:val="24"/>
                <w:szCs w:val="24"/>
                <w:highlight w:val="none"/>
              </w:rPr>
            </w:pPr>
          </w:p>
        </w:tc>
        <w:tc>
          <w:tcPr>
            <w:tcW w:w="89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640241">
            <w:pPr>
              <w:jc w:val="center"/>
              <w:rPr>
                <w:rFonts w:hint="eastAsia" w:ascii="宋体" w:hAnsi="宋体" w:eastAsia="宋体" w:cs="宋体"/>
                <w:color w:val="auto"/>
                <w:sz w:val="24"/>
                <w:szCs w:val="24"/>
                <w:highlight w:val="none"/>
              </w:rPr>
            </w:pPr>
          </w:p>
        </w:tc>
        <w:tc>
          <w:tcPr>
            <w:tcW w:w="272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44FD678D">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bidi="ar"/>
              </w:rPr>
              <w:t>发现并移交经济案件线索且被立案查处</w:t>
            </w:r>
          </w:p>
        </w:tc>
        <w:tc>
          <w:tcPr>
            <w:tcW w:w="7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67DE0AB8">
            <w:pPr>
              <w:jc w:val="center"/>
              <w:rPr>
                <w:rFonts w:hint="eastAsia" w:ascii="宋体" w:hAnsi="宋体" w:eastAsia="宋体" w:cs="宋体"/>
                <w:color w:val="auto"/>
                <w:sz w:val="24"/>
                <w:szCs w:val="24"/>
                <w:highlight w:val="none"/>
              </w:rPr>
            </w:pPr>
          </w:p>
        </w:tc>
        <w:tc>
          <w:tcPr>
            <w:tcW w:w="59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14:paraId="2BFD3C9D">
            <w:pPr>
              <w:jc w:val="left"/>
              <w:rPr>
                <w:rFonts w:hint="eastAsia" w:ascii="宋体" w:hAnsi="宋体" w:eastAsia="宋体" w:cs="宋体"/>
                <w:color w:val="auto"/>
                <w:sz w:val="24"/>
                <w:szCs w:val="24"/>
                <w:highlight w:val="none"/>
              </w:rPr>
            </w:pPr>
          </w:p>
        </w:tc>
        <w:tc>
          <w:tcPr>
            <w:tcW w:w="1002" w:type="dxa"/>
            <w:tcBorders>
              <w:top w:val="nil"/>
              <w:left w:val="single" w:color="000000" w:sz="4" w:space="0"/>
              <w:bottom w:val="single" w:color="000000" w:sz="4" w:space="0"/>
              <w:right w:val="single" w:color="auto" w:sz="4" w:space="0"/>
            </w:tcBorders>
            <w:noWrap w:val="0"/>
            <w:tcMar>
              <w:top w:w="15" w:type="dxa"/>
              <w:left w:w="15" w:type="dxa"/>
              <w:right w:w="15" w:type="dxa"/>
            </w:tcMar>
            <w:vAlign w:val="center"/>
          </w:tcPr>
          <w:p w14:paraId="0E2388A8">
            <w:pPr>
              <w:jc w:val="left"/>
              <w:rPr>
                <w:rFonts w:hint="eastAsia" w:ascii="宋体" w:hAnsi="宋体" w:eastAsia="宋体" w:cs="宋体"/>
                <w:color w:val="auto"/>
                <w:sz w:val="24"/>
                <w:szCs w:val="24"/>
                <w:highlight w:val="none"/>
              </w:rPr>
            </w:pPr>
          </w:p>
        </w:tc>
        <w:tc>
          <w:tcPr>
            <w:tcW w:w="352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F1867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每件加5分</w:t>
            </w:r>
          </w:p>
        </w:tc>
      </w:tr>
      <w:tr w14:paraId="54A41532">
        <w:tblPrEx>
          <w:tblCellMar>
            <w:top w:w="0" w:type="dxa"/>
            <w:left w:w="0" w:type="dxa"/>
            <w:bottom w:w="0" w:type="dxa"/>
            <w:right w:w="0" w:type="dxa"/>
          </w:tblCellMar>
        </w:tblPrEx>
        <w:trPr>
          <w:trHeight w:val="445"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697F">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bidi="ar"/>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B9202">
            <w:pPr>
              <w:jc w:val="left"/>
              <w:rPr>
                <w:rFonts w:hint="eastAsia" w:ascii="宋体" w:hAnsi="宋体" w:eastAsia="宋体" w:cs="宋体"/>
                <w:b/>
                <w:color w:val="auto"/>
                <w:sz w:val="24"/>
                <w:szCs w:val="24"/>
                <w:highlight w:val="none"/>
              </w:rPr>
            </w:pPr>
          </w:p>
        </w:tc>
        <w:tc>
          <w:tcPr>
            <w:tcW w:w="10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139FB">
            <w:pPr>
              <w:jc w:val="left"/>
              <w:rPr>
                <w:rFonts w:hint="eastAsia" w:ascii="宋体" w:hAnsi="宋体" w:eastAsia="宋体" w:cs="宋体"/>
                <w:b/>
                <w:color w:val="auto"/>
                <w:sz w:val="24"/>
                <w:szCs w:val="24"/>
                <w:highlight w:val="none"/>
              </w:rPr>
            </w:pPr>
          </w:p>
        </w:tc>
        <w:tc>
          <w:tcPr>
            <w:tcW w:w="35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C81025">
            <w:pPr>
              <w:jc w:val="left"/>
              <w:rPr>
                <w:rFonts w:hint="eastAsia" w:ascii="宋体" w:hAnsi="宋体" w:eastAsia="宋体" w:cs="宋体"/>
                <w:color w:val="auto"/>
                <w:sz w:val="24"/>
                <w:szCs w:val="24"/>
                <w:highlight w:val="none"/>
              </w:rPr>
            </w:pPr>
          </w:p>
        </w:tc>
      </w:tr>
      <w:tr w14:paraId="4063C41E">
        <w:tblPrEx>
          <w:tblCellMar>
            <w:top w:w="0" w:type="dxa"/>
            <w:left w:w="0" w:type="dxa"/>
            <w:bottom w:w="0" w:type="dxa"/>
            <w:right w:w="0" w:type="dxa"/>
          </w:tblCellMar>
        </w:tblPrEx>
        <w:trPr>
          <w:trHeight w:val="1005"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A32F7">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跟审</w:t>
            </w:r>
            <w:r>
              <w:rPr>
                <w:rFonts w:hint="eastAsia" w:ascii="宋体" w:hAnsi="宋体" w:eastAsia="宋体" w:cs="宋体"/>
                <w:color w:val="auto"/>
                <w:kern w:val="0"/>
                <w:sz w:val="24"/>
                <w:szCs w:val="24"/>
                <w:highlight w:val="none"/>
                <w:lang w:eastAsia="zh-CN" w:bidi="ar"/>
              </w:rPr>
              <w:t>企业</w:t>
            </w:r>
            <w:r>
              <w:rPr>
                <w:rFonts w:hint="eastAsia" w:ascii="宋体" w:hAnsi="宋体" w:eastAsia="宋体" w:cs="宋体"/>
                <w:color w:val="auto"/>
                <w:kern w:val="0"/>
                <w:sz w:val="24"/>
                <w:szCs w:val="24"/>
                <w:highlight w:val="none"/>
                <w:lang w:bidi="ar"/>
              </w:rPr>
              <w:t xml:space="preserve">签字：                   </w:t>
            </w:r>
            <w:r>
              <w:rPr>
                <w:rFonts w:hint="eastAsia" w:ascii="宋体" w:hAnsi="宋体" w:eastAsia="宋体" w:cs="宋体"/>
                <w:color w:val="auto"/>
                <w:kern w:val="0"/>
                <w:sz w:val="24"/>
                <w:szCs w:val="24"/>
                <w:highlight w:val="none"/>
                <w:lang w:eastAsia="zh-CN" w:bidi="ar"/>
              </w:rPr>
              <w:t>考核组</w:t>
            </w:r>
            <w:r>
              <w:rPr>
                <w:rFonts w:hint="eastAsia" w:ascii="宋体" w:hAnsi="宋体" w:eastAsia="宋体" w:cs="宋体"/>
                <w:color w:val="auto"/>
                <w:kern w:val="0"/>
                <w:sz w:val="24"/>
                <w:szCs w:val="24"/>
                <w:highlight w:val="none"/>
                <w:lang w:bidi="ar"/>
              </w:rPr>
              <w:t xml:space="preserve">签字 ：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年</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月</w:t>
            </w:r>
            <w:r>
              <w:rPr>
                <w:rStyle w:val="153"/>
                <w:rFonts w:hint="eastAsia" w:ascii="宋体" w:hAnsi="宋体" w:eastAsia="宋体" w:cs="宋体"/>
                <w:color w:val="auto"/>
                <w:sz w:val="24"/>
                <w:szCs w:val="24"/>
                <w:highlight w:val="none"/>
                <w:lang w:bidi="ar"/>
              </w:rPr>
              <w:t xml:space="preserve"> </w:t>
            </w:r>
            <w:r>
              <w:rPr>
                <w:rStyle w:val="153"/>
                <w:rFonts w:hint="eastAsia" w:ascii="宋体" w:hAnsi="宋体" w:eastAsia="宋体" w:cs="宋体"/>
                <w:color w:val="auto"/>
                <w:sz w:val="24"/>
                <w:szCs w:val="24"/>
                <w:highlight w:val="none"/>
                <w:lang w:val="en-US" w:eastAsia="zh-CN" w:bidi="ar"/>
              </w:rPr>
              <w:t xml:space="preserve"> </w:t>
            </w:r>
            <w:r>
              <w:rPr>
                <w:rStyle w:val="153"/>
                <w:rFonts w:hint="eastAsia" w:ascii="宋体" w:hAnsi="宋体" w:eastAsia="宋体" w:cs="宋体"/>
                <w:color w:val="auto"/>
                <w:sz w:val="24"/>
                <w:szCs w:val="24"/>
                <w:highlight w:val="none"/>
                <w:lang w:bidi="ar"/>
              </w:rPr>
              <w:t xml:space="preserve">  </w:t>
            </w:r>
            <w:r>
              <w:rPr>
                <w:rStyle w:val="156"/>
                <w:rFonts w:hint="eastAsia" w:ascii="宋体" w:hAnsi="宋体" w:eastAsia="宋体" w:cs="宋体"/>
                <w:color w:val="auto"/>
                <w:sz w:val="24"/>
                <w:szCs w:val="24"/>
                <w:highlight w:val="none"/>
                <w:lang w:bidi="ar"/>
              </w:rPr>
              <w:t xml:space="preserve">日     </w:t>
            </w:r>
          </w:p>
        </w:tc>
      </w:tr>
    </w:tbl>
    <w:p w14:paraId="129A26E5">
      <w:pPr>
        <w:pStyle w:val="2"/>
        <w:ind w:left="0" w:leftChars="0" w:firstLine="0" w:firstLineChars="0"/>
        <w:rPr>
          <w:rFonts w:hint="eastAsia" w:ascii="宋体" w:hAnsi="宋体" w:eastAsia="宋体" w:cs="宋体"/>
          <w:color w:val="auto"/>
          <w:sz w:val="32"/>
          <w:szCs w:val="32"/>
          <w:highlight w:val="none"/>
        </w:rPr>
      </w:pPr>
    </w:p>
    <w:p w14:paraId="0E2AC145">
      <w:pPr>
        <w:pStyle w:val="2"/>
        <w:ind w:left="0" w:leftChars="0" w:firstLine="0" w:firstLineChars="0"/>
        <w:rPr>
          <w:rFonts w:hint="eastAsia" w:ascii="宋体" w:hAnsi="宋体" w:eastAsia="宋体" w:cs="宋体"/>
          <w:color w:val="auto"/>
          <w:sz w:val="32"/>
          <w:szCs w:val="32"/>
          <w:highlight w:val="none"/>
        </w:rPr>
      </w:pPr>
    </w:p>
    <w:p w14:paraId="638855D6">
      <w:pPr>
        <w:pStyle w:val="2"/>
        <w:ind w:left="0" w:leftChars="0" w:firstLine="0" w:firstLineChars="0"/>
        <w:rPr>
          <w:rFonts w:hint="eastAsia" w:ascii="宋体" w:hAnsi="宋体" w:eastAsia="宋体" w:cs="宋体"/>
          <w:color w:val="auto"/>
          <w:sz w:val="32"/>
          <w:szCs w:val="32"/>
          <w:highlight w:val="none"/>
        </w:rPr>
      </w:pPr>
    </w:p>
    <w:p w14:paraId="7F47CD82">
      <w:pPr>
        <w:pStyle w:val="2"/>
        <w:ind w:left="0" w:leftChars="0" w:firstLine="0" w:firstLineChars="0"/>
        <w:rPr>
          <w:rFonts w:hint="eastAsia" w:ascii="宋体" w:hAnsi="宋体" w:eastAsia="宋体" w:cs="宋体"/>
          <w:color w:val="auto"/>
          <w:highlight w:val="none"/>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w:t>
      </w:r>
    </w:p>
    <w:tbl>
      <w:tblPr>
        <w:tblStyle w:val="45"/>
        <w:tblW w:w="9998" w:type="dxa"/>
        <w:jc w:val="center"/>
        <w:tblLayout w:type="fixed"/>
        <w:tblCellMar>
          <w:top w:w="0" w:type="dxa"/>
          <w:left w:w="0" w:type="dxa"/>
          <w:bottom w:w="0" w:type="dxa"/>
          <w:right w:w="0" w:type="dxa"/>
        </w:tblCellMar>
      </w:tblPr>
      <w:tblGrid>
        <w:gridCol w:w="556"/>
        <w:gridCol w:w="1084"/>
        <w:gridCol w:w="2670"/>
        <w:gridCol w:w="570"/>
        <w:gridCol w:w="596"/>
        <w:gridCol w:w="927"/>
        <w:gridCol w:w="3595"/>
      </w:tblGrid>
      <w:tr w14:paraId="571FAAC0">
        <w:tblPrEx>
          <w:tblCellMar>
            <w:top w:w="0" w:type="dxa"/>
            <w:left w:w="0" w:type="dxa"/>
            <w:bottom w:w="0" w:type="dxa"/>
            <w:right w:w="0" w:type="dxa"/>
          </w:tblCellMar>
        </w:tblPrEx>
        <w:trPr>
          <w:trHeight w:val="435" w:hRule="atLeast"/>
          <w:jc w:val="center"/>
        </w:trPr>
        <w:tc>
          <w:tcPr>
            <w:tcW w:w="9998" w:type="dxa"/>
            <w:gridSpan w:val="7"/>
            <w:tcBorders>
              <w:top w:val="nil"/>
              <w:left w:val="nil"/>
              <w:bottom w:val="single" w:color="000000" w:sz="4" w:space="0"/>
              <w:right w:val="nil"/>
            </w:tcBorders>
            <w:noWrap w:val="0"/>
            <w:tcMar>
              <w:top w:w="15" w:type="dxa"/>
              <w:left w:w="15" w:type="dxa"/>
              <w:right w:w="15" w:type="dxa"/>
            </w:tcMar>
            <w:vAlign w:val="center"/>
          </w:tcPr>
          <w:p w14:paraId="12400A24">
            <w:pPr>
              <w:widowControl/>
              <w:jc w:val="center"/>
              <w:textAlignment w:val="center"/>
              <w:rPr>
                <w:rFonts w:hint="eastAsia" w:ascii="宋体" w:hAnsi="宋体" w:eastAsia="宋体" w:cs="宋体"/>
                <w:b/>
                <w:color w:val="auto"/>
                <w:szCs w:val="32"/>
                <w:highlight w:val="none"/>
              </w:rPr>
            </w:pPr>
            <w:r>
              <w:rPr>
                <w:rStyle w:val="155"/>
                <w:rFonts w:hint="eastAsia" w:ascii="宋体" w:hAnsi="宋体" w:eastAsia="宋体" w:cs="宋体"/>
                <w:b w:val="0"/>
                <w:color w:val="auto"/>
                <w:highlight w:val="none"/>
                <w:u w:val="single"/>
              </w:rPr>
              <w:t xml:space="preserve">   </w:t>
            </w:r>
            <w:r>
              <w:rPr>
                <w:rStyle w:val="155"/>
                <w:rFonts w:hint="eastAsia" w:ascii="宋体" w:hAnsi="宋体" w:eastAsia="宋体" w:cs="宋体"/>
                <w:b w:val="0"/>
                <w:color w:val="auto"/>
                <w:highlight w:val="none"/>
                <w:u w:val="single"/>
                <w:lang w:val="en-US" w:eastAsia="zh-CN"/>
              </w:rPr>
              <w:t xml:space="preserve">                        </w:t>
            </w:r>
            <w:r>
              <w:rPr>
                <w:rStyle w:val="155"/>
                <w:rFonts w:hint="eastAsia" w:ascii="宋体" w:hAnsi="宋体" w:eastAsia="宋体" w:cs="宋体"/>
                <w:b w:val="0"/>
                <w:color w:val="auto"/>
                <w:highlight w:val="none"/>
              </w:rPr>
              <w:t>项目结算审</w:t>
            </w:r>
            <w:r>
              <w:rPr>
                <w:rStyle w:val="155"/>
                <w:rFonts w:hint="eastAsia" w:ascii="宋体" w:hAnsi="宋体" w:eastAsia="宋体" w:cs="宋体"/>
                <w:b w:val="0"/>
                <w:color w:val="auto"/>
                <w:highlight w:val="none"/>
                <w:lang w:eastAsia="zh-CN"/>
              </w:rPr>
              <w:t>（复）</w:t>
            </w:r>
            <w:r>
              <w:rPr>
                <w:rStyle w:val="155"/>
                <w:rFonts w:hint="eastAsia" w:ascii="宋体" w:hAnsi="宋体" w:eastAsia="宋体" w:cs="宋体"/>
                <w:b w:val="0"/>
                <w:color w:val="auto"/>
                <w:highlight w:val="none"/>
              </w:rPr>
              <w:t>核</w:t>
            </w:r>
            <w:r>
              <w:rPr>
                <w:rStyle w:val="155"/>
                <w:rFonts w:hint="eastAsia" w:ascii="宋体" w:hAnsi="宋体" w:eastAsia="宋体" w:cs="宋体"/>
                <w:b w:val="0"/>
                <w:color w:val="auto"/>
                <w:highlight w:val="none"/>
                <w:lang w:eastAsia="zh-CN"/>
              </w:rPr>
              <w:t>成果质量</w:t>
            </w:r>
            <w:r>
              <w:rPr>
                <w:rStyle w:val="155"/>
                <w:rFonts w:hint="eastAsia" w:ascii="宋体" w:hAnsi="宋体" w:eastAsia="宋体" w:cs="宋体"/>
                <w:b w:val="0"/>
                <w:color w:val="auto"/>
                <w:highlight w:val="none"/>
              </w:rPr>
              <w:t>考核表</w:t>
            </w:r>
          </w:p>
        </w:tc>
      </w:tr>
      <w:tr w14:paraId="6C3617A1">
        <w:tblPrEx>
          <w:tblCellMar>
            <w:top w:w="0" w:type="dxa"/>
            <w:left w:w="0" w:type="dxa"/>
            <w:bottom w:w="0" w:type="dxa"/>
            <w:right w:w="0" w:type="dxa"/>
          </w:tblCellMar>
        </w:tblPrEx>
        <w:trPr>
          <w:trHeight w:val="90"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F235C">
            <w:pPr>
              <w:widowControl/>
              <w:jc w:val="center"/>
              <w:textAlignment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kern w:val="0"/>
                <w:sz w:val="22"/>
                <w:szCs w:val="22"/>
                <w:highlight w:val="none"/>
                <w:lang w:eastAsia="zh-CN"/>
              </w:rPr>
              <w:t>序号</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54DF4A">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指标</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FE62F9">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内容</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B6727D">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总分</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429F8C">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得分</w:t>
            </w: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475BA5">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打分说明</w:t>
            </w: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85172F">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kern w:val="0"/>
                <w:sz w:val="22"/>
                <w:szCs w:val="22"/>
                <w:highlight w:val="none"/>
              </w:rPr>
              <w:t>备注</w:t>
            </w:r>
          </w:p>
        </w:tc>
      </w:tr>
      <w:tr w14:paraId="5DF2E569">
        <w:tblPrEx>
          <w:tblCellMar>
            <w:top w:w="0" w:type="dxa"/>
            <w:left w:w="0" w:type="dxa"/>
            <w:bottom w:w="0" w:type="dxa"/>
            <w:right w:w="0" w:type="dxa"/>
          </w:tblCellMar>
        </w:tblPrEx>
        <w:trPr>
          <w:trHeight w:val="1200"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2BAA71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835DD6B">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审核人员履职情况</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5D2B0">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bidi="ar"/>
              </w:rPr>
              <w:t>人员能力是否具备胜任本项目需要</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447A8A">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CF43E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14285A">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C6543">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审核负责人、现场记录人员与任命文</w:t>
            </w:r>
            <w:r>
              <w:rPr>
                <w:rFonts w:hint="eastAsia" w:ascii="宋体" w:hAnsi="宋体" w:eastAsia="宋体" w:cs="宋体"/>
                <w:color w:val="auto"/>
                <w:kern w:val="0"/>
                <w:sz w:val="21"/>
                <w:szCs w:val="21"/>
                <w:highlight w:val="none"/>
                <w:lang w:eastAsia="zh-CN"/>
              </w:rPr>
              <w:t>（投标文件）</w:t>
            </w:r>
            <w:r>
              <w:rPr>
                <w:rFonts w:hint="eastAsia" w:ascii="宋体" w:hAnsi="宋体" w:eastAsia="宋体" w:cs="宋体"/>
                <w:color w:val="auto"/>
                <w:kern w:val="0"/>
                <w:sz w:val="21"/>
                <w:szCs w:val="21"/>
                <w:highlight w:val="none"/>
              </w:rPr>
              <w:t>是否一致，</w:t>
            </w:r>
            <w:r>
              <w:rPr>
                <w:rFonts w:hint="eastAsia" w:ascii="宋体" w:hAnsi="宋体" w:eastAsia="宋体" w:cs="宋体"/>
                <w:color w:val="auto"/>
                <w:kern w:val="0"/>
                <w:sz w:val="21"/>
                <w:szCs w:val="21"/>
                <w:highlight w:val="none"/>
                <w:lang w:eastAsia="zh-CN"/>
              </w:rPr>
              <w:t>若出现</w:t>
            </w:r>
            <w:r>
              <w:rPr>
                <w:rFonts w:hint="eastAsia" w:ascii="宋体" w:hAnsi="宋体" w:eastAsia="宋体" w:cs="宋体"/>
                <w:color w:val="auto"/>
                <w:sz w:val="21"/>
                <w:szCs w:val="21"/>
                <w:highlight w:val="none"/>
              </w:rPr>
              <w:t>不一致</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kern w:val="0"/>
                <w:sz w:val="21"/>
                <w:szCs w:val="21"/>
                <w:highlight w:val="none"/>
              </w:rPr>
              <w:t>冒名顶替情况</w:t>
            </w:r>
            <w:r>
              <w:rPr>
                <w:rFonts w:hint="eastAsia" w:ascii="宋体" w:hAnsi="宋体" w:eastAsia="宋体" w:cs="宋体"/>
                <w:color w:val="auto"/>
                <w:sz w:val="21"/>
                <w:szCs w:val="21"/>
                <w:highlight w:val="none"/>
              </w:rPr>
              <w:t>的，本项得0分。</w:t>
            </w:r>
          </w:p>
        </w:tc>
      </w:tr>
      <w:tr w14:paraId="57C2C547">
        <w:tblPrEx>
          <w:tblCellMar>
            <w:top w:w="0" w:type="dxa"/>
            <w:left w:w="0" w:type="dxa"/>
            <w:bottom w:w="0" w:type="dxa"/>
            <w:right w:w="0" w:type="dxa"/>
          </w:tblCellMar>
        </w:tblPrEx>
        <w:trPr>
          <w:trHeight w:val="4451" w:hRule="atLeast"/>
          <w:jc w:val="center"/>
        </w:trPr>
        <w:tc>
          <w:tcPr>
            <w:tcW w:w="556"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34F6DB4A">
            <w:pPr>
              <w:widowControl/>
              <w:jc w:val="center"/>
              <w:textAlignment w:val="center"/>
              <w:rPr>
                <w:rFonts w:hint="eastAsia" w:ascii="宋体" w:hAnsi="宋体" w:eastAsia="宋体" w:cs="宋体"/>
                <w:color w:val="auto"/>
                <w:kern w:val="0"/>
                <w:sz w:val="24"/>
                <w:szCs w:val="24"/>
                <w:highlight w:val="none"/>
              </w:rPr>
            </w:pPr>
          </w:p>
        </w:tc>
        <w:tc>
          <w:tcPr>
            <w:tcW w:w="1084" w:type="dxa"/>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5C13A23D">
            <w:pPr>
              <w:widowControl/>
              <w:jc w:val="center"/>
              <w:textAlignment w:val="center"/>
              <w:rPr>
                <w:rFonts w:hint="eastAsia" w:ascii="宋体" w:hAnsi="宋体" w:eastAsia="宋体" w:cs="宋体"/>
                <w:color w:val="auto"/>
                <w:kern w:val="0"/>
                <w:sz w:val="24"/>
                <w:szCs w:val="24"/>
                <w:highlight w:val="none"/>
              </w:rPr>
            </w:pPr>
          </w:p>
        </w:tc>
        <w:tc>
          <w:tcPr>
            <w:tcW w:w="26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473C692">
            <w:pPr>
              <w:widowControl/>
              <w:spacing w:line="40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2.是否按时限完成结算</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44A00D">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7D6668">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A1C55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A7F50">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结算审核单位</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万以下）或</w:t>
            </w:r>
            <w:r>
              <w:rPr>
                <w:rFonts w:hint="eastAsia" w:ascii="宋体" w:hAnsi="宋体" w:eastAsia="宋体" w:cs="宋体"/>
                <w:color w:val="auto"/>
                <w:sz w:val="21"/>
                <w:szCs w:val="21"/>
                <w:highlight w:val="none"/>
                <w:lang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万以上）内，对施工单位报送的项目结算资料进行完整性检查，一次性书面告知，限期补充齐全。造价在</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万元以下、</w:t>
            </w:r>
            <w:r>
              <w:rPr>
                <w:rFonts w:hint="eastAsia" w:ascii="宋体" w:hAnsi="宋体" w:eastAsia="宋体" w:cs="宋体"/>
                <w:color w:val="auto"/>
                <w:sz w:val="21"/>
                <w:szCs w:val="21"/>
                <w:highlight w:val="none"/>
                <w:lang w:eastAsia="zh-CN"/>
              </w:rPr>
              <w:t>500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2000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eastAsia="zh-CN"/>
              </w:rPr>
              <w:t>5000</w:t>
            </w:r>
            <w:r>
              <w:rPr>
                <w:rFonts w:hint="eastAsia" w:ascii="宋体" w:hAnsi="宋体" w:eastAsia="宋体" w:cs="宋体"/>
                <w:color w:val="auto"/>
                <w:sz w:val="21"/>
                <w:szCs w:val="21"/>
                <w:highlight w:val="none"/>
              </w:rPr>
              <w:t>万元以上的单项工程，应</w:t>
            </w:r>
            <w:r>
              <w:rPr>
                <w:rFonts w:hint="eastAsia" w:ascii="宋体" w:hAnsi="宋体" w:eastAsia="宋体" w:cs="宋体"/>
                <w:color w:val="auto"/>
                <w:sz w:val="21"/>
                <w:szCs w:val="21"/>
                <w:highlight w:val="none"/>
                <w:lang w:eastAsia="zh-CN"/>
              </w:rPr>
              <w:t>分别</w:t>
            </w:r>
            <w:r>
              <w:rPr>
                <w:rFonts w:hint="eastAsia" w:ascii="宋体" w:hAnsi="宋体" w:eastAsia="宋体" w:cs="宋体"/>
                <w:color w:val="auto"/>
                <w:sz w:val="21"/>
                <w:szCs w:val="21"/>
                <w:highlight w:val="none"/>
              </w:rPr>
              <w:t>在施工单位报送的项目结算资料完整</w:t>
            </w:r>
            <w:r>
              <w:rPr>
                <w:rFonts w:hint="eastAsia" w:ascii="宋体" w:hAnsi="宋体" w:eastAsia="宋体" w:cs="宋体"/>
                <w:color w:val="auto"/>
                <w:sz w:val="21"/>
                <w:szCs w:val="21"/>
                <w:highlight w:val="none"/>
                <w:lang w:eastAsia="zh-CN"/>
              </w:rPr>
              <w:t>后的20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30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45</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60</w:t>
            </w:r>
            <w:r>
              <w:rPr>
                <w:rFonts w:hint="eastAsia" w:ascii="宋体" w:hAnsi="宋体" w:eastAsia="宋体" w:cs="宋体"/>
                <w:color w:val="auto"/>
                <w:sz w:val="21"/>
                <w:szCs w:val="21"/>
                <w:highlight w:val="none"/>
              </w:rPr>
              <w:t>日内完成，并出具审核报告。</w:t>
            </w:r>
            <w:r>
              <w:rPr>
                <w:rStyle w:val="152"/>
                <w:rFonts w:hint="eastAsia" w:ascii="宋体" w:hAnsi="宋体" w:eastAsia="宋体" w:cs="宋体"/>
                <w:color w:val="auto"/>
                <w:sz w:val="21"/>
                <w:szCs w:val="21"/>
                <w:highlight w:val="none"/>
                <w:lang w:eastAsia="zh-CN" w:bidi="ar"/>
              </w:rPr>
              <w:t>每延误</w:t>
            </w:r>
            <w:r>
              <w:rPr>
                <w:rStyle w:val="152"/>
                <w:rFonts w:hint="eastAsia" w:ascii="宋体" w:hAnsi="宋体" w:eastAsia="宋体" w:cs="宋体"/>
                <w:color w:val="auto"/>
                <w:sz w:val="21"/>
                <w:szCs w:val="21"/>
                <w:highlight w:val="none"/>
                <w:lang w:val="en-US" w:eastAsia="zh-CN" w:bidi="ar"/>
              </w:rPr>
              <w:t>5</w:t>
            </w:r>
            <w:r>
              <w:rPr>
                <w:rStyle w:val="152"/>
                <w:rFonts w:hint="eastAsia" w:ascii="宋体" w:hAnsi="宋体" w:eastAsia="宋体" w:cs="宋体"/>
                <w:color w:val="auto"/>
                <w:sz w:val="21"/>
                <w:szCs w:val="21"/>
                <w:highlight w:val="none"/>
                <w:lang w:eastAsia="zh-CN" w:bidi="ar"/>
              </w:rPr>
              <w:t>天扣</w:t>
            </w:r>
            <w:r>
              <w:rPr>
                <w:rStyle w:val="152"/>
                <w:rFonts w:hint="eastAsia" w:ascii="宋体" w:hAnsi="宋体" w:eastAsia="宋体" w:cs="宋体"/>
                <w:color w:val="auto"/>
                <w:sz w:val="21"/>
                <w:szCs w:val="21"/>
                <w:highlight w:val="none"/>
                <w:lang w:val="en-US" w:eastAsia="zh-CN" w:bidi="ar"/>
              </w:rPr>
              <w:t>1分，扣完为止。（本项业主代表参与打分）</w:t>
            </w:r>
          </w:p>
        </w:tc>
      </w:tr>
      <w:tr w14:paraId="560E697E">
        <w:tblPrEx>
          <w:tblCellMar>
            <w:top w:w="0" w:type="dxa"/>
            <w:left w:w="0" w:type="dxa"/>
            <w:bottom w:w="0" w:type="dxa"/>
            <w:right w:w="0" w:type="dxa"/>
          </w:tblCellMar>
        </w:tblPrEx>
        <w:trPr>
          <w:trHeight w:val="90" w:hRule="atLeast"/>
          <w:jc w:val="center"/>
        </w:trPr>
        <w:tc>
          <w:tcPr>
            <w:tcW w:w="55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2DC1FA">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108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AE449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结算</w:t>
            </w:r>
            <w:r>
              <w:rPr>
                <w:rFonts w:hint="eastAsia" w:ascii="宋体" w:hAnsi="宋体" w:eastAsia="宋体" w:cs="宋体"/>
                <w:color w:val="auto"/>
                <w:kern w:val="0"/>
                <w:sz w:val="24"/>
                <w:szCs w:val="24"/>
                <w:highlight w:val="none"/>
              </w:rPr>
              <w:t>资料完整性</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3F8F4E">
            <w:pPr>
              <w:widowControl/>
              <w:spacing w:line="400" w:lineRule="exact"/>
              <w:jc w:val="both"/>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资料是否齐全</w:t>
            </w:r>
          </w:p>
        </w:tc>
        <w:tc>
          <w:tcPr>
            <w:tcW w:w="5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0183E66">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17B1CB">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0EBD23">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F1B2C1">
            <w:pPr>
              <w:widowControl/>
              <w:spacing w:line="40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招标文件</w:t>
            </w:r>
            <w:r>
              <w:rPr>
                <w:rFonts w:hint="eastAsia" w:ascii="宋体" w:hAnsi="宋体" w:eastAsia="宋体" w:cs="宋体"/>
                <w:color w:val="auto"/>
                <w:sz w:val="21"/>
                <w:szCs w:val="21"/>
                <w:highlight w:val="none"/>
                <w:lang w:eastAsia="zh-CN"/>
              </w:rPr>
              <w:t>、工程量清单及</w:t>
            </w:r>
            <w:r>
              <w:rPr>
                <w:rFonts w:hint="eastAsia" w:ascii="宋体" w:hAnsi="宋体" w:eastAsia="宋体" w:cs="宋体"/>
                <w:color w:val="auto"/>
                <w:sz w:val="21"/>
                <w:szCs w:val="21"/>
                <w:highlight w:val="none"/>
              </w:rPr>
              <w:t>最高投标限价、投标文件、施工合同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工程计量单、第三方测量报告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现场计录单、影像资料、变更申请表、会议纪要、工期延期审批报告、竣工图纸、竣工验收报告、竣工结算报告书、项目移交资料等资料是否齐全。每少一</w:t>
            </w:r>
            <w:r>
              <w:rPr>
                <w:rFonts w:hint="eastAsia" w:ascii="宋体" w:hAnsi="宋体" w:eastAsia="宋体" w:cs="宋体"/>
                <w:color w:val="auto"/>
                <w:sz w:val="21"/>
                <w:szCs w:val="21"/>
                <w:highlight w:val="none"/>
                <w:lang w:eastAsia="zh-CN"/>
              </w:rPr>
              <w:t>项</w:t>
            </w:r>
            <w:r>
              <w:rPr>
                <w:rFonts w:hint="eastAsia" w:ascii="宋体" w:hAnsi="宋体" w:eastAsia="宋体" w:cs="宋体"/>
                <w:color w:val="auto"/>
                <w:sz w:val="21"/>
                <w:szCs w:val="21"/>
                <w:highlight w:val="none"/>
              </w:rPr>
              <w:t>资料扣1分，扣完为止</w:t>
            </w:r>
            <w:r>
              <w:rPr>
                <w:rFonts w:hint="eastAsia" w:ascii="宋体" w:hAnsi="宋体" w:eastAsia="宋体" w:cs="宋体"/>
                <w:color w:val="auto"/>
                <w:sz w:val="21"/>
                <w:szCs w:val="21"/>
                <w:highlight w:val="none"/>
                <w:lang w:eastAsia="zh-CN"/>
              </w:rPr>
              <w:t>，资料不齐全的酌情扣分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（本项第三方复审单位未尽检查提醒义务的予以扣分）</w:t>
            </w:r>
          </w:p>
        </w:tc>
      </w:tr>
      <w:tr w14:paraId="380276B7">
        <w:tblPrEx>
          <w:tblCellMar>
            <w:top w:w="0" w:type="dxa"/>
            <w:left w:w="0" w:type="dxa"/>
            <w:bottom w:w="0" w:type="dxa"/>
            <w:right w:w="0" w:type="dxa"/>
          </w:tblCellMar>
        </w:tblPrEx>
        <w:trPr>
          <w:trHeight w:val="3175" w:hRule="atLeast"/>
          <w:jc w:val="center"/>
        </w:trPr>
        <w:tc>
          <w:tcPr>
            <w:tcW w:w="556"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39447F">
            <w:pPr>
              <w:jc w:val="center"/>
              <w:rPr>
                <w:rFonts w:hint="eastAsia" w:ascii="宋体" w:hAnsi="宋体" w:eastAsia="宋体" w:cs="宋体"/>
                <w:color w:val="auto"/>
                <w:sz w:val="24"/>
                <w:szCs w:val="24"/>
                <w:highlight w:val="none"/>
              </w:rPr>
            </w:pPr>
          </w:p>
        </w:tc>
        <w:tc>
          <w:tcPr>
            <w:tcW w:w="1084"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C82D3B">
            <w:pPr>
              <w:jc w:val="center"/>
              <w:rPr>
                <w:rFonts w:hint="eastAsia" w:ascii="宋体" w:hAnsi="宋体" w:eastAsia="宋体" w:cs="宋体"/>
                <w:color w:val="auto"/>
                <w:sz w:val="24"/>
                <w:szCs w:val="24"/>
                <w:highlight w:val="none"/>
              </w:rPr>
            </w:pP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3D0CD0">
            <w:p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结算</w:t>
            </w:r>
            <w:r>
              <w:rPr>
                <w:rFonts w:hint="eastAsia" w:ascii="宋体" w:hAnsi="宋体" w:eastAsia="宋体" w:cs="宋体"/>
                <w:color w:val="auto"/>
                <w:sz w:val="24"/>
                <w:szCs w:val="24"/>
                <w:highlight w:val="none"/>
              </w:rPr>
              <w:t xml:space="preserve">资料是否装订整齐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9A0A3B">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E7A78D">
            <w:pPr>
              <w:jc w:val="center"/>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1FD7A2">
            <w:pPr>
              <w:jc w:val="center"/>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1B49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计量资料有目录、编码，</w:t>
            </w:r>
            <w:r>
              <w:rPr>
                <w:rFonts w:hint="eastAsia" w:ascii="宋体" w:hAnsi="宋体" w:eastAsia="宋体" w:cs="宋体"/>
                <w:color w:val="auto"/>
                <w:sz w:val="21"/>
                <w:szCs w:val="21"/>
                <w:highlight w:val="none"/>
              </w:rPr>
              <w:t>工程计量单、现场记录单、影像</w:t>
            </w:r>
            <w:r>
              <w:rPr>
                <w:rFonts w:hint="eastAsia" w:ascii="宋体" w:hAnsi="宋体" w:eastAsia="宋体" w:cs="宋体"/>
                <w:color w:val="auto"/>
                <w:sz w:val="21"/>
                <w:szCs w:val="21"/>
                <w:highlight w:val="none"/>
                <w:lang w:eastAsia="zh-CN"/>
              </w:rPr>
              <w:t>资料需一一对应，变更资料中</w:t>
            </w:r>
            <w:r>
              <w:rPr>
                <w:rFonts w:hint="eastAsia" w:ascii="宋体" w:hAnsi="宋体" w:eastAsia="宋体" w:cs="宋体"/>
                <w:color w:val="auto"/>
                <w:sz w:val="21"/>
                <w:szCs w:val="21"/>
                <w:highlight w:val="none"/>
              </w:rPr>
              <w:t>变更申请表、会议纪要、联系单、计量单、现场记录、影像资料</w:t>
            </w:r>
            <w:r>
              <w:rPr>
                <w:rFonts w:hint="eastAsia" w:ascii="宋体" w:hAnsi="宋体" w:eastAsia="宋体" w:cs="宋体"/>
                <w:color w:val="auto"/>
                <w:sz w:val="21"/>
                <w:szCs w:val="21"/>
                <w:highlight w:val="none"/>
                <w:lang w:eastAsia="zh-CN"/>
              </w:rPr>
              <w:t>需一一对应，</w:t>
            </w:r>
            <w:r>
              <w:rPr>
                <w:rFonts w:hint="eastAsia" w:ascii="宋体" w:hAnsi="宋体" w:eastAsia="宋体" w:cs="宋体"/>
                <w:color w:val="auto"/>
                <w:sz w:val="21"/>
                <w:szCs w:val="21"/>
                <w:highlight w:val="none"/>
              </w:rPr>
              <w:t>根据资料装订情况，差</w:t>
            </w:r>
            <w:r>
              <w:rPr>
                <w:rFonts w:hint="eastAsia" w:ascii="宋体" w:hAnsi="宋体" w:eastAsia="宋体" w:cs="宋体"/>
                <w:color w:val="auto"/>
                <w:kern w:val="0"/>
                <w:sz w:val="21"/>
                <w:szCs w:val="21"/>
                <w:highlight w:val="none"/>
              </w:rPr>
              <w:t>0分、一般</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分、较好</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分，很好</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r>
              <w:rPr>
                <w:rFonts w:hint="eastAsia" w:ascii="宋体" w:hAnsi="宋体" w:eastAsia="宋体" w:cs="宋体"/>
                <w:color w:val="auto"/>
                <w:sz w:val="21"/>
                <w:szCs w:val="21"/>
                <w:highlight w:val="none"/>
                <w:lang w:eastAsia="zh-CN"/>
              </w:rPr>
              <w:t>（本项第三方复审单位未尽检查提醒义务的予以扣分）</w:t>
            </w:r>
          </w:p>
        </w:tc>
      </w:tr>
      <w:tr w14:paraId="7EB0DCFC">
        <w:tblPrEx>
          <w:tblCellMar>
            <w:top w:w="0" w:type="dxa"/>
            <w:left w:w="0" w:type="dxa"/>
            <w:bottom w:w="0" w:type="dxa"/>
            <w:right w:w="0" w:type="dxa"/>
          </w:tblCellMar>
        </w:tblPrEx>
        <w:trPr>
          <w:trHeight w:val="1202" w:hRule="atLeast"/>
          <w:jc w:val="center"/>
        </w:trPr>
        <w:tc>
          <w:tcPr>
            <w:tcW w:w="55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3370E29">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三</w:t>
            </w:r>
          </w:p>
        </w:tc>
        <w:tc>
          <w:tcPr>
            <w:tcW w:w="108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5F927CD">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工程计量</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03EA9">
            <w:pPr>
              <w:widowControl/>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1.签字盖章是否齐全</w:t>
            </w:r>
            <w:r>
              <w:rPr>
                <w:rFonts w:hint="eastAsia" w:ascii="宋体" w:hAnsi="宋体" w:eastAsia="宋体" w:cs="宋体"/>
                <w:color w:val="auto"/>
                <w:sz w:val="24"/>
                <w:szCs w:val="24"/>
                <w:highlight w:val="none"/>
              </w:rPr>
              <w:t xml:space="preserve"> </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753865">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01848F">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5A9B6B">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8A6D10">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缺少签字盖章的，每</w:t>
            </w:r>
            <w:r>
              <w:rPr>
                <w:rFonts w:hint="eastAsia" w:ascii="宋体" w:hAnsi="宋体" w:eastAsia="宋体" w:cs="宋体"/>
                <w:color w:val="auto"/>
                <w:sz w:val="21"/>
                <w:szCs w:val="21"/>
                <w:highlight w:val="none"/>
                <w:lang w:eastAsia="zh-CN"/>
              </w:rPr>
              <w:t>处</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7986DE96">
        <w:tblPrEx>
          <w:tblCellMar>
            <w:top w:w="0" w:type="dxa"/>
            <w:left w:w="0" w:type="dxa"/>
            <w:bottom w:w="0" w:type="dxa"/>
            <w:right w:w="0" w:type="dxa"/>
          </w:tblCellMar>
        </w:tblPrEx>
        <w:trPr>
          <w:trHeight w:val="161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64B093AA">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41DD4C33">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33E848">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sz w:val="24"/>
                <w:szCs w:val="24"/>
                <w:highlight w:val="none"/>
              </w:rPr>
              <w:t xml:space="preserve"> 合同内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合同外工程量是否计量</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34BAA">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8BCABD">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2917FE">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50CC8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结算审核报告中的分项工程，若存在无计量情况，每个扣1分，扣完为止。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0FA1B53">
        <w:tblPrEx>
          <w:tblCellMar>
            <w:top w:w="0" w:type="dxa"/>
            <w:left w:w="0" w:type="dxa"/>
            <w:bottom w:w="0" w:type="dxa"/>
            <w:right w:w="0" w:type="dxa"/>
          </w:tblCellMar>
        </w:tblPrEx>
        <w:trPr>
          <w:trHeight w:val="1356" w:hRule="atLeast"/>
          <w:jc w:val="center"/>
        </w:trPr>
        <w:tc>
          <w:tcPr>
            <w:tcW w:w="556" w:type="dxa"/>
            <w:vMerge w:val="continue"/>
            <w:tcBorders>
              <w:left w:val="single" w:color="000000" w:sz="4" w:space="0"/>
              <w:right w:val="single" w:color="000000" w:sz="4" w:space="0"/>
            </w:tcBorders>
            <w:noWrap w:val="0"/>
            <w:tcMar>
              <w:top w:w="15" w:type="dxa"/>
              <w:left w:w="15" w:type="dxa"/>
              <w:right w:w="15" w:type="dxa"/>
            </w:tcMar>
            <w:vAlign w:val="center"/>
          </w:tcPr>
          <w:p w14:paraId="5552C9D4">
            <w:pPr>
              <w:jc w:val="center"/>
              <w:rPr>
                <w:rFonts w:hint="eastAsia" w:ascii="宋体" w:hAnsi="宋体" w:eastAsia="宋体" w:cs="宋体"/>
                <w:color w:val="auto"/>
                <w:sz w:val="24"/>
                <w:szCs w:val="24"/>
                <w:highlight w:val="none"/>
              </w:rPr>
            </w:pPr>
          </w:p>
        </w:tc>
        <w:tc>
          <w:tcPr>
            <w:tcW w:w="1084" w:type="dxa"/>
            <w:vMerge w:val="continue"/>
            <w:tcBorders>
              <w:left w:val="single" w:color="000000" w:sz="4" w:space="0"/>
              <w:right w:val="single" w:color="000000" w:sz="4" w:space="0"/>
            </w:tcBorders>
            <w:noWrap w:val="0"/>
            <w:tcMar>
              <w:top w:w="15" w:type="dxa"/>
              <w:left w:w="15" w:type="dxa"/>
              <w:right w:w="15" w:type="dxa"/>
            </w:tcMar>
            <w:vAlign w:val="center"/>
          </w:tcPr>
          <w:p w14:paraId="366E6CAF">
            <w:pPr>
              <w:jc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0DD69">
            <w:pPr>
              <w:widowControl/>
              <w:spacing w:line="400" w:lineRule="exact"/>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、计量</w:t>
            </w:r>
            <w:r>
              <w:rPr>
                <w:rFonts w:hint="eastAsia" w:ascii="宋体" w:hAnsi="宋体" w:eastAsia="宋体" w:cs="宋体"/>
                <w:color w:val="auto"/>
                <w:kern w:val="0"/>
                <w:sz w:val="24"/>
                <w:szCs w:val="24"/>
                <w:highlight w:val="none"/>
                <w:lang w:eastAsia="zh-CN"/>
              </w:rPr>
              <w:t>单格式、内容</w:t>
            </w:r>
            <w:r>
              <w:rPr>
                <w:rFonts w:hint="eastAsia" w:ascii="宋体" w:hAnsi="宋体" w:eastAsia="宋体" w:cs="宋体"/>
                <w:color w:val="auto"/>
                <w:kern w:val="0"/>
                <w:sz w:val="24"/>
                <w:szCs w:val="24"/>
                <w:highlight w:val="none"/>
              </w:rPr>
              <w:t>是否规范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5220C">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07DA67">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6D8F39">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4D7DB6">
            <w:pPr>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计量单需按我处格式执行，</w:t>
            </w:r>
            <w:r>
              <w:rPr>
                <w:rFonts w:hint="eastAsia" w:ascii="宋体" w:hAnsi="宋体" w:eastAsia="宋体" w:cs="宋体"/>
                <w:color w:val="auto"/>
                <w:kern w:val="0"/>
                <w:sz w:val="21"/>
                <w:szCs w:val="21"/>
                <w:highlight w:val="none"/>
              </w:rPr>
              <w:t>如存在应请第三方测量的项目，而由现场四方计量情况的</w:t>
            </w:r>
            <w:r>
              <w:rPr>
                <w:rFonts w:hint="eastAsia" w:ascii="宋体" w:hAnsi="宋体" w:eastAsia="宋体" w:cs="宋体"/>
                <w:color w:val="auto"/>
                <w:sz w:val="21"/>
                <w:szCs w:val="21"/>
                <w:highlight w:val="none"/>
              </w:rPr>
              <w:t>，每起扣1分，扣完为止。</w:t>
            </w:r>
            <w:r>
              <w:rPr>
                <w:rFonts w:hint="eastAsia" w:ascii="宋体" w:hAnsi="宋体" w:eastAsia="宋体" w:cs="宋体"/>
                <w:color w:val="auto"/>
                <w:sz w:val="21"/>
                <w:szCs w:val="21"/>
                <w:highlight w:val="none"/>
                <w:lang w:eastAsia="zh-CN"/>
              </w:rPr>
              <w:t>（本项第三方复审单位未尽检查提醒义务的予以扣分）</w:t>
            </w:r>
          </w:p>
        </w:tc>
      </w:tr>
      <w:tr w14:paraId="53684242">
        <w:tblPrEx>
          <w:tblCellMar>
            <w:top w:w="0" w:type="dxa"/>
            <w:left w:w="0" w:type="dxa"/>
            <w:bottom w:w="0" w:type="dxa"/>
            <w:right w:w="0" w:type="dxa"/>
          </w:tblCellMar>
        </w:tblPrEx>
        <w:trPr>
          <w:trHeight w:val="1664" w:hRule="atLeast"/>
          <w:jc w:val="center"/>
        </w:trPr>
        <w:tc>
          <w:tcPr>
            <w:tcW w:w="55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991713">
            <w:pPr>
              <w:widowControl/>
              <w:jc w:val="center"/>
              <w:textAlignment w:val="center"/>
              <w:rPr>
                <w:rFonts w:hint="eastAsia" w:ascii="宋体" w:hAnsi="宋体" w:eastAsia="宋体" w:cs="宋体"/>
                <w:color w:val="auto"/>
                <w:sz w:val="24"/>
                <w:szCs w:val="24"/>
                <w:highlight w:val="none"/>
              </w:rPr>
            </w:pPr>
          </w:p>
        </w:tc>
        <w:tc>
          <w:tcPr>
            <w:tcW w:w="108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A0E2F23">
            <w:pPr>
              <w:widowControl/>
              <w:jc w:val="center"/>
              <w:textAlignment w:val="center"/>
              <w:rPr>
                <w:rFonts w:hint="eastAsia" w:ascii="宋体" w:hAnsi="宋体" w:eastAsia="宋体" w:cs="宋体"/>
                <w:color w:val="auto"/>
                <w:sz w:val="24"/>
                <w:szCs w:val="24"/>
                <w:highlight w:val="none"/>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9F3E96">
            <w:pPr>
              <w:widowControl/>
              <w:spacing w:line="400" w:lineRule="exact"/>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根据我处工程变更</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管理办法，工程变更审批手续是否及时、齐全、规范</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B52407">
            <w:pPr>
              <w:widowControl/>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6C473E">
            <w:pPr>
              <w:jc w:val="left"/>
              <w:rPr>
                <w:rFonts w:hint="eastAsia" w:ascii="宋体" w:hAnsi="宋体" w:eastAsia="宋体" w:cs="宋体"/>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BDA40">
            <w:pPr>
              <w:jc w:val="left"/>
              <w:rPr>
                <w:rFonts w:hint="eastAsia" w:ascii="宋体" w:hAnsi="宋体" w:eastAsia="宋体" w:cs="宋体"/>
                <w:color w:val="auto"/>
                <w:sz w:val="24"/>
                <w:szCs w:val="24"/>
                <w:highlight w:val="none"/>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99AE20">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因审核人员原因，造成工程变更审批手续不及时、齐全、规范的，</w:t>
            </w:r>
            <w:r>
              <w:rPr>
                <w:rFonts w:hint="eastAsia" w:ascii="宋体" w:hAnsi="宋体" w:eastAsia="宋体" w:cs="宋体"/>
                <w:color w:val="auto"/>
                <w:sz w:val="21"/>
                <w:szCs w:val="21"/>
                <w:highlight w:val="none"/>
                <w:lang w:eastAsia="zh-CN"/>
              </w:rPr>
              <w:t>每项</w:t>
            </w:r>
            <w:r>
              <w:rPr>
                <w:rFonts w:hint="eastAsia" w:ascii="宋体" w:hAnsi="宋体" w:eastAsia="宋体" w:cs="宋体"/>
                <w:color w:val="auto"/>
                <w:sz w:val="21"/>
                <w:szCs w:val="21"/>
                <w:highlight w:val="none"/>
              </w:rPr>
              <w:t>扣1分，扣完为止。</w:t>
            </w:r>
            <w:r>
              <w:rPr>
                <w:rFonts w:hint="eastAsia" w:ascii="宋体" w:hAnsi="宋体" w:eastAsia="宋体" w:cs="宋体"/>
                <w:color w:val="auto"/>
                <w:sz w:val="21"/>
                <w:szCs w:val="21"/>
                <w:highlight w:val="none"/>
                <w:lang w:eastAsia="zh-CN"/>
              </w:rPr>
              <w:t>（本项业主代表参与打分，第三方复审单位未尽检查提醒义务的予以扣分）</w:t>
            </w:r>
          </w:p>
        </w:tc>
      </w:tr>
      <w:tr w14:paraId="6CA09907">
        <w:tblPrEx>
          <w:tblCellMar>
            <w:top w:w="0" w:type="dxa"/>
            <w:left w:w="0" w:type="dxa"/>
            <w:bottom w:w="0" w:type="dxa"/>
            <w:right w:w="0" w:type="dxa"/>
          </w:tblCellMar>
        </w:tblPrEx>
        <w:trPr>
          <w:trHeight w:val="2705"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B75A25">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F34B3">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廉洁自律</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946C">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审计单位是否保持廉洁自律要求</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B0B03C">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1B6398">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A77F1">
            <w:pPr>
              <w:jc w:val="center"/>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A30D9">
            <w:pPr>
              <w:widowControl/>
              <w:spacing w:line="3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rPr>
              <w:t>有无由被审计单位支付或补贴住宿费、餐费；有无使用被审计单位的交通工具等办理与审计工作无关的事项；有无参加被审计单位安排的旅游、娱乐等活动；有无接受被审计单位的任何礼品；有无在被审计的单位报销任何费用；有无利用审计职权为自己和他人谋利；有无向被审计单位提出任何与审计工作无关的要求。违反审计纪律规定中任何一项的,一经查实，本项分值全部扣除.（本项党办参与打分）</w:t>
            </w:r>
          </w:p>
        </w:tc>
      </w:tr>
      <w:tr w14:paraId="2EEE1436">
        <w:tblPrEx>
          <w:tblCellMar>
            <w:top w:w="0" w:type="dxa"/>
            <w:left w:w="0" w:type="dxa"/>
            <w:bottom w:w="0" w:type="dxa"/>
            <w:right w:w="0" w:type="dxa"/>
          </w:tblCellMar>
        </w:tblPrEx>
        <w:trPr>
          <w:trHeight w:val="2593" w:hRule="atLeast"/>
          <w:jc w:val="center"/>
        </w:trPr>
        <w:tc>
          <w:tcPr>
            <w:tcW w:w="5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19873">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五</w:t>
            </w:r>
          </w:p>
        </w:tc>
        <w:tc>
          <w:tcPr>
            <w:tcW w:w="10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E8F47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竣工结算审核的误差</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92EE87">
            <w:pPr>
              <w:widowControl/>
              <w:spacing w:line="40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根据我处竣工结算审核流程，经第三方、计划科、审价中心复审后，对竣工结算审核报告的误差率进行打分</w:t>
            </w:r>
          </w:p>
        </w:tc>
        <w:tc>
          <w:tcPr>
            <w:tcW w:w="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8160D">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E1033">
            <w:pPr>
              <w:jc w:val="left"/>
              <w:rPr>
                <w:rFonts w:hint="eastAsia" w:ascii="宋体" w:hAnsi="宋体" w:eastAsia="宋体" w:cs="宋体"/>
                <w:color w:val="auto"/>
                <w:kern w:val="2"/>
                <w:sz w:val="24"/>
                <w:szCs w:val="24"/>
                <w:highlight w:val="none"/>
                <w:lang w:val="en-US" w:eastAsia="zh-CN" w:bidi="ar-SA"/>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BC937D">
            <w:pPr>
              <w:jc w:val="left"/>
              <w:rPr>
                <w:rFonts w:hint="eastAsia" w:ascii="宋体" w:hAnsi="宋体" w:eastAsia="宋体" w:cs="宋体"/>
                <w:color w:val="auto"/>
                <w:kern w:val="2"/>
                <w:sz w:val="24"/>
                <w:szCs w:val="24"/>
                <w:highlight w:val="none"/>
                <w:lang w:val="en-US" w:eastAsia="zh-CN" w:bidi="ar-SA"/>
              </w:rPr>
            </w:pPr>
          </w:p>
        </w:tc>
        <w:tc>
          <w:tcPr>
            <w:tcW w:w="3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8BFAB1">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误差率1%</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-2%的，扣5分；</w:t>
            </w:r>
          </w:p>
          <w:p w14:paraId="64B91A7E">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-2.5%的，扣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p w14:paraId="61FB8ADA">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-3%的，扣</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5分；</w:t>
            </w:r>
          </w:p>
          <w:p w14:paraId="1852A67C">
            <w:pPr>
              <w:widowControl/>
              <w:spacing w:line="400" w:lineRule="exact"/>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-3.5%的，扣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0分；</w:t>
            </w:r>
          </w:p>
          <w:p w14:paraId="1D848C0D">
            <w:pPr>
              <w:widowControl/>
              <w:spacing w:line="40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-4%的，扣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5分</w:t>
            </w:r>
            <w:r>
              <w:rPr>
                <w:rFonts w:hint="eastAsia" w:ascii="宋体" w:hAnsi="宋体" w:eastAsia="宋体" w:cs="宋体"/>
                <w:color w:val="auto"/>
                <w:sz w:val="21"/>
                <w:szCs w:val="21"/>
                <w:highlight w:val="none"/>
                <w:lang w:eastAsia="zh-CN"/>
              </w:rPr>
              <w:t>；</w:t>
            </w:r>
          </w:p>
          <w:p w14:paraId="20131F96">
            <w:pPr>
              <w:widowControl/>
              <w:spacing w:line="400" w:lineRule="exact"/>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（含）</w:t>
            </w:r>
            <w:r>
              <w:rPr>
                <w:rFonts w:hint="eastAsia" w:ascii="宋体" w:hAnsi="宋体" w:eastAsia="宋体" w:cs="宋体"/>
                <w:color w:val="auto"/>
                <w:sz w:val="21"/>
                <w:szCs w:val="21"/>
                <w:highlight w:val="none"/>
              </w:rPr>
              <w:t>以上的，扣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w:t>
            </w:r>
          </w:p>
        </w:tc>
      </w:tr>
      <w:tr w14:paraId="608AF683">
        <w:tblPrEx>
          <w:tblCellMar>
            <w:top w:w="0" w:type="dxa"/>
            <w:left w:w="0" w:type="dxa"/>
            <w:bottom w:w="0" w:type="dxa"/>
            <w:right w:w="0" w:type="dxa"/>
          </w:tblCellMar>
        </w:tblPrEx>
        <w:trPr>
          <w:trHeight w:val="558" w:hRule="atLeast"/>
          <w:jc w:val="center"/>
        </w:trPr>
        <w:tc>
          <w:tcPr>
            <w:tcW w:w="488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8A96E7">
            <w:pPr>
              <w:widowControl/>
              <w:jc w:val="right"/>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合计</w:t>
            </w:r>
          </w:p>
        </w:tc>
        <w:tc>
          <w:tcPr>
            <w:tcW w:w="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B9742B">
            <w:pPr>
              <w:jc w:val="left"/>
              <w:rPr>
                <w:rFonts w:hint="eastAsia" w:ascii="宋体" w:hAnsi="宋体" w:eastAsia="宋体" w:cs="宋体"/>
                <w:b/>
                <w:color w:val="auto"/>
                <w:sz w:val="24"/>
                <w:szCs w:val="24"/>
                <w:highlight w:val="none"/>
              </w:rPr>
            </w:pPr>
          </w:p>
        </w:tc>
        <w:tc>
          <w:tcPr>
            <w:tcW w:w="9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B5322F">
            <w:pPr>
              <w:jc w:val="left"/>
              <w:rPr>
                <w:rFonts w:hint="eastAsia" w:ascii="宋体" w:hAnsi="宋体" w:eastAsia="宋体" w:cs="宋体"/>
                <w:b/>
                <w:color w:val="auto"/>
                <w:sz w:val="24"/>
                <w:szCs w:val="24"/>
                <w:highlight w:val="none"/>
              </w:rPr>
            </w:pPr>
          </w:p>
        </w:tc>
        <w:tc>
          <w:tcPr>
            <w:tcW w:w="35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198FF1">
            <w:pPr>
              <w:jc w:val="left"/>
              <w:rPr>
                <w:rFonts w:hint="eastAsia" w:ascii="宋体" w:hAnsi="宋体" w:eastAsia="宋体" w:cs="宋体"/>
                <w:color w:val="auto"/>
                <w:sz w:val="21"/>
                <w:szCs w:val="21"/>
                <w:highlight w:val="none"/>
              </w:rPr>
            </w:pPr>
          </w:p>
        </w:tc>
      </w:tr>
      <w:tr w14:paraId="5937D088">
        <w:tblPrEx>
          <w:tblCellMar>
            <w:top w:w="0" w:type="dxa"/>
            <w:left w:w="0" w:type="dxa"/>
            <w:bottom w:w="0" w:type="dxa"/>
            <w:right w:w="0" w:type="dxa"/>
          </w:tblCellMar>
        </w:tblPrEx>
        <w:trPr>
          <w:trHeight w:val="1429" w:hRule="atLeast"/>
          <w:jc w:val="center"/>
        </w:trPr>
        <w:tc>
          <w:tcPr>
            <w:tcW w:w="9998"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11FD0">
            <w:pPr>
              <w:widowControl/>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xml:space="preserve">企业签字：                   考核组签字 ：                  </w:t>
            </w:r>
            <w:r>
              <w:rPr>
                <w:rFonts w:hint="eastAsia" w:ascii="宋体" w:hAnsi="宋体" w:eastAsia="宋体" w:cs="宋体"/>
                <w:color w:val="auto"/>
                <w:kern w:val="0"/>
                <w:sz w:val="24"/>
                <w:szCs w:val="24"/>
                <w:highlight w:val="none"/>
                <w:lang w:val="en-US" w:eastAsia="zh-CN"/>
              </w:rPr>
              <w:t xml:space="preserve">       </w:t>
            </w:r>
          </w:p>
          <w:p w14:paraId="54CA4D58">
            <w:pPr>
              <w:widowControl/>
              <w:ind w:firstLine="8160" w:firstLineChars="34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 xml:space="preserve">  </w:t>
            </w:r>
            <w:r>
              <w:rPr>
                <w:rStyle w:val="156"/>
                <w:rFonts w:hint="eastAsia" w:ascii="宋体" w:hAnsi="宋体" w:eastAsia="宋体" w:cs="宋体"/>
                <w:color w:val="auto"/>
                <w:sz w:val="24"/>
                <w:szCs w:val="24"/>
                <w:highlight w:val="none"/>
              </w:rPr>
              <w:t>年</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月</w:t>
            </w:r>
            <w:r>
              <w:rPr>
                <w:rStyle w:val="156"/>
                <w:rFonts w:hint="eastAsia" w:ascii="宋体" w:hAnsi="宋体" w:eastAsia="宋体" w:cs="宋体"/>
                <w:color w:val="auto"/>
                <w:sz w:val="24"/>
                <w:szCs w:val="24"/>
                <w:highlight w:val="none"/>
                <w:lang w:val="en-US" w:eastAsia="zh-CN"/>
              </w:rPr>
              <w:t xml:space="preserve">  </w:t>
            </w:r>
            <w:r>
              <w:rPr>
                <w:rStyle w:val="156"/>
                <w:rFonts w:hint="eastAsia" w:ascii="宋体" w:hAnsi="宋体" w:eastAsia="宋体" w:cs="宋体"/>
                <w:color w:val="auto"/>
                <w:sz w:val="24"/>
                <w:szCs w:val="24"/>
                <w:highlight w:val="none"/>
              </w:rPr>
              <w:t>日</w:t>
            </w:r>
          </w:p>
        </w:tc>
      </w:tr>
    </w:tbl>
    <w:p w14:paraId="2158A4B5">
      <w:pPr>
        <w:pStyle w:val="28"/>
        <w:ind w:left="0" w:leftChars="0" w:firstLine="0" w:firstLineChars="0"/>
        <w:rPr>
          <w:rFonts w:hint="eastAsia" w:ascii="宋体" w:hAnsi="宋体" w:eastAsia="宋体" w:cs="宋体"/>
          <w:color w:val="auto"/>
          <w:sz w:val="32"/>
          <w:szCs w:val="32"/>
          <w:highlight w:val="none"/>
          <w:lang w:val="en-US" w:eastAsia="zh-CN"/>
        </w:rPr>
      </w:pPr>
    </w:p>
    <w:p w14:paraId="30A0BDF8">
      <w:pPr>
        <w:spacing w:before="156" w:beforeLines="50" w:after="156" w:afterLines="50" w:line="312" w:lineRule="auto"/>
        <w:jc w:val="center"/>
        <w:rPr>
          <w:rFonts w:hint="eastAsia" w:ascii="宋体" w:hAnsi="宋体" w:eastAsia="宋体" w:cs="宋体"/>
          <w:b/>
          <w:color w:val="auto"/>
          <w:sz w:val="32"/>
          <w:szCs w:val="32"/>
          <w:highlight w:val="none"/>
        </w:rPr>
      </w:pPr>
    </w:p>
    <w:p w14:paraId="167AEBA4">
      <w:pPr>
        <w:rPr>
          <w:rFonts w:hint="eastAsia" w:ascii="宋体" w:hAnsi="宋体" w:eastAsia="宋体" w:cs="宋体"/>
          <w:color w:val="auto"/>
          <w:highlight w:val="none"/>
        </w:rPr>
      </w:pPr>
    </w:p>
    <w:p w14:paraId="24A277F9">
      <w:pPr>
        <w:pStyle w:val="28"/>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宋体" w:hAnsi="宋体" w:eastAsia="宋体" w:cs="宋体"/>
          <w:color w:val="auto"/>
          <w:sz w:val="24"/>
          <w:szCs w:val="24"/>
          <w:highlight w:val="none"/>
          <w:lang w:val="en-US" w:eastAsia="zh-CN"/>
        </w:rPr>
        <w:sectPr>
          <w:footerReference r:id="rId9" w:type="default"/>
          <w:pgSz w:w="11906" w:h="16838"/>
          <w:pgMar w:top="1417" w:right="1417" w:bottom="1134" w:left="1417" w:header="680" w:footer="680" w:gutter="0"/>
          <w:pgBorders w:offsetFrom="page">
            <w:top w:val="none" w:sz="0" w:space="0"/>
            <w:left w:val="none" w:sz="0" w:space="0"/>
            <w:bottom w:val="none" w:sz="0" w:space="0"/>
            <w:right w:val="none" w:sz="0" w:space="0"/>
          </w:pgBorders>
          <w:pgNumType w:fmt="decimal"/>
          <w:cols w:space="0" w:num="1"/>
          <w:rtlGutter w:val="0"/>
          <w:docGrid w:type="lines" w:linePitch="318" w:charSpace="0"/>
        </w:sect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8"/>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2"/>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8"/>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8"/>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2"/>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2"/>
        <w:rPr>
          <w:rFonts w:hint="eastAsia"/>
          <w:color w:val="auto"/>
          <w:highlight w:val="none"/>
        </w:rPr>
      </w:pPr>
    </w:p>
    <w:p w14:paraId="5DB86DD5">
      <w:pPr>
        <w:pStyle w:val="2"/>
        <w:ind w:left="420" w:firstLine="420"/>
        <w:rPr>
          <w:rFonts w:hint="eastAsia"/>
          <w:color w:val="auto"/>
          <w:highlight w:val="none"/>
        </w:rPr>
      </w:pPr>
    </w:p>
    <w:p w14:paraId="53AB3B76">
      <w:pPr>
        <w:pStyle w:val="20"/>
        <w:jc w:val="left"/>
        <w:rPr>
          <w:rFonts w:hint="eastAsia" w:ascii="宋体" w:hAnsi="宋体" w:eastAsia="宋体" w:cs="宋体"/>
          <w:color w:val="auto"/>
          <w:kern w:val="0"/>
          <w:sz w:val="24"/>
          <w:szCs w:val="24"/>
          <w:highlight w:val="none"/>
        </w:rPr>
      </w:pPr>
    </w:p>
    <w:p w14:paraId="32517B5B">
      <w:pPr>
        <w:pStyle w:val="20"/>
        <w:jc w:val="left"/>
        <w:rPr>
          <w:rFonts w:hint="eastAsia" w:ascii="宋体" w:hAnsi="宋体" w:eastAsia="宋体" w:cs="宋体"/>
          <w:color w:val="auto"/>
          <w:kern w:val="0"/>
          <w:sz w:val="24"/>
          <w:szCs w:val="24"/>
          <w:highlight w:val="none"/>
        </w:rPr>
      </w:pPr>
    </w:p>
    <w:sectPr>
      <w:footerReference r:id="rId10"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汉仪大黑简">
    <w:altName w:val="黑体"/>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 w:name="Kingsoft UE">
    <w:altName w:val="XcGJSymbol"/>
    <w:panose1 w:val="00000000000000000000"/>
    <w:charset w:val="00"/>
    <w:family w:val="auto"/>
    <w:pitch w:val="default"/>
    <w:sig w:usb0="00000000" w:usb1="00000000" w:usb2="00000000" w:usb3="00000000" w:csb0="00000000" w:csb1="00000000"/>
  </w:font>
  <w:font w:name="XcGJSymbol">
    <w:panose1 w:val="02000500000000000000"/>
    <w:charset w:val="00"/>
    <w:family w:val="auto"/>
    <w:pitch w:val="default"/>
    <w:sig w:usb0="00000000" w:usb1="00000000" w:usb2="00000000" w:usb3="00000000" w:csb0="00000001" w:csb1="00000000"/>
  </w:font>
  <w:font w:name="KSOF2A9ED157">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30"/>
      <w:rPr>
        <w:rStyle w:val="49"/>
      </w:rPr>
    </w:pPr>
  </w:p>
  <w:p w14:paraId="24D89652">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2C0A7">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A1F24">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AA1F24">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59DC18A4">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2"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5C623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Bcxk6a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WlDhuceDn&#10;79/OP36df36tsztDiA0mPYR7mHcRYZY6KrD5iyLIWBw9XR2VYyICg1W9ulm9uaFE4Fn1dlXVxXL2&#10;eDtATO+ktySDlgJOrBjJjx9iwoqYeknJxZy/08aUqRn3VwATp4gsY59v5/anhjNK426cVex8d0Ll&#10;5r1DN/PLuAC4gN0FHALofY/NVdkQlolwGqW1+eXkcf+5L1mPf8v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Bcxk6auAEAAHUDAAAOAAAAAAAAAAEAIAAAACkBAABkcnMvZTJvRG9jLnhtbFBL&#10;BQYAAAAABgAGAFkBAABTBQAAAAA=&#10;">
              <v:fill on="f" focussize="0,0"/>
              <v:stroke on="f"/>
              <v:imagedata o:title=""/>
              <o:lock v:ext="edit" aspectratio="f"/>
              <v:textbox inset="0mm,0mm,0mm,0mm">
                <w:txbxContent>
                  <w:p w14:paraId="5D5C6234"/>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4885">
    <w:pPr>
      <w:pStyle w:val="30"/>
      <w:rPr>
        <w:rStyle w:val="49"/>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4959D">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A24959D">
                    <w:pPr>
                      <w:pStyle w:val="30"/>
                    </w:pPr>
                    <w:r>
                      <w:fldChar w:fldCharType="begin"/>
                    </w:r>
                    <w:r>
                      <w:instrText xml:space="preserve"> PAGE  \* MERGEFORMAT </w:instrText>
                    </w:r>
                    <w:r>
                      <w:fldChar w:fldCharType="separate"/>
                    </w:r>
                    <w:r>
                      <w:t>1</w:t>
                    </w:r>
                    <w:r>
                      <w:fldChar w:fldCharType="end"/>
                    </w:r>
                  </w:p>
                </w:txbxContent>
              </v:textbox>
            </v:shape>
          </w:pict>
        </mc:Fallback>
      </mc:AlternateContent>
    </w:r>
  </w:p>
  <w:p w14:paraId="77C6AFA8">
    <w:pPr>
      <w:pStyle w:val="30"/>
      <w:ind w:right="360"/>
      <w:rPr>
        <w:kern w:val="0"/>
      </w:rPr>
    </w:pPr>
    <w:r>
      <mc:AlternateContent>
        <mc:Choice Requires="wps">
          <w:drawing>
            <wp:anchor distT="0" distB="0" distL="114300" distR="114300" simplePos="0" relativeHeight="251661312"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3"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2B2323A"/>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1312;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JLHcS2gAAAAkBAAAPAAAAAAAAAAEAIAAAACIAAABkcnMvZG93bnJldi54bWxQSwEC&#10;FAAUAAAACACHTuJABZ+iU7kBAAB1AwAADgAAAAAAAAABACAAAAApAQAAZHJzL2Uyb0RvYy54bWxQ&#10;SwUGAAAAAAYABgBZAQAAVAUAAAAA&#10;">
              <v:fill on="f" focussize="0,0"/>
              <v:stroke on="f"/>
              <v:imagedata o:title=""/>
              <o:lock v:ext="edit" aspectratio="f"/>
              <v:textbox inset="0mm,0mm,0mm,0mm">
                <w:txbxContent>
                  <w:p w14:paraId="42B2323A"/>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2BC3">
    <w:pPr>
      <w:pStyle w:val="30"/>
      <w:ind w:right="360" w:firstLine="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ADB62">
                          <w:pPr>
                            <w:pStyle w:val="3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7ADB62">
                    <w:pPr>
                      <w:pStyle w:val="3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FBC60">
    <w:pPr>
      <w:pStyle w:val="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B90042">
                          <w:pPr>
                            <w:pStyle w:val="30"/>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B90042">
                    <w:pPr>
                      <w:pStyle w:val="30"/>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30"/>
      <w:rPr>
        <w:rStyle w:val="49"/>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6BAED">
                          <w:pPr>
                            <w:pStyle w:val="30"/>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B46BAED">
                    <w:pPr>
                      <w:pStyle w:val="30"/>
                    </w:pPr>
                    <w:r>
                      <w:fldChar w:fldCharType="begin"/>
                    </w:r>
                    <w:r>
                      <w:instrText xml:space="preserve"> PAGE  \* MERGEFORMAT </w:instrText>
                    </w:r>
                    <w:r>
                      <w:fldChar w:fldCharType="separate"/>
                    </w:r>
                    <w:r>
                      <w:t>73</w:t>
                    </w:r>
                    <w:r>
                      <w:fldChar w:fldCharType="end"/>
                    </w:r>
                  </w:p>
                </w:txbxContent>
              </v:textbox>
            </v:shape>
          </w:pict>
        </mc:Fallback>
      </mc:AlternateContent>
    </w:r>
  </w:p>
  <w:p w14:paraId="157870D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BC5AA"/>
    <w:multiLevelType w:val="singleLevel"/>
    <w:tmpl w:val="872BC5AA"/>
    <w:lvl w:ilvl="0" w:tentative="0">
      <w:start w:val="2"/>
      <w:numFmt w:val="decimal"/>
      <w:lvlText w:val="%1."/>
      <w:lvlJc w:val="left"/>
      <w:pPr>
        <w:tabs>
          <w:tab w:val="left" w:pos="312"/>
        </w:tabs>
      </w:pPr>
    </w:lvl>
  </w:abstractNum>
  <w:abstractNum w:abstractNumId="1">
    <w:nsid w:val="E7258976"/>
    <w:multiLevelType w:val="singleLevel"/>
    <w:tmpl w:val="E7258976"/>
    <w:lvl w:ilvl="0" w:tentative="0">
      <w:start w:val="1"/>
      <w:numFmt w:val="chineseCounting"/>
      <w:suff w:val="space"/>
      <w:lvlText w:val="（%1）"/>
      <w:lvlJc w:val="left"/>
      <w:pPr>
        <w:ind w:left="-10"/>
      </w:pPr>
      <w:rPr>
        <w:rFonts w:hint="eastAsia" w:ascii="仿宋_GB2312" w:hAnsi="仿宋_GB2312" w:eastAsia="仿宋_GB2312" w:cs="仿宋_GB2312"/>
        <w:sz w:val="32"/>
        <w:szCs w:val="32"/>
      </w:rPr>
    </w:lvl>
  </w:abstractNum>
  <w:abstractNum w:abstractNumId="2">
    <w:nsid w:val="1EF8CB6E"/>
    <w:multiLevelType w:val="singleLevel"/>
    <w:tmpl w:val="1EF8CB6E"/>
    <w:lvl w:ilvl="0" w:tentative="0">
      <w:start w:val="1"/>
      <w:numFmt w:val="upperLetter"/>
      <w:suff w:val="nothing"/>
      <w:lvlText w:val="%1、"/>
      <w:lvlJc w:val="left"/>
    </w:lvl>
  </w:abstractNum>
  <w:abstractNum w:abstractNumId="3">
    <w:nsid w:val="434FCDAE"/>
    <w:multiLevelType w:val="singleLevel"/>
    <w:tmpl w:val="434FCDAE"/>
    <w:lvl w:ilvl="0" w:tentative="0">
      <w:start w:val="1"/>
      <w:numFmt w:val="chineseCounting"/>
      <w:suff w:val="space"/>
      <w:lvlText w:val="（%1）"/>
      <w:lvlJc w:val="left"/>
      <w:rPr>
        <w:rFonts w:hint="eastAsia"/>
      </w:rPr>
    </w:lvl>
  </w:abstractNum>
  <w:abstractNum w:abstractNumId="4">
    <w:nsid w:val="4AEE3BEB"/>
    <w:multiLevelType w:val="singleLevel"/>
    <w:tmpl w:val="4AEE3BEB"/>
    <w:lvl w:ilvl="0" w:tentative="0">
      <w:start w:val="2"/>
      <w:numFmt w:val="chineseCounting"/>
      <w:suff w:val="space"/>
      <w:lvlText w:val="（%1）"/>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11EEC"/>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CC1A40"/>
    <w:rsid w:val="023C4E17"/>
    <w:rsid w:val="02860CE1"/>
    <w:rsid w:val="028D0613"/>
    <w:rsid w:val="02A06DF6"/>
    <w:rsid w:val="02AD40CA"/>
    <w:rsid w:val="02C71777"/>
    <w:rsid w:val="02DA63DE"/>
    <w:rsid w:val="03241F36"/>
    <w:rsid w:val="03311B51"/>
    <w:rsid w:val="035607B0"/>
    <w:rsid w:val="035A0B08"/>
    <w:rsid w:val="03BE185C"/>
    <w:rsid w:val="03DD3435"/>
    <w:rsid w:val="04712848"/>
    <w:rsid w:val="04813DBA"/>
    <w:rsid w:val="04880F3B"/>
    <w:rsid w:val="04BB1052"/>
    <w:rsid w:val="04EF66A6"/>
    <w:rsid w:val="050C3B6C"/>
    <w:rsid w:val="058F191A"/>
    <w:rsid w:val="0620235A"/>
    <w:rsid w:val="064047AA"/>
    <w:rsid w:val="07023E8A"/>
    <w:rsid w:val="073060B3"/>
    <w:rsid w:val="073F34F8"/>
    <w:rsid w:val="074D59C7"/>
    <w:rsid w:val="0768220B"/>
    <w:rsid w:val="07855569"/>
    <w:rsid w:val="07DD03A2"/>
    <w:rsid w:val="083216E2"/>
    <w:rsid w:val="08891FDF"/>
    <w:rsid w:val="08EE1782"/>
    <w:rsid w:val="090B57DF"/>
    <w:rsid w:val="0942520E"/>
    <w:rsid w:val="094625ED"/>
    <w:rsid w:val="098C0FAE"/>
    <w:rsid w:val="0A1370D9"/>
    <w:rsid w:val="0A426CE3"/>
    <w:rsid w:val="0A783487"/>
    <w:rsid w:val="0A920A74"/>
    <w:rsid w:val="0B1A05CF"/>
    <w:rsid w:val="0B3B4932"/>
    <w:rsid w:val="0B8A5AE2"/>
    <w:rsid w:val="0B9F1F73"/>
    <w:rsid w:val="0C30371E"/>
    <w:rsid w:val="0C47209B"/>
    <w:rsid w:val="0C56467C"/>
    <w:rsid w:val="0CDE4AF1"/>
    <w:rsid w:val="0CEC2F96"/>
    <w:rsid w:val="0D2F7233"/>
    <w:rsid w:val="0D352C95"/>
    <w:rsid w:val="0D4555DC"/>
    <w:rsid w:val="0DB0649C"/>
    <w:rsid w:val="0E2234E7"/>
    <w:rsid w:val="0E832759"/>
    <w:rsid w:val="0E910299"/>
    <w:rsid w:val="0EA842DB"/>
    <w:rsid w:val="0ECF7747"/>
    <w:rsid w:val="0F9D46EF"/>
    <w:rsid w:val="112137C2"/>
    <w:rsid w:val="11D57582"/>
    <w:rsid w:val="124026B6"/>
    <w:rsid w:val="12C329EB"/>
    <w:rsid w:val="12DA0F1C"/>
    <w:rsid w:val="133C1C42"/>
    <w:rsid w:val="137A735A"/>
    <w:rsid w:val="13B24508"/>
    <w:rsid w:val="13B92B25"/>
    <w:rsid w:val="13E54BBD"/>
    <w:rsid w:val="146D5339"/>
    <w:rsid w:val="14CE6AB2"/>
    <w:rsid w:val="14D0357D"/>
    <w:rsid w:val="152F63E2"/>
    <w:rsid w:val="158272E5"/>
    <w:rsid w:val="15864214"/>
    <w:rsid w:val="15D60886"/>
    <w:rsid w:val="15D71D2C"/>
    <w:rsid w:val="16873D30"/>
    <w:rsid w:val="16A220B2"/>
    <w:rsid w:val="16AB249D"/>
    <w:rsid w:val="16E538DC"/>
    <w:rsid w:val="17141A67"/>
    <w:rsid w:val="17153410"/>
    <w:rsid w:val="17171557"/>
    <w:rsid w:val="176A4DBE"/>
    <w:rsid w:val="184B770B"/>
    <w:rsid w:val="18E65745"/>
    <w:rsid w:val="19197809"/>
    <w:rsid w:val="192D6ACC"/>
    <w:rsid w:val="19475149"/>
    <w:rsid w:val="1A1E40F3"/>
    <w:rsid w:val="1AF847D0"/>
    <w:rsid w:val="1C112A19"/>
    <w:rsid w:val="1C136BB6"/>
    <w:rsid w:val="1C4B5EA8"/>
    <w:rsid w:val="1C990D5F"/>
    <w:rsid w:val="1D854405"/>
    <w:rsid w:val="1DB42418"/>
    <w:rsid w:val="1E1554ED"/>
    <w:rsid w:val="1E66223E"/>
    <w:rsid w:val="1E9B39D7"/>
    <w:rsid w:val="1EE53BAE"/>
    <w:rsid w:val="1F5C123B"/>
    <w:rsid w:val="1F720A5F"/>
    <w:rsid w:val="1F8B27BE"/>
    <w:rsid w:val="1FA31BDA"/>
    <w:rsid w:val="1FA4448B"/>
    <w:rsid w:val="2022793B"/>
    <w:rsid w:val="207B6E01"/>
    <w:rsid w:val="211B1C44"/>
    <w:rsid w:val="21905B3D"/>
    <w:rsid w:val="21AB2FC8"/>
    <w:rsid w:val="21F200C1"/>
    <w:rsid w:val="22284619"/>
    <w:rsid w:val="224A075F"/>
    <w:rsid w:val="22E66E8E"/>
    <w:rsid w:val="23816BA4"/>
    <w:rsid w:val="23B802A0"/>
    <w:rsid w:val="23FF32CA"/>
    <w:rsid w:val="25650EAD"/>
    <w:rsid w:val="259A75DB"/>
    <w:rsid w:val="25E4098B"/>
    <w:rsid w:val="26252182"/>
    <w:rsid w:val="265122FF"/>
    <w:rsid w:val="265E174C"/>
    <w:rsid w:val="2686038F"/>
    <w:rsid w:val="26EF5515"/>
    <w:rsid w:val="271C79A1"/>
    <w:rsid w:val="2725381D"/>
    <w:rsid w:val="273D1EC7"/>
    <w:rsid w:val="274F505D"/>
    <w:rsid w:val="28C64B8B"/>
    <w:rsid w:val="28C72B2B"/>
    <w:rsid w:val="29D8382E"/>
    <w:rsid w:val="29E75E0C"/>
    <w:rsid w:val="29F23E8A"/>
    <w:rsid w:val="2A241E9E"/>
    <w:rsid w:val="2A566AD6"/>
    <w:rsid w:val="2B231E21"/>
    <w:rsid w:val="2B367DA6"/>
    <w:rsid w:val="2B45781E"/>
    <w:rsid w:val="2C6C3FFF"/>
    <w:rsid w:val="2C7D3C0D"/>
    <w:rsid w:val="2C874AAF"/>
    <w:rsid w:val="2C8E66A6"/>
    <w:rsid w:val="2CAF5168"/>
    <w:rsid w:val="2CBB47F9"/>
    <w:rsid w:val="2CF26DC6"/>
    <w:rsid w:val="2D4A1910"/>
    <w:rsid w:val="2DFF7667"/>
    <w:rsid w:val="2E267150"/>
    <w:rsid w:val="2E5874B6"/>
    <w:rsid w:val="2EFD1D1D"/>
    <w:rsid w:val="2F3029A9"/>
    <w:rsid w:val="2F3A186E"/>
    <w:rsid w:val="2FA0175F"/>
    <w:rsid w:val="2FE563D7"/>
    <w:rsid w:val="319951CC"/>
    <w:rsid w:val="31FB42D0"/>
    <w:rsid w:val="32852601"/>
    <w:rsid w:val="32D3700E"/>
    <w:rsid w:val="32F07192"/>
    <w:rsid w:val="332433C5"/>
    <w:rsid w:val="3376156C"/>
    <w:rsid w:val="33DB598F"/>
    <w:rsid w:val="33FB393B"/>
    <w:rsid w:val="348E387D"/>
    <w:rsid w:val="35A324DC"/>
    <w:rsid w:val="35A46FAE"/>
    <w:rsid w:val="37026723"/>
    <w:rsid w:val="37526B7E"/>
    <w:rsid w:val="385F78F9"/>
    <w:rsid w:val="38793253"/>
    <w:rsid w:val="398960D8"/>
    <w:rsid w:val="39E8421F"/>
    <w:rsid w:val="3A066436"/>
    <w:rsid w:val="3A2516BB"/>
    <w:rsid w:val="3B3C635C"/>
    <w:rsid w:val="3CCB04A6"/>
    <w:rsid w:val="3CD37326"/>
    <w:rsid w:val="3DA16242"/>
    <w:rsid w:val="3E7850FA"/>
    <w:rsid w:val="3EED354E"/>
    <w:rsid w:val="3F1410DB"/>
    <w:rsid w:val="3F173AB4"/>
    <w:rsid w:val="3F1B5AF7"/>
    <w:rsid w:val="3F7A539C"/>
    <w:rsid w:val="3FB5783A"/>
    <w:rsid w:val="402406BD"/>
    <w:rsid w:val="408338D7"/>
    <w:rsid w:val="41510996"/>
    <w:rsid w:val="42147451"/>
    <w:rsid w:val="42664FBD"/>
    <w:rsid w:val="43727992"/>
    <w:rsid w:val="43881670"/>
    <w:rsid w:val="43E82525"/>
    <w:rsid w:val="44373BCE"/>
    <w:rsid w:val="44592EA6"/>
    <w:rsid w:val="44A8055A"/>
    <w:rsid w:val="44B02520"/>
    <w:rsid w:val="44F7334E"/>
    <w:rsid w:val="44FA379B"/>
    <w:rsid w:val="45273CAF"/>
    <w:rsid w:val="459E52B5"/>
    <w:rsid w:val="45AF30FD"/>
    <w:rsid w:val="463460DC"/>
    <w:rsid w:val="46420BB9"/>
    <w:rsid w:val="465B3014"/>
    <w:rsid w:val="467B3F5F"/>
    <w:rsid w:val="472C45CF"/>
    <w:rsid w:val="472F5293"/>
    <w:rsid w:val="473A07C7"/>
    <w:rsid w:val="474E7DCE"/>
    <w:rsid w:val="47C31B76"/>
    <w:rsid w:val="47DB0FE0"/>
    <w:rsid w:val="47E77736"/>
    <w:rsid w:val="47EB386F"/>
    <w:rsid w:val="485A4022"/>
    <w:rsid w:val="48986B3F"/>
    <w:rsid w:val="48C93BB0"/>
    <w:rsid w:val="48CE1A9E"/>
    <w:rsid w:val="494476DB"/>
    <w:rsid w:val="49B66251"/>
    <w:rsid w:val="4A125037"/>
    <w:rsid w:val="4AB455FC"/>
    <w:rsid w:val="4B4C6831"/>
    <w:rsid w:val="4BA63BCF"/>
    <w:rsid w:val="4BB93099"/>
    <w:rsid w:val="4C4C39B0"/>
    <w:rsid w:val="4CA21C4A"/>
    <w:rsid w:val="4E87606B"/>
    <w:rsid w:val="4ED1777D"/>
    <w:rsid w:val="4F443F90"/>
    <w:rsid w:val="4F627A2B"/>
    <w:rsid w:val="4F7D616C"/>
    <w:rsid w:val="4F8A1859"/>
    <w:rsid w:val="4FCD4721"/>
    <w:rsid w:val="4FE45773"/>
    <w:rsid w:val="50281B04"/>
    <w:rsid w:val="502D24E4"/>
    <w:rsid w:val="504773D5"/>
    <w:rsid w:val="50EC70D4"/>
    <w:rsid w:val="511E5BAD"/>
    <w:rsid w:val="513918A9"/>
    <w:rsid w:val="517F3DD4"/>
    <w:rsid w:val="51BC2AE8"/>
    <w:rsid w:val="52244348"/>
    <w:rsid w:val="52466141"/>
    <w:rsid w:val="52CE5689"/>
    <w:rsid w:val="530B071F"/>
    <w:rsid w:val="538843E3"/>
    <w:rsid w:val="53B33700"/>
    <w:rsid w:val="55376345"/>
    <w:rsid w:val="558A3D0F"/>
    <w:rsid w:val="559A68B9"/>
    <w:rsid w:val="55B10490"/>
    <w:rsid w:val="569E5C28"/>
    <w:rsid w:val="56B17EF3"/>
    <w:rsid w:val="57313D11"/>
    <w:rsid w:val="578D69F6"/>
    <w:rsid w:val="58311B26"/>
    <w:rsid w:val="583B105E"/>
    <w:rsid w:val="58F55D5D"/>
    <w:rsid w:val="59254E33"/>
    <w:rsid w:val="59360753"/>
    <w:rsid w:val="597E4543"/>
    <w:rsid w:val="599A4762"/>
    <w:rsid w:val="59B94A33"/>
    <w:rsid w:val="59C42C57"/>
    <w:rsid w:val="5A613B97"/>
    <w:rsid w:val="5A6D513D"/>
    <w:rsid w:val="5AFB2C32"/>
    <w:rsid w:val="5B1A64ED"/>
    <w:rsid w:val="5B2F036B"/>
    <w:rsid w:val="5B583D18"/>
    <w:rsid w:val="5B5877E2"/>
    <w:rsid w:val="5BA9771F"/>
    <w:rsid w:val="5BAC7A1D"/>
    <w:rsid w:val="5BAE0EF6"/>
    <w:rsid w:val="5BE3458F"/>
    <w:rsid w:val="5DD0286D"/>
    <w:rsid w:val="5EEA0F2A"/>
    <w:rsid w:val="5F9D1CA2"/>
    <w:rsid w:val="5FD300DB"/>
    <w:rsid w:val="5FE25B93"/>
    <w:rsid w:val="602A3ED1"/>
    <w:rsid w:val="603F3AE9"/>
    <w:rsid w:val="605A527E"/>
    <w:rsid w:val="607C6FFB"/>
    <w:rsid w:val="608C59E7"/>
    <w:rsid w:val="61051B53"/>
    <w:rsid w:val="61095D5D"/>
    <w:rsid w:val="61284751"/>
    <w:rsid w:val="61425A64"/>
    <w:rsid w:val="61EB473F"/>
    <w:rsid w:val="62257FFA"/>
    <w:rsid w:val="629F458E"/>
    <w:rsid w:val="63637DFA"/>
    <w:rsid w:val="63C45248"/>
    <w:rsid w:val="63E47698"/>
    <w:rsid w:val="63EE6769"/>
    <w:rsid w:val="64F222D0"/>
    <w:rsid w:val="655541D3"/>
    <w:rsid w:val="65566374"/>
    <w:rsid w:val="65594766"/>
    <w:rsid w:val="65AE22F3"/>
    <w:rsid w:val="65C12033"/>
    <w:rsid w:val="66465782"/>
    <w:rsid w:val="6686712D"/>
    <w:rsid w:val="66AF6E4C"/>
    <w:rsid w:val="670A4733"/>
    <w:rsid w:val="6727057A"/>
    <w:rsid w:val="67DE5EA5"/>
    <w:rsid w:val="68DB72BC"/>
    <w:rsid w:val="68E615DD"/>
    <w:rsid w:val="6907286A"/>
    <w:rsid w:val="6908397B"/>
    <w:rsid w:val="692923F8"/>
    <w:rsid w:val="6A16299D"/>
    <w:rsid w:val="6ADC37BF"/>
    <w:rsid w:val="6B1637B6"/>
    <w:rsid w:val="6B354DBB"/>
    <w:rsid w:val="6B456EE8"/>
    <w:rsid w:val="6B705F22"/>
    <w:rsid w:val="6B737C7F"/>
    <w:rsid w:val="6CC00CAD"/>
    <w:rsid w:val="6D0B604A"/>
    <w:rsid w:val="6DAC05BE"/>
    <w:rsid w:val="6E2337BB"/>
    <w:rsid w:val="6E526A5F"/>
    <w:rsid w:val="6E531FEA"/>
    <w:rsid w:val="6E802F39"/>
    <w:rsid w:val="6F5F3A74"/>
    <w:rsid w:val="6F8373FF"/>
    <w:rsid w:val="6FDE7145"/>
    <w:rsid w:val="701268B7"/>
    <w:rsid w:val="7025059A"/>
    <w:rsid w:val="70471459"/>
    <w:rsid w:val="708446DD"/>
    <w:rsid w:val="713E6246"/>
    <w:rsid w:val="71C6395B"/>
    <w:rsid w:val="71FF4E08"/>
    <w:rsid w:val="725809D6"/>
    <w:rsid w:val="7274040D"/>
    <w:rsid w:val="72EE22E1"/>
    <w:rsid w:val="73362BEB"/>
    <w:rsid w:val="73840989"/>
    <w:rsid w:val="73875405"/>
    <w:rsid w:val="73B74532"/>
    <w:rsid w:val="74425F26"/>
    <w:rsid w:val="74CC7CBB"/>
    <w:rsid w:val="75401980"/>
    <w:rsid w:val="75847F67"/>
    <w:rsid w:val="75F06371"/>
    <w:rsid w:val="766308F1"/>
    <w:rsid w:val="7682140E"/>
    <w:rsid w:val="76D62696"/>
    <w:rsid w:val="774E2667"/>
    <w:rsid w:val="77910BE3"/>
    <w:rsid w:val="78270463"/>
    <w:rsid w:val="783F0EE9"/>
    <w:rsid w:val="787B059F"/>
    <w:rsid w:val="78EA3B59"/>
    <w:rsid w:val="79492020"/>
    <w:rsid w:val="79A47B9E"/>
    <w:rsid w:val="7A356A48"/>
    <w:rsid w:val="7B2726C7"/>
    <w:rsid w:val="7B360113"/>
    <w:rsid w:val="7C016BE2"/>
    <w:rsid w:val="7C727ADF"/>
    <w:rsid w:val="7C8660BD"/>
    <w:rsid w:val="7C8D68FB"/>
    <w:rsid w:val="7C934347"/>
    <w:rsid w:val="7CA05978"/>
    <w:rsid w:val="7E255CFA"/>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6">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7">
    <w:name w:val="heading 3"/>
    <w:basedOn w:val="1"/>
    <w:next w:val="1"/>
    <w:link w:val="66"/>
    <w:qFormat/>
    <w:uiPriority w:val="99"/>
    <w:pPr>
      <w:keepNext/>
      <w:keepLines/>
      <w:spacing w:before="260" w:after="260" w:line="416" w:lineRule="auto"/>
      <w:outlineLvl w:val="2"/>
    </w:pPr>
    <w:rPr>
      <w:b/>
      <w:bCs/>
      <w:sz w:val="32"/>
      <w:szCs w:val="32"/>
    </w:rPr>
  </w:style>
  <w:style w:type="paragraph" w:styleId="8">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9">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10">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11">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2">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3">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90"/>
    <w:qFormat/>
    <w:uiPriority w:val="99"/>
    <w:pPr>
      <w:ind w:firstLine="420" w:firstLineChars="200"/>
    </w:pPr>
  </w:style>
  <w:style w:type="paragraph" w:styleId="3">
    <w:name w:val="Body Text Indent"/>
    <w:basedOn w:val="1"/>
    <w:next w:val="4"/>
    <w:link w:val="77"/>
    <w:qFormat/>
    <w:uiPriority w:val="99"/>
    <w:pPr>
      <w:spacing w:line="500" w:lineRule="exact"/>
      <w:ind w:firstLine="538"/>
    </w:pPr>
    <w:rPr>
      <w:sz w:val="28"/>
      <w:szCs w:val="28"/>
    </w:rPr>
  </w:style>
  <w:style w:type="paragraph" w:styleId="4">
    <w:name w:val="envelope return"/>
    <w:basedOn w:val="1"/>
    <w:qFormat/>
    <w:uiPriority w:val="99"/>
    <w:pPr>
      <w:snapToGrid w:val="0"/>
    </w:pPr>
    <w:rPr>
      <w:rFonts w:ascii="Arial" w:hAnsi="Arial"/>
    </w:rPr>
  </w:style>
  <w:style w:type="paragraph" w:styleId="14">
    <w:name w:val="toc 7"/>
    <w:basedOn w:val="1"/>
    <w:next w:val="1"/>
    <w:semiHidden/>
    <w:qFormat/>
    <w:uiPriority w:val="99"/>
    <w:pPr>
      <w:ind w:left="2520" w:leftChars="1200"/>
    </w:pPr>
    <w:rPr>
      <w:rFonts w:ascii="Calibri" w:hAnsi="Calibri" w:cs="Calibri"/>
    </w:rPr>
  </w:style>
  <w:style w:type="paragraph" w:styleId="15">
    <w:name w:val="Normal Indent"/>
    <w:basedOn w:val="1"/>
    <w:qFormat/>
    <w:uiPriority w:val="99"/>
    <w:pPr>
      <w:adjustRightInd w:val="0"/>
      <w:spacing w:line="360" w:lineRule="atLeast"/>
      <w:ind w:firstLine="482"/>
      <w:textAlignment w:val="baseline"/>
    </w:pPr>
    <w:rPr>
      <w:kern w:val="0"/>
      <w:sz w:val="24"/>
      <w:szCs w:val="24"/>
    </w:rPr>
  </w:style>
  <w:style w:type="paragraph" w:styleId="16">
    <w:name w:val="caption"/>
    <w:basedOn w:val="1"/>
    <w:next w:val="1"/>
    <w:qFormat/>
    <w:uiPriority w:val="99"/>
    <w:rPr>
      <w:rFonts w:ascii="Cambria" w:hAnsi="Cambria" w:eastAsia="黑体" w:cs="Cambria"/>
      <w:sz w:val="20"/>
      <w:szCs w:val="20"/>
    </w:rPr>
  </w:style>
  <w:style w:type="paragraph" w:styleId="17">
    <w:name w:val="Document Map"/>
    <w:basedOn w:val="1"/>
    <w:link w:val="73"/>
    <w:semiHidden/>
    <w:qFormat/>
    <w:uiPriority w:val="99"/>
    <w:pPr>
      <w:shd w:val="clear" w:color="auto" w:fill="000080"/>
    </w:pPr>
    <w:rPr>
      <w:kern w:val="0"/>
      <w:sz w:val="20"/>
      <w:szCs w:val="20"/>
      <w:shd w:val="clear" w:color="auto" w:fill="000080"/>
    </w:rPr>
  </w:style>
  <w:style w:type="paragraph" w:styleId="18">
    <w:name w:val="annotation text"/>
    <w:basedOn w:val="1"/>
    <w:link w:val="74"/>
    <w:semiHidden/>
    <w:qFormat/>
    <w:uiPriority w:val="99"/>
    <w:pPr>
      <w:jc w:val="left"/>
    </w:pPr>
  </w:style>
  <w:style w:type="paragraph" w:styleId="19">
    <w:name w:val="Body Text 3"/>
    <w:basedOn w:val="1"/>
    <w:link w:val="75"/>
    <w:qFormat/>
    <w:uiPriority w:val="99"/>
    <w:rPr>
      <w:rFonts w:ascii="宋体" w:cs="宋体"/>
      <w:sz w:val="24"/>
      <w:szCs w:val="24"/>
    </w:rPr>
  </w:style>
  <w:style w:type="paragraph" w:styleId="20">
    <w:name w:val="Body Text"/>
    <w:basedOn w:val="1"/>
    <w:link w:val="76"/>
    <w:qFormat/>
    <w:uiPriority w:val="99"/>
    <w:pPr>
      <w:jc w:val="center"/>
    </w:pPr>
    <w:rPr>
      <w:b/>
      <w:bCs/>
      <w:sz w:val="44"/>
      <w:szCs w:val="44"/>
    </w:rPr>
  </w:style>
  <w:style w:type="paragraph" w:styleId="21">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semiHidden/>
    <w:qFormat/>
    <w:uiPriority w:val="99"/>
    <w:pPr>
      <w:ind w:left="600" w:leftChars="600"/>
    </w:pPr>
  </w:style>
  <w:style w:type="paragraph" w:styleId="23">
    <w:name w:val="toc 5"/>
    <w:basedOn w:val="1"/>
    <w:next w:val="1"/>
    <w:semiHidden/>
    <w:qFormat/>
    <w:uiPriority w:val="99"/>
    <w:pPr>
      <w:tabs>
        <w:tab w:val="right" w:leader="dot" w:pos="8296"/>
      </w:tabs>
      <w:ind w:left="1050" w:leftChars="500"/>
    </w:pPr>
    <w:rPr>
      <w:rFonts w:ascii="Calibri" w:hAnsi="Calibri" w:cs="Calibri"/>
    </w:rPr>
  </w:style>
  <w:style w:type="paragraph" w:styleId="24">
    <w:name w:val="toc 3"/>
    <w:basedOn w:val="1"/>
    <w:next w:val="1"/>
    <w:semiHidden/>
    <w:qFormat/>
    <w:uiPriority w:val="99"/>
    <w:pPr>
      <w:ind w:left="840" w:leftChars="400"/>
    </w:pPr>
    <w:rPr>
      <w:rFonts w:ascii="Calibri" w:hAnsi="Calibri" w:cs="Calibri"/>
    </w:rPr>
  </w:style>
  <w:style w:type="paragraph" w:styleId="25">
    <w:name w:val="Plain Text"/>
    <w:basedOn w:val="1"/>
    <w:next w:val="1"/>
    <w:link w:val="78"/>
    <w:qFormat/>
    <w:uiPriority w:val="99"/>
    <w:rPr>
      <w:rFonts w:ascii="宋体" w:hAnsi="Courier New" w:cs="宋体"/>
    </w:rPr>
  </w:style>
  <w:style w:type="paragraph" w:styleId="26">
    <w:name w:val="toc 8"/>
    <w:basedOn w:val="1"/>
    <w:next w:val="1"/>
    <w:semiHidden/>
    <w:qFormat/>
    <w:uiPriority w:val="99"/>
    <w:pPr>
      <w:ind w:left="2940" w:leftChars="1400"/>
    </w:pPr>
    <w:rPr>
      <w:rFonts w:ascii="Calibri" w:hAnsi="Calibri" w:cs="Calibri"/>
    </w:rPr>
  </w:style>
  <w:style w:type="paragraph" w:styleId="27">
    <w:name w:val="Date"/>
    <w:basedOn w:val="1"/>
    <w:next w:val="1"/>
    <w:link w:val="79"/>
    <w:qFormat/>
    <w:uiPriority w:val="99"/>
    <w:rPr>
      <w:rFonts w:ascii="仿宋_GB2312" w:eastAsia="仿宋_GB2312" w:cs="仿宋_GB2312"/>
      <w:sz w:val="30"/>
      <w:szCs w:val="30"/>
    </w:rPr>
  </w:style>
  <w:style w:type="paragraph" w:styleId="28">
    <w:name w:val="Body Text Indent 2"/>
    <w:basedOn w:val="1"/>
    <w:next w:val="1"/>
    <w:link w:val="80"/>
    <w:qFormat/>
    <w:uiPriority w:val="99"/>
    <w:pPr>
      <w:spacing w:line="360" w:lineRule="exact"/>
      <w:ind w:firstLine="600" w:firstLineChars="250"/>
      <w:jc w:val="left"/>
    </w:pPr>
    <w:rPr>
      <w:sz w:val="24"/>
      <w:szCs w:val="24"/>
    </w:rPr>
  </w:style>
  <w:style w:type="paragraph" w:styleId="29">
    <w:name w:val="Balloon Text"/>
    <w:basedOn w:val="1"/>
    <w:link w:val="81"/>
    <w:semiHidden/>
    <w:qFormat/>
    <w:uiPriority w:val="99"/>
    <w:rPr>
      <w:sz w:val="18"/>
      <w:szCs w:val="18"/>
    </w:rPr>
  </w:style>
  <w:style w:type="paragraph" w:styleId="30">
    <w:name w:val="footer"/>
    <w:basedOn w:val="1"/>
    <w:link w:val="82"/>
    <w:qFormat/>
    <w:uiPriority w:val="99"/>
    <w:pPr>
      <w:tabs>
        <w:tab w:val="center" w:pos="4153"/>
        <w:tab w:val="right" w:pos="8306"/>
      </w:tabs>
      <w:snapToGrid w:val="0"/>
      <w:jc w:val="left"/>
    </w:pPr>
    <w:rPr>
      <w:sz w:val="18"/>
      <w:szCs w:val="18"/>
    </w:rPr>
  </w:style>
  <w:style w:type="paragraph" w:styleId="31">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3">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4">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5">
    <w:name w:val="footnote text"/>
    <w:basedOn w:val="1"/>
    <w:link w:val="85"/>
    <w:semiHidden/>
    <w:qFormat/>
    <w:uiPriority w:val="99"/>
    <w:rPr>
      <w:sz w:val="20"/>
      <w:szCs w:val="20"/>
    </w:rPr>
  </w:style>
  <w:style w:type="paragraph" w:styleId="36">
    <w:name w:val="toc 6"/>
    <w:basedOn w:val="1"/>
    <w:next w:val="1"/>
    <w:semiHidden/>
    <w:qFormat/>
    <w:uiPriority w:val="99"/>
    <w:pPr>
      <w:ind w:left="2100" w:leftChars="1000"/>
    </w:pPr>
    <w:rPr>
      <w:rFonts w:ascii="Calibri" w:hAnsi="Calibri" w:cs="Calibri"/>
    </w:rPr>
  </w:style>
  <w:style w:type="paragraph" w:styleId="37">
    <w:name w:val="Body Text Indent 3"/>
    <w:basedOn w:val="1"/>
    <w:link w:val="86"/>
    <w:qFormat/>
    <w:uiPriority w:val="99"/>
    <w:pPr>
      <w:spacing w:after="120"/>
      <w:ind w:left="420" w:leftChars="200"/>
    </w:pPr>
    <w:rPr>
      <w:sz w:val="16"/>
      <w:szCs w:val="16"/>
    </w:rPr>
  </w:style>
  <w:style w:type="paragraph" w:styleId="38">
    <w:name w:val="table of figures"/>
    <w:basedOn w:val="1"/>
    <w:next w:val="1"/>
    <w:semiHidden/>
    <w:qFormat/>
    <w:uiPriority w:val="99"/>
    <w:pPr>
      <w:ind w:left="200" w:leftChars="200" w:hanging="200" w:hangingChars="200"/>
    </w:pPr>
  </w:style>
  <w:style w:type="paragraph" w:styleId="39">
    <w:name w:val="toc 2"/>
    <w:basedOn w:val="1"/>
    <w:next w:val="1"/>
    <w:semiHidden/>
    <w:qFormat/>
    <w:uiPriority w:val="99"/>
    <w:pPr>
      <w:ind w:left="420" w:leftChars="200"/>
    </w:pPr>
    <w:rPr>
      <w:rFonts w:ascii="宋体" w:cs="宋体"/>
      <w:b/>
      <w:bCs/>
      <w:sz w:val="28"/>
      <w:szCs w:val="28"/>
    </w:rPr>
  </w:style>
  <w:style w:type="paragraph" w:styleId="40">
    <w:name w:val="toc 9"/>
    <w:basedOn w:val="1"/>
    <w:next w:val="1"/>
    <w:semiHidden/>
    <w:qFormat/>
    <w:uiPriority w:val="99"/>
    <w:pPr>
      <w:ind w:left="3360" w:leftChars="1600"/>
    </w:pPr>
    <w:rPr>
      <w:rFonts w:ascii="Calibri" w:hAnsi="Calibri" w:cs="Calibri"/>
    </w:rPr>
  </w:style>
  <w:style w:type="paragraph" w:styleId="41">
    <w:name w:val="Body Text 2"/>
    <w:basedOn w:val="1"/>
    <w:link w:val="87"/>
    <w:qFormat/>
    <w:uiPriority w:val="99"/>
    <w:pPr>
      <w:spacing w:line="440" w:lineRule="exact"/>
    </w:pPr>
    <w:rPr>
      <w:sz w:val="28"/>
      <w:szCs w:val="28"/>
    </w:rPr>
  </w:style>
  <w:style w:type="paragraph" w:styleId="42">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3">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4">
    <w:name w:val="annotation subject"/>
    <w:basedOn w:val="18"/>
    <w:next w:val="18"/>
    <w:link w:val="89"/>
    <w:semiHidden/>
    <w:qFormat/>
    <w:uiPriority w:val="99"/>
    <w:rPr>
      <w:rFonts w:ascii="宋体" w:cs="宋体"/>
      <w:b/>
      <w:bCs/>
      <w:kern w:val="0"/>
      <w:sz w:val="28"/>
      <w:szCs w:val="28"/>
    </w:r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5"/>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6"/>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7"/>
    <w:qFormat/>
    <w:locked/>
    <w:uiPriority w:val="99"/>
    <w:rPr>
      <w:rFonts w:eastAsia="宋体" w:cs="Times New Roman"/>
      <w:b/>
      <w:bCs/>
      <w:kern w:val="2"/>
      <w:sz w:val="32"/>
      <w:szCs w:val="32"/>
      <w:lang w:val="en-US" w:eastAsia="zh-CN"/>
    </w:rPr>
  </w:style>
  <w:style w:type="character" w:customStyle="1" w:styleId="67">
    <w:name w:val="Heading 4 Char"/>
    <w:basedOn w:val="47"/>
    <w:link w:val="8"/>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9"/>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10"/>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11"/>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2"/>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3"/>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7"/>
    <w:qFormat/>
    <w:locked/>
    <w:uiPriority w:val="99"/>
    <w:rPr>
      <w:rFonts w:cs="Times New Roman"/>
      <w:sz w:val="24"/>
      <w:szCs w:val="24"/>
      <w:shd w:val="clear" w:color="auto" w:fill="000080"/>
    </w:rPr>
  </w:style>
  <w:style w:type="character" w:customStyle="1" w:styleId="74">
    <w:name w:val="Comment Text Char"/>
    <w:basedOn w:val="47"/>
    <w:link w:val="18"/>
    <w:qFormat/>
    <w:locked/>
    <w:uiPriority w:val="99"/>
    <w:rPr>
      <w:rFonts w:cs="Times New Roman"/>
      <w:kern w:val="2"/>
      <w:sz w:val="22"/>
      <w:szCs w:val="22"/>
    </w:rPr>
  </w:style>
  <w:style w:type="character" w:customStyle="1" w:styleId="75">
    <w:name w:val="Body Text 3 Char"/>
    <w:basedOn w:val="47"/>
    <w:link w:val="19"/>
    <w:semiHidden/>
    <w:qFormat/>
    <w:locked/>
    <w:uiPriority w:val="99"/>
    <w:rPr>
      <w:rFonts w:cs="Times New Roman"/>
      <w:sz w:val="16"/>
      <w:szCs w:val="16"/>
    </w:rPr>
  </w:style>
  <w:style w:type="character" w:customStyle="1" w:styleId="76">
    <w:name w:val="Body Text Char"/>
    <w:basedOn w:val="47"/>
    <w:link w:val="20"/>
    <w:qFormat/>
    <w:locked/>
    <w:uiPriority w:val="99"/>
    <w:rPr>
      <w:rFonts w:eastAsia="宋体" w:cs="Times New Roman"/>
      <w:b/>
      <w:bCs/>
      <w:kern w:val="2"/>
      <w:sz w:val="44"/>
      <w:szCs w:val="44"/>
      <w:lang w:val="en-US" w:eastAsia="zh-CN"/>
    </w:rPr>
  </w:style>
  <w:style w:type="character" w:customStyle="1" w:styleId="77">
    <w:name w:val="Body Text Indent Char"/>
    <w:basedOn w:val="47"/>
    <w:link w:val="3"/>
    <w:semiHidden/>
    <w:qFormat/>
    <w:locked/>
    <w:uiPriority w:val="99"/>
    <w:rPr>
      <w:rFonts w:cs="Times New Roman"/>
      <w:sz w:val="21"/>
      <w:szCs w:val="21"/>
    </w:rPr>
  </w:style>
  <w:style w:type="character" w:customStyle="1" w:styleId="78">
    <w:name w:val="Plain Text Char"/>
    <w:basedOn w:val="47"/>
    <w:link w:val="25"/>
    <w:semiHidden/>
    <w:qFormat/>
    <w:locked/>
    <w:uiPriority w:val="99"/>
    <w:rPr>
      <w:rFonts w:ascii="宋体" w:hAnsi="Courier New" w:cs="Courier New"/>
      <w:sz w:val="21"/>
      <w:szCs w:val="21"/>
    </w:rPr>
  </w:style>
  <w:style w:type="character" w:customStyle="1" w:styleId="79">
    <w:name w:val="Date Char"/>
    <w:basedOn w:val="47"/>
    <w:link w:val="27"/>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8"/>
    <w:semiHidden/>
    <w:qFormat/>
    <w:locked/>
    <w:uiPriority w:val="99"/>
    <w:rPr>
      <w:rFonts w:cs="Times New Roman"/>
      <w:sz w:val="21"/>
      <w:szCs w:val="21"/>
    </w:rPr>
  </w:style>
  <w:style w:type="character" w:customStyle="1" w:styleId="81">
    <w:name w:val="Balloon Text Char"/>
    <w:basedOn w:val="47"/>
    <w:link w:val="29"/>
    <w:semiHidden/>
    <w:qFormat/>
    <w:locked/>
    <w:uiPriority w:val="99"/>
    <w:rPr>
      <w:rFonts w:cs="Times New Roman"/>
      <w:sz w:val="2"/>
    </w:rPr>
  </w:style>
  <w:style w:type="character" w:customStyle="1" w:styleId="82">
    <w:name w:val="Footer Char"/>
    <w:basedOn w:val="47"/>
    <w:link w:val="30"/>
    <w:qFormat/>
    <w:locked/>
    <w:uiPriority w:val="99"/>
    <w:rPr>
      <w:rFonts w:eastAsia="宋体" w:cs="Times New Roman"/>
      <w:kern w:val="2"/>
      <w:sz w:val="18"/>
      <w:szCs w:val="18"/>
      <w:lang w:val="en-US" w:eastAsia="zh-CN"/>
    </w:rPr>
  </w:style>
  <w:style w:type="character" w:customStyle="1" w:styleId="83">
    <w:name w:val="Header Char"/>
    <w:basedOn w:val="47"/>
    <w:link w:val="31"/>
    <w:qFormat/>
    <w:locked/>
    <w:uiPriority w:val="99"/>
    <w:rPr>
      <w:rFonts w:eastAsia="宋体" w:cs="Times New Roman"/>
      <w:kern w:val="2"/>
      <w:sz w:val="18"/>
      <w:szCs w:val="18"/>
      <w:lang w:val="en-US" w:eastAsia="zh-CN"/>
    </w:rPr>
  </w:style>
  <w:style w:type="character" w:customStyle="1" w:styleId="84">
    <w:name w:val="Subtitle Char"/>
    <w:basedOn w:val="47"/>
    <w:link w:val="34"/>
    <w:qFormat/>
    <w:locked/>
    <w:uiPriority w:val="99"/>
    <w:rPr>
      <w:rFonts w:ascii="Cambria" w:hAnsi="Cambria" w:cs="Cambria"/>
      <w:b/>
      <w:bCs/>
      <w:kern w:val="28"/>
      <w:sz w:val="32"/>
      <w:szCs w:val="32"/>
    </w:rPr>
  </w:style>
  <w:style w:type="character" w:customStyle="1" w:styleId="85">
    <w:name w:val="Footnote Text Char"/>
    <w:basedOn w:val="47"/>
    <w:link w:val="35"/>
    <w:semiHidden/>
    <w:qFormat/>
    <w:locked/>
    <w:uiPriority w:val="99"/>
    <w:rPr>
      <w:rFonts w:cs="Times New Roman"/>
      <w:sz w:val="18"/>
      <w:szCs w:val="18"/>
    </w:rPr>
  </w:style>
  <w:style w:type="character" w:customStyle="1" w:styleId="86">
    <w:name w:val="Body Text Indent 3 Char"/>
    <w:basedOn w:val="47"/>
    <w:link w:val="37"/>
    <w:semiHidden/>
    <w:qFormat/>
    <w:locked/>
    <w:uiPriority w:val="99"/>
    <w:rPr>
      <w:rFonts w:cs="Times New Roman"/>
      <w:sz w:val="16"/>
      <w:szCs w:val="16"/>
    </w:rPr>
  </w:style>
  <w:style w:type="character" w:customStyle="1" w:styleId="87">
    <w:name w:val="Body Text 2 Char"/>
    <w:basedOn w:val="47"/>
    <w:link w:val="41"/>
    <w:semiHidden/>
    <w:qFormat/>
    <w:locked/>
    <w:uiPriority w:val="99"/>
    <w:rPr>
      <w:rFonts w:cs="Times New Roman"/>
      <w:sz w:val="21"/>
      <w:szCs w:val="21"/>
    </w:rPr>
  </w:style>
  <w:style w:type="character" w:customStyle="1" w:styleId="88">
    <w:name w:val="Title Char"/>
    <w:basedOn w:val="47"/>
    <w:link w:val="43"/>
    <w:qFormat/>
    <w:locked/>
    <w:uiPriority w:val="99"/>
    <w:rPr>
      <w:rFonts w:ascii="Cambria" w:hAnsi="Cambria" w:cs="Cambria"/>
      <w:b/>
      <w:bCs/>
      <w:kern w:val="2"/>
      <w:sz w:val="32"/>
      <w:szCs w:val="32"/>
    </w:rPr>
  </w:style>
  <w:style w:type="character" w:customStyle="1" w:styleId="89">
    <w:name w:val="Comment Subject Char"/>
    <w:basedOn w:val="74"/>
    <w:link w:val="44"/>
    <w:qFormat/>
    <w:locked/>
    <w:uiPriority w:val="99"/>
    <w:rPr>
      <w:rFonts w:ascii="宋体" w:cs="宋体"/>
      <w:b/>
      <w:bCs/>
      <w:sz w:val="28"/>
      <w:szCs w:val="28"/>
    </w:rPr>
  </w:style>
  <w:style w:type="character" w:customStyle="1" w:styleId="90">
    <w:name w:val="Body Text First Indent 2 Char"/>
    <w:basedOn w:val="77"/>
    <w:link w:val="2"/>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6"/>
    <w:next w:val="22"/>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7"/>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7"/>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7"/>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7"/>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7"/>
    <w:qFormat/>
    <w:uiPriority w:val="99"/>
    <w:pPr>
      <w:spacing w:line="413" w:lineRule="auto"/>
    </w:pPr>
  </w:style>
  <w:style w:type="paragraph" w:customStyle="1" w:styleId="134">
    <w:name w:val="TOC 标题1"/>
    <w:basedOn w:val="5"/>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5"/>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6"/>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7"/>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7"/>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 w:type="paragraph" w:customStyle="1" w:styleId="160">
    <w:name w:val="Table Paragraph"/>
    <w:basedOn w:val="1"/>
    <w:qFormat/>
    <w:uiPriority w:val="1"/>
    <w:rPr>
      <w:rFonts w:ascii="宋体" w:hAnsi="宋体" w:eastAsia="宋体" w:cs="宋体"/>
      <w:lang w:val="zh-CN" w:eastAsia="zh-CN" w:bidi="zh-CN"/>
    </w:rPr>
  </w:style>
  <w:style w:type="character" w:customStyle="1" w:styleId="161">
    <w:name w:val="15"/>
    <w:basedOn w:val="47"/>
    <w:qFormat/>
    <w:uiPriority w:val="0"/>
    <w:rPr>
      <w:rFonts w:hint="default" w:ascii="Times New Roman" w:hAnsi="Times New Roman" w:cs="Times New Roman"/>
    </w:rPr>
  </w:style>
  <w:style w:type="character" w:customStyle="1" w:styleId="162">
    <w:name w:val="10"/>
    <w:basedOn w:val="4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73</Pages>
  <Words>16619</Words>
  <Characters>18306</Characters>
  <Lines>1</Lines>
  <Paragraphs>1</Paragraphs>
  <TotalTime>11</TotalTime>
  <ScaleCrop>false</ScaleCrop>
  <LinksUpToDate>false</LinksUpToDate>
  <CharactersWithSpaces>18624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朱启</cp:lastModifiedBy>
  <cp:lastPrinted>2026-03-02T00:48:00Z</cp:lastPrinted>
  <dcterms:modified xsi:type="dcterms:W3CDTF">2026-03-05T03:15:17Z</dcterms:modified>
  <dc:title>创业园小区9#楼工程施工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9CFEE953F2184222AB867545202810F6_13</vt:lpwstr>
  </property>
  <property fmtid="{D5CDD505-2E9C-101B-9397-08002B2CF9AE}" pid="4" name="KSOTemplateDocerSaveRecord">
    <vt:lpwstr>eyJoZGlkIjoiZTQ4OTM2MTIyODI3Njc5MTE5MDBiNjA4NzIzYTUzZmEiLCJ1c2VySWQiOiI3MDAwNjg2OTUifQ==</vt:lpwstr>
  </property>
</Properties>
</file>