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7AD5EE92">
      <w:pPr>
        <w:jc w:val="center"/>
        <w:rPr>
          <w:rFonts w:hint="eastAsia" w:ascii="宋体"/>
          <w:bCs/>
          <w:color w:val="auto"/>
          <w:szCs w:val="21"/>
          <w:highlight w:val="none"/>
        </w:rPr>
      </w:pPr>
      <w:r>
        <w:rPr>
          <w:rFonts w:hint="eastAsia" w:ascii="楷体_GB2312" w:hAnsi="楷体_GB2312" w:eastAsia="楷体_GB2312" w:cs="楷体_GB2312"/>
          <w:b/>
          <w:bCs/>
          <w:color w:val="auto"/>
          <w:sz w:val="52"/>
          <w:szCs w:val="52"/>
          <w:highlight w:val="none"/>
          <w:lang w:eastAsia="zh-CN"/>
        </w:rPr>
        <w:t>中新苏滁高新区超级电容智能制造基地二期项目跟踪审计</w:t>
      </w:r>
    </w:p>
    <w:p w14:paraId="0CDC5DC4">
      <w:pPr>
        <w:rPr>
          <w:rFonts w:hint="eastAsia" w:ascii="宋体"/>
          <w:bCs/>
          <w:color w:val="auto"/>
          <w:szCs w:val="21"/>
          <w:highlight w:val="none"/>
        </w:rPr>
      </w:pPr>
    </w:p>
    <w:p w14:paraId="2BF5FB11">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3"/>
        <w:rPr>
          <w:rFonts w:hint="eastAsia"/>
          <w:color w:val="auto"/>
          <w:highlight w:val="none"/>
        </w:rPr>
      </w:pPr>
    </w:p>
    <w:p w14:paraId="0B7E0817">
      <w:pPr>
        <w:rPr>
          <w:rFonts w:hint="eastAsia"/>
          <w:color w:val="auto"/>
          <w:highlight w:val="none"/>
        </w:rPr>
      </w:pPr>
    </w:p>
    <w:p w14:paraId="31447BF3">
      <w:pPr>
        <w:rPr>
          <w:rFonts w:hint="eastAsia" w:ascii="宋体"/>
          <w:color w:val="auto"/>
          <w:sz w:val="28"/>
          <w:szCs w:val="28"/>
          <w:highlight w:val="none"/>
        </w:rPr>
      </w:pPr>
    </w:p>
    <w:p w14:paraId="4A9B6B37">
      <w:pPr>
        <w:pStyle w:val="20"/>
        <w:rPr>
          <w:rFonts w:hint="eastAsia"/>
          <w:color w:val="auto"/>
          <w:highlight w:val="none"/>
        </w:rPr>
      </w:pPr>
    </w:p>
    <w:p w14:paraId="71737E66">
      <w:pPr>
        <w:rPr>
          <w:rFonts w:hint="eastAsia" w:ascii="宋体"/>
          <w:b/>
          <w:color w:val="auto"/>
          <w:sz w:val="32"/>
          <w:szCs w:val="32"/>
          <w:highlight w:val="none"/>
        </w:rPr>
      </w:pPr>
    </w:p>
    <w:p w14:paraId="7CA20BB5">
      <w:pPr>
        <w:pStyle w:val="26"/>
        <w:ind w:left="0" w:leftChars="0" w:firstLine="0" w:firstLineChars="0"/>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eastAsia="zh-CN"/>
        </w:rPr>
        <w:t>中新苏滁高新技术产业开发区管理委员会</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9</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581F4B1A">
      <w:pPr>
        <w:pStyle w:val="24"/>
        <w:tabs>
          <w:tab w:val="right" w:leader="dot" w:pos="8296"/>
        </w:tabs>
        <w:spacing w:before="156" w:beforeLines="50" w:after="156" w:afterLines="50" w:line="500" w:lineRule="exact"/>
        <w:rPr>
          <w:rFonts w:ascii="宋体" w:hAnsi="宋体"/>
          <w:b/>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ascii="宋体" w:hAnsi="宋体"/>
          <w:color w:val="auto"/>
          <w:sz w:val="24"/>
          <w:highlight w:val="none"/>
        </w:rPr>
        <w:fldChar w:fldCharType="begin"/>
      </w:r>
      <w:r>
        <w:rPr>
          <w:rStyle w:val="45"/>
          <w:rFonts w:ascii="宋体" w:hAnsi="宋体"/>
          <w:color w:val="auto"/>
          <w:sz w:val="24"/>
          <w:highlight w:val="none"/>
        </w:rPr>
        <w:instrText xml:space="preserve"> </w:instrText>
      </w:r>
      <w:r>
        <w:rPr>
          <w:rFonts w:ascii="宋体" w:hAnsi="宋体"/>
          <w:color w:val="auto"/>
          <w:sz w:val="24"/>
          <w:highlight w:val="none"/>
        </w:rPr>
        <w:instrText xml:space="preserve">HYPERLINK \l "_Toc58430304"</w:instrText>
      </w:r>
      <w:r>
        <w:rPr>
          <w:rStyle w:val="45"/>
          <w:rFonts w:ascii="宋体" w:hAnsi="宋体"/>
          <w:color w:val="auto"/>
          <w:sz w:val="24"/>
          <w:highlight w:val="none"/>
        </w:rPr>
        <w:instrText xml:space="preserve"> </w:instrText>
      </w:r>
      <w:r>
        <w:rPr>
          <w:rFonts w:ascii="宋体" w:hAnsi="宋体"/>
          <w:color w:val="auto"/>
          <w:sz w:val="24"/>
          <w:highlight w:val="none"/>
        </w:rPr>
        <w:fldChar w:fldCharType="separate"/>
      </w:r>
      <w:r>
        <w:rPr>
          <w:rStyle w:val="45"/>
          <w:rFonts w:hint="eastAsia" w:ascii="宋体" w:hAnsi="宋体"/>
          <w:b/>
          <w:color w:val="auto"/>
          <w:sz w:val="24"/>
          <w:highlight w:val="none"/>
        </w:rPr>
        <w:t>第一章</w:t>
      </w:r>
      <w:r>
        <w:rPr>
          <w:rStyle w:val="45"/>
          <w:rFonts w:ascii="宋体" w:hAnsi="宋体"/>
          <w:b/>
          <w:color w:val="auto"/>
          <w:sz w:val="24"/>
          <w:highlight w:val="none"/>
        </w:rPr>
        <w:t xml:space="preserve"> </w:t>
      </w:r>
      <w:r>
        <w:rPr>
          <w:rStyle w:val="45"/>
          <w:rFonts w:hint="eastAsia" w:ascii="宋体" w:hAnsi="宋体"/>
          <w:b/>
          <w:color w:val="auto"/>
          <w:sz w:val="24"/>
          <w:highlight w:val="none"/>
          <w:lang w:val="en-US" w:eastAsia="zh-CN"/>
        </w:rPr>
        <w:t>招标公告</w:t>
      </w:r>
      <w:r>
        <w:rPr>
          <w:rFonts w:ascii="宋体" w:hAnsi="宋体"/>
          <w:b/>
          <w:color w:val="auto"/>
          <w:sz w:val="24"/>
          <w:highlight w:val="none"/>
        </w:rPr>
        <w:tab/>
      </w:r>
      <w:r>
        <w:rPr>
          <w:rFonts w:hint="eastAsia" w:ascii="宋体" w:hAnsi="宋体"/>
          <w:b/>
          <w:color w:val="auto"/>
          <w:sz w:val="24"/>
          <w:highlight w:val="none"/>
          <w:lang w:val="en-US" w:eastAsia="zh-CN"/>
        </w:rPr>
        <w:t>3</w:t>
      </w:r>
      <w:r>
        <w:rPr>
          <w:rFonts w:ascii="宋体" w:hAnsi="宋体"/>
          <w:b/>
          <w:color w:val="auto"/>
          <w:sz w:val="24"/>
          <w:highlight w:val="none"/>
        </w:rPr>
        <w:fldChar w:fldCharType="end"/>
      </w:r>
    </w:p>
    <w:p w14:paraId="4978DF48">
      <w:pPr>
        <w:pStyle w:val="24"/>
        <w:tabs>
          <w:tab w:val="right" w:leader="dot" w:pos="8296"/>
        </w:tabs>
        <w:spacing w:before="156" w:beforeLines="50" w:after="156" w:afterLines="50" w:line="500" w:lineRule="exact"/>
        <w:rPr>
          <w:rFonts w:hint="eastAsia" w:ascii="宋体" w:hAnsi="宋体" w:eastAsia="宋体"/>
          <w:b/>
          <w:color w:val="auto"/>
          <w:sz w:val="24"/>
          <w:highlight w:val="none"/>
          <w:lang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"_Toc58430313"</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第二章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投标人须知</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7</w:t>
      </w:r>
    </w:p>
    <w:p w14:paraId="6AB8532C">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"_Toc58430316"</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第三章</w:t>
      </w:r>
      <w:r>
        <w:rPr>
          <w:rStyle w:val="45"/>
          <w:rFonts w:ascii="宋体" w:hAnsi="宋体"/>
          <w:b/>
          <w:color w:val="auto"/>
          <w:sz w:val="24"/>
          <w:highlight w:val="none"/>
        </w:rPr>
        <w:t xml:space="preserve"> </w:t>
      </w:r>
      <w:r>
        <w:rPr>
          <w:rStyle w:val="45"/>
          <w:rFonts w:hint="eastAsia" w:ascii="宋体" w:hAnsi="宋体"/>
          <w:b/>
          <w:color w:val="auto"/>
          <w:sz w:val="24"/>
          <w:highlight w:val="none"/>
        </w:rPr>
        <w:t>评标办法</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20</w:t>
      </w:r>
    </w:p>
    <w:p w14:paraId="7F36D634">
      <w:pPr>
        <w:pStyle w:val="24"/>
        <w:tabs>
          <w:tab w:val="right" w:leader="dot" w:pos="8296"/>
        </w:tabs>
        <w:spacing w:before="156" w:beforeLines="50" w:after="156" w:afterLines="50" w:line="500" w:lineRule="exact"/>
        <w:rPr>
          <w:rFonts w:hint="default" w:ascii="宋体" w:hAnsi="宋体"/>
          <w:b/>
          <w:color w:val="auto"/>
          <w:sz w:val="24"/>
          <w:highlight w:val="none"/>
          <w:lang w:val="en-US" w:eastAsia="zh-CN"/>
        </w:rPr>
      </w:pPr>
      <w:r>
        <w:rPr>
          <w:rFonts w:hint="eastAsia" w:ascii="宋体" w:hAnsi="宋体"/>
          <w:b/>
          <w:color w:val="auto"/>
          <w:sz w:val="24"/>
          <w:highlight w:val="none"/>
          <w:lang w:val="en-US" w:eastAsia="zh-CN"/>
        </w:rPr>
        <w:t>第四章 采购内容及要求</w:t>
      </w:r>
      <w:r>
        <w:rPr>
          <w:rFonts w:ascii="宋体" w:hAnsi="宋体"/>
          <w:b/>
          <w:color w:val="auto"/>
          <w:sz w:val="24"/>
          <w:highlight w:val="none"/>
        </w:rPr>
        <w:tab/>
      </w:r>
      <w:r>
        <w:rPr>
          <w:rFonts w:hint="eastAsia" w:ascii="宋体" w:hAnsi="宋体"/>
          <w:b/>
          <w:color w:val="auto"/>
          <w:sz w:val="24"/>
          <w:highlight w:val="none"/>
          <w:lang w:val="en-US" w:eastAsia="zh-CN"/>
        </w:rPr>
        <w:t>27</w:t>
      </w:r>
    </w:p>
    <w:p w14:paraId="16E13669">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第五章 合同条款及格式</w:t>
      </w:r>
      <w:r>
        <w:rPr>
          <w:rFonts w:ascii="宋体" w:hAnsi="宋体"/>
          <w:b/>
          <w:color w:val="auto"/>
          <w:sz w:val="24"/>
          <w:highlight w:val="none"/>
        </w:rPr>
        <w:tab/>
      </w:r>
      <w:r>
        <w:rPr>
          <w:rFonts w:hint="eastAsia" w:ascii="宋体" w:hAnsi="宋体"/>
          <w:b/>
          <w:color w:val="auto"/>
          <w:sz w:val="24"/>
          <w:highlight w:val="none"/>
          <w:lang w:val="en-US" w:eastAsia="zh-CN"/>
        </w:rPr>
        <w:t>28</w:t>
      </w:r>
    </w:p>
    <w:p w14:paraId="6850A267">
      <w:pPr>
        <w:pStyle w:val="24"/>
        <w:tabs>
          <w:tab w:val="right" w:leader="dot" w:pos="8296"/>
        </w:tabs>
        <w:spacing w:before="156" w:beforeLines="50" w:after="156" w:afterLines="50" w:line="500" w:lineRule="exact"/>
        <w:rPr>
          <w:rFonts w:hint="default" w:ascii="宋体" w:hAnsi="宋体" w:eastAsia="宋体"/>
          <w:b/>
          <w:color w:val="auto"/>
          <w:sz w:val="24"/>
          <w:highlight w:val="none"/>
          <w:lang w:val="en-US" w:eastAsia="zh-CN"/>
        </w:rPr>
      </w:pPr>
      <w:r>
        <w:rPr>
          <w:rFonts w:ascii="宋体" w:hAnsi="宋体"/>
          <w:b/>
          <w:color w:val="auto"/>
          <w:sz w:val="24"/>
          <w:highlight w:val="none"/>
        </w:rPr>
        <w:fldChar w:fldCharType="begin"/>
      </w:r>
      <w:r>
        <w:rPr>
          <w:rStyle w:val="45"/>
          <w:rFonts w:ascii="宋体" w:hAnsi="宋体"/>
          <w:b/>
          <w:color w:val="auto"/>
          <w:sz w:val="24"/>
          <w:highlight w:val="none"/>
        </w:rPr>
        <w:instrText xml:space="preserve"> </w:instrText>
      </w:r>
      <w:r>
        <w:rPr>
          <w:rFonts w:ascii="宋体" w:hAnsi="宋体"/>
          <w:b/>
          <w:color w:val="auto"/>
          <w:sz w:val="24"/>
          <w:highlight w:val="none"/>
        </w:rPr>
        <w:instrText xml:space="preserve">HYPERLINK \l "_Toc58430332"</w:instrText>
      </w:r>
      <w:r>
        <w:rPr>
          <w:rStyle w:val="45"/>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45"/>
          <w:rFonts w:hint="eastAsia" w:ascii="宋体" w:hAnsi="宋体"/>
          <w:b/>
          <w:color w:val="auto"/>
          <w:sz w:val="24"/>
          <w:highlight w:val="none"/>
        </w:rPr>
        <w:t>第</w:t>
      </w:r>
      <w:r>
        <w:rPr>
          <w:rStyle w:val="45"/>
          <w:rFonts w:hint="eastAsia" w:ascii="宋体" w:hAnsi="宋体"/>
          <w:b/>
          <w:color w:val="auto"/>
          <w:sz w:val="24"/>
          <w:highlight w:val="none"/>
          <w:lang w:val="en-US" w:eastAsia="zh-CN"/>
        </w:rPr>
        <w:t>六</w:t>
      </w:r>
      <w:r>
        <w:rPr>
          <w:rStyle w:val="45"/>
          <w:rFonts w:hint="eastAsia" w:ascii="宋体" w:hAnsi="宋体"/>
          <w:b/>
          <w:color w:val="auto"/>
          <w:sz w:val="24"/>
          <w:highlight w:val="none"/>
        </w:rPr>
        <w:t>章</w:t>
      </w:r>
      <w:r>
        <w:rPr>
          <w:rStyle w:val="45"/>
          <w:rFonts w:ascii="宋体" w:hAnsi="宋体"/>
          <w:b/>
          <w:color w:val="auto"/>
          <w:sz w:val="24"/>
          <w:highlight w:val="none"/>
        </w:rPr>
        <w:t xml:space="preserve"> </w:t>
      </w:r>
      <w:r>
        <w:rPr>
          <w:rStyle w:val="45"/>
          <w:rFonts w:hint="eastAsia" w:ascii="宋体" w:hAnsi="宋体"/>
          <w:b/>
          <w:color w:val="auto"/>
          <w:sz w:val="24"/>
          <w:highlight w:val="none"/>
        </w:rPr>
        <w:t>投标文件格式</w:t>
      </w:r>
      <w:r>
        <w:rPr>
          <w:rFonts w:ascii="宋体" w:hAnsi="宋体"/>
          <w:b/>
          <w:color w:val="auto"/>
          <w:sz w:val="24"/>
          <w:highlight w:val="none"/>
        </w:rPr>
        <w:tab/>
      </w:r>
      <w:r>
        <w:rPr>
          <w:rFonts w:ascii="宋体" w:hAnsi="宋体"/>
          <w:b/>
          <w:color w:val="auto"/>
          <w:sz w:val="24"/>
          <w:highlight w:val="none"/>
        </w:rPr>
        <w:fldChar w:fldCharType="end"/>
      </w:r>
      <w:r>
        <w:rPr>
          <w:rFonts w:hint="eastAsia" w:ascii="宋体" w:hAnsi="宋体"/>
          <w:b/>
          <w:color w:val="auto"/>
          <w:sz w:val="24"/>
          <w:highlight w:val="none"/>
          <w:lang w:val="en-US" w:eastAsia="zh-CN"/>
        </w:rPr>
        <w:t>32</w:t>
      </w:r>
    </w:p>
    <w:p w14:paraId="364B1684">
      <w:pPr>
        <w:pStyle w:val="24"/>
        <w:tabs>
          <w:tab w:val="right" w:leader="dot" w:pos="8296"/>
        </w:tabs>
        <w:adjustRightInd w:val="0"/>
        <w:snapToGrid w:val="0"/>
        <w:spacing w:before="156" w:beforeLines="50" w:after="156" w:afterLines="50" w:line="500" w:lineRule="exact"/>
        <w:ind w:left="120" w:hanging="120"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236" w:bottom="1440" w:left="1236" w:header="851" w:footer="992" w:gutter="0"/>
          <w:pgNumType w:start="1"/>
          <w:cols w:space="0" w:num="1"/>
          <w:rtlGutter w:val="0"/>
          <w:docGrid w:type="lines" w:linePitch="312" w:charSpace="0"/>
        </w:sectPr>
      </w:pPr>
      <w:r>
        <w:rPr>
          <w:rFonts w:hint="eastAsia" w:ascii="宋体" w:hAnsi="宋体" w:cs="宋体"/>
          <w:color w:val="auto"/>
          <w:sz w:val="24"/>
          <w:highlight w:val="none"/>
        </w:rPr>
        <w:fldChar w:fldCharType="end"/>
      </w:r>
      <w:bookmarkStart w:id="73" w:name="_GoBack"/>
      <w:bookmarkEnd w:id="73"/>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58430304"/>
      <w:r>
        <w:rPr>
          <w:rFonts w:hint="eastAsia" w:ascii="宋体"/>
          <w:b/>
          <w:color w:val="auto"/>
          <w:sz w:val="32"/>
          <w:szCs w:val="32"/>
          <w:highlight w:val="none"/>
        </w:rPr>
        <w:t xml:space="preserve">第一章  </w:t>
      </w:r>
      <w:bookmarkEnd w:id="1"/>
      <w:r>
        <w:rPr>
          <w:rFonts w:hint="eastAsia" w:ascii="宋体"/>
          <w:b/>
          <w:color w:val="auto"/>
          <w:sz w:val="32"/>
          <w:szCs w:val="32"/>
          <w:highlight w:val="none"/>
          <w:lang w:val="en-US" w:eastAsia="zh-CN"/>
        </w:rPr>
        <w:t>招标公告</w:t>
      </w:r>
    </w:p>
    <w:p w14:paraId="45ED2E4C">
      <w:pPr>
        <w:keepNext/>
        <w:keepLines/>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color w:val="auto"/>
          <w:sz w:val="28"/>
          <w:szCs w:val="28"/>
          <w:highlight w:val="none"/>
        </w:rPr>
      </w:pPr>
      <w:bookmarkStart w:id="2" w:name="_Toc58430313"/>
      <w:r>
        <w:rPr>
          <w:rFonts w:hint="eastAsia" w:ascii="仿宋" w:hAnsi="仿宋" w:eastAsia="仿宋" w:cs="仿宋"/>
          <w:color w:val="auto"/>
          <w:sz w:val="28"/>
          <w:szCs w:val="28"/>
          <w:highlight w:val="none"/>
        </w:rPr>
        <w:t>项目概况</w:t>
      </w:r>
    </w:p>
    <w:p w14:paraId="094A8579">
      <w:pPr>
        <w:keepNext/>
        <w:keepLines/>
        <w:pageBreakBefore w:val="0"/>
        <w:widowControl w:val="0"/>
        <w:kinsoku/>
        <w:wordWrap/>
        <w:overflowPunct/>
        <w:topLinePunct w:val="0"/>
        <w:autoSpaceDE/>
        <w:autoSpaceDN/>
        <w:bidi w:val="0"/>
        <w:adjustRightInd/>
        <w:snapToGrid/>
        <w:ind w:firstLine="560" w:firstLineChars="200"/>
        <w:jc w:val="left"/>
        <w:textAlignment w:val="auto"/>
        <w:rPr>
          <w:rFonts w:hint="eastAsia"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中新苏滁高新区超级电容智能制造基地二期项目跟踪审计</w:t>
      </w:r>
      <w:r>
        <w:rPr>
          <w:rFonts w:hint="eastAsia" w:ascii="仿宋" w:hAnsi="仿宋" w:eastAsia="仿宋" w:cs="仿宋"/>
          <w:color w:val="auto"/>
          <w:sz w:val="28"/>
          <w:szCs w:val="28"/>
          <w:highlight w:val="none"/>
          <w:u w:val="none"/>
        </w:rPr>
        <w:t>招标项目</w:t>
      </w:r>
      <w:r>
        <w:rPr>
          <w:rFonts w:hint="eastAsia" w:ascii="仿宋" w:hAnsi="仿宋" w:eastAsia="仿宋" w:cs="仿宋"/>
          <w:color w:val="auto"/>
          <w:sz w:val="28"/>
          <w:szCs w:val="28"/>
          <w:highlight w:val="none"/>
        </w:rPr>
        <w:t>的潜在投标人应在</w:t>
      </w:r>
      <w:r>
        <w:rPr>
          <w:rFonts w:hint="eastAsia" w:ascii="仿宋" w:hAnsi="仿宋" w:eastAsia="仿宋" w:cs="仿宋"/>
          <w:color w:val="auto"/>
          <w:sz w:val="28"/>
          <w:szCs w:val="28"/>
          <w:highlight w:val="none"/>
          <w:u w:val="single"/>
          <w:lang w:val="en-US" w:eastAsia="zh-CN"/>
        </w:rPr>
        <w:t>中新苏滁高新技术产业开发区（https://scp.chuzhou.gov.cn/index.html）、滁州市城投工程咨询管理有限公司网站（https://www.czctgczx.com/）</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00</w:t>
      </w:r>
      <w:r>
        <w:rPr>
          <w:rFonts w:hint="eastAsia" w:ascii="仿宋" w:hAnsi="仿宋" w:eastAsia="仿宋" w:cs="仿宋"/>
          <w:color w:val="auto"/>
          <w:sz w:val="28"/>
          <w:szCs w:val="28"/>
          <w:highlight w:val="none"/>
          <w:u w:val="single"/>
        </w:rPr>
        <w:t>分</w:t>
      </w:r>
      <w:r>
        <w:rPr>
          <w:rFonts w:hint="eastAsia" w:ascii="仿宋" w:hAnsi="仿宋" w:eastAsia="仿宋" w:cs="仿宋"/>
          <w:color w:val="auto"/>
          <w:sz w:val="28"/>
          <w:szCs w:val="28"/>
          <w:highlight w:val="none"/>
        </w:rPr>
        <w:t>（北京时间）前递交投标文件。</w:t>
      </w:r>
    </w:p>
    <w:p w14:paraId="02EEB9A9">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p>
    <w:p w14:paraId="14D7BCEB">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项目名称：</w:t>
      </w:r>
      <w:r>
        <w:rPr>
          <w:rFonts w:hint="eastAsia" w:ascii="仿宋" w:hAnsi="仿宋" w:eastAsia="仿宋" w:cs="仿宋"/>
          <w:color w:val="auto"/>
          <w:sz w:val="28"/>
          <w:szCs w:val="28"/>
          <w:highlight w:val="none"/>
          <w:shd w:val="clear" w:color="auto" w:fill="auto"/>
          <w:lang w:eastAsia="zh-CN"/>
        </w:rPr>
        <w:t>中新苏滁高新区超级电容智能制造基地二期项目跟踪审计</w:t>
      </w:r>
      <w:r>
        <w:rPr>
          <w:rFonts w:hint="eastAsia" w:ascii="仿宋" w:hAnsi="仿宋" w:eastAsia="仿宋" w:cs="仿宋"/>
          <w:color w:val="auto"/>
          <w:sz w:val="28"/>
          <w:szCs w:val="28"/>
          <w:highlight w:val="none"/>
          <w:shd w:val="clear" w:color="auto" w:fill="auto"/>
          <w:lang w:val="en-US" w:eastAsia="zh-CN"/>
        </w:rPr>
        <w:t xml:space="preserve"> </w:t>
      </w:r>
    </w:p>
    <w:p w14:paraId="7C0F4B06">
      <w:pPr>
        <w:ind w:firstLine="560" w:firstLineChars="200"/>
        <w:rPr>
          <w:rFonts w:hint="default"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预算金额：审计费用约</w:t>
      </w:r>
      <w:r>
        <w:rPr>
          <w:rFonts w:hint="eastAsia" w:ascii="仿宋" w:hAnsi="仿宋" w:eastAsia="仿宋" w:cs="仿宋"/>
          <w:color w:val="auto"/>
          <w:sz w:val="28"/>
          <w:szCs w:val="28"/>
          <w:highlight w:val="none"/>
          <w:shd w:val="clear" w:color="auto" w:fill="auto"/>
          <w:lang w:val="en-US" w:eastAsia="zh-CN"/>
        </w:rPr>
        <w:t>18.5</w:t>
      </w:r>
      <w:r>
        <w:rPr>
          <w:rFonts w:hint="eastAsia" w:ascii="仿宋" w:hAnsi="仿宋" w:eastAsia="仿宋" w:cs="仿宋"/>
          <w:color w:val="auto"/>
          <w:sz w:val="28"/>
          <w:szCs w:val="28"/>
          <w:highlight w:val="none"/>
          <w:shd w:val="clear" w:color="auto" w:fill="auto"/>
        </w:rPr>
        <w:t>万元，按项目支付。项目审计服务费用标准执行《中新苏滁高新技术产业开发区建设项目审计服务费用标准》（苏滁财发〔2023〕13号）</w:t>
      </w:r>
    </w:p>
    <w:p w14:paraId="27B550FE">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采购需求：</w:t>
      </w:r>
      <w:r>
        <w:rPr>
          <w:rFonts w:hint="eastAsia" w:ascii="仿宋" w:hAnsi="仿宋" w:eastAsia="仿宋" w:cs="仿宋"/>
          <w:color w:val="auto"/>
          <w:sz w:val="28"/>
          <w:szCs w:val="28"/>
          <w:highlight w:val="none"/>
          <w:shd w:val="clear" w:color="auto" w:fill="auto"/>
          <w:lang w:val="en-US" w:eastAsia="zh-CN"/>
        </w:rPr>
        <w:t>跟踪审计服务（施工内容</w:t>
      </w:r>
      <w:r>
        <w:rPr>
          <w:rFonts w:hint="eastAsia" w:ascii="仿宋" w:hAnsi="仿宋" w:eastAsia="仿宋" w:cs="仿宋"/>
          <w:color w:val="auto"/>
          <w:sz w:val="28"/>
          <w:szCs w:val="28"/>
          <w:highlight w:val="none"/>
          <w:shd w:val="clear" w:color="auto" w:fill="auto"/>
        </w:rPr>
        <w:t>包含新建厂房、电芯库、厂区道路等主体，项目总建筑面积约3.23万㎡，包括土方工程、地基与基础工程、建筑结构及装饰工程、钢结构工程、安装工程、厂区道路、绿化等，总投资额约6500万元</w:t>
      </w:r>
      <w:r>
        <w:rPr>
          <w:rFonts w:hint="eastAsia" w:ascii="仿宋" w:hAnsi="仿宋" w:eastAsia="仿宋" w:cs="仿宋"/>
          <w:color w:val="auto"/>
          <w:sz w:val="28"/>
          <w:szCs w:val="28"/>
          <w:highlight w:val="none"/>
          <w:shd w:val="clear" w:color="auto" w:fill="auto"/>
          <w:lang w:eastAsia="zh-CN"/>
        </w:rPr>
        <w:t>。</w:t>
      </w:r>
      <w:r>
        <w:rPr>
          <w:rFonts w:hint="eastAsia" w:ascii="仿宋" w:hAnsi="仿宋" w:eastAsia="仿宋" w:cs="仿宋"/>
          <w:color w:val="auto"/>
          <w:sz w:val="28"/>
          <w:szCs w:val="28"/>
          <w:highlight w:val="none"/>
          <w:shd w:val="clear" w:color="auto" w:fill="auto"/>
          <w:lang w:val="en-US" w:eastAsia="zh-CN"/>
        </w:rPr>
        <w:t>）</w:t>
      </w:r>
    </w:p>
    <w:p w14:paraId="6BCCE290">
      <w:pPr>
        <w:ind w:firstLine="560" w:firstLineChars="200"/>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合同履行期限：详见合同条款</w:t>
      </w:r>
    </w:p>
    <w:p w14:paraId="4D3036A1">
      <w:pPr>
        <w:ind w:firstLine="560" w:firstLineChars="20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本项目</w:t>
      </w:r>
      <w:r>
        <w:rPr>
          <w:rFonts w:hint="eastAsia" w:ascii="仿宋" w:hAnsi="仿宋" w:eastAsia="仿宋" w:cs="仿宋"/>
          <w:color w:val="auto"/>
          <w:sz w:val="28"/>
          <w:szCs w:val="28"/>
          <w:highlight w:val="none"/>
          <w:shd w:val="clear" w:color="auto" w:fill="auto"/>
          <w:lang w:val="en-US" w:eastAsia="zh-CN"/>
        </w:rPr>
        <w:t>不</w:t>
      </w:r>
      <w:r>
        <w:rPr>
          <w:rFonts w:hint="eastAsia" w:ascii="仿宋" w:hAnsi="仿宋" w:eastAsia="仿宋" w:cs="仿宋"/>
          <w:color w:val="auto"/>
          <w:sz w:val="28"/>
          <w:szCs w:val="28"/>
          <w:highlight w:val="none"/>
          <w:shd w:val="clear" w:color="auto" w:fill="auto"/>
        </w:rPr>
        <w:t>接受联合体投标</w:t>
      </w:r>
      <w:r>
        <w:rPr>
          <w:rFonts w:hint="eastAsia" w:ascii="仿宋" w:hAnsi="仿宋" w:eastAsia="仿宋" w:cs="仿宋"/>
          <w:color w:val="auto"/>
          <w:sz w:val="28"/>
          <w:szCs w:val="28"/>
          <w:highlight w:val="none"/>
          <w:shd w:val="clear" w:color="auto" w:fill="auto"/>
          <w:lang w:eastAsia="zh-CN"/>
        </w:rPr>
        <w:t>。</w:t>
      </w:r>
    </w:p>
    <w:p w14:paraId="4CBFF0CC">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bookmarkStart w:id="3" w:name="_Toc28359003"/>
      <w:bookmarkStart w:id="4" w:name="_Toc35393622"/>
      <w:bookmarkStart w:id="5" w:name="_Toc35393791"/>
      <w:bookmarkStart w:id="6" w:name="_Toc28359080"/>
      <w:r>
        <w:rPr>
          <w:rFonts w:hint="eastAsia" w:ascii="黑体" w:hAnsi="黑体" w:eastAsia="黑体" w:cs="黑体"/>
          <w:color w:val="auto"/>
          <w:sz w:val="28"/>
          <w:szCs w:val="28"/>
          <w:highlight w:val="none"/>
        </w:rPr>
        <w:t>二、申请人的资格要求</w:t>
      </w:r>
      <w:bookmarkEnd w:id="3"/>
      <w:bookmarkEnd w:id="4"/>
      <w:bookmarkEnd w:id="5"/>
      <w:bookmarkEnd w:id="6"/>
    </w:p>
    <w:p w14:paraId="1751F727">
      <w:pPr>
        <w:ind w:right="-313" w:rightChars="-149" w:firstLine="560" w:firstLineChars="200"/>
        <w:rPr>
          <w:rFonts w:hint="eastAsia" w:ascii="仿宋" w:hAnsi="仿宋" w:eastAsia="仿宋"/>
          <w:color w:val="auto"/>
          <w:sz w:val="28"/>
          <w:szCs w:val="28"/>
          <w:highlight w:val="none"/>
          <w:lang w:val="en-US" w:eastAsia="zh-CN"/>
        </w:rPr>
      </w:pPr>
      <w:bookmarkStart w:id="7" w:name="_Toc35393792"/>
      <w:bookmarkStart w:id="8" w:name="_Toc35393623"/>
      <w:bookmarkStart w:id="9" w:name="_Toc28359004"/>
      <w:bookmarkStart w:id="10" w:name="_Toc28359081"/>
      <w:r>
        <w:rPr>
          <w:rFonts w:hint="eastAsia" w:ascii="仿宋" w:hAnsi="仿宋" w:eastAsia="仿宋"/>
          <w:color w:val="auto"/>
          <w:sz w:val="28"/>
          <w:szCs w:val="28"/>
          <w:highlight w:val="none"/>
          <w:lang w:val="en-US" w:eastAsia="zh-CN"/>
        </w:rPr>
        <w:t>1.企业要求：具有独立承担民事责任能力并有相应服务能力的企业；</w:t>
      </w:r>
    </w:p>
    <w:p w14:paraId="5478B8DB">
      <w:pPr>
        <w:pStyle w:val="28"/>
        <w:ind w:right="-199" w:rightChars="-95" w:firstLine="56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2.项目负责人要求：投标人拟派的项目负责人必须具有中华人民共和国住房和城乡建设部颁发且在本单位注册的一级造价工程师注册证书（或原注册造价工程师）；</w:t>
      </w:r>
    </w:p>
    <w:p w14:paraId="3C49B490">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7"/>
      <w:bookmarkEnd w:id="8"/>
      <w:bookmarkEnd w:id="9"/>
      <w:bookmarkEnd w:id="10"/>
    </w:p>
    <w:p w14:paraId="55A68692">
      <w:pPr>
        <w:ind w:firstLine="540"/>
        <w:rPr>
          <w:rFonts w:hint="eastAsia" w:ascii="仿宋" w:hAnsi="仿宋" w:eastAsia="仿宋" w:cs="宋体"/>
          <w:iCs/>
          <w:color w:val="auto"/>
          <w:sz w:val="28"/>
          <w:szCs w:val="28"/>
          <w:highlight w:val="none"/>
          <w:lang w:eastAsia="zh-CN"/>
        </w:rPr>
      </w:pPr>
      <w:bookmarkStart w:id="11" w:name="_Toc28359005"/>
      <w:bookmarkStart w:id="12" w:name="_Toc28359082"/>
      <w:bookmarkStart w:id="13" w:name="_Toc35393793"/>
      <w:bookmarkStart w:id="14" w:name="_Toc35393624"/>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7</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9</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15</w:t>
      </w:r>
      <w:r>
        <w:rPr>
          <w:rFonts w:hint="eastAsia" w:ascii="仿宋" w:hAnsi="仿宋" w:eastAsia="仿宋" w:cs="宋体"/>
          <w:color w:val="auto"/>
          <w:sz w:val="28"/>
          <w:szCs w:val="28"/>
          <w:highlight w:val="none"/>
          <w:u w:val="single"/>
        </w:rPr>
        <w:t>日</w:t>
      </w:r>
    </w:p>
    <w:p w14:paraId="0229FB3E">
      <w:pPr>
        <w:ind w:firstLine="540"/>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54D9DD1F">
      <w:pPr>
        <w:ind w:firstLine="54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43121A92">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四、提交投标文件</w:t>
      </w:r>
      <w:bookmarkEnd w:id="11"/>
      <w:bookmarkEnd w:id="12"/>
      <w:r>
        <w:rPr>
          <w:rFonts w:hint="eastAsia" w:ascii="黑体" w:hAnsi="黑体" w:eastAsia="黑体" w:cs="黑体"/>
          <w:color w:val="auto"/>
          <w:sz w:val="28"/>
          <w:szCs w:val="28"/>
          <w:highlight w:val="none"/>
        </w:rPr>
        <w:t>截止时间、开标时间和地点</w:t>
      </w:r>
      <w:bookmarkEnd w:id="13"/>
      <w:bookmarkEnd w:id="14"/>
    </w:p>
    <w:p w14:paraId="3B2694F0">
      <w:pPr>
        <w:ind w:firstLine="560" w:firstLineChars="200"/>
        <w:rPr>
          <w:rFonts w:hint="eastAsia" w:ascii="仿宋" w:hAnsi="仿宋" w:eastAsia="仿宋"/>
          <w:bCs/>
          <w:iCs/>
          <w:color w:val="auto"/>
          <w:sz w:val="28"/>
          <w:szCs w:val="28"/>
          <w:highlight w:val="none"/>
          <w:lang w:eastAsia="zh-CN"/>
        </w:rPr>
      </w:pPr>
      <w:r>
        <w:rPr>
          <w:rFonts w:hint="eastAsia" w:ascii="仿宋" w:hAnsi="仿宋" w:eastAsia="仿宋"/>
          <w:bCs/>
          <w:color w:val="auto"/>
          <w:sz w:val="28"/>
          <w:szCs w:val="28"/>
          <w:highlight w:val="none"/>
          <w:u w:val="none"/>
          <w:lang w:val="en-US" w:eastAsia="zh-CN"/>
        </w:rPr>
        <w:t>时间：</w:t>
      </w:r>
      <w:r>
        <w:rPr>
          <w:rFonts w:hint="eastAsia" w:ascii="仿宋" w:hAnsi="仿宋" w:eastAsia="仿宋"/>
          <w:bCs/>
          <w:color w:val="auto"/>
          <w:sz w:val="28"/>
          <w:szCs w:val="28"/>
          <w:highlight w:val="none"/>
          <w:u w:val="none"/>
        </w:rPr>
        <w:t>202</w:t>
      </w:r>
      <w:r>
        <w:rPr>
          <w:rFonts w:hint="eastAsia" w:ascii="仿宋" w:hAnsi="仿宋" w:eastAsia="仿宋"/>
          <w:bCs/>
          <w:color w:val="auto"/>
          <w:sz w:val="28"/>
          <w:szCs w:val="28"/>
          <w:highlight w:val="none"/>
          <w:u w:val="none"/>
          <w:lang w:val="en-US" w:eastAsia="zh-CN"/>
        </w:rPr>
        <w:t>6</w:t>
      </w:r>
      <w:r>
        <w:rPr>
          <w:rFonts w:hint="eastAsia" w:ascii="仿宋" w:hAnsi="仿宋" w:eastAsia="仿宋"/>
          <w:bCs/>
          <w:color w:val="auto"/>
          <w:sz w:val="28"/>
          <w:szCs w:val="28"/>
          <w:highlight w:val="none"/>
          <w:u w:val="none"/>
        </w:rPr>
        <w:t>年</w:t>
      </w:r>
      <w:r>
        <w:rPr>
          <w:rFonts w:hint="eastAsia" w:ascii="仿宋" w:hAnsi="仿宋" w:eastAsia="仿宋"/>
          <w:bCs/>
          <w:color w:val="auto"/>
          <w:sz w:val="28"/>
          <w:szCs w:val="28"/>
          <w:highlight w:val="none"/>
          <w:u w:val="none"/>
          <w:lang w:val="en-US" w:eastAsia="zh-CN"/>
        </w:rPr>
        <w:t>9</w:t>
      </w:r>
      <w:r>
        <w:rPr>
          <w:rFonts w:hint="eastAsia" w:ascii="仿宋" w:hAnsi="仿宋" w:eastAsia="仿宋"/>
          <w:bCs/>
          <w:color w:val="auto"/>
          <w:sz w:val="28"/>
          <w:szCs w:val="28"/>
          <w:highlight w:val="none"/>
          <w:u w:val="none"/>
        </w:rPr>
        <w:t>月</w:t>
      </w:r>
      <w:r>
        <w:rPr>
          <w:rFonts w:hint="eastAsia" w:ascii="仿宋" w:hAnsi="仿宋" w:eastAsia="仿宋"/>
          <w:bCs/>
          <w:color w:val="auto"/>
          <w:sz w:val="28"/>
          <w:szCs w:val="28"/>
          <w:highlight w:val="none"/>
          <w:u w:val="none"/>
          <w:lang w:val="en-US" w:eastAsia="zh-CN"/>
        </w:rPr>
        <w:t>15</w:t>
      </w:r>
      <w:r>
        <w:rPr>
          <w:rFonts w:hint="eastAsia" w:ascii="仿宋" w:hAnsi="仿宋" w:eastAsia="仿宋"/>
          <w:bCs/>
          <w:color w:val="auto"/>
          <w:sz w:val="28"/>
          <w:szCs w:val="28"/>
          <w:highlight w:val="none"/>
          <w:u w:val="none"/>
        </w:rPr>
        <w:t>日</w:t>
      </w:r>
      <w:r>
        <w:rPr>
          <w:rFonts w:hint="eastAsia" w:ascii="仿宋" w:hAnsi="仿宋" w:eastAsia="仿宋"/>
          <w:bCs/>
          <w:color w:val="auto"/>
          <w:sz w:val="28"/>
          <w:szCs w:val="28"/>
          <w:highlight w:val="none"/>
          <w:u w:val="none"/>
          <w:lang w:val="en-US" w:eastAsia="zh-CN"/>
        </w:rPr>
        <w:t>9</w:t>
      </w:r>
      <w:r>
        <w:rPr>
          <w:rFonts w:hint="eastAsia" w:ascii="仿宋" w:hAnsi="仿宋" w:eastAsia="仿宋"/>
          <w:bCs/>
          <w:color w:val="auto"/>
          <w:sz w:val="28"/>
          <w:szCs w:val="28"/>
          <w:highlight w:val="none"/>
          <w:u w:val="none"/>
        </w:rPr>
        <w:t>点</w:t>
      </w:r>
      <w:r>
        <w:rPr>
          <w:rFonts w:hint="eastAsia" w:ascii="仿宋" w:hAnsi="仿宋" w:eastAsia="仿宋"/>
          <w:bCs/>
          <w:color w:val="auto"/>
          <w:sz w:val="28"/>
          <w:szCs w:val="28"/>
          <w:highlight w:val="none"/>
          <w:u w:val="none"/>
          <w:lang w:val="en-US" w:eastAsia="zh-CN"/>
        </w:rPr>
        <w:t>00</w:t>
      </w:r>
      <w:r>
        <w:rPr>
          <w:rFonts w:hint="eastAsia" w:ascii="仿宋" w:hAnsi="仿宋" w:eastAsia="仿宋"/>
          <w:bCs/>
          <w:color w:val="auto"/>
          <w:sz w:val="28"/>
          <w:szCs w:val="28"/>
          <w:highlight w:val="none"/>
          <w:u w:val="none"/>
        </w:rPr>
        <w:t>分</w:t>
      </w:r>
      <w:r>
        <w:rPr>
          <w:rFonts w:hint="eastAsia" w:ascii="仿宋" w:hAnsi="仿宋" w:eastAsia="仿宋"/>
          <w:bCs/>
          <w:color w:val="auto"/>
          <w:sz w:val="28"/>
          <w:szCs w:val="28"/>
          <w:highlight w:val="none"/>
        </w:rPr>
        <w:t>（北京时间）</w:t>
      </w:r>
    </w:p>
    <w:p w14:paraId="72EE8B47">
      <w:pPr>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地点：新点电子交易平台【滁州专区】</w:t>
      </w:r>
    </w:p>
    <w:p w14:paraId="25B4CBFD">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五</w:t>
      </w:r>
      <w:r>
        <w:rPr>
          <w:rFonts w:hint="eastAsia" w:ascii="黑体" w:hAnsi="黑体" w:eastAsia="黑体" w:cs="黑体"/>
          <w:color w:val="auto"/>
          <w:sz w:val="28"/>
          <w:szCs w:val="28"/>
          <w:highlight w:val="none"/>
        </w:rPr>
        <w:t>、投标保证金金额及缴纳账户</w:t>
      </w:r>
    </w:p>
    <w:p w14:paraId="1424E71A">
      <w:pPr>
        <w:pStyle w:val="127"/>
        <w:rPr>
          <w:color w:val="auto"/>
          <w:highlight w:val="none"/>
        </w:rPr>
      </w:pPr>
      <w:bookmarkStart w:id="15" w:name="_Toc35393795"/>
      <w:bookmarkStart w:id="16" w:name="_Toc35393626"/>
      <w:r>
        <w:rPr>
          <w:color w:val="auto"/>
          <w:highlight w:val="none"/>
        </w:rPr>
        <w:t>窗体顶端</w:t>
      </w:r>
    </w:p>
    <w:p w14:paraId="5F4E68C1">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不要求投标人提交投标保证金。</w:t>
      </w:r>
    </w:p>
    <w:p w14:paraId="0DAC3816">
      <w:pPr>
        <w:pStyle w:val="128"/>
        <w:rPr>
          <w:color w:val="auto"/>
          <w:highlight w:val="none"/>
        </w:rPr>
      </w:pPr>
      <w:r>
        <w:rPr>
          <w:color w:val="auto"/>
          <w:highlight w:val="none"/>
        </w:rPr>
        <w:t>窗体底端</w:t>
      </w:r>
    </w:p>
    <w:bookmarkEnd w:id="15"/>
    <w:bookmarkEnd w:id="16"/>
    <w:p w14:paraId="054AED32">
      <w:pPr>
        <w:keepNext/>
        <w:keepLines/>
        <w:pageBreakBefore w:val="0"/>
        <w:widowControl w:val="0"/>
        <w:kinsoku/>
        <w:wordWrap/>
        <w:overflowPunct/>
        <w:topLinePunct w:val="0"/>
        <w:autoSpaceDE/>
        <w:autoSpaceDN/>
        <w:bidi w:val="0"/>
        <w:adjustRightInd/>
        <w:snapToGrid/>
        <w:spacing w:before="160" w:after="160"/>
        <w:textAlignment w:val="auto"/>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六、其他补充事宜</w:t>
      </w:r>
    </w:p>
    <w:p w14:paraId="5C37F21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rPr>
        <w:t>投标人从滁州市城投工程咨询管理有限公司（https://www.czctgczx.com/）下载。投标人自行承担因未按要求获取招标文件导致无法上传电子投标文件的风险。</w:t>
      </w:r>
    </w:p>
    <w:p w14:paraId="2CDB365A">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5C43038B">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投标人登录新点电子交易平台【滁州专区】获取询价文件及其它资料（含澄清和补充说明等）。如在招标文件获取过程中遇到系统问题，请拨打技术支持服务热线0512-58151515（工作日）或者网站首页在线客服。</w:t>
      </w:r>
    </w:p>
    <w:p w14:paraId="1EF29862">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2.招标文件及相关资料售价：人民币0元/套。</w:t>
      </w:r>
    </w:p>
    <w:p w14:paraId="7862F86D">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00D1CC19">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4.本项目采用不见面开标，投标人登录滁州市城投工程咨询有限公司不见面开标系统参与网上开标（网址：http://js.etrading.cn/EpointBidOpening/bidopeninghallaction/hall/login）。</w:t>
      </w:r>
    </w:p>
    <w:p w14:paraId="22D42C1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投标人应在投标截止时间之前，登录新点电子交易平台【滁州专区】上传投标文件</w:t>
      </w:r>
    </w:p>
    <w:p w14:paraId="625CCB28">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5.本项目仅接受加密电子投标文件投标人在投标截止时间前通过新点电子交易平台后在【滁州专区】</w:t>
      </w:r>
    </w:p>
    <w:p w14:paraId="712DCAF3">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（https://www.etrading.cn/BREpointSSO/login/oauth2login?regioncode=DQ_ChuZhou）交易系统递交电子投标文件。</w:t>
      </w:r>
    </w:p>
    <w:p w14:paraId="7570B95E">
      <w:pPr>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6.</w:t>
      </w:r>
      <w:r>
        <w:rPr>
          <w:rFonts w:hint="eastAsia" w:ascii="仿宋" w:hAnsi="仿宋" w:eastAsia="仿宋" w:cs="Times New Roman"/>
          <w:color w:val="auto"/>
          <w:sz w:val="28"/>
          <w:szCs w:val="28"/>
          <w:highlight w:val="none"/>
        </w:rPr>
        <w:t>投标软件制作工具下载：</w:t>
      </w:r>
    </w:p>
    <w:p w14:paraId="6B421E99">
      <w:pPr>
        <w:ind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https://download.bqpoint.com/download/downloaddetail.html?SourceFrom=Ztb&amp;ZtbSoftXiaQuCode=0128&amp;ZtbSoftType=tballinclusive</w:t>
      </w:r>
    </w:p>
    <w:p w14:paraId="3D3E748B">
      <w:pPr>
        <w:keepNext/>
        <w:keepLines/>
        <w:pageBreakBefore w:val="0"/>
        <w:widowControl w:val="0"/>
        <w:kinsoku/>
        <w:wordWrap/>
        <w:overflowPunct/>
        <w:topLinePunct w:val="0"/>
        <w:autoSpaceDE/>
        <w:autoSpaceDN/>
        <w:bidi w:val="0"/>
        <w:adjustRightInd/>
        <w:snapToGrid/>
        <w:spacing w:before="160" w:after="16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lang w:val="en-US" w:eastAsia="zh-CN"/>
        </w:rPr>
        <w:t>七</w:t>
      </w:r>
      <w:r>
        <w:rPr>
          <w:rFonts w:hint="eastAsia" w:ascii="黑体" w:hAnsi="黑体" w:eastAsia="黑体" w:cs="黑体"/>
          <w:color w:val="auto"/>
          <w:sz w:val="28"/>
          <w:szCs w:val="28"/>
          <w:highlight w:val="none"/>
        </w:rPr>
        <w:t>、对本次招标提出询问，请按以下方式联系</w:t>
      </w:r>
    </w:p>
    <w:p w14:paraId="7307E47C">
      <w:pPr>
        <w:pStyle w:val="3"/>
        <w:numPr>
          <w:ilvl w:val="0"/>
          <w:numId w:val="0"/>
        </w:numPr>
        <w:adjustRightInd/>
        <w:spacing w:line="240" w:lineRule="auto"/>
        <w:ind w:left="-199" w:leftChars="-95" w:firstLine="560" w:firstLineChars="2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1.招标人信息</w:t>
      </w:r>
    </w:p>
    <w:p w14:paraId="604ADC35">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lang w:eastAsia="zh-CN"/>
        </w:rPr>
        <w:t xml:space="preserve">中新苏滁高新技术产业开发区管理委员会 </w:t>
      </w:r>
    </w:p>
    <w:p w14:paraId="4191A14B">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滁州市徽州南路1999号</w:t>
      </w:r>
    </w:p>
    <w:p w14:paraId="22A045A5">
      <w:pPr>
        <w:ind w:firstLine="560" w:firstLineChars="200"/>
        <w:jc w:val="left"/>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val="en-US" w:eastAsia="zh-CN"/>
        </w:rPr>
        <w:t>0550-3755706</w:t>
      </w:r>
    </w:p>
    <w:p w14:paraId="46F6CDF9">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2.代理机构信息</w:t>
      </w:r>
    </w:p>
    <w:p w14:paraId="6503ED29">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    称：</w:t>
      </w:r>
      <w:r>
        <w:rPr>
          <w:rFonts w:hint="eastAsia" w:ascii="仿宋" w:hAnsi="仿宋" w:eastAsia="仿宋" w:cs="仿宋"/>
          <w:color w:val="auto"/>
          <w:sz w:val="28"/>
          <w:szCs w:val="28"/>
          <w:highlight w:val="none"/>
          <w:u w:val="single"/>
        </w:rPr>
        <w:t>滁州市城投工程咨询管理有限公司</w:t>
      </w:r>
    </w:p>
    <w:p w14:paraId="6AB9D21A">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　　址：</w:t>
      </w:r>
      <w:r>
        <w:rPr>
          <w:rFonts w:hint="eastAsia" w:ascii="仿宋" w:hAnsi="仿宋" w:eastAsia="仿宋" w:cs="仿宋"/>
          <w:color w:val="auto"/>
          <w:sz w:val="28"/>
          <w:szCs w:val="28"/>
          <w:highlight w:val="none"/>
          <w:u w:val="single"/>
        </w:rPr>
        <w:t>滁州市龙蟠大道109号房产大厦6楼</w:t>
      </w:r>
    </w:p>
    <w:p w14:paraId="335066CF">
      <w:pPr>
        <w:ind w:left="-199" w:leftChars="-95" w:firstLine="840" w:firstLineChars="300"/>
        <w:jc w:val="left"/>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0550-3519590、18005501210</w:t>
      </w:r>
    </w:p>
    <w:p w14:paraId="787AA301">
      <w:pPr>
        <w:pStyle w:val="3"/>
        <w:numPr>
          <w:ilvl w:val="0"/>
          <w:numId w:val="0"/>
        </w:numPr>
        <w:adjustRightInd/>
        <w:spacing w:line="240" w:lineRule="auto"/>
        <w:ind w:left="-199" w:leftChars="-95" w:firstLine="840" w:firstLineChars="300"/>
        <w:jc w:val="left"/>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3.项目联系方式</w:t>
      </w:r>
    </w:p>
    <w:p w14:paraId="70DF41EB">
      <w:pPr>
        <w:pStyle w:val="17"/>
        <w:ind w:left="-199" w:leftChars="-95" w:firstLine="840" w:firstLineChars="300"/>
        <w:jc w:val="left"/>
        <w:rPr>
          <w:rFonts w:hint="eastAsia" w:ascii="仿宋" w:hAnsi="仿宋" w:eastAsia="仿宋" w:cs="仿宋"/>
          <w:color w:val="auto"/>
          <w:sz w:val="28"/>
          <w:szCs w:val="28"/>
          <w:highlight w:val="none"/>
          <w:u w:val="single" w:color="auto"/>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color="auto"/>
          <w:lang w:val="en-US" w:eastAsia="zh-CN"/>
        </w:rPr>
        <w:t>张工、</w:t>
      </w:r>
      <w:r>
        <w:rPr>
          <w:rFonts w:hint="eastAsia" w:ascii="仿宋" w:hAnsi="仿宋" w:eastAsia="仿宋" w:cs="仿宋"/>
          <w:color w:val="auto"/>
          <w:sz w:val="28"/>
          <w:szCs w:val="28"/>
          <w:highlight w:val="none"/>
          <w:u w:val="single" w:color="auto"/>
        </w:rPr>
        <w:t>杨韦</w:t>
      </w:r>
    </w:p>
    <w:p w14:paraId="42608EA6">
      <w:pPr>
        <w:ind w:left="-199" w:leftChars="-95" w:firstLine="840" w:firstLineChars="300"/>
        <w:jc w:val="left"/>
        <w:rPr>
          <w:rFonts w:ascii="仿宋" w:hAnsi="仿宋" w:eastAsia="仿宋"/>
          <w:color w:val="auto"/>
          <w:sz w:val="28"/>
          <w:szCs w:val="28"/>
          <w:highlight w:val="none"/>
          <w:u w:val="single"/>
        </w:rPr>
      </w:pPr>
      <w:r>
        <w:rPr>
          <w:rFonts w:hint="eastAsia" w:ascii="仿宋" w:hAnsi="仿宋" w:eastAsia="仿宋" w:cs="仿宋"/>
          <w:color w:val="auto"/>
          <w:sz w:val="28"/>
          <w:szCs w:val="28"/>
          <w:highlight w:val="none"/>
        </w:rPr>
        <w:t>电　　 话：</w:t>
      </w:r>
      <w:r>
        <w:rPr>
          <w:rFonts w:hint="eastAsia" w:ascii="仿宋" w:hAnsi="仿宋" w:eastAsia="仿宋" w:cs="仿宋"/>
          <w:color w:val="auto"/>
          <w:sz w:val="28"/>
          <w:szCs w:val="28"/>
          <w:highlight w:val="none"/>
          <w:u w:val="single"/>
          <w:lang w:val="en-US" w:eastAsia="zh-CN"/>
        </w:rPr>
        <w:t>0550-3755706</w:t>
      </w:r>
      <w:r>
        <w:rPr>
          <w:rFonts w:hint="eastAsia" w:ascii="仿宋" w:hAnsi="仿宋" w:eastAsia="仿宋" w:cs="仿宋"/>
          <w:color w:val="auto"/>
          <w:sz w:val="28"/>
          <w:szCs w:val="28"/>
          <w:highlight w:val="none"/>
          <w:u w:val="single" w:color="auto"/>
          <w:lang w:val="en-US" w:eastAsia="zh-CN"/>
        </w:rPr>
        <w:t>、</w:t>
      </w:r>
      <w:r>
        <w:rPr>
          <w:rFonts w:hint="eastAsia" w:ascii="仿宋" w:hAnsi="仿宋" w:eastAsia="仿宋" w:cs="仿宋"/>
          <w:color w:val="auto"/>
          <w:sz w:val="28"/>
          <w:szCs w:val="28"/>
          <w:highlight w:val="none"/>
          <w:u w:val="single" w:color="auto"/>
        </w:rPr>
        <w:t>0</w:t>
      </w:r>
      <w:r>
        <w:rPr>
          <w:rFonts w:hint="eastAsia" w:ascii="仿宋" w:hAnsi="仿宋" w:eastAsia="仿宋" w:cs="仿宋"/>
          <w:color w:val="auto"/>
          <w:sz w:val="28"/>
          <w:szCs w:val="28"/>
          <w:highlight w:val="none"/>
          <w:u w:val="single"/>
        </w:rPr>
        <w:t xml:space="preserve">550-3519590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b/>
          <w:color w:val="auto"/>
          <w:sz w:val="32"/>
          <w:szCs w:val="32"/>
          <w:highlight w:val="none"/>
        </w:rPr>
        <w:t>第二章 投标人须知</w:t>
      </w:r>
      <w:bookmarkEnd w:id="2"/>
    </w:p>
    <w:p w14:paraId="355FA043">
      <w:pPr>
        <w:snapToGrid w:val="0"/>
        <w:spacing w:line="500" w:lineRule="exact"/>
        <w:jc w:val="center"/>
        <w:outlineLvl w:val="1"/>
        <w:rPr>
          <w:rFonts w:hint="eastAsia" w:ascii="宋体"/>
          <w:b/>
          <w:color w:val="auto"/>
          <w:sz w:val="28"/>
          <w:szCs w:val="28"/>
          <w:highlight w:val="none"/>
        </w:rPr>
      </w:pPr>
      <w:bookmarkStart w:id="17" w:name="_Toc449028865"/>
      <w:bookmarkStart w:id="18" w:name="_Toc58430314"/>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7"/>
      <w:bookmarkEnd w:id="18"/>
    </w:p>
    <w:tbl>
      <w:tblPr>
        <w:tblStyle w:val="34"/>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见招标公告</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hAnsi="宋体" w:cs="宋体"/>
                <w:color w:val="auto"/>
                <w:sz w:val="21"/>
                <w:szCs w:val="21"/>
                <w:highlight w:val="none"/>
                <w:lang w:val="en-US" w:eastAsia="zh-CN"/>
              </w:rPr>
              <w:t>见招标公告</w:t>
            </w:r>
          </w:p>
          <w:p w14:paraId="0B77C676">
            <w:pPr>
              <w:pStyle w:val="20"/>
              <w:keepNext w:val="0"/>
              <w:keepLines w:val="0"/>
              <w:pageBreakBefore w:val="0"/>
              <w:kinsoku/>
              <w:overflowPunct/>
              <w:topLinePunct w:val="0"/>
              <w:autoSpaceDE/>
              <w:autoSpaceDN/>
              <w:bidi w:val="0"/>
              <w:adjustRightInd/>
              <w:spacing w:line="500" w:lineRule="exact"/>
              <w:textAlignment w:val="auto"/>
              <w:rPr>
                <w:rFonts w:hint="eastAsia" w:hAnsi="宋体" w:cs="宋体"/>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注：建设期约240个日历天，仅用于投标文件制作系统里填写工期，不作为评审标准。</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rPr>
              <w:t>中新苏滁</w:t>
            </w:r>
            <w:r>
              <w:rPr>
                <w:rFonts w:hint="eastAsia" w:hAnsi="宋体" w:cs="宋体"/>
                <w:color w:val="auto"/>
                <w:sz w:val="21"/>
                <w:szCs w:val="21"/>
                <w:highlight w:val="none"/>
                <w:lang w:val="en-US" w:eastAsia="zh-CN"/>
              </w:rPr>
              <w:t>高新区内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hAnsi="宋体" w:cs="宋体"/>
                <w:color w:val="auto"/>
                <w:sz w:val="21"/>
                <w:szCs w:val="21"/>
                <w:highlight w:val="none"/>
                <w:lang w:val="en-US" w:eastAsia="zh-CN"/>
              </w:rPr>
              <w:t>见招标公告</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见招标公告</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财政</w:t>
            </w:r>
            <w:r>
              <w:rPr>
                <w:rFonts w:hint="eastAsia" w:ascii="宋体" w:hAnsi="宋体" w:eastAsia="宋体" w:cs="宋体"/>
                <w:color w:val="auto"/>
                <w:sz w:val="21"/>
                <w:szCs w:val="21"/>
                <w:highlight w:val="none"/>
                <w:lang w:val="en-US" w:eastAsia="zh-CN"/>
              </w:rPr>
              <w:t>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审计费用约</w:t>
            </w:r>
            <w:r>
              <w:rPr>
                <w:rFonts w:hint="eastAsia" w:hAnsi="宋体" w:cs="宋体"/>
                <w:color w:val="auto"/>
                <w:sz w:val="21"/>
                <w:szCs w:val="21"/>
                <w:highlight w:val="none"/>
                <w:lang w:val="en-US" w:eastAsia="zh-CN"/>
              </w:rPr>
              <w:t>18.5</w:t>
            </w:r>
            <w:r>
              <w:rPr>
                <w:rFonts w:hint="default" w:ascii="宋体" w:hAnsi="宋体" w:eastAsia="宋体" w:cs="宋体"/>
                <w:color w:val="auto"/>
                <w:sz w:val="21"/>
                <w:szCs w:val="21"/>
                <w:highlight w:val="none"/>
                <w:lang w:val="en-US" w:eastAsia="zh-CN"/>
              </w:rPr>
              <w:t>万元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收费标准</w:t>
            </w:r>
          </w:p>
        </w:tc>
        <w:tc>
          <w:tcPr>
            <w:tcW w:w="6824" w:type="dxa"/>
            <w:noWrap w:val="0"/>
            <w:vAlign w:val="center"/>
          </w:tcPr>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default"/>
                <w:color w:val="auto"/>
                <w:highlight w:val="none"/>
                <w:lang w:val="en-US"/>
              </w:rPr>
              <w:t>项目审计服务费用标准执行《中新苏滁高新技术产业开发区建设项目审计服务费用标准》（苏滁财发〔2023〕13号）</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6E4D11A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color w:val="auto"/>
                <w:highlight w:val="none"/>
                <w:lang w:val="en-US" w:eastAsia="zh-CN"/>
              </w:rPr>
            </w:pPr>
            <w:r>
              <w:rPr>
                <w:rFonts w:hint="eastAsia" w:ascii="宋体" w:hAnsi="宋体" w:cs="宋体"/>
                <w:color w:val="auto"/>
                <w:szCs w:val="21"/>
                <w:highlight w:val="none"/>
              </w:rPr>
              <w:t>本次招标范围为中新苏滁高新区超级电容智能制造基地二期项目跟踪审计</w:t>
            </w:r>
            <w:r>
              <w:rPr>
                <w:rFonts w:hint="eastAsia" w:ascii="宋体" w:hAnsi="宋体" w:cs="宋体"/>
                <w:color w:val="auto"/>
                <w:szCs w:val="21"/>
                <w:highlight w:val="none"/>
                <w:lang w:eastAsia="zh-CN"/>
              </w:rPr>
              <w:t>，</w:t>
            </w:r>
            <w:r>
              <w:rPr>
                <w:rFonts w:hint="eastAsia" w:ascii="宋体" w:hAnsi="宋体" w:cs="宋体"/>
                <w:color w:val="auto"/>
                <w:szCs w:val="21"/>
                <w:highlight w:val="none"/>
              </w:rPr>
              <w:t>在工程前期阶段、工程施工阶段、竣工结算阶段提供全方位的全过程跟踪审计服务及招标人要求的其他内容，包含但不限于投资估算的审核、设计概算的审核、施工图预算的审核、工程量清单的审核、最高限价的审核、提供完整的工程结算审核报告等服务。</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2000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分钟内（以电子交易系统解密倒计时为准），解密时间为</w:t>
            </w:r>
            <w:r>
              <w:rPr>
                <w:rFonts w:hint="eastAsia" w:ascii="宋体" w:hAnsi="宋体" w:cs="宋体"/>
                <w:b/>
                <w:bCs/>
                <w:color w:val="auto"/>
                <w:spacing w:val="-4"/>
                <w:kern w:val="0"/>
                <w:szCs w:val="21"/>
                <w:highlight w:val="none"/>
              </w:rPr>
              <w:t>202</w:t>
            </w:r>
            <w:r>
              <w:rPr>
                <w:rFonts w:hint="eastAsia" w:ascii="宋体" w:hAnsi="宋体" w:cs="宋体"/>
                <w:b/>
                <w:bCs/>
                <w:color w:val="auto"/>
                <w:spacing w:val="-4"/>
                <w:kern w:val="0"/>
                <w:szCs w:val="21"/>
                <w:highlight w:val="none"/>
                <w:lang w:val="en-US" w:eastAsia="zh-CN"/>
              </w:rPr>
              <w:t>6</w:t>
            </w:r>
            <w:r>
              <w:rPr>
                <w:rFonts w:hint="eastAsia" w:ascii="宋体" w:hAnsi="宋体" w:cs="宋体"/>
                <w:b/>
                <w:bCs/>
                <w:color w:val="auto"/>
                <w:spacing w:val="-4"/>
                <w:kern w:val="0"/>
                <w:szCs w:val="21"/>
                <w:highlight w:val="none"/>
              </w:rPr>
              <w:t>年</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月</w:t>
            </w:r>
            <w:r>
              <w:rPr>
                <w:rFonts w:hint="eastAsia" w:ascii="宋体" w:hAnsi="宋体" w:cs="宋体"/>
                <w:b/>
                <w:bCs/>
                <w:color w:val="auto"/>
                <w:spacing w:val="-4"/>
                <w:kern w:val="0"/>
                <w:szCs w:val="21"/>
                <w:highlight w:val="none"/>
                <w:lang w:val="en-US" w:eastAsia="zh-CN"/>
              </w:rPr>
              <w:t>15</w:t>
            </w:r>
            <w:r>
              <w:rPr>
                <w:rFonts w:hint="eastAsia" w:ascii="宋体" w:hAnsi="宋体" w:cs="宋体"/>
                <w:b/>
                <w:bCs/>
                <w:color w:val="auto"/>
                <w:spacing w:val="-4"/>
                <w:kern w:val="0"/>
                <w:szCs w:val="21"/>
                <w:highlight w:val="none"/>
              </w:rPr>
              <w:t>日</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时</w:t>
            </w:r>
            <w:r>
              <w:rPr>
                <w:rFonts w:hint="eastAsia" w:ascii="宋体" w:hAnsi="宋体" w:cs="宋体"/>
                <w:b/>
                <w:bCs/>
                <w:color w:val="auto"/>
                <w:spacing w:val="-4"/>
                <w:kern w:val="0"/>
                <w:szCs w:val="21"/>
                <w:highlight w:val="none"/>
                <w:lang w:val="en-US" w:eastAsia="zh-CN"/>
              </w:rPr>
              <w:t>00</w:t>
            </w:r>
            <w:r>
              <w:rPr>
                <w:rFonts w:hint="eastAsia" w:ascii="宋体" w:hAnsi="宋体" w:cs="宋体"/>
                <w:b/>
                <w:bCs/>
                <w:color w:val="auto"/>
                <w:spacing w:val="-4"/>
                <w:kern w:val="0"/>
                <w:szCs w:val="21"/>
                <w:highlight w:val="none"/>
              </w:rPr>
              <w:t>分至202</w:t>
            </w:r>
            <w:r>
              <w:rPr>
                <w:rFonts w:hint="eastAsia" w:ascii="宋体" w:hAnsi="宋体" w:cs="宋体"/>
                <w:b/>
                <w:bCs/>
                <w:color w:val="auto"/>
                <w:spacing w:val="-4"/>
                <w:kern w:val="0"/>
                <w:szCs w:val="21"/>
                <w:highlight w:val="none"/>
                <w:lang w:val="en-US" w:eastAsia="zh-CN"/>
              </w:rPr>
              <w:t>6</w:t>
            </w:r>
            <w:r>
              <w:rPr>
                <w:rFonts w:hint="eastAsia" w:ascii="宋体" w:hAnsi="宋体" w:cs="宋体"/>
                <w:b/>
                <w:bCs/>
                <w:color w:val="auto"/>
                <w:spacing w:val="-4"/>
                <w:kern w:val="0"/>
                <w:szCs w:val="21"/>
                <w:highlight w:val="none"/>
              </w:rPr>
              <w:t>年</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月</w:t>
            </w:r>
            <w:r>
              <w:rPr>
                <w:rFonts w:hint="eastAsia" w:ascii="宋体" w:hAnsi="宋体" w:cs="宋体"/>
                <w:b/>
                <w:bCs/>
                <w:color w:val="auto"/>
                <w:spacing w:val="-4"/>
                <w:kern w:val="0"/>
                <w:szCs w:val="21"/>
                <w:highlight w:val="none"/>
                <w:lang w:val="en-US" w:eastAsia="zh-CN"/>
              </w:rPr>
              <w:t>15</w:t>
            </w:r>
            <w:r>
              <w:rPr>
                <w:rFonts w:hint="eastAsia" w:ascii="宋体" w:hAnsi="宋体" w:cs="宋体"/>
                <w:b/>
                <w:bCs/>
                <w:color w:val="auto"/>
                <w:spacing w:val="-4"/>
                <w:kern w:val="0"/>
                <w:szCs w:val="21"/>
                <w:highlight w:val="none"/>
              </w:rPr>
              <w:t>日</w:t>
            </w:r>
            <w:r>
              <w:rPr>
                <w:rFonts w:hint="eastAsia" w:ascii="宋体" w:hAnsi="宋体" w:cs="宋体"/>
                <w:b/>
                <w:bCs/>
                <w:color w:val="auto"/>
                <w:spacing w:val="-4"/>
                <w:kern w:val="0"/>
                <w:szCs w:val="21"/>
                <w:highlight w:val="none"/>
                <w:lang w:val="en-US" w:eastAsia="zh-CN"/>
              </w:rPr>
              <w:t>9</w:t>
            </w:r>
            <w:r>
              <w:rPr>
                <w:rFonts w:hint="eastAsia" w:ascii="宋体" w:hAnsi="宋体" w:cs="宋体"/>
                <w:b/>
                <w:bCs/>
                <w:color w:val="auto"/>
                <w:spacing w:val="-4"/>
                <w:kern w:val="0"/>
                <w:szCs w:val="21"/>
                <w:highlight w:val="none"/>
              </w:rPr>
              <w:t>时</w:t>
            </w:r>
            <w:r>
              <w:rPr>
                <w:rFonts w:hint="eastAsia" w:ascii="宋体" w:hAnsi="宋体" w:cs="宋体"/>
                <w:b/>
                <w:bCs/>
                <w:color w:val="auto"/>
                <w:spacing w:val="-4"/>
                <w:kern w:val="0"/>
                <w:szCs w:val="21"/>
                <w:highlight w:val="none"/>
                <w:lang w:val="en-US" w:eastAsia="zh-CN"/>
              </w:rPr>
              <w:t>30</w:t>
            </w:r>
            <w:r>
              <w:rPr>
                <w:rFonts w:hint="eastAsia" w:ascii="宋体" w:hAnsi="宋体" w:cs="宋体"/>
                <w:b/>
                <w:bCs/>
                <w:color w:val="auto"/>
                <w:spacing w:val="-4"/>
                <w:kern w:val="0"/>
                <w:szCs w:val="21"/>
                <w:highlight w:val="none"/>
              </w:rPr>
              <w:t>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先资格审查</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再</w:t>
            </w:r>
            <w:r>
              <w:rPr>
                <w:rFonts w:hint="eastAsia" w:ascii="宋体" w:hAnsi="宋体" w:eastAsia="宋体" w:cs="宋体"/>
                <w:color w:val="auto"/>
                <w:sz w:val="21"/>
                <w:szCs w:val="21"/>
                <w:highlight w:val="none"/>
                <w:lang w:val="en-US" w:eastAsia="zh-CN"/>
              </w:rPr>
              <w:t>进行</w:t>
            </w:r>
            <w:r>
              <w:rPr>
                <w:rFonts w:hint="eastAsia" w:ascii="宋体" w:hAnsi="宋体" w:cs="宋体"/>
                <w:color w:val="auto"/>
                <w:sz w:val="21"/>
                <w:szCs w:val="21"/>
                <w:highlight w:val="none"/>
                <w:lang w:val="en-US" w:eastAsia="zh-CN"/>
              </w:rPr>
              <w:t>综合</w:t>
            </w:r>
            <w:r>
              <w:rPr>
                <w:rFonts w:hint="eastAsia" w:ascii="宋体" w:hAnsi="宋体" w:eastAsia="宋体" w:cs="宋体"/>
                <w:color w:val="auto"/>
                <w:sz w:val="21"/>
                <w:szCs w:val="21"/>
                <w:highlight w:val="none"/>
                <w:lang w:val="en-US" w:eastAsia="zh-CN"/>
              </w:rPr>
              <w:t>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616707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292441FC">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bookmarkStart w:id="19" w:name="_Toc449028866"/>
            <w:bookmarkStart w:id="20" w:name="_Toc58430315"/>
            <w:r>
              <w:rPr>
                <w:rFonts w:hint="eastAsia" w:ascii="宋体" w:hAnsi="宋体" w:cs="宋体"/>
                <w:color w:val="auto"/>
                <w:sz w:val="21"/>
                <w:szCs w:val="21"/>
                <w:highlight w:val="none"/>
                <w:lang w:val="en-US" w:eastAsia="zh-CN"/>
              </w:rPr>
              <w:t>其他要求</w:t>
            </w:r>
          </w:p>
        </w:tc>
        <w:tc>
          <w:tcPr>
            <w:tcW w:w="7829" w:type="dxa"/>
            <w:gridSpan w:val="2"/>
            <w:noWrap w:val="0"/>
            <w:vAlign w:val="center"/>
          </w:tcPr>
          <w:p w14:paraId="439E29DC">
            <w:pPr>
              <w:keepNext w:val="0"/>
              <w:keepLines w:val="0"/>
              <w:pageBreakBefore w:val="0"/>
              <w:widowControl/>
              <w:kinsoku/>
              <w:wordWrap w:val="0"/>
              <w:overflowPunct/>
              <w:autoSpaceDE/>
              <w:autoSpaceDN/>
              <w:bidi w:val="0"/>
              <w:spacing w:line="50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none" w:color="000000"/>
                <w:lang w:val="en-US" w:eastAsia="zh-CN"/>
              </w:rPr>
              <w:t>1.</w:t>
            </w:r>
            <w:r>
              <w:rPr>
                <w:rFonts w:hint="eastAsia" w:ascii="宋体" w:hAnsi="宋体" w:eastAsia="宋体" w:cs="宋体"/>
                <w:color w:val="auto"/>
                <w:kern w:val="0"/>
                <w:sz w:val="21"/>
                <w:szCs w:val="21"/>
                <w:highlight w:val="none"/>
                <w:u w:val="none" w:color="000000"/>
              </w:rPr>
              <w:t>本项目工程造价咨询成果文件质量标准：中国建设工程造价管理协会《建设工程造价咨询成果文件质量标准》的合格标准。</w:t>
            </w:r>
          </w:p>
          <w:p w14:paraId="706A0A47">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投标人需了解当地造价管理部门的相关规定和造价政策，项目负责人能熟练掌握使用安徽省常用的计量计价软件，如：新点造价软件安徽版、广联达算量软件。</w:t>
            </w:r>
          </w:p>
          <w:p w14:paraId="29AA20E9">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项目组成员（不含项目负责人）不少于</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人（至少有1名为安装专业），需具有二级注册造价工程师及以上证书。</w:t>
            </w:r>
          </w:p>
          <w:p w14:paraId="5E2C801A">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中标价格（费率）包干使用，中标人不得因“设计变更、施工标段划分调整、市场变化、规范和标准调整等一切可预见和不可预见因素”向采购人提出调整。中标价格（费率）在合同实施期间不因市场和政策变化因素而变动。</w:t>
            </w:r>
          </w:p>
          <w:p w14:paraId="3A8EC8ED">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项目负责人等相关人员均须配合相关工作，否则处以2000元/人/次违约金，直接从应支付的咨询费用中扣除。</w:t>
            </w:r>
          </w:p>
          <w:p w14:paraId="63D6BEA2">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项目的工程量清单及最高投标限价编制单位不可参加本项目投标。</w:t>
            </w:r>
          </w:p>
          <w:p w14:paraId="76C549F6">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项目的监理单位和设计单位不可参加本项目投标。</w:t>
            </w:r>
          </w:p>
          <w:p w14:paraId="5C572325">
            <w:pPr>
              <w:keepNext w:val="0"/>
              <w:keepLines w:val="0"/>
              <w:pageBreakBefore w:val="0"/>
              <w:kinsoku/>
              <w:overflowPunct/>
              <w:autoSpaceDE/>
              <w:autoSpaceDN/>
              <w:bidi w:val="0"/>
              <w:snapToGrid w:val="0"/>
              <w:spacing w:line="50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项目总承包单位的下属造价咨询企业不可参加本项目投标。</w:t>
            </w:r>
          </w:p>
        </w:tc>
      </w:tr>
      <w:tr w14:paraId="6B5253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10200" w:type="dxa"/>
            <w:gridSpan w:val="4"/>
            <w:noWrap w:val="0"/>
            <w:vAlign w:val="center"/>
          </w:tcPr>
          <w:p w14:paraId="64351C0B">
            <w:pPr>
              <w:keepNext w:val="0"/>
              <w:keepLines w:val="0"/>
              <w:pageBreakBefore w:val="0"/>
              <w:kinsoku/>
              <w:overflowPunct/>
              <w:autoSpaceDE/>
              <w:autoSpaceDN/>
              <w:bidi w:val="0"/>
              <w:snapToGrid w:val="0"/>
              <w:spacing w:line="50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投标文件制作工具下载：https://download.bqpoint.com/download/downloaddetail.html?SourceFrom=Ztb&amp;ZtbSoftXiaQuCode=0128&amp;ZtbSoftType=tballinclusive</w:t>
            </w:r>
          </w:p>
        </w:tc>
      </w:tr>
    </w:tbl>
    <w:p w14:paraId="367AAA42">
      <w:pPr>
        <w:keepNext w:val="0"/>
        <w:keepLines w:val="0"/>
        <w:pageBreakBefore/>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19"/>
      <w:bookmarkEnd w:id="20"/>
    </w:p>
    <w:p w14:paraId="71C5E524">
      <w:pPr>
        <w:keepNext w:val="0"/>
        <w:keepLines w:val="0"/>
        <w:kinsoku/>
        <w:wordWrap/>
        <w:overflowPunct/>
        <w:topLinePunct w:val="0"/>
        <w:autoSpaceDE/>
        <w:autoSpaceDN/>
        <w:bidi w:val="0"/>
        <w:spacing w:line="440" w:lineRule="exact"/>
        <w:ind w:left="0" w:leftChars="0" w:right="193" w:rightChars="92" w:firstLine="562" w:firstLineChars="200"/>
        <w:jc w:val="center"/>
        <w:textAlignment w:val="auto"/>
        <w:rPr>
          <w:rFonts w:hint="eastAsia" w:ascii="宋体" w:hAnsi="宋体" w:cs="宋体"/>
          <w:color w:val="auto"/>
          <w:sz w:val="28"/>
          <w:szCs w:val="28"/>
          <w:highlight w:val="none"/>
        </w:rPr>
      </w:pPr>
      <w:bookmarkStart w:id="21"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1"/>
    </w:p>
    <w:p w14:paraId="6751CB15">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1.项目概况</w:t>
      </w:r>
    </w:p>
    <w:p w14:paraId="2794C4BA">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1.1本次招标采购项目名称：见投标人须知前附表。</w:t>
      </w:r>
    </w:p>
    <w:p w14:paraId="5F0FC197">
      <w:pPr>
        <w:keepNext w:val="0"/>
        <w:keepLines w:val="0"/>
        <w:pageBreakBefore w:val="0"/>
        <w:kinsoku/>
        <w:wordWrap/>
        <w:overflowPunct/>
        <w:topLinePunct w:val="0"/>
        <w:autoSpaceDE/>
        <w:autoSpaceDN/>
        <w:bidi w:val="0"/>
        <w:adjustRightInd/>
        <w:snapToGrid w:val="0"/>
        <w:spacing w:line="500" w:lineRule="exact"/>
        <w:ind w:left="0" w:leftChars="0" w:right="193" w:rightChars="92" w:firstLine="840" w:firstLineChars="4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项目编号：见投标人须知前附表。</w:t>
      </w:r>
    </w:p>
    <w:p w14:paraId="6C4DA563">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招 标 人：见投标人须知前附表。</w:t>
      </w:r>
    </w:p>
    <w:p w14:paraId="342C6A91">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期：见投标人须知前附表。</w:t>
      </w:r>
    </w:p>
    <w:p w14:paraId="357F27A4">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rPr>
        <w:t>地点：见投标人须知前附表。</w:t>
      </w:r>
    </w:p>
    <w:p w14:paraId="4992A507">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1.2</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及联系人: 见投标人须知前附表。</w:t>
      </w:r>
    </w:p>
    <w:p w14:paraId="0C184FFA">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代理机构及联系人: 见投标人须知前附表。</w:t>
      </w:r>
    </w:p>
    <w:p w14:paraId="188B78C4">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1.3资金来源：见投标人须知前附表。</w:t>
      </w:r>
    </w:p>
    <w:p w14:paraId="313A93F2">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1.4本项目预算：见投标人须知前附表。</w:t>
      </w:r>
    </w:p>
    <w:p w14:paraId="4DB87F77">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1.5本项目最高限价：见投标人须知前附表。</w:t>
      </w:r>
    </w:p>
    <w:p w14:paraId="072B7BF8">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2.招标范围：</w:t>
      </w:r>
    </w:p>
    <w:p w14:paraId="1983D489">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2.1 采购内容：见投标人须知前附表。</w:t>
      </w:r>
    </w:p>
    <w:p w14:paraId="260899ED">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3.标包划分：</w:t>
      </w:r>
    </w:p>
    <w:p w14:paraId="3470692D">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3.1本项目划分：见投标人须知前附表。</w:t>
      </w:r>
    </w:p>
    <w:p w14:paraId="6AB9D787">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4.招标方式：</w:t>
      </w:r>
    </w:p>
    <w:p w14:paraId="62FC6562">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4.1本项目招标方式：见投标人须知前附表。</w:t>
      </w:r>
    </w:p>
    <w:p w14:paraId="00F9DE79">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5.计价方式：</w:t>
      </w:r>
    </w:p>
    <w:p w14:paraId="2CE34127">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5.1本次招标项目合同采用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固定收费标准</w:t>
      </w:r>
      <w:r>
        <w:rPr>
          <w:rFonts w:hint="eastAsia" w:ascii="宋体" w:hAnsi="宋体" w:eastAsia="宋体" w:cs="宋体"/>
          <w:color w:val="auto"/>
          <w:szCs w:val="21"/>
          <w:highlight w:val="none"/>
          <w:u w:val="none"/>
        </w:rPr>
        <w:t>。</w:t>
      </w:r>
    </w:p>
    <w:p w14:paraId="76A9A77C">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6.评标办法：</w:t>
      </w:r>
    </w:p>
    <w:p w14:paraId="4128FE8D">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6.1本次招标评标采用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综合评分法</w:t>
      </w:r>
      <w:r>
        <w:rPr>
          <w:rFonts w:hint="eastAsia" w:ascii="宋体" w:hAnsi="宋体" w:eastAsia="宋体" w:cs="宋体"/>
          <w:color w:val="auto"/>
          <w:szCs w:val="21"/>
          <w:highlight w:val="none"/>
        </w:rPr>
        <w:t>（详见第三章评标办法）</w:t>
      </w:r>
    </w:p>
    <w:p w14:paraId="2165EE83">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7.投标人资格：</w:t>
      </w:r>
    </w:p>
    <w:p w14:paraId="7691ED36">
      <w:pPr>
        <w:keepNext w:val="0"/>
        <w:keepLines w:val="0"/>
        <w:pageBreakBefore w:val="0"/>
        <w:widowControl/>
        <w:kinsoku/>
        <w:wordWrap/>
        <w:overflowPunct/>
        <w:topLinePunct w:val="0"/>
        <w:autoSpaceDE/>
        <w:autoSpaceDN/>
        <w:bidi w:val="0"/>
        <w:adjustRightInd/>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7.1本项目投标人资格：见投标人须知前附表。</w:t>
      </w:r>
    </w:p>
    <w:p w14:paraId="6E10BC6E">
      <w:pPr>
        <w:keepNext w:val="0"/>
        <w:keepLines w:val="0"/>
        <w:pageBreakBefore w:val="0"/>
        <w:kinsoku/>
        <w:wordWrap/>
        <w:overflowPunct/>
        <w:topLinePunct w:val="0"/>
        <w:autoSpaceDE/>
        <w:autoSpaceDN/>
        <w:bidi w:val="0"/>
        <w:adjustRightInd/>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8. 投标费用</w:t>
      </w:r>
    </w:p>
    <w:p w14:paraId="2948CC28">
      <w:pPr>
        <w:keepNext w:val="0"/>
        <w:keepLines w:val="0"/>
        <w:pageBreakBefore w:val="0"/>
        <w:kinsoku/>
        <w:wordWrap/>
        <w:overflowPunct/>
        <w:topLinePunct w:val="0"/>
        <w:autoSpaceDE/>
        <w:autoSpaceDN/>
        <w:bidi w:val="0"/>
        <w:adjustRightInd/>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8.1投标人准备和参加投标活动发生的费用自理。</w:t>
      </w:r>
    </w:p>
    <w:p w14:paraId="2BCAF23E">
      <w:pPr>
        <w:keepNext w:val="0"/>
        <w:keepLines w:val="0"/>
        <w:pageBreakBefore w:val="0"/>
        <w:kinsoku/>
        <w:wordWrap/>
        <w:overflowPunct/>
        <w:topLinePunct w:val="0"/>
        <w:autoSpaceDE/>
        <w:autoSpaceDN/>
        <w:bidi w:val="0"/>
        <w:adjustRightInd/>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9.</w:t>
      </w:r>
      <w:bookmarkStart w:id="22" w:name="_Toc247592876"/>
      <w:bookmarkStart w:id="23" w:name="_Toc152045539"/>
      <w:bookmarkStart w:id="24" w:name="_Toc144974507"/>
      <w:bookmarkStart w:id="25" w:name="_Toc296602429"/>
      <w:bookmarkStart w:id="26" w:name="_Toc247513962"/>
      <w:bookmarkStart w:id="27" w:name="_Toc247527563"/>
      <w:bookmarkStart w:id="28" w:name="_Toc152042315"/>
      <w:r>
        <w:rPr>
          <w:rFonts w:hint="eastAsia" w:ascii="宋体" w:hAnsi="宋体" w:eastAsia="宋体" w:cs="宋体"/>
          <w:b/>
          <w:color w:val="auto"/>
          <w:szCs w:val="21"/>
          <w:highlight w:val="none"/>
        </w:rPr>
        <w:t xml:space="preserve"> 踏勘现场</w:t>
      </w:r>
      <w:bookmarkEnd w:id="22"/>
      <w:bookmarkEnd w:id="23"/>
      <w:bookmarkEnd w:id="24"/>
      <w:bookmarkEnd w:id="25"/>
      <w:bookmarkEnd w:id="26"/>
      <w:bookmarkEnd w:id="27"/>
      <w:bookmarkEnd w:id="28"/>
    </w:p>
    <w:p w14:paraId="75C9E8AA">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9.1 投标人须知前附表规定组织踏勘现场的，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 xml:space="preserve">按投标人须知前附表规定的时间、地点组织投标人踏勘项目现场。 </w:t>
      </w:r>
    </w:p>
    <w:p w14:paraId="285F9261">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投标人踏勘现场发生的费用自理。</w:t>
      </w:r>
    </w:p>
    <w:p w14:paraId="23FA28D6">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 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的原因外，投标人自行负责在踏勘现场中所发生的人员伤亡和财产损失。</w:t>
      </w:r>
    </w:p>
    <w:p w14:paraId="36C87362">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9.4 </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在踏勘现场中介绍的场地和相关的周边环境情况，供投标人在编制投标文件时参考，</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不对投标人据此作出的判断和决策负责。</w:t>
      </w:r>
      <w:bookmarkStart w:id="29" w:name="_Toc152042316"/>
      <w:bookmarkStart w:id="30" w:name="_Toc247527564"/>
      <w:bookmarkStart w:id="31" w:name="_Toc152045540"/>
      <w:bookmarkStart w:id="32" w:name="_Toc144974508"/>
      <w:bookmarkStart w:id="33" w:name="_Toc247592877"/>
      <w:bookmarkStart w:id="34" w:name="_Toc296602430"/>
      <w:bookmarkStart w:id="35" w:name="_Toc247513963"/>
    </w:p>
    <w:p w14:paraId="72301C1F">
      <w:pPr>
        <w:keepNext w:val="0"/>
        <w:keepLines w:val="0"/>
        <w:pageBreakBefore w:val="0"/>
        <w:kinsoku/>
        <w:wordWrap/>
        <w:overflowPunct/>
        <w:topLinePunct w:val="0"/>
        <w:autoSpaceDE/>
        <w:autoSpaceDN/>
        <w:bidi w:val="0"/>
        <w:adjustRightInd/>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 投标预备会</w:t>
      </w:r>
      <w:bookmarkEnd w:id="29"/>
      <w:bookmarkEnd w:id="30"/>
      <w:bookmarkEnd w:id="31"/>
      <w:bookmarkEnd w:id="32"/>
      <w:bookmarkEnd w:id="33"/>
      <w:bookmarkEnd w:id="34"/>
      <w:bookmarkEnd w:id="35"/>
      <w:r>
        <w:rPr>
          <w:rFonts w:hint="eastAsia" w:ascii="宋体" w:hAnsi="宋体" w:eastAsia="宋体" w:cs="宋体"/>
          <w:b/>
          <w:color w:val="auto"/>
          <w:szCs w:val="21"/>
          <w:highlight w:val="none"/>
        </w:rPr>
        <w:t>（本项目不采用）</w:t>
      </w:r>
    </w:p>
    <w:p w14:paraId="151E551C">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10.1投标人须知前附表规定召开投标预备会的，</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按投标人须知前附表规定的时间和地点召开投标预备会，澄清投标人提出的问题。</w:t>
      </w:r>
    </w:p>
    <w:p w14:paraId="1711C381">
      <w:pPr>
        <w:keepNext w:val="0"/>
        <w:keepLines w:val="0"/>
        <w:pageBreakBefore w:val="0"/>
        <w:numPr>
          <w:ilvl w:val="0"/>
          <w:numId w:val="8"/>
        </w:numPr>
        <w:kinsoku/>
        <w:wordWrap/>
        <w:overflowPunct/>
        <w:topLinePunct w:val="0"/>
        <w:autoSpaceDE/>
        <w:autoSpaceDN/>
        <w:bidi w:val="0"/>
        <w:adjustRightInd/>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联合投标、合同分包（本项目不采用）</w:t>
      </w:r>
    </w:p>
    <w:p w14:paraId="5E4C1394">
      <w:pPr>
        <w:keepNext w:val="0"/>
        <w:keepLines w:val="0"/>
        <w:pageBreakBefore w:val="0"/>
        <w:numPr>
          <w:ilvl w:val="0"/>
          <w:numId w:val="0"/>
        </w:numPr>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eastAsia="宋体" w:cs="宋体"/>
          <w:color w:val="auto"/>
          <w:highlight w:val="none"/>
        </w:rPr>
        <w:t>中华人民共和国政府采购法</w:t>
      </w:r>
      <w:r>
        <w:rPr>
          <w:rFonts w:hint="eastAsia" w:ascii="宋体" w:hAnsi="宋体" w:eastAsia="宋体" w:cs="宋体"/>
          <w:color w:val="auto"/>
          <w:szCs w:val="21"/>
          <w:highlight w:val="none"/>
        </w:rPr>
        <w:t>》第二十二条规定的条件。</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根据采购项目的特殊要求规定投标人特定条件的，联合体各方中至少应当有一方符合</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规定的特定条件。</w:t>
      </w:r>
    </w:p>
    <w:p w14:paraId="4E3E8685">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。联合体各方签订共同投标协议后，不得再以自己名义单独在同一项目中投标，也不得组成新的联合体参加同一项目投标。</w:t>
      </w:r>
    </w:p>
    <w:p w14:paraId="4632889C">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联合体应当确定其中一个单位为投标的全权代表，负责参加投标的一切事务，并承担投标及履约中应承担的全部责任与义务。</w:t>
      </w:r>
    </w:p>
    <w:p w14:paraId="2B079823">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11.4 联合体各方应当共同与</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签订采购合同，就采购合同约定的事项对</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承担连带责任。</w:t>
      </w:r>
    </w:p>
    <w:p w14:paraId="0552FA51">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11.5 联合体中有同类资质的供应商按照联合体分工承担相同工作的，应当按照资质等级较低的供应商确定资质等级。</w:t>
      </w:r>
    </w:p>
    <w:p w14:paraId="58FD39DE">
      <w:pPr>
        <w:pStyle w:val="33"/>
        <w:keepNext w:val="0"/>
        <w:keepLines w:val="0"/>
        <w:pageBreakBefore w:val="0"/>
        <w:kinsoku/>
        <w:wordWrap/>
        <w:overflowPunct/>
        <w:topLinePunct w:val="0"/>
        <w:autoSpaceDE/>
        <w:autoSpaceDN/>
        <w:bidi w:val="0"/>
        <w:adjustRightInd/>
        <w:spacing w:after="0" w:line="500" w:lineRule="exact"/>
        <w:ind w:left="0" w:leftChars="0" w:right="193" w:rightChars="92"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11.6 非专门面向中小企业采购项目是否允许大中型企业向一家或者多家小微企业分包见投标人须知前附表。</w:t>
      </w:r>
    </w:p>
    <w:p w14:paraId="73F505EE">
      <w:pPr>
        <w:keepNext w:val="0"/>
        <w:keepLines w:val="0"/>
        <w:pageBreakBefore w:val="0"/>
        <w:kinsoku/>
        <w:wordWrap/>
        <w:overflowPunct/>
        <w:topLinePunct w:val="0"/>
        <w:autoSpaceDE/>
        <w:autoSpaceDN/>
        <w:bidi w:val="0"/>
        <w:adjustRightInd/>
        <w:spacing w:line="500" w:lineRule="exact"/>
        <w:ind w:left="0" w:leftChars="0" w:right="193" w:rightChars="92" w:firstLine="422" w:firstLineChars="200"/>
        <w:jc w:val="left"/>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12.招标代理费和</w:t>
      </w:r>
      <w:r>
        <w:rPr>
          <w:rFonts w:hint="eastAsia" w:ascii="宋体" w:hAnsi="宋体" w:eastAsia="宋体" w:cs="宋体"/>
          <w:b/>
          <w:color w:val="auto"/>
          <w:szCs w:val="21"/>
          <w:highlight w:val="none"/>
          <w:lang w:val="en-US" w:eastAsia="zh-CN"/>
        </w:rPr>
        <w:t>其他费用</w:t>
      </w:r>
    </w:p>
    <w:p w14:paraId="729DF704">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12.1</w:t>
      </w:r>
      <w:r>
        <w:rPr>
          <w:rFonts w:hint="eastAsia" w:ascii="宋体" w:hAnsi="宋体" w:eastAsia="宋体" w:cs="宋体"/>
          <w:color w:val="auto"/>
          <w:szCs w:val="21"/>
          <w:highlight w:val="none"/>
        </w:rPr>
        <w:t>见投标人须知前附表。</w:t>
      </w:r>
    </w:p>
    <w:p w14:paraId="1210020F">
      <w:pPr>
        <w:keepNext w:val="0"/>
        <w:keepLines w:val="0"/>
        <w:pageBreakBefore w:val="0"/>
        <w:kinsoku/>
        <w:wordWrap/>
        <w:overflowPunct/>
        <w:topLinePunct w:val="0"/>
        <w:autoSpaceDE/>
        <w:autoSpaceDN/>
        <w:bidi w:val="0"/>
        <w:adjustRightInd/>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13.投标人应注意的事项</w:t>
      </w:r>
    </w:p>
    <w:p w14:paraId="2ECE2C13">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13.2投标人对采购内容中规定的</w:t>
      </w:r>
      <w:r>
        <w:rPr>
          <w:rFonts w:hint="eastAsia" w:ascii="宋体" w:hAnsi="宋体" w:eastAsia="宋体" w:cs="宋体"/>
          <w:color w:val="auto"/>
          <w:szCs w:val="21"/>
          <w:highlight w:val="none"/>
          <w:lang w:val="en-US" w:eastAsia="zh-CN"/>
        </w:rPr>
        <w:t>服务需求</w:t>
      </w:r>
      <w:r>
        <w:rPr>
          <w:rFonts w:hint="eastAsia" w:ascii="宋体" w:hAnsi="宋体" w:eastAsia="宋体" w:cs="宋体"/>
          <w:color w:val="auto"/>
          <w:szCs w:val="21"/>
          <w:highlight w:val="none"/>
        </w:rPr>
        <w:t>和要求等必须</w:t>
      </w:r>
      <w:r>
        <w:rPr>
          <w:rFonts w:hint="eastAsia" w:ascii="宋体" w:hAnsi="宋体" w:eastAsia="宋体" w:cs="宋体"/>
          <w:color w:val="auto"/>
          <w:szCs w:val="21"/>
          <w:highlight w:val="none"/>
          <w:lang w:val="en-US" w:eastAsia="zh-CN"/>
        </w:rPr>
        <w:t>响应或优于</w:t>
      </w:r>
      <w:r>
        <w:rPr>
          <w:rFonts w:hint="eastAsia" w:ascii="宋体" w:hAnsi="宋体" w:eastAsia="宋体" w:cs="宋体"/>
          <w:color w:val="auto"/>
          <w:szCs w:val="21"/>
          <w:highlight w:val="none"/>
        </w:rPr>
        <w:t>招标文件的相关要求。</w:t>
      </w:r>
    </w:p>
    <w:p w14:paraId="50220D86">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3</w:t>
      </w:r>
      <w:r>
        <w:rPr>
          <w:rFonts w:hint="eastAsia" w:ascii="宋体" w:hAnsi="宋体" w:eastAsia="宋体" w:cs="宋体"/>
          <w:bCs/>
          <w:color w:val="auto"/>
          <w:szCs w:val="21"/>
          <w:highlight w:val="none"/>
        </w:rPr>
        <w:t>单位负责人为同一人或者存在直接控股、管理关系的不同投标人，不得参加同一合同项下的政府采购活动。</w:t>
      </w:r>
      <w:r>
        <w:rPr>
          <w:rFonts w:hint="eastAsia" w:ascii="宋体" w:hAnsi="宋体" w:eastAsia="宋体" w:cs="宋体"/>
          <w:color w:val="auto"/>
          <w:szCs w:val="21"/>
          <w:highlight w:val="none"/>
        </w:rPr>
        <w:t>为采购项目提供整体设计、规范编制或者项目管理、监理、检测等服务的投标人，不得再参加该采购项目的其他采购活动。</w:t>
      </w:r>
    </w:p>
    <w:p w14:paraId="7BBE4780">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投标人被视为充分熟悉本招标项目所在地的与履行合同有关的各种情况，包括但不限于：</w:t>
      </w:r>
    </w:p>
    <w:p w14:paraId="3DCA8395">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（1）国家对本次投标货物和服务的生产、安装调试、验收、维修等有关法律、法规及行业管理标准；</w:t>
      </w:r>
    </w:p>
    <w:p w14:paraId="35AE652D">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（2）安徽省及滁州市等有关管理部门的相关规定；</w:t>
      </w:r>
    </w:p>
    <w:p w14:paraId="544402F9">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的相关场地情况、基础建设、电力供应情况及相关设计标准。</w:t>
      </w:r>
    </w:p>
    <w:p w14:paraId="4F80E724">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本招标文件不再对上述情况进行描述。</w:t>
      </w:r>
    </w:p>
    <w:p w14:paraId="709FD345">
      <w:pPr>
        <w:keepNext w:val="0"/>
        <w:keepLines w:val="0"/>
        <w:pageBreakBefore w:val="0"/>
        <w:kinsoku/>
        <w:wordWrap/>
        <w:overflowPunct/>
        <w:topLinePunct w:val="0"/>
        <w:autoSpaceDE/>
        <w:autoSpaceDN/>
        <w:bidi w:val="0"/>
        <w:adjustRightInd/>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中标候选人无正当理由放弃中标候选人资格的，其将被记不良信息记录。</w:t>
      </w:r>
    </w:p>
    <w:p w14:paraId="701428F5">
      <w:pPr>
        <w:keepNext w:val="0"/>
        <w:keepLines w:val="0"/>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rPr>
          <w:rFonts w:hint="eastAsia" w:ascii="宋体" w:hAnsi="宋体" w:cs="宋体"/>
          <w:b/>
          <w:color w:val="auto"/>
          <w:sz w:val="28"/>
          <w:szCs w:val="28"/>
          <w:highlight w:val="none"/>
        </w:rPr>
      </w:pPr>
      <w:bookmarkStart w:id="36" w:name="_Toc449028868"/>
      <w:r>
        <w:rPr>
          <w:rFonts w:hint="eastAsia" w:ascii="宋体" w:hAnsi="宋体" w:cs="宋体"/>
          <w:b/>
          <w:color w:val="auto"/>
          <w:sz w:val="28"/>
          <w:szCs w:val="28"/>
          <w:highlight w:val="none"/>
        </w:rPr>
        <w:t>（二）</w:t>
      </w:r>
      <w:bookmarkEnd w:id="36"/>
      <w:r>
        <w:rPr>
          <w:rFonts w:hint="eastAsia" w:ascii="宋体" w:hAnsi="宋体" w:cs="宋体"/>
          <w:b/>
          <w:color w:val="auto"/>
          <w:sz w:val="28"/>
          <w:szCs w:val="28"/>
          <w:highlight w:val="none"/>
        </w:rPr>
        <w:t>招标文件</w:t>
      </w:r>
    </w:p>
    <w:p w14:paraId="22B409E7">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4D9A7EFC">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第四章  采购内容及要求</w:t>
      </w:r>
    </w:p>
    <w:p w14:paraId="6C7325F0">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合同条款及格式</w:t>
      </w:r>
    </w:p>
    <w:p w14:paraId="29C022FF">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  投标文件格式</w:t>
      </w:r>
    </w:p>
    <w:p w14:paraId="0E9C4806">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将以更正公告形式在中新苏滁高新技术产业开发区（https://scp.chuzhou.gov.cn/index.html）、滁州市城投工程咨询管理有限公司网站（https://www.czctgczx.com/）予以公布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在规定的投标截止时间前可对招标文件进行必要的修改和补充，并以更正公告形式</w:t>
      </w:r>
      <w:r>
        <w:rPr>
          <w:rFonts w:hint="eastAsia" w:ascii="宋体" w:hAnsi="宋体" w:cs="宋体"/>
          <w:color w:val="auto"/>
          <w:szCs w:val="21"/>
          <w:highlight w:val="none"/>
          <w:lang w:val="en-US" w:eastAsia="zh-CN"/>
        </w:rPr>
        <w:t>在中新苏滁高新技术产业开发区（https://scp.chuzhou.gov.cn/index.html）、滁州市城投工程咨询管理有限公司网站（https://www.czctgczx.com/）予以公布。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keepNext w:val="0"/>
        <w:keepLines w:val="0"/>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rPr>
          <w:rFonts w:hint="eastAsia" w:ascii="宋体" w:hAnsi="宋体" w:cs="宋体"/>
          <w:b/>
          <w:color w:val="auto"/>
          <w:sz w:val="28"/>
          <w:szCs w:val="28"/>
          <w:highlight w:val="none"/>
        </w:rPr>
      </w:pPr>
      <w:bookmarkStart w:id="37" w:name="_Toc449028869"/>
      <w:r>
        <w:rPr>
          <w:rFonts w:hint="eastAsia" w:ascii="宋体" w:hAnsi="宋体" w:cs="宋体"/>
          <w:b/>
          <w:color w:val="auto"/>
          <w:sz w:val="28"/>
          <w:szCs w:val="28"/>
          <w:highlight w:val="none"/>
        </w:rPr>
        <w:t>（三）投标文件的编制</w:t>
      </w:r>
      <w:bookmarkEnd w:id="37"/>
    </w:p>
    <w:p w14:paraId="65D2CF94">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113D7102">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投标报价应当满足招标文件的要求。</w:t>
      </w:r>
    </w:p>
    <w:p w14:paraId="309C98BE">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21.2</w:t>
      </w:r>
      <w:r>
        <w:rPr>
          <w:rFonts w:hint="eastAsia" w:ascii="宋体" w:hAnsi="宋体" w:eastAsia="宋体" w:cs="宋体"/>
          <w:color w:val="auto"/>
          <w:szCs w:val="21"/>
          <w:highlight w:val="none"/>
        </w:rPr>
        <w:t>本项目采用固定</w:t>
      </w:r>
      <w:r>
        <w:rPr>
          <w:rFonts w:hint="eastAsia" w:ascii="宋体" w:hAnsi="宋体" w:eastAsia="宋体" w:cs="宋体"/>
          <w:color w:val="auto"/>
          <w:szCs w:val="21"/>
          <w:highlight w:val="none"/>
          <w:lang w:val="en-US" w:eastAsia="zh-CN"/>
        </w:rPr>
        <w:t>收费标准</w:t>
      </w:r>
      <w:r>
        <w:rPr>
          <w:rFonts w:hint="eastAsia" w:ascii="宋体" w:hAnsi="宋体" w:eastAsia="宋体" w:cs="宋体"/>
          <w:color w:val="auto"/>
          <w:szCs w:val="21"/>
          <w:highlight w:val="none"/>
        </w:rPr>
        <w:t>。项目审计服务费用标准执行《中新苏滁高新技术产业开发区建设项目审计服务费用标准》（苏滁财发〔2023〕13号）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服务费用</w:t>
      </w:r>
      <w:r>
        <w:rPr>
          <w:rFonts w:hint="eastAsia" w:ascii="宋体" w:hAnsi="宋体" w:eastAsia="宋体" w:cs="宋体"/>
          <w:color w:val="auto"/>
          <w:szCs w:val="21"/>
          <w:highlight w:val="none"/>
        </w:rPr>
        <w:t>应包括完成招标文件所确定的委托服务范围以及其他服务所需的全部费用。</w:t>
      </w:r>
    </w:p>
    <w:p w14:paraId="71B1907D">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keepNext w:val="0"/>
        <w:keepLines w:val="0"/>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rPr>
          <w:rFonts w:hint="eastAsia" w:ascii="宋体" w:hAnsi="宋体" w:eastAsia="宋体" w:cs="宋体"/>
          <w:b/>
          <w:color w:val="auto"/>
          <w:sz w:val="28"/>
          <w:szCs w:val="28"/>
          <w:highlight w:val="none"/>
        </w:rPr>
      </w:pPr>
      <w:bookmarkStart w:id="38" w:name="_Toc449028870"/>
      <w:r>
        <w:rPr>
          <w:rFonts w:hint="eastAsia" w:ascii="宋体" w:hAnsi="宋体" w:eastAsia="宋体" w:cs="宋体"/>
          <w:b/>
          <w:color w:val="auto"/>
          <w:sz w:val="28"/>
          <w:szCs w:val="28"/>
          <w:highlight w:val="none"/>
        </w:rPr>
        <w:t>（四）投标文件的递交</w:t>
      </w:r>
      <w:bookmarkEnd w:id="38"/>
    </w:p>
    <w:p w14:paraId="651B01A6">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24.投标文件的份数和签署</w:t>
      </w:r>
    </w:p>
    <w:p w14:paraId="1CCF219C">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textAlignment w:val="auto"/>
        <w:rPr>
          <w:rFonts w:hint="eastAsia" w:ascii="宋体" w:hAnsi="宋体" w:cs="宋体"/>
          <w:color w:val="auto"/>
          <w:szCs w:val="21"/>
          <w:highlight w:val="none"/>
        </w:rPr>
      </w:pPr>
      <w:bookmarkStart w:id="39"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keepNext w:val="0"/>
        <w:keepLines w:val="0"/>
        <w:pageBreakBefore w:val="0"/>
        <w:widowControl w:val="0"/>
        <w:kinsoku/>
        <w:wordWrap/>
        <w:overflowPunct/>
        <w:topLinePunct w:val="0"/>
        <w:autoSpaceDE/>
        <w:autoSpaceDN/>
        <w:bidi w:val="0"/>
        <w:adjustRightInd/>
        <w:snapToGrid/>
        <w:spacing w:line="500" w:lineRule="exact"/>
        <w:ind w:left="0" w:leftChars="0" w:right="193" w:rightChars="92" w:firstLine="420" w:firstLineChars="200"/>
        <w:jc w:val="left"/>
        <w:textAlignment w:val="auto"/>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keepNext w:val="0"/>
        <w:keepLines w:val="0"/>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39"/>
    </w:p>
    <w:p w14:paraId="1D9DFDEC">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27.开标</w:t>
      </w:r>
    </w:p>
    <w:p w14:paraId="3B1ADD34">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 开标的时间和地点</w:t>
      </w:r>
    </w:p>
    <w:p w14:paraId="463FECB4">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27.1.1</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按招标公告中的开标时间和地点公开开标，并邀请所有投标人参加。</w:t>
      </w:r>
    </w:p>
    <w:p w14:paraId="0062CDD2">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27.</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开标程序</w:t>
      </w:r>
    </w:p>
    <w:p w14:paraId="1B09DAD5">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开标会议由代理机构主持。</w:t>
      </w:r>
    </w:p>
    <w:p w14:paraId="7856B94A">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（1）宣布开标纪律；</w:t>
      </w:r>
    </w:p>
    <w:p w14:paraId="26C3C7B9">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（2）宣布招标人、代理机构主持人、见证人等有关人员姓名；</w:t>
      </w:r>
    </w:p>
    <w:p w14:paraId="2A0037D5">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（3）公布投标截止时间前，系统递交加密投标文件的投标人名称情况等； </w:t>
      </w:r>
    </w:p>
    <w:p w14:paraId="3BE49EBE">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（4）投标人在投标截止时间后，规定时间内完成投标文件解密工作；</w:t>
      </w:r>
    </w:p>
    <w:p w14:paraId="75959A4E">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（5）公布投标人投标报价、质量目标、工期及其他内容，并记录在案；</w:t>
      </w:r>
    </w:p>
    <w:p w14:paraId="6A4D3C4C">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（6）开标结束。</w:t>
      </w:r>
    </w:p>
    <w:p w14:paraId="5146B014">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27.</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开标疑义</w:t>
      </w:r>
    </w:p>
    <w:p w14:paraId="44028A3B">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投标人代表对开标过程和开标记录有疑义，以及认为</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、采购代理机构相关工作人员有需要回避的情形的，应当场提出询问或者回避申请。</w:t>
      </w:r>
    </w:p>
    <w:p w14:paraId="7D67594E">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28.评标委员会</w:t>
      </w:r>
    </w:p>
    <w:p w14:paraId="13810358">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.2 评标委员会成员有下列情形之一的，应当回避：</w:t>
      </w:r>
    </w:p>
    <w:p w14:paraId="7606EF8B">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（1）投标人或投标人主要负责人的近亲属；</w:t>
      </w:r>
    </w:p>
    <w:p w14:paraId="3DB4ABE1">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（2）项目主管部门或者行政监督部门的人员；</w:t>
      </w:r>
    </w:p>
    <w:p w14:paraId="38B14848">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（3）与投标人有经济利益关系；</w:t>
      </w:r>
    </w:p>
    <w:p w14:paraId="2EF40F98">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（4）曾因在招标、评标以及其他与招标投标有关活动中从事违法行为而受过行政处罚或刑事处罚的；</w:t>
      </w:r>
    </w:p>
    <w:p w14:paraId="63CE528A">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（5）与投标人有其他利害关系。</w:t>
      </w:r>
    </w:p>
    <w:p w14:paraId="08EA1690">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eastAsia="宋体" w:cs="宋体"/>
          <w:b/>
          <w:color w:val="auto"/>
          <w:szCs w:val="21"/>
          <w:highlight w:val="none"/>
        </w:rPr>
      </w:pPr>
      <w:bookmarkStart w:id="40" w:name="_Toc449028873"/>
      <w:r>
        <w:rPr>
          <w:rFonts w:hint="eastAsia" w:ascii="宋体" w:hAnsi="宋体" w:eastAsia="宋体" w:cs="宋体"/>
          <w:b/>
          <w:color w:val="auto"/>
          <w:szCs w:val="21"/>
          <w:highlight w:val="none"/>
          <w:lang w:val="en-US" w:eastAsia="zh-CN"/>
        </w:rPr>
        <w:t>29</w:t>
      </w:r>
      <w:r>
        <w:rPr>
          <w:rFonts w:hint="eastAsia" w:ascii="宋体" w:hAnsi="宋体" w:eastAsia="宋体" w:cs="宋体"/>
          <w:b/>
          <w:color w:val="auto"/>
          <w:szCs w:val="21"/>
          <w:highlight w:val="none"/>
        </w:rPr>
        <w:t>.评标</w:t>
      </w:r>
    </w:p>
    <w:p w14:paraId="20712703">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0C07A47D">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.3评标原则：遵循公平、公正、科学和择优的原则。</w:t>
      </w:r>
    </w:p>
    <w:p w14:paraId="2336DC86">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.4投标文件的澄清</w:t>
      </w:r>
    </w:p>
    <w:p w14:paraId="6F0C2161">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.4.1在评标过程中，评标委员会认为需要，在</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的监督下，可要求投标人对投标文件中的有关问题进行澄清或提供补充说明及有关资料，投标人应做出书面答复。</w:t>
      </w:r>
    </w:p>
    <w:p w14:paraId="3AF1449E">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.4.2书面答复须经投标人法定代表人或其委托代理人签字或盖章，签字或盖章的书面答复将被视为投标文件的组成部分。</w:t>
      </w:r>
    </w:p>
    <w:p w14:paraId="4776B253">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.5报价合理性的判断</w:t>
      </w:r>
    </w:p>
    <w:p w14:paraId="57CD62B5">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.6评审意见分歧的处理办法</w:t>
      </w:r>
    </w:p>
    <w:p w14:paraId="5F4FED19">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（1）评标委员会应当对投标人提供的报告、证明材料及详细说明认真研究。对存在意见分歧的，可采用投票方式表决决定（按多数评委意见为准）；</w:t>
      </w:r>
    </w:p>
    <w:p w14:paraId="298CCD75">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（2）招标投标当事人对评标结果提出异议或者投诉，</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认为需要重新进行评标的，评标委员会成员应当按照</w:t>
      </w:r>
      <w:r>
        <w:rPr>
          <w:rFonts w:hint="eastAsia" w:ascii="宋体" w:hAnsi="宋体" w:eastAsia="宋体" w:cs="宋体"/>
          <w:color w:val="auto"/>
          <w:szCs w:val="21"/>
          <w:highlight w:val="none"/>
          <w:lang w:val="en-US" w:eastAsia="zh-CN"/>
        </w:rPr>
        <w:t>招标人</w:t>
      </w:r>
      <w:r>
        <w:rPr>
          <w:rFonts w:hint="eastAsia" w:ascii="宋体" w:hAnsi="宋体" w:eastAsia="宋体" w:cs="宋体"/>
          <w:color w:val="auto"/>
          <w:szCs w:val="21"/>
          <w:highlight w:val="none"/>
        </w:rPr>
        <w:t>要求重新评标。</w:t>
      </w:r>
    </w:p>
    <w:p w14:paraId="154DB6B5">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.7评标报告的签署</w:t>
      </w:r>
    </w:p>
    <w:p w14:paraId="689BF342">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.8评标过程的保密</w:t>
      </w:r>
    </w:p>
    <w:p w14:paraId="42B262BF">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评标委员会成员和与评标活动有关的工作人员不得透露对投标文件的评审和比较、中标人的推荐情况以及与评标有关的其他情况。</w:t>
      </w:r>
    </w:p>
    <w:p w14:paraId="6AA03486">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.9评标结果公告</w:t>
      </w:r>
    </w:p>
    <w:p w14:paraId="7F5EC5AC">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招标人应将中标人的情况在</w:t>
      </w:r>
      <w:r>
        <w:rPr>
          <w:rFonts w:hint="eastAsia" w:ascii="宋体" w:hAnsi="宋体" w:eastAsia="宋体" w:cs="宋体"/>
          <w:color w:val="auto"/>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Cs w:val="21"/>
          <w:highlight w:val="none"/>
        </w:rPr>
        <w:t>上予以公告，公告期为3日。投标人或其他利害关系人对评标结果有异议的，应在中标候选人公示期内提出。招标人将在收到异议之日起</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日内作出答复；作出答复前，将暂停招标投标活动。</w:t>
      </w:r>
    </w:p>
    <w:p w14:paraId="1285831F">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0</w:t>
      </w:r>
      <w:r>
        <w:rPr>
          <w:rFonts w:hint="eastAsia" w:ascii="宋体" w:hAnsi="宋体" w:eastAsia="宋体" w:cs="宋体"/>
          <w:b/>
          <w:color w:val="auto"/>
          <w:szCs w:val="21"/>
          <w:highlight w:val="none"/>
        </w:rPr>
        <w:t>.定标</w:t>
      </w:r>
    </w:p>
    <w:p w14:paraId="485F0B11">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 中标人的确定</w:t>
      </w:r>
    </w:p>
    <w:p w14:paraId="0D8141F6">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.1.1招标人确定</w:t>
      </w:r>
      <w:r>
        <w:rPr>
          <w:rFonts w:hint="eastAsia" w:ascii="宋体" w:hAnsi="宋体" w:eastAsia="宋体" w:cs="宋体"/>
          <w:color w:val="auto"/>
          <w:szCs w:val="21"/>
          <w:highlight w:val="none"/>
          <w:lang w:val="en-US" w:eastAsia="zh-CN"/>
        </w:rPr>
        <w:t>排名第一的中标候选人为</w:t>
      </w:r>
      <w:r>
        <w:rPr>
          <w:rFonts w:hint="eastAsia" w:ascii="宋体" w:hAnsi="宋体" w:eastAsia="宋体" w:cs="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.1.2中标人确定后，招标人应将中标信息在</w:t>
      </w:r>
      <w:r>
        <w:rPr>
          <w:rFonts w:hint="eastAsia" w:ascii="宋体" w:hAnsi="宋体" w:eastAsia="宋体" w:cs="宋体"/>
          <w:color w:val="auto"/>
          <w:szCs w:val="21"/>
          <w:highlight w:val="none"/>
          <w:lang w:val="en-US" w:eastAsia="zh-CN"/>
        </w:rPr>
        <w:t>中新苏滁高新技术产业开发区（https://scp.chuzhou.gov.cn/index.html）、滁州市城投工程咨询管理有限公司网站（https://www.czctgczx.com/）</w:t>
      </w:r>
      <w:r>
        <w:rPr>
          <w:rFonts w:hint="eastAsia" w:ascii="宋体" w:hAnsi="宋体" w:eastAsia="宋体" w:cs="宋体"/>
          <w:color w:val="auto"/>
          <w:szCs w:val="21"/>
          <w:highlight w:val="none"/>
        </w:rPr>
        <w:t>上公告。</w:t>
      </w:r>
    </w:p>
    <w:p w14:paraId="36630B2B">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 中标通知书</w:t>
      </w:r>
    </w:p>
    <w:p w14:paraId="20C30054">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.2.1招标人或代理机构应在中标人确定之日起2个工作日内，在</w:t>
      </w:r>
      <w:r>
        <w:rPr>
          <w:rFonts w:hint="eastAsia" w:ascii="宋体" w:hAnsi="宋体" w:eastAsia="宋体" w:cs="宋体"/>
          <w:color w:val="auto"/>
          <w:szCs w:val="21"/>
          <w:highlight w:val="none"/>
          <w:lang w:val="en-US" w:eastAsia="zh-CN"/>
        </w:rPr>
        <w:t>中新苏滁高新技术产业开发区（https://scp.chuzhou.gov.cn/index.html）、</w:t>
      </w:r>
      <w:r>
        <w:rPr>
          <w:rFonts w:hint="eastAsia" w:ascii="宋体" w:hAnsi="宋体" w:eastAsia="宋体" w:cs="宋体"/>
          <w:color w:val="auto"/>
          <w:szCs w:val="21"/>
          <w:highlight w:val="none"/>
        </w:rPr>
        <w:t>滁州市城投工程咨询管理有限公司网站（https://www.czctgczx.com/）公告中标结果并同时向中标人发出中标通知书。</w:t>
      </w:r>
    </w:p>
    <w:p w14:paraId="3FEA5E8A">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.2.2中标通知书须加盖招标人、代理机构公章后，方可发出。</w:t>
      </w:r>
    </w:p>
    <w:p w14:paraId="27F2400B">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.2.3招标人将在发出中标通知书的同时，向未通过资格审查的投标人告知其未通过的原因。</w:t>
      </w:r>
    </w:p>
    <w:p w14:paraId="06B4880B">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.开评标异常情况处理</w:t>
      </w:r>
    </w:p>
    <w:p w14:paraId="21213BD7">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kern w:val="10"/>
          <w:szCs w:val="21"/>
          <w:highlight w:val="none"/>
        </w:rPr>
        <w:t>3</w:t>
      </w:r>
      <w:r>
        <w:rPr>
          <w:rFonts w:hint="eastAsia" w:ascii="宋体" w:hAnsi="宋体" w:eastAsia="宋体" w:cs="宋体"/>
          <w:b/>
          <w:bCs/>
          <w:color w:val="auto"/>
          <w:kern w:val="10"/>
          <w:szCs w:val="21"/>
          <w:highlight w:val="none"/>
          <w:lang w:val="en-US" w:eastAsia="zh-CN"/>
        </w:rPr>
        <w:t>1</w:t>
      </w:r>
      <w:r>
        <w:rPr>
          <w:rFonts w:hint="eastAsia" w:ascii="宋体" w:hAnsi="宋体" w:eastAsia="宋体" w:cs="宋体"/>
          <w:b/>
          <w:bCs/>
          <w:color w:val="auto"/>
          <w:kern w:val="10"/>
          <w:szCs w:val="21"/>
          <w:highlight w:val="none"/>
        </w:rPr>
        <w:t>.1</w:t>
      </w:r>
      <w:r>
        <w:rPr>
          <w:rFonts w:hint="eastAsia" w:ascii="宋体" w:hAnsi="宋体" w:eastAsia="宋体" w:cs="宋体"/>
          <w:b/>
          <w:bCs/>
          <w:color w:val="auto"/>
          <w:szCs w:val="21"/>
          <w:highlight w:val="none"/>
        </w:rPr>
        <w:t xml:space="preserve">重新招标 </w:t>
      </w:r>
    </w:p>
    <w:p w14:paraId="31A5D012">
      <w:pPr>
        <w:keepNext w:val="0"/>
        <w:keepLines w:val="0"/>
        <w:pageBreakBefore w:val="0"/>
        <w:widowControl w:val="0"/>
        <w:tabs>
          <w:tab w:val="left" w:pos="720"/>
        </w:tabs>
        <w:kinsoku/>
        <w:wordWrap/>
        <w:overflowPunct/>
        <w:topLinePunct w:val="0"/>
        <w:autoSpaceDE/>
        <w:autoSpaceDN/>
        <w:bidi w:val="0"/>
        <w:spacing w:line="500" w:lineRule="exact"/>
        <w:ind w:left="0" w:leftChars="0" w:right="193" w:rightChars="92"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项目有下列情形之一的，招标人将重新招标：</w:t>
      </w:r>
    </w:p>
    <w:p w14:paraId="61AA2F3A">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 xml:space="preserve">(1)投标截止时间止，投标人少于三个的； </w:t>
      </w:r>
    </w:p>
    <w:p w14:paraId="04C25708">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(2)符合专业条件的供应商或者对招标文件作实质响应的供应商不足三家的；</w:t>
      </w:r>
    </w:p>
    <w:p w14:paraId="15B0F175">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(3)出现影响招标公正的违法、违规行为的；</w:t>
      </w:r>
    </w:p>
    <w:p w14:paraId="1EA8BFE1">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(4)投标人的报价均脱离实际且无充分证据的；</w:t>
      </w:r>
    </w:p>
    <w:p w14:paraId="747198F9">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w:t>
      </w:r>
      <w:r>
        <w:rPr>
          <w:rFonts w:hint="eastAsia" w:ascii="宋体" w:hAnsi="宋体" w:eastAsia="宋体" w:cs="宋体"/>
          <w:color w:val="auto"/>
          <w:kern w:val="10"/>
          <w:szCs w:val="21"/>
          <w:highlight w:val="none"/>
          <w:lang w:val="en-US" w:eastAsia="zh-CN"/>
        </w:rPr>
        <w:t>5</w:t>
      </w:r>
      <w:r>
        <w:rPr>
          <w:rFonts w:hint="eastAsia" w:ascii="宋体" w:hAnsi="宋体" w:eastAsia="宋体" w:cs="宋体"/>
          <w:color w:val="auto"/>
          <w:kern w:val="10"/>
          <w:szCs w:val="21"/>
          <w:highlight w:val="none"/>
        </w:rPr>
        <w:t>)因重大变故，采购任务取消的。</w:t>
      </w:r>
    </w:p>
    <w:p w14:paraId="191876E3">
      <w:pPr>
        <w:keepNext w:val="0"/>
        <w:keepLines w:val="0"/>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0"/>
    </w:p>
    <w:p w14:paraId="4884662A">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textAlignment w:val="auto"/>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1" w:name="_Toc217446068"/>
      <w:r>
        <w:rPr>
          <w:rFonts w:hint="eastAsia" w:ascii="宋体" w:hAnsi="宋体" w:cs="宋体"/>
          <w:b/>
          <w:color w:val="auto"/>
          <w:szCs w:val="21"/>
          <w:highlight w:val="none"/>
        </w:rPr>
        <w:t>履约保证金</w:t>
      </w:r>
      <w:bookmarkEnd w:id="41"/>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keepNext w:val="0"/>
        <w:keepLines w:val="0"/>
        <w:pageBreakBefore w:val="0"/>
        <w:widowControl w:val="0"/>
        <w:kinsoku/>
        <w:wordWrap/>
        <w:overflowPunct/>
        <w:topLinePunct w:val="0"/>
        <w:autoSpaceDE/>
        <w:autoSpaceDN/>
        <w:bidi w:val="0"/>
        <w:spacing w:line="500" w:lineRule="exact"/>
        <w:ind w:left="0" w:leftChars="0" w:right="193" w:rightChars="9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keepNext w:val="0"/>
        <w:keepLines w:val="0"/>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rPr>
          <w:rFonts w:hint="eastAsia" w:ascii="宋体" w:hAnsi="宋体" w:eastAsia="宋体" w:cs="宋体"/>
          <w:b/>
          <w:color w:val="auto"/>
          <w:sz w:val="28"/>
          <w:szCs w:val="28"/>
          <w:highlight w:val="none"/>
        </w:rPr>
      </w:pPr>
      <w:bookmarkStart w:id="42" w:name="_Toc449028874"/>
      <w:r>
        <w:rPr>
          <w:rFonts w:hint="eastAsia" w:ascii="宋体" w:hAnsi="宋体" w:eastAsia="宋体" w:cs="宋体"/>
          <w:b/>
          <w:color w:val="auto"/>
          <w:sz w:val="28"/>
          <w:szCs w:val="28"/>
          <w:highlight w:val="none"/>
        </w:rPr>
        <w:t>（七）纪律和监督</w:t>
      </w:r>
      <w:bookmarkEnd w:id="42"/>
    </w:p>
    <w:p w14:paraId="5090B799">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keepNext w:val="0"/>
        <w:keepLines w:val="0"/>
        <w:kinsoku/>
        <w:wordWrap/>
        <w:overflowPunct/>
        <w:topLinePunct w:val="0"/>
        <w:autoSpaceDE/>
        <w:autoSpaceDN/>
        <w:bidi w:val="0"/>
        <w:spacing w:before="312" w:beforeLines="100" w:after="312" w:afterLines="100" w:line="440" w:lineRule="exact"/>
        <w:ind w:left="0" w:leftChars="0" w:right="193" w:rightChars="92" w:firstLine="562" w:firstLineChars="200"/>
        <w:jc w:val="center"/>
        <w:textAlignment w:val="auto"/>
        <w:rPr>
          <w:rFonts w:hint="eastAsia" w:ascii="宋体" w:hAnsi="宋体" w:eastAsia="宋体" w:cs="宋体"/>
          <w:b/>
          <w:color w:val="auto"/>
          <w:sz w:val="28"/>
          <w:szCs w:val="28"/>
          <w:highlight w:val="none"/>
          <w:lang w:eastAsia="zh-CN"/>
        </w:rPr>
      </w:pPr>
      <w:bookmarkStart w:id="43" w:name="_Toc449028875"/>
      <w:r>
        <w:rPr>
          <w:rFonts w:hint="eastAsia" w:ascii="宋体" w:hAnsi="宋体" w:eastAsia="宋体" w:cs="宋体"/>
          <w:b/>
          <w:color w:val="auto"/>
          <w:sz w:val="28"/>
          <w:szCs w:val="28"/>
          <w:highlight w:val="none"/>
        </w:rPr>
        <w:t>（八）</w:t>
      </w:r>
      <w:bookmarkEnd w:id="43"/>
      <w:r>
        <w:rPr>
          <w:rFonts w:hint="eastAsia" w:ascii="宋体" w:hAnsi="宋体" w:cs="宋体"/>
          <w:b/>
          <w:color w:val="auto"/>
          <w:sz w:val="28"/>
          <w:szCs w:val="28"/>
          <w:highlight w:val="none"/>
          <w:lang w:val="en-US" w:eastAsia="zh-CN"/>
        </w:rPr>
        <w:t>投诉</w:t>
      </w:r>
    </w:p>
    <w:p w14:paraId="539744AE">
      <w:pPr>
        <w:keepNext w:val="0"/>
        <w:keepLines w:val="0"/>
        <w:pageBreakBefore w:val="0"/>
        <w:widowControl w:val="0"/>
        <w:kinsoku/>
        <w:wordWrap/>
        <w:overflowPunct/>
        <w:topLinePunct w:val="0"/>
        <w:autoSpaceDE/>
        <w:autoSpaceDN/>
        <w:bidi w:val="0"/>
        <w:spacing w:line="500" w:lineRule="exact"/>
        <w:ind w:left="0" w:leftChars="0" w:right="193" w:rightChars="92" w:firstLine="422" w:firstLineChars="200"/>
        <w:jc w:val="left"/>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Times New Roman" w:eastAsia="宋体" w:cs="Times New Roman"/>
          <w:color w:val="auto"/>
          <w:kern w:val="10"/>
          <w:szCs w:val="21"/>
          <w:highlight w:val="none"/>
        </w:rPr>
      </w:pPr>
      <w:bookmarkStart w:id="44" w:name="_Toc58430316"/>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keepNext w:val="0"/>
        <w:keepLines w:val="0"/>
        <w:pageBreakBefore w:val="0"/>
        <w:widowControl w:val="0"/>
        <w:kinsoku/>
        <w:wordWrap/>
        <w:overflowPunct/>
        <w:topLinePunct w:val="0"/>
        <w:autoSpaceDE/>
        <w:autoSpaceDN/>
        <w:bidi w:val="0"/>
        <w:adjustRightInd w:val="0"/>
        <w:snapToGrid w:val="0"/>
        <w:spacing w:line="500" w:lineRule="exact"/>
        <w:ind w:left="0" w:leftChars="0" w:right="193" w:rightChars="92" w:firstLine="420" w:firstLineChars="200"/>
        <w:textAlignment w:val="auto"/>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r>
        <w:rPr>
          <w:rFonts w:hint="eastAsia" w:ascii="宋体"/>
          <w:b/>
          <w:color w:val="auto"/>
          <w:sz w:val="32"/>
          <w:szCs w:val="32"/>
          <w:highlight w:val="none"/>
        </w:rPr>
        <w:t>第三章 评标办法</w:t>
      </w:r>
      <w:bookmarkEnd w:id="44"/>
    </w:p>
    <w:p w14:paraId="77B91577">
      <w:pPr>
        <w:spacing w:before="156" w:beforeLines="50" w:after="156" w:afterLines="50" w:line="440" w:lineRule="exact"/>
        <w:jc w:val="center"/>
        <w:outlineLvl w:val="1"/>
        <w:rPr>
          <w:rFonts w:hint="eastAsia" w:ascii="宋体"/>
          <w:b/>
          <w:color w:val="auto"/>
          <w:sz w:val="28"/>
          <w:szCs w:val="28"/>
          <w:highlight w:val="none"/>
        </w:rPr>
      </w:pPr>
      <w:bookmarkStart w:id="45" w:name="_Toc362983801"/>
      <w:bookmarkStart w:id="46" w:name="_Toc449028877"/>
      <w:bookmarkStart w:id="47" w:name="_Toc58430317"/>
      <w:bookmarkStart w:id="48" w:name="_Toc267320058"/>
      <w:bookmarkStart w:id="49" w:name="_Toc363135205"/>
      <w:r>
        <w:rPr>
          <w:rFonts w:hint="eastAsia" w:ascii="宋体"/>
          <w:b/>
          <w:color w:val="auto"/>
          <w:sz w:val="28"/>
          <w:szCs w:val="28"/>
          <w:highlight w:val="none"/>
        </w:rPr>
        <w:t>一、总则</w:t>
      </w:r>
      <w:bookmarkEnd w:id="45"/>
      <w:bookmarkEnd w:id="46"/>
      <w:bookmarkEnd w:id="47"/>
    </w:p>
    <w:p w14:paraId="4DA06D06">
      <w:pPr>
        <w:keepNext w:val="0"/>
        <w:keepLines w:val="0"/>
        <w:pageBreakBefore w:val="0"/>
        <w:widowControl w:val="0"/>
        <w:kinsoku/>
        <w:wordWrap/>
        <w:overflowPunct/>
        <w:topLinePunct w:val="0"/>
        <w:autoSpaceDE/>
        <w:autoSpaceDN/>
        <w:bidi w:val="0"/>
        <w:adjustRightInd/>
        <w:snapToGrid/>
        <w:spacing w:line="500" w:lineRule="exact"/>
        <w:ind w:firstLine="316" w:firstLineChars="150"/>
        <w:jc w:val="left"/>
        <w:textAlignment w:val="auto"/>
        <w:rPr>
          <w:rFonts w:hint="eastAsia" w:ascii="宋体"/>
          <w:b/>
          <w:color w:val="auto"/>
          <w:szCs w:val="21"/>
          <w:highlight w:val="none"/>
        </w:rPr>
      </w:pPr>
      <w:bookmarkStart w:id="50" w:name="_Toc449028878"/>
      <w:bookmarkStart w:id="51" w:name="_Toc58430318"/>
      <w:bookmarkStart w:id="52" w:name="_Toc362983802"/>
      <w:r>
        <w:rPr>
          <w:rFonts w:hint="eastAsia" w:ascii="宋体"/>
          <w:b/>
          <w:color w:val="auto"/>
          <w:szCs w:val="21"/>
          <w:highlight w:val="none"/>
        </w:rPr>
        <w:t xml:space="preserve"> 1. 本次评标采用综合评分法</w:t>
      </w:r>
    </w:p>
    <w:p w14:paraId="5DD2B3C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olor w:val="auto"/>
          <w:szCs w:val="21"/>
          <w:highlight w:val="none"/>
        </w:rPr>
      </w:pPr>
      <w:r>
        <w:rPr>
          <w:rFonts w:hint="eastAsia" w:ascii="宋体"/>
          <w:color w:val="auto"/>
          <w:szCs w:val="21"/>
          <w:highlight w:val="none"/>
        </w:rPr>
        <w:t>1.1综合评分法是指投标文件满足招标文件全部实质性要求且按照评审因素的量化指标评审总得分从高到低的供应商为中标候选人的评标方法。</w:t>
      </w:r>
    </w:p>
    <w:p w14:paraId="0594B1C6">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1.2综合评分法一般适用于较为复杂、评价指标难以量化且价格为非主要因素的非标准定制商品和非通用服务项目的项目评审。</w:t>
      </w:r>
    </w:p>
    <w:p w14:paraId="7C53964E">
      <w:pPr>
        <w:keepNext w:val="0"/>
        <w:keepLines w:val="0"/>
        <w:pageBreakBefore w:val="0"/>
        <w:widowControl w:val="0"/>
        <w:kinsoku/>
        <w:wordWrap/>
        <w:overflowPunct/>
        <w:topLinePunct w:val="0"/>
        <w:autoSpaceDE/>
        <w:autoSpaceDN/>
        <w:bidi w:val="0"/>
        <w:adjustRightInd/>
        <w:snapToGrid/>
        <w:spacing w:line="500" w:lineRule="exact"/>
        <w:ind w:firstLine="422" w:firstLineChars="200"/>
        <w:jc w:val="left"/>
        <w:textAlignment w:val="auto"/>
        <w:rPr>
          <w:rFonts w:hint="eastAsia" w:ascii="宋体"/>
          <w:b/>
          <w:color w:val="auto"/>
          <w:szCs w:val="21"/>
          <w:highlight w:val="none"/>
        </w:rPr>
      </w:pPr>
      <w:r>
        <w:rPr>
          <w:rFonts w:hint="eastAsia" w:ascii="宋体"/>
          <w:b/>
          <w:color w:val="auto"/>
          <w:szCs w:val="21"/>
          <w:highlight w:val="none"/>
        </w:rPr>
        <w:t>2．评标程序</w:t>
      </w:r>
    </w:p>
    <w:p w14:paraId="26AB7B8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2.1投标文件的初审</w:t>
      </w:r>
    </w:p>
    <w:p w14:paraId="0CD1CC5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2.2投标文件的澄清</w:t>
      </w:r>
    </w:p>
    <w:p w14:paraId="5665DDD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2.3比较与评价</w:t>
      </w:r>
    </w:p>
    <w:p w14:paraId="5BD72171">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2.4推荐中标候选人名单</w:t>
      </w:r>
    </w:p>
    <w:p w14:paraId="110BD1D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r>
        <w:rPr>
          <w:rFonts w:hint="eastAsia" w:ascii="宋体"/>
          <w:b/>
          <w:color w:val="auto"/>
          <w:sz w:val="28"/>
          <w:szCs w:val="28"/>
          <w:highlight w:val="none"/>
        </w:rPr>
        <w:t>二、投标文件初审</w:t>
      </w:r>
      <w:bookmarkEnd w:id="50"/>
      <w:bookmarkEnd w:id="51"/>
      <w:bookmarkEnd w:id="52"/>
    </w:p>
    <w:p w14:paraId="51BB9995">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keepNext w:val="0"/>
        <w:keepLines w:val="0"/>
        <w:pageBreakBefore w:val="0"/>
        <w:widowControl w:val="0"/>
        <w:kinsoku/>
        <w:wordWrap/>
        <w:overflowPunct/>
        <w:topLinePunct w:val="0"/>
        <w:autoSpaceDE/>
        <w:autoSpaceDN/>
        <w:bidi w:val="0"/>
        <w:adjustRightInd/>
        <w:snapToGrid/>
        <w:spacing w:line="500" w:lineRule="exact"/>
        <w:ind w:firstLine="308" w:firstLineChars="147"/>
        <w:textAlignment w:val="auto"/>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4"/>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具有独立承担民事责任能力和相应服务能力</w:t>
            </w:r>
          </w:p>
        </w:tc>
        <w:tc>
          <w:tcPr>
            <w:tcW w:w="4492" w:type="dxa"/>
            <w:noWrap w:val="0"/>
            <w:vAlign w:val="center"/>
          </w:tcPr>
          <w:p w14:paraId="041A0B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有效的营业执照</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1366" w:type="dxa"/>
            <w:vMerge w:val="continue"/>
            <w:noWrap w:val="0"/>
            <w:vAlign w:val="center"/>
          </w:tcPr>
          <w:p w14:paraId="715C6C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shd w:val="clear" w:color="auto" w:fill="auto"/>
            <w:noWrap w:val="0"/>
            <w:vAlign w:val="center"/>
          </w:tcPr>
          <w:p w14:paraId="67A29F1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w:t>
            </w:r>
          </w:p>
        </w:tc>
        <w:tc>
          <w:tcPr>
            <w:tcW w:w="4492" w:type="dxa"/>
            <w:shd w:val="clear" w:color="auto" w:fill="auto"/>
            <w:noWrap w:val="0"/>
            <w:vAlign w:val="center"/>
          </w:tcPr>
          <w:p w14:paraId="126BB6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p>
        </w:tc>
        <w:tc>
          <w:tcPr>
            <w:tcW w:w="1366" w:type="dxa"/>
            <w:vMerge w:val="continue"/>
            <w:noWrap w:val="0"/>
            <w:vAlign w:val="center"/>
          </w:tcPr>
          <w:p w14:paraId="41C2ED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shd w:val="clear" w:color="auto" w:fill="auto"/>
            <w:noWrap w:val="0"/>
            <w:vAlign w:val="center"/>
          </w:tcPr>
          <w:p w14:paraId="3B6AD35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tc>
        <w:tc>
          <w:tcPr>
            <w:tcW w:w="4492" w:type="dxa"/>
            <w:shd w:val="clear" w:color="auto" w:fill="auto"/>
            <w:noWrap w:val="0"/>
            <w:vAlign w:val="center"/>
          </w:tcPr>
          <w:p w14:paraId="351A35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3368" w:type="dxa"/>
            <w:noWrap w:val="0"/>
            <w:vAlign w:val="top"/>
          </w:tcPr>
          <w:p w14:paraId="600669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）诚信投标承诺书</w:t>
            </w:r>
          </w:p>
        </w:tc>
        <w:tc>
          <w:tcPr>
            <w:tcW w:w="4492" w:type="dxa"/>
            <w:noWrap w:val="0"/>
            <w:vAlign w:val="top"/>
          </w:tcPr>
          <w:p w14:paraId="3EDC33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keepNext w:val="0"/>
        <w:keepLines w:val="0"/>
        <w:pageBreakBefore w:val="0"/>
        <w:widowControl w:val="0"/>
        <w:kinsoku/>
        <w:wordWrap/>
        <w:overflowPunct/>
        <w:topLinePunct w:val="0"/>
        <w:autoSpaceDE/>
        <w:autoSpaceDN/>
        <w:bidi w:val="0"/>
        <w:adjustRightInd/>
        <w:snapToGrid/>
        <w:spacing w:line="500" w:lineRule="exact"/>
        <w:ind w:firstLine="508" w:firstLineChars="241"/>
        <w:textAlignment w:val="auto"/>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keepNext w:val="0"/>
        <w:keepLines w:val="0"/>
        <w:pageBreakBefore w:val="0"/>
        <w:widowControl w:val="0"/>
        <w:kinsoku/>
        <w:wordWrap/>
        <w:overflowPunct/>
        <w:topLinePunct w:val="0"/>
        <w:autoSpaceDE/>
        <w:autoSpaceDN/>
        <w:bidi w:val="0"/>
        <w:adjustRightInd/>
        <w:snapToGrid/>
        <w:spacing w:line="500" w:lineRule="exact"/>
        <w:ind w:firstLine="310" w:firstLineChars="147"/>
        <w:textAlignment w:val="auto"/>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keepNext w:val="0"/>
        <w:keepLines w:val="0"/>
        <w:pageBreakBefore w:val="0"/>
        <w:widowControl w:val="0"/>
        <w:kinsoku/>
        <w:wordWrap/>
        <w:overflowPunct/>
        <w:topLinePunct w:val="0"/>
        <w:autoSpaceDE/>
        <w:autoSpaceDN/>
        <w:bidi w:val="0"/>
        <w:adjustRightInd/>
        <w:snapToGrid/>
        <w:spacing w:line="500" w:lineRule="exact"/>
        <w:ind w:firstLine="315" w:firstLineChars="150"/>
        <w:textAlignment w:val="auto"/>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14A508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099908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06E85D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26DCF9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5F1813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4F2754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A942C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6F3AA6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1204" w:type="dxa"/>
            <w:vMerge w:val="continue"/>
            <w:noWrap w:val="0"/>
            <w:vAlign w:val="center"/>
          </w:tcPr>
          <w:p w14:paraId="6258B2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rPr>
            </w:pPr>
          </w:p>
        </w:tc>
        <w:tc>
          <w:tcPr>
            <w:tcW w:w="2931" w:type="dxa"/>
            <w:noWrap w:val="0"/>
            <w:vAlign w:val="center"/>
          </w:tcPr>
          <w:p w14:paraId="5998BA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keepNext w:val="0"/>
        <w:keepLines w:val="0"/>
        <w:pageBreakBefore w:val="0"/>
        <w:widowControl w:val="0"/>
        <w:kinsoku/>
        <w:wordWrap/>
        <w:overflowPunct/>
        <w:topLinePunct w:val="0"/>
        <w:autoSpaceDE/>
        <w:autoSpaceDN/>
        <w:bidi w:val="0"/>
        <w:adjustRightInd/>
        <w:snapToGrid/>
        <w:spacing w:line="500" w:lineRule="exact"/>
        <w:ind w:firstLine="506" w:firstLineChars="241"/>
        <w:textAlignment w:val="auto"/>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3" w:name="_Toc362983803"/>
      <w:bookmarkStart w:id="54" w:name="_Toc449028879"/>
      <w:bookmarkStart w:id="55" w:name="_Toc58430319"/>
      <w:r>
        <w:rPr>
          <w:rFonts w:hint="eastAsia" w:ascii="宋体" w:hAnsi="Times New Roman" w:eastAsia="宋体" w:cs="Times New Roman"/>
          <w:b/>
          <w:color w:val="auto"/>
          <w:sz w:val="28"/>
          <w:szCs w:val="28"/>
          <w:highlight w:val="none"/>
        </w:rPr>
        <w:t>三、投标文件的澄清和补正</w:t>
      </w:r>
      <w:bookmarkEnd w:id="53"/>
      <w:bookmarkEnd w:id="54"/>
      <w:bookmarkEnd w:id="55"/>
    </w:p>
    <w:p w14:paraId="3228516B">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5.3评委会修正错误的原则：</w:t>
      </w:r>
    </w:p>
    <w:p w14:paraId="4125A76F">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keepNext w:val="0"/>
        <w:keepLines w:val="0"/>
        <w:pageBreakBefore w:val="0"/>
        <w:widowControl w:val="0"/>
        <w:kinsoku/>
        <w:wordWrap/>
        <w:overflowPunct/>
        <w:topLinePunct w:val="0"/>
        <w:autoSpaceDE/>
        <w:autoSpaceDN/>
        <w:bidi w:val="0"/>
        <w:adjustRightInd/>
        <w:snapToGrid/>
        <w:spacing w:line="500" w:lineRule="exact"/>
        <w:ind w:firstLine="525" w:firstLineChars="250"/>
        <w:textAlignment w:val="auto"/>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keepNext w:val="0"/>
        <w:keepLines w:val="0"/>
        <w:pageBreakBefore w:val="0"/>
        <w:widowControl w:val="0"/>
        <w:kinsoku/>
        <w:wordWrap/>
        <w:overflowPunct/>
        <w:topLinePunct w:val="0"/>
        <w:autoSpaceDE/>
        <w:autoSpaceDN/>
        <w:bidi w:val="0"/>
        <w:adjustRightInd/>
        <w:snapToGrid/>
        <w:spacing w:line="500" w:lineRule="exact"/>
        <w:ind w:firstLine="403" w:firstLineChars="192"/>
        <w:jc w:val="left"/>
        <w:textAlignment w:val="auto"/>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56" w:name="_Toc449028880"/>
      <w:bookmarkStart w:id="57" w:name="_Toc58430320"/>
    </w:p>
    <w:p w14:paraId="4E078817">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四、比较与评价</w:t>
      </w:r>
      <w:bookmarkEnd w:id="56"/>
      <w:bookmarkEnd w:id="57"/>
    </w:p>
    <w:p w14:paraId="117055AF">
      <w:pPr>
        <w:keepNext w:val="0"/>
        <w:keepLines w:val="0"/>
        <w:pageBreakBefore w:val="0"/>
        <w:widowControl w:val="0"/>
        <w:kinsoku/>
        <w:wordWrap/>
        <w:overflowPunct/>
        <w:topLinePunct w:val="0"/>
        <w:autoSpaceDE/>
        <w:autoSpaceDN/>
        <w:bidi w:val="0"/>
        <w:snapToGrid/>
        <w:spacing w:line="500" w:lineRule="exact"/>
        <w:ind w:right="36" w:rightChars="17" w:firstLine="0" w:firstLineChars="0"/>
        <w:jc w:val="left"/>
        <w:textAlignment w:val="auto"/>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58" w:name="_Toc449028881"/>
      <w:bookmarkStart w:id="59"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4"/>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bookmarkStart w:id="60"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6481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3FAA153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4493F1E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项目类似业绩</w:t>
            </w:r>
          </w:p>
        </w:tc>
        <w:tc>
          <w:tcPr>
            <w:tcW w:w="840" w:type="dxa"/>
            <w:shd w:val="clear" w:color="auto" w:fill="auto"/>
            <w:noWrap/>
            <w:vAlign w:val="center"/>
          </w:tcPr>
          <w:p w14:paraId="0B2EDEB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20分</w:t>
            </w:r>
          </w:p>
        </w:tc>
        <w:tc>
          <w:tcPr>
            <w:tcW w:w="7217" w:type="dxa"/>
            <w:shd w:val="clear" w:color="auto" w:fill="auto"/>
            <w:noWrap/>
            <w:vAlign w:val="center"/>
          </w:tcPr>
          <w:p w14:paraId="6CCFD78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（1）企业业绩（8分）</w:t>
            </w:r>
          </w:p>
          <w:p w14:paraId="5D709CA3">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投标人自</w:t>
            </w:r>
            <w:r>
              <w:rPr>
                <w:rFonts w:hint="eastAsia" w:ascii="宋体"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年1月1日至投标截止日，每完成过一个</w:t>
            </w:r>
            <w:r>
              <w:rPr>
                <w:rFonts w:hint="eastAsia" w:ascii="宋体" w:hAnsi="宋体" w:cs="宋体"/>
                <w:b w:val="0"/>
                <w:bCs w:val="0"/>
                <w:color w:val="auto"/>
                <w:sz w:val="21"/>
                <w:szCs w:val="21"/>
                <w:highlight w:val="none"/>
                <w:lang w:val="en-US" w:eastAsia="zh-CN"/>
              </w:rPr>
              <w:t>金额为5200万元及以上工业建筑的跟踪审计服务</w:t>
            </w:r>
            <w:r>
              <w:rPr>
                <w:rFonts w:hint="eastAsia" w:ascii="宋体" w:hAnsi="宋体" w:eastAsia="宋体" w:cs="宋体"/>
                <w:b w:val="0"/>
                <w:bCs w:val="0"/>
                <w:color w:val="auto"/>
                <w:sz w:val="21"/>
                <w:szCs w:val="21"/>
                <w:highlight w:val="none"/>
                <w:lang w:val="en-US" w:eastAsia="zh-CN"/>
              </w:rPr>
              <w:t>的得4分，本项满分8分。</w:t>
            </w:r>
          </w:p>
          <w:p w14:paraId="35D648DF">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（2）项目配备人员业绩（12分）</w:t>
            </w:r>
          </w:p>
          <w:p w14:paraId="514B713F">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投标人配备人员自</w:t>
            </w:r>
            <w:r>
              <w:rPr>
                <w:rFonts w:hint="eastAsia" w:ascii="宋体"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年1月1日至投标截止日，每完成过一个</w:t>
            </w:r>
            <w:r>
              <w:rPr>
                <w:rFonts w:hint="eastAsia" w:ascii="宋体" w:hAnsi="宋体" w:cs="宋体"/>
                <w:b w:val="0"/>
                <w:bCs w:val="0"/>
                <w:color w:val="auto"/>
                <w:sz w:val="21"/>
                <w:szCs w:val="21"/>
                <w:highlight w:val="none"/>
                <w:lang w:val="en-US" w:eastAsia="zh-CN"/>
              </w:rPr>
              <w:t>金额为5200万元及以上工业建筑的跟踪审计服务</w:t>
            </w:r>
            <w:r>
              <w:rPr>
                <w:rFonts w:hint="eastAsia" w:ascii="宋体" w:hAnsi="宋体" w:eastAsia="宋体" w:cs="宋体"/>
                <w:b w:val="0"/>
                <w:bCs w:val="0"/>
                <w:color w:val="auto"/>
                <w:sz w:val="21"/>
                <w:szCs w:val="21"/>
                <w:highlight w:val="none"/>
                <w:lang w:val="en-US" w:eastAsia="zh-CN"/>
              </w:rPr>
              <w:t>的得4分，本项</w:t>
            </w:r>
            <w:r>
              <w:rPr>
                <w:rFonts w:hint="eastAsia" w:ascii="宋体" w:hAnsi="宋体" w:eastAsia="宋体" w:cs="宋体"/>
                <w:b w:val="0"/>
                <w:bCs w:val="0"/>
                <w:color w:val="auto"/>
                <w:sz w:val="21"/>
                <w:szCs w:val="21"/>
                <w:highlight w:val="none"/>
                <w:lang w:val="en-US" w:eastAsia="zh-CN"/>
              </w:rPr>
              <w:t>满分</w:t>
            </w:r>
            <w:r>
              <w:rPr>
                <w:rFonts w:hint="eastAsia" w:ascii="宋体" w:hAnsi="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lang w:val="en-US" w:eastAsia="zh-CN"/>
              </w:rPr>
              <w:t>分。其中项目负责人应至少有1项业绩，否则此项不得分。</w:t>
            </w:r>
          </w:p>
          <w:p w14:paraId="424D8A9A">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w:t>
            </w:r>
          </w:p>
          <w:p w14:paraId="0EF62065">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（1）一人只能提供一项业绩，项目配备人员业绩与企业业绩可重复计算；</w:t>
            </w:r>
          </w:p>
          <w:p w14:paraId="168553D2">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（2）同一项目成果文件由多人参与签字盖章的，只计算一个人业绩，其他人员不再计算；</w:t>
            </w:r>
          </w:p>
          <w:p w14:paraId="3BFBF777">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（3）投标人独立承担的或作为联合体成员参与的项目（已完成）业绩均予以认可；</w:t>
            </w:r>
          </w:p>
          <w:p w14:paraId="2C8D75BA">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（4）投标文件应提供的业绩证明材料：</w:t>
            </w:r>
          </w:p>
          <w:p w14:paraId="342C28B8">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fldChar w:fldCharType="begin"/>
            </w:r>
            <w:r>
              <w:rPr>
                <w:rFonts w:hint="eastAsia" w:ascii="宋体" w:hAnsi="宋体" w:eastAsia="宋体" w:cs="宋体"/>
                <w:b/>
                <w:bCs/>
                <w:color w:val="auto"/>
                <w:sz w:val="21"/>
                <w:szCs w:val="21"/>
                <w:highlight w:val="none"/>
                <w:lang w:val="en-US" w:eastAsia="zh-CN"/>
              </w:rPr>
              <w:instrText xml:space="preserve"> = 1 \* GB3 \* MERGEFORMAT </w:instrText>
            </w:r>
            <w:r>
              <w:rPr>
                <w:rFonts w:hint="eastAsia" w:ascii="宋体" w:hAnsi="宋体" w:eastAsia="宋体" w:cs="宋体"/>
                <w:b/>
                <w:bCs/>
                <w:color w:val="auto"/>
                <w:sz w:val="21"/>
                <w:szCs w:val="21"/>
                <w:highlight w:val="none"/>
                <w:lang w:val="en-US" w:eastAsia="zh-CN"/>
              </w:rPr>
              <w:fldChar w:fldCharType="separate"/>
            </w:r>
            <w:r>
              <w:rPr>
                <w:rFonts w:hint="eastAsia" w:ascii="宋体" w:hAnsi="宋体" w:eastAsia="宋体" w:cs="宋体"/>
                <w:b/>
                <w:bCs/>
                <w:color w:val="auto"/>
                <w:sz w:val="21"/>
                <w:szCs w:val="21"/>
                <w:highlight w:val="none"/>
                <w:lang w:val="en-US" w:eastAsia="zh-CN"/>
              </w:rPr>
              <w:t>①</w:t>
            </w:r>
            <w:r>
              <w:rPr>
                <w:rFonts w:hint="eastAsia" w:ascii="宋体" w:hAnsi="宋体" w:eastAsia="宋体" w:cs="宋体"/>
                <w:b/>
                <w:bCs/>
                <w:color w:val="auto"/>
                <w:sz w:val="21"/>
                <w:szCs w:val="21"/>
                <w:highlight w:val="none"/>
                <w:lang w:val="en-US" w:eastAsia="zh-CN"/>
              </w:rPr>
              <w:fldChar w:fldCharType="end"/>
            </w:r>
            <w:r>
              <w:rPr>
                <w:rFonts w:hint="eastAsia" w:ascii="宋体" w:hAnsi="宋体" w:eastAsia="宋体" w:cs="宋体"/>
                <w:b/>
                <w:bCs/>
                <w:color w:val="auto"/>
                <w:sz w:val="21"/>
                <w:szCs w:val="21"/>
                <w:highlight w:val="none"/>
                <w:lang w:val="en-US" w:eastAsia="zh-CN"/>
              </w:rPr>
              <w:t>业绩认定时间</w:t>
            </w:r>
            <w:r>
              <w:rPr>
                <w:rFonts w:hint="eastAsia" w:ascii="宋体" w:hAnsi="宋体" w:cs="宋体"/>
                <w:b/>
                <w:bCs/>
                <w:color w:val="auto"/>
                <w:sz w:val="21"/>
                <w:szCs w:val="21"/>
                <w:highlight w:val="none"/>
                <w:lang w:val="en-US" w:eastAsia="zh-CN"/>
              </w:rPr>
              <w:t>及金额均</w:t>
            </w:r>
            <w:r>
              <w:rPr>
                <w:rFonts w:hint="eastAsia" w:ascii="宋体" w:hAnsi="宋体" w:eastAsia="宋体" w:cs="宋体"/>
                <w:b/>
                <w:bCs/>
                <w:color w:val="auto"/>
                <w:sz w:val="21"/>
                <w:szCs w:val="21"/>
                <w:highlight w:val="none"/>
                <w:lang w:val="en-US" w:eastAsia="zh-CN"/>
              </w:rPr>
              <w:t>以成果文件出具日期为准，应同时提供咨询合同（若咨询合同为框架合同，应同时提供业主出具的任务分配证明）、造价咨询成果文件。</w:t>
            </w:r>
          </w:p>
        </w:tc>
      </w:tr>
      <w:tr w14:paraId="216D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12D3DC4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078" w:type="dxa"/>
            <w:shd w:val="clear" w:color="auto" w:fill="auto"/>
            <w:noWrap/>
            <w:vAlign w:val="center"/>
          </w:tcPr>
          <w:p w14:paraId="0F14D94A">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企业荣誉</w:t>
            </w:r>
          </w:p>
        </w:tc>
        <w:tc>
          <w:tcPr>
            <w:tcW w:w="840" w:type="dxa"/>
            <w:shd w:val="clear" w:color="auto" w:fill="auto"/>
            <w:noWrap/>
            <w:vAlign w:val="center"/>
          </w:tcPr>
          <w:p w14:paraId="60A0E378">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10分</w:t>
            </w:r>
          </w:p>
        </w:tc>
        <w:tc>
          <w:tcPr>
            <w:tcW w:w="7217" w:type="dxa"/>
            <w:shd w:val="clear" w:color="auto" w:fill="auto"/>
            <w:noWrap/>
            <w:vAlign w:val="center"/>
          </w:tcPr>
          <w:p w14:paraId="66BC9AE3">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投标人自</w:t>
            </w:r>
            <w:r>
              <w:rPr>
                <w:rFonts w:hint="eastAsia" w:hAnsi="宋体" w:cs="宋体"/>
                <w:b w:val="0"/>
                <w:bCs w:val="0"/>
                <w:color w:val="auto"/>
                <w:sz w:val="21"/>
                <w:szCs w:val="21"/>
                <w:highlight w:val="none"/>
                <w:lang w:val="en-US" w:eastAsia="zh-CN"/>
              </w:rPr>
              <w:t>2023</w:t>
            </w:r>
            <w:r>
              <w:rPr>
                <w:rFonts w:hint="eastAsia" w:ascii="宋体" w:hAnsi="宋体" w:eastAsia="宋体" w:cs="宋体"/>
                <w:b w:val="0"/>
                <w:bCs w:val="0"/>
                <w:color w:val="auto"/>
                <w:sz w:val="21"/>
                <w:szCs w:val="21"/>
                <w:highlight w:val="none"/>
                <w:lang w:val="en-US" w:eastAsia="zh-CN"/>
              </w:rPr>
              <w:t>年1月1日至投标截止日</w:t>
            </w:r>
            <w:r>
              <w:rPr>
                <w:rFonts w:hint="eastAsia" w:hAnsi="宋体" w:cs="宋体"/>
                <w:b w:val="0"/>
                <w:bCs w:val="0"/>
                <w:color w:val="auto"/>
                <w:sz w:val="21"/>
                <w:szCs w:val="21"/>
                <w:highlight w:val="none"/>
                <w:lang w:val="en-US" w:eastAsia="zh-CN"/>
              </w:rPr>
              <w:t>，具有市级及以上造价主管部门（或协会）颁发的企业荣誉证书的得10分，本项满分10分。</w:t>
            </w:r>
            <w:r>
              <w:rPr>
                <w:rFonts w:hint="eastAsia" w:hAnsi="宋体" w:cs="宋体"/>
                <w:b/>
                <w:bCs/>
                <w:color w:val="auto"/>
                <w:sz w:val="21"/>
                <w:szCs w:val="21"/>
                <w:highlight w:val="none"/>
                <w:lang w:val="en-US" w:eastAsia="zh-CN"/>
              </w:rPr>
              <w:br w:type="textWrapping"/>
            </w:r>
            <w:r>
              <w:rPr>
                <w:rFonts w:hint="eastAsia" w:ascii="Times New Roman" w:hAnsi="宋体" w:eastAsia="宋体" w:cs="宋体"/>
                <w:b/>
                <w:bCs/>
                <w:color w:val="auto"/>
                <w:sz w:val="21"/>
                <w:szCs w:val="21"/>
                <w:highlight w:val="none"/>
                <w:lang w:val="en-US" w:eastAsia="zh-CN"/>
              </w:rPr>
              <w:t>注：1.提供荣誉证书（时间以证书颁发时间为准）或网站公示截图（以网站公示时间为准）</w:t>
            </w:r>
            <w:r>
              <w:rPr>
                <w:rFonts w:hint="eastAsia" w:hAnsi="宋体" w:cs="宋体"/>
                <w:b/>
                <w:bCs/>
                <w:color w:val="auto"/>
                <w:sz w:val="21"/>
                <w:szCs w:val="21"/>
                <w:highlight w:val="none"/>
                <w:lang w:val="en-US" w:eastAsia="zh-CN"/>
              </w:rPr>
              <w:t>或红头文件</w:t>
            </w:r>
            <w:r>
              <w:rPr>
                <w:rFonts w:hint="eastAsia" w:ascii="Times New Roman" w:hAnsi="宋体" w:eastAsia="宋体" w:cs="宋体"/>
                <w:b/>
                <w:bCs/>
                <w:color w:val="auto"/>
                <w:sz w:val="21"/>
                <w:szCs w:val="21"/>
                <w:highlight w:val="none"/>
                <w:lang w:val="en-US" w:eastAsia="zh-CN"/>
              </w:rPr>
              <w:t>。</w:t>
            </w:r>
          </w:p>
          <w:p w14:paraId="08C1ED1E">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Times New Roman" w:hAnsi="宋体" w:eastAsia="宋体" w:cs="宋体"/>
                <w:b/>
                <w:bCs/>
                <w:color w:val="auto"/>
                <w:sz w:val="21"/>
                <w:szCs w:val="21"/>
                <w:highlight w:val="none"/>
                <w:lang w:val="en-US" w:eastAsia="zh-CN"/>
              </w:rPr>
              <w:t>2.如为造价相关协会（或学会）颁发的，还应符合下列要求:</w:t>
            </w:r>
          </w:p>
          <w:p w14:paraId="0B925C2D">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Chars="0" w:firstLine="0" w:firstLineChars="0"/>
              <w:jc w:val="left"/>
              <w:textAlignment w:val="auto"/>
              <w:rPr>
                <w:rFonts w:hint="eastAsia" w:ascii="Times New Roman" w:hAnsi="宋体" w:eastAsia="宋体" w:cs="宋体"/>
                <w:b/>
                <w:bCs/>
                <w:color w:val="auto"/>
                <w:sz w:val="21"/>
                <w:szCs w:val="21"/>
                <w:highlight w:val="none"/>
                <w:lang w:val="en-US" w:eastAsia="zh-CN"/>
              </w:rPr>
            </w:pPr>
            <w:r>
              <w:rPr>
                <w:rFonts w:hint="eastAsia" w:ascii="Times New Roman" w:hAnsi="宋体" w:eastAsia="宋体" w:cs="宋体"/>
                <w:b/>
                <w:bCs/>
                <w:color w:val="auto"/>
                <w:sz w:val="21"/>
                <w:szCs w:val="21"/>
                <w:highlight w:val="none"/>
                <w:lang w:val="en-US" w:eastAsia="zh-CN"/>
              </w:rPr>
              <w:t xml:space="preserve">2.1“国内依法登记注册”以中国社会组织政务服务平台中“全国社会组织信用信息公示平台（试运行）”查询结果为准。针对国内依法登记注册的行业协会（或学会）颁发的奖项、荣誉，投标文件中须另行提供该协会在中国社会组织政务服务平台中“全国社会组织信用信息公示平台（试运行）”查询结果截图。 </w:t>
            </w:r>
          </w:p>
          <w:p w14:paraId="6A4632E4">
            <w:pPr>
              <w:pStyle w:val="33"/>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left="0" w:leftChars="0" w:firstLine="0" w:firstLineChars="0"/>
              <w:jc w:val="left"/>
              <w:textAlignment w:val="auto"/>
              <w:rPr>
                <w:rFonts w:hint="eastAsia" w:ascii="宋体" w:hAnsi="宋体" w:eastAsia="宋体" w:cs="宋体"/>
                <w:b/>
                <w:bCs/>
                <w:color w:val="auto"/>
                <w:sz w:val="21"/>
                <w:szCs w:val="21"/>
                <w:highlight w:val="none"/>
              </w:rPr>
            </w:pPr>
            <w:r>
              <w:rPr>
                <w:rFonts w:hint="eastAsia" w:ascii="Times New Roman" w:hAnsi="宋体" w:eastAsia="宋体" w:cs="宋体"/>
                <w:b/>
                <w:bCs/>
                <w:color w:val="auto"/>
                <w:sz w:val="21"/>
                <w:szCs w:val="21"/>
                <w:highlight w:val="none"/>
                <w:lang w:val="en-US" w:eastAsia="zh-CN"/>
              </w:rPr>
              <w:t xml:space="preserve">2.2民政部公布的“离岸社团”、“山寨社团”或中国社会组织政务服务平台中“全国社会组织信用信息公示平台（试运行）”公示的“涉嫌非法社会组织”颁发的荣誉、奖励均无效。 </w:t>
            </w:r>
          </w:p>
        </w:tc>
      </w:tr>
      <w:tr w14:paraId="4B62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6B9F7586">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078" w:type="dxa"/>
            <w:shd w:val="clear" w:color="auto" w:fill="auto"/>
            <w:noWrap/>
            <w:vAlign w:val="center"/>
          </w:tcPr>
          <w:p w14:paraId="12FA3B0C">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项目人员配备</w:t>
            </w:r>
          </w:p>
        </w:tc>
        <w:tc>
          <w:tcPr>
            <w:tcW w:w="840" w:type="dxa"/>
            <w:shd w:val="clear" w:color="auto" w:fill="auto"/>
            <w:noWrap/>
            <w:vAlign w:val="center"/>
          </w:tcPr>
          <w:p w14:paraId="6A5FEC02">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25分</w:t>
            </w:r>
          </w:p>
        </w:tc>
        <w:tc>
          <w:tcPr>
            <w:tcW w:w="7217" w:type="dxa"/>
            <w:shd w:val="clear" w:color="auto" w:fill="auto"/>
            <w:noWrap/>
            <w:vAlign w:val="center"/>
          </w:tcPr>
          <w:p w14:paraId="224F33FB">
            <w:pPr>
              <w:keepNext w:val="0"/>
              <w:keepLines w:val="0"/>
              <w:pageBreakBefore w:val="0"/>
              <w:widowControl w:val="0"/>
              <w:numPr>
                <w:ilvl w:val="0"/>
                <w:numId w:val="0"/>
              </w:numPr>
              <w:kinsoku/>
              <w:wordWrap/>
              <w:overflowPunct/>
              <w:topLinePunct w:val="0"/>
              <w:autoSpaceDE/>
              <w:autoSpaceDN/>
              <w:bidi w:val="0"/>
              <w:snapToGrid/>
              <w:spacing w:line="500" w:lineRule="exact"/>
              <w:ind w:firstLine="0" w:firstLine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（1）人员配备（15分）：</w:t>
            </w:r>
          </w:p>
          <w:p w14:paraId="48CCA3A8">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①满足资格条件项目配备人员要求的得基本分13分；</w:t>
            </w:r>
          </w:p>
          <w:p w14:paraId="41555816">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②所配备的注册造价工程师中，同时具有工程</w:t>
            </w:r>
            <w:r>
              <w:rPr>
                <w:rFonts w:hint="eastAsia" w:hAnsi="宋体" w:cs="宋体"/>
                <w:b w:val="0"/>
                <w:bCs w:val="0"/>
                <w:color w:val="auto"/>
                <w:kern w:val="2"/>
                <w:sz w:val="21"/>
                <w:szCs w:val="21"/>
                <w:highlight w:val="none"/>
                <w:lang w:val="en-US" w:eastAsia="zh-CN" w:bidi="ar-SA"/>
              </w:rPr>
              <w:t>或</w:t>
            </w:r>
            <w:r>
              <w:rPr>
                <w:rFonts w:hint="eastAsia" w:ascii="Times New Roman" w:hAnsi="宋体" w:eastAsia="宋体" w:cs="宋体"/>
                <w:b w:val="0"/>
                <w:bCs w:val="0"/>
                <w:color w:val="auto"/>
                <w:kern w:val="2"/>
                <w:sz w:val="21"/>
                <w:szCs w:val="21"/>
                <w:highlight w:val="none"/>
                <w:lang w:val="en-US" w:eastAsia="zh-CN" w:bidi="ar-SA"/>
              </w:rPr>
              <w:t>工程经济类高级职称（社会化评审）或建筑工程类其他专业一级（国家级）注册资格（如注册建筑师、注册建造师、注册监理工程师等）的，每1人加1分，满分2分。</w:t>
            </w:r>
          </w:p>
          <w:p w14:paraId="31174CB4">
            <w:pPr>
              <w:pStyle w:val="12"/>
              <w:keepNext w:val="0"/>
              <w:keepLines w:val="0"/>
              <w:pageBreakBefore w:val="0"/>
              <w:widowControl w:val="0"/>
              <w:kinsoku/>
              <w:wordWrap/>
              <w:overflowPunct/>
              <w:topLinePunct w:val="0"/>
              <w:autoSpaceDE/>
              <w:autoSpaceDN/>
              <w:bidi w:val="0"/>
              <w:adjustRightInd/>
              <w:snapToGrid/>
              <w:spacing w:line="500" w:lineRule="exact"/>
              <w:ind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（2）人员社保（退休人员除外）缴纳时间（10分）：</w:t>
            </w:r>
          </w:p>
          <w:p w14:paraId="0992ACB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①项目所配全部人员在投标企业连续缴纳6个月社保的，得基本分6分；</w:t>
            </w:r>
          </w:p>
          <w:p w14:paraId="090E3D6B">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②项目所配全部人员在投标企业连续缴纳9个月社保的，另加2分；</w:t>
            </w:r>
          </w:p>
          <w:p w14:paraId="34626DD7">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default" w:ascii="Times New Roman" w:hAnsi="宋体" w:eastAsia="宋体" w:cs="宋体"/>
                <w:b w:val="0"/>
                <w:bCs w:val="0"/>
                <w:color w:val="auto"/>
                <w:kern w:val="2"/>
                <w:sz w:val="21"/>
                <w:szCs w:val="21"/>
                <w:highlight w:val="none"/>
                <w:lang w:val="en-US" w:eastAsia="zh-CN" w:bidi="ar-SA"/>
              </w:rPr>
              <w:t>③</w:t>
            </w:r>
            <w:r>
              <w:rPr>
                <w:rFonts w:hint="eastAsia" w:ascii="Times New Roman" w:hAnsi="宋体" w:eastAsia="宋体" w:cs="宋体"/>
                <w:b w:val="0"/>
                <w:bCs w:val="0"/>
                <w:color w:val="auto"/>
                <w:kern w:val="2"/>
                <w:sz w:val="21"/>
                <w:szCs w:val="21"/>
                <w:highlight w:val="none"/>
                <w:lang w:val="en-US" w:eastAsia="zh-CN" w:bidi="ar-SA"/>
              </w:rPr>
              <w:t>项目所配全部人员在投标企业连续缴纳12个月社保的，再另加2分。</w:t>
            </w:r>
          </w:p>
          <w:p w14:paraId="1BD34201">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三个打分层级，有一人不满足某层级条件的，该层级不得分。</w:t>
            </w:r>
          </w:p>
          <w:p w14:paraId="1A570023">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注：（1）社保缴纳时间自202</w:t>
            </w:r>
            <w:r>
              <w:rPr>
                <w:rFonts w:hint="eastAsia" w:hAnsi="宋体" w:cs="宋体"/>
                <w:b w:val="0"/>
                <w:bCs w:val="0"/>
                <w:color w:val="auto"/>
                <w:kern w:val="2"/>
                <w:sz w:val="21"/>
                <w:szCs w:val="21"/>
                <w:highlight w:val="none"/>
                <w:lang w:val="en-US" w:eastAsia="zh-CN" w:bidi="ar-SA"/>
              </w:rPr>
              <w:t>6</w:t>
            </w:r>
            <w:r>
              <w:rPr>
                <w:rFonts w:hint="eastAsia" w:ascii="Times New Roman" w:hAnsi="宋体" w:eastAsia="宋体" w:cs="宋体"/>
                <w:b w:val="0"/>
                <w:bCs w:val="0"/>
                <w:color w:val="auto"/>
                <w:kern w:val="2"/>
                <w:sz w:val="21"/>
                <w:szCs w:val="21"/>
                <w:highlight w:val="none"/>
                <w:lang w:val="en-US" w:eastAsia="zh-CN" w:bidi="ar-SA"/>
              </w:rPr>
              <w:t>年</w:t>
            </w:r>
            <w:r>
              <w:rPr>
                <w:rFonts w:hint="eastAsia" w:hAnsi="宋体" w:cs="宋体"/>
                <w:b w:val="0"/>
                <w:bCs w:val="0"/>
                <w:color w:val="auto"/>
                <w:kern w:val="2"/>
                <w:sz w:val="21"/>
                <w:szCs w:val="21"/>
                <w:highlight w:val="none"/>
                <w:lang w:val="en-US" w:eastAsia="zh-CN" w:bidi="ar-SA"/>
              </w:rPr>
              <w:t>8</w:t>
            </w:r>
            <w:r>
              <w:rPr>
                <w:rFonts w:hint="eastAsia" w:ascii="Times New Roman" w:hAnsi="宋体" w:eastAsia="宋体" w:cs="宋体"/>
                <w:b w:val="0"/>
                <w:bCs w:val="0"/>
                <w:color w:val="auto"/>
                <w:kern w:val="2"/>
                <w:sz w:val="21"/>
                <w:szCs w:val="21"/>
                <w:highlight w:val="none"/>
                <w:lang w:val="en-US" w:eastAsia="zh-CN" w:bidi="ar-SA"/>
              </w:rPr>
              <w:t>月起往前连续计算</w:t>
            </w:r>
            <w:r>
              <w:rPr>
                <w:rFonts w:hint="eastAsia" w:hAnsi="宋体" w:cs="宋体"/>
                <w:b w:val="0"/>
                <w:bCs w:val="0"/>
                <w:color w:val="auto"/>
                <w:kern w:val="2"/>
                <w:sz w:val="21"/>
                <w:szCs w:val="21"/>
                <w:highlight w:val="none"/>
                <w:lang w:val="en-US" w:eastAsia="zh-CN" w:bidi="ar-SA"/>
              </w:rPr>
              <w:t>。</w:t>
            </w:r>
          </w:p>
          <w:p w14:paraId="6D2E5126">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宋体" w:hAnsi="宋体" w:eastAsia="宋体" w:cs="宋体"/>
                <w:b/>
                <w:bCs/>
                <w:color w:val="auto"/>
                <w:sz w:val="21"/>
                <w:szCs w:val="21"/>
                <w:highlight w:val="none"/>
              </w:rPr>
            </w:pPr>
            <w:r>
              <w:rPr>
                <w:rFonts w:hint="eastAsia" w:ascii="Times New Roman" w:hAnsi="宋体" w:eastAsia="宋体" w:cs="宋体"/>
                <w:b w:val="0"/>
                <w:bCs w:val="0"/>
                <w:color w:val="auto"/>
                <w:kern w:val="2"/>
                <w:sz w:val="21"/>
                <w:szCs w:val="21"/>
                <w:highlight w:val="none"/>
                <w:lang w:val="en-US" w:eastAsia="zh-CN" w:bidi="ar-SA"/>
              </w:rPr>
              <w:t>（2）退休人员需提供身份证、人社部门颁发的离退休证和与企业签订的劳动合同，退休人员数量超过项目所配备总人数五分之一的，扣除基本分6分。</w:t>
            </w:r>
          </w:p>
        </w:tc>
      </w:tr>
      <w:tr w14:paraId="3ADF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60E00CD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078" w:type="dxa"/>
            <w:shd w:val="clear" w:color="auto" w:fill="auto"/>
            <w:noWrap/>
            <w:vAlign w:val="center"/>
          </w:tcPr>
          <w:p w14:paraId="1F24DE65">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咨询服务方案</w:t>
            </w:r>
          </w:p>
        </w:tc>
        <w:tc>
          <w:tcPr>
            <w:tcW w:w="840" w:type="dxa"/>
            <w:shd w:val="clear" w:color="auto" w:fill="auto"/>
            <w:noWrap/>
            <w:vAlign w:val="center"/>
          </w:tcPr>
          <w:p w14:paraId="62BF9E61">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15分</w:t>
            </w:r>
          </w:p>
        </w:tc>
        <w:tc>
          <w:tcPr>
            <w:tcW w:w="7217" w:type="dxa"/>
            <w:shd w:val="clear" w:color="auto" w:fill="auto"/>
            <w:noWrap/>
            <w:vAlign w:val="center"/>
          </w:tcPr>
          <w:p w14:paraId="00AE56A7">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ascii="Times New Roman" w:hAnsi="宋体" w:eastAsia="宋体" w:cs="宋体"/>
                <w:b w:val="0"/>
                <w:bCs w:val="0"/>
                <w:color w:val="auto"/>
                <w:kern w:val="2"/>
                <w:sz w:val="21"/>
                <w:szCs w:val="21"/>
                <w:highlight w:val="none"/>
                <w:lang w:val="en-US" w:eastAsia="zh-CN" w:bidi="ar-SA"/>
              </w:rPr>
              <w:t>对工程造价咨询服务方案中组织管理、质量管理、进度管理、档案管理、信息及数据管理、合理化建议等内容，结合实际情况进行评审。</w:t>
            </w:r>
          </w:p>
          <w:p w14:paraId="5F5410AC">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1、</w:t>
            </w:r>
            <w:r>
              <w:rPr>
                <w:rFonts w:hint="eastAsia" w:ascii="Times New Roman" w:hAnsi="宋体" w:eastAsia="宋体" w:cs="宋体"/>
                <w:b w:val="0"/>
                <w:bCs w:val="0"/>
                <w:color w:val="auto"/>
                <w:kern w:val="2"/>
                <w:sz w:val="21"/>
                <w:szCs w:val="21"/>
                <w:highlight w:val="none"/>
                <w:lang w:val="en-US" w:eastAsia="zh-CN" w:bidi="ar-SA"/>
              </w:rPr>
              <w:t>方案完整、针对性强得</w:t>
            </w:r>
            <w:r>
              <w:rPr>
                <w:rFonts w:hint="eastAsia" w:hAnsi="宋体" w:cs="宋体"/>
                <w:b w:val="0"/>
                <w:bCs w:val="0"/>
                <w:color w:val="auto"/>
                <w:kern w:val="2"/>
                <w:sz w:val="21"/>
                <w:szCs w:val="21"/>
                <w:highlight w:val="none"/>
                <w:lang w:val="en-US" w:eastAsia="zh-CN" w:bidi="ar-SA"/>
              </w:rPr>
              <w:t>15</w:t>
            </w:r>
            <w:r>
              <w:rPr>
                <w:rFonts w:hint="eastAsia" w:ascii="Times New Roman" w:hAnsi="宋体" w:eastAsia="宋体" w:cs="宋体"/>
                <w:b w:val="0"/>
                <w:bCs w:val="0"/>
                <w:color w:val="auto"/>
                <w:kern w:val="2"/>
                <w:sz w:val="21"/>
                <w:szCs w:val="21"/>
                <w:highlight w:val="none"/>
                <w:lang w:val="en-US" w:eastAsia="zh-CN" w:bidi="ar-SA"/>
              </w:rPr>
              <w:t>分；</w:t>
            </w:r>
          </w:p>
          <w:p w14:paraId="6C632315">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2、</w:t>
            </w:r>
            <w:r>
              <w:rPr>
                <w:rFonts w:hint="eastAsia" w:ascii="Times New Roman" w:hAnsi="宋体" w:eastAsia="宋体" w:cs="宋体"/>
                <w:b w:val="0"/>
                <w:bCs w:val="0"/>
                <w:color w:val="auto"/>
                <w:kern w:val="2"/>
                <w:sz w:val="21"/>
                <w:szCs w:val="21"/>
                <w:highlight w:val="none"/>
                <w:lang w:val="en-US" w:eastAsia="zh-CN" w:bidi="ar-SA"/>
              </w:rPr>
              <w:t>方案较完整、有一定针对性得</w:t>
            </w:r>
            <w:r>
              <w:rPr>
                <w:rFonts w:hint="eastAsia" w:hAnsi="宋体" w:cs="宋体"/>
                <w:b w:val="0"/>
                <w:bCs w:val="0"/>
                <w:color w:val="auto"/>
                <w:kern w:val="2"/>
                <w:sz w:val="21"/>
                <w:szCs w:val="21"/>
                <w:highlight w:val="none"/>
                <w:lang w:val="en-US" w:eastAsia="zh-CN" w:bidi="ar-SA"/>
              </w:rPr>
              <w:t>13.5</w:t>
            </w:r>
            <w:r>
              <w:rPr>
                <w:rFonts w:hint="eastAsia" w:ascii="Times New Roman" w:hAnsi="宋体" w:eastAsia="宋体" w:cs="宋体"/>
                <w:b w:val="0"/>
                <w:bCs w:val="0"/>
                <w:color w:val="auto"/>
                <w:kern w:val="2"/>
                <w:sz w:val="21"/>
                <w:szCs w:val="21"/>
                <w:highlight w:val="none"/>
                <w:lang w:val="en-US" w:eastAsia="zh-CN" w:bidi="ar-SA"/>
              </w:rPr>
              <w:t>分；</w:t>
            </w:r>
          </w:p>
          <w:p w14:paraId="6EC157CB">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3、</w:t>
            </w:r>
            <w:r>
              <w:rPr>
                <w:rFonts w:hint="eastAsia" w:ascii="Times New Roman" w:hAnsi="宋体" w:eastAsia="宋体" w:cs="宋体"/>
                <w:b w:val="0"/>
                <w:bCs w:val="0"/>
                <w:color w:val="auto"/>
                <w:kern w:val="2"/>
                <w:sz w:val="21"/>
                <w:szCs w:val="21"/>
                <w:highlight w:val="none"/>
                <w:lang w:val="en-US" w:eastAsia="zh-CN" w:bidi="ar-SA"/>
              </w:rPr>
              <w:t>方案有瑕疵但能基本满足要求、针对性弱得</w:t>
            </w:r>
            <w:r>
              <w:rPr>
                <w:rFonts w:hint="eastAsia" w:hAnsi="宋体" w:cs="宋体"/>
                <w:b w:val="0"/>
                <w:bCs w:val="0"/>
                <w:color w:val="auto"/>
                <w:kern w:val="2"/>
                <w:sz w:val="21"/>
                <w:szCs w:val="21"/>
                <w:highlight w:val="none"/>
                <w:lang w:val="en-US" w:eastAsia="zh-CN" w:bidi="ar-SA"/>
              </w:rPr>
              <w:t>12</w:t>
            </w:r>
            <w:r>
              <w:rPr>
                <w:rFonts w:hint="eastAsia" w:ascii="Times New Roman" w:hAnsi="宋体" w:eastAsia="宋体" w:cs="宋体"/>
                <w:b w:val="0"/>
                <w:bCs w:val="0"/>
                <w:color w:val="auto"/>
                <w:kern w:val="2"/>
                <w:sz w:val="21"/>
                <w:szCs w:val="21"/>
                <w:highlight w:val="none"/>
                <w:lang w:val="en-US" w:eastAsia="zh-CN" w:bidi="ar-SA"/>
              </w:rPr>
              <w:t>分。</w:t>
            </w:r>
          </w:p>
          <w:p w14:paraId="0A3F196A">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default" w:ascii="Times New Roman" w:hAnsi="宋体" w:eastAsia="宋体" w:cs="宋体"/>
                <w:b w:val="0"/>
                <w:bCs w:val="0"/>
                <w:color w:val="auto"/>
                <w:kern w:val="2"/>
                <w:sz w:val="21"/>
                <w:szCs w:val="21"/>
                <w:highlight w:val="none"/>
                <w:lang w:val="en-US" w:eastAsia="zh-CN" w:bidi="ar-SA"/>
              </w:rPr>
            </w:pPr>
            <w:r>
              <w:rPr>
                <w:rFonts w:hint="eastAsia" w:hAnsi="宋体" w:cs="宋体"/>
                <w:b w:val="0"/>
                <w:bCs w:val="0"/>
                <w:color w:val="auto"/>
                <w:kern w:val="2"/>
                <w:sz w:val="21"/>
                <w:szCs w:val="21"/>
                <w:highlight w:val="none"/>
                <w:lang w:val="en-US" w:eastAsia="zh-CN" w:bidi="ar-SA"/>
              </w:rPr>
              <w:t>4、未提供不得分。</w:t>
            </w:r>
          </w:p>
          <w:p w14:paraId="51CA8202">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bCs/>
                <w:color w:val="auto"/>
                <w:kern w:val="2"/>
                <w:sz w:val="21"/>
                <w:szCs w:val="21"/>
                <w:highlight w:val="none"/>
                <w:lang w:val="en-US" w:eastAsia="zh-CN" w:bidi="ar-SA"/>
              </w:rPr>
            </w:pPr>
            <w:r>
              <w:rPr>
                <w:rFonts w:hint="eastAsia" w:ascii="Times New Roman" w:hAnsi="宋体" w:eastAsia="宋体" w:cs="宋体"/>
                <w:b/>
                <w:bCs/>
                <w:color w:val="auto"/>
                <w:kern w:val="2"/>
                <w:sz w:val="21"/>
                <w:szCs w:val="21"/>
                <w:highlight w:val="none"/>
                <w:lang w:val="en-US" w:eastAsia="zh-CN" w:bidi="ar-SA"/>
              </w:rPr>
              <w:t>注：</w:t>
            </w:r>
            <w:r>
              <w:rPr>
                <w:rFonts w:hint="eastAsia" w:hAnsi="宋体" w:cs="宋体"/>
                <w:b/>
                <w:bCs/>
                <w:color w:val="auto"/>
                <w:kern w:val="2"/>
                <w:sz w:val="21"/>
                <w:szCs w:val="21"/>
                <w:highlight w:val="none"/>
                <w:lang w:val="en-US" w:eastAsia="zh-CN" w:bidi="ar-SA"/>
              </w:rPr>
              <w:t>（1）</w:t>
            </w:r>
            <w:r>
              <w:rPr>
                <w:rFonts w:hint="eastAsia" w:ascii="Times New Roman" w:hAnsi="宋体" w:eastAsia="宋体" w:cs="宋体"/>
                <w:b/>
                <w:bCs/>
                <w:color w:val="auto"/>
                <w:kern w:val="2"/>
                <w:sz w:val="21"/>
                <w:szCs w:val="21"/>
                <w:highlight w:val="none"/>
                <w:lang w:val="en-US" w:eastAsia="zh-CN" w:bidi="ar-SA"/>
              </w:rPr>
              <w:t>如发现咨询服务方案内容背离招标文件要求的或与招标文件内容不符的，不得分。</w:t>
            </w:r>
          </w:p>
          <w:p w14:paraId="52A74DC6">
            <w:pPr>
              <w:pStyle w:val="12"/>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宋体" w:eastAsia="宋体" w:cs="宋体"/>
                <w:b w:val="0"/>
                <w:bCs w:val="0"/>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（2）咨询服务方案</w:t>
            </w:r>
            <w:r>
              <w:rPr>
                <w:rFonts w:hint="eastAsia" w:ascii="Times New Roman" w:hAnsi="宋体" w:eastAsia="宋体" w:cs="宋体"/>
                <w:b/>
                <w:bCs/>
                <w:color w:val="auto"/>
                <w:kern w:val="2"/>
                <w:sz w:val="21"/>
                <w:szCs w:val="21"/>
                <w:highlight w:val="none"/>
                <w:lang w:val="en-US" w:eastAsia="zh-CN" w:bidi="ar-SA"/>
              </w:rPr>
              <w:t>编制页数不多于10页。具体篇幅要求及扣分标准（扣分值为0.2分）。偏离规定标准的，评标委员会应酌情扣分。</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5</w:t>
            </w:r>
          </w:p>
        </w:tc>
        <w:tc>
          <w:tcPr>
            <w:tcW w:w="1078" w:type="dxa"/>
            <w:shd w:val="clear" w:color="auto" w:fill="auto"/>
            <w:noWrap/>
            <w:vAlign w:val="center"/>
          </w:tcPr>
          <w:p w14:paraId="71981CC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30分</w:t>
            </w:r>
          </w:p>
        </w:tc>
        <w:tc>
          <w:tcPr>
            <w:tcW w:w="7217" w:type="dxa"/>
            <w:shd w:val="clear" w:color="auto" w:fill="auto"/>
            <w:noWrap/>
            <w:vAlign w:val="center"/>
          </w:tcPr>
          <w:p w14:paraId="15B7A86C">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满足招标文件要求的得30分。</w:t>
            </w:r>
          </w:p>
        </w:tc>
      </w:tr>
    </w:tbl>
    <w:p w14:paraId="3800892F">
      <w:pPr>
        <w:jc w:val="center"/>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五、推荐中标候选人</w:t>
      </w:r>
      <w:bookmarkEnd w:id="58"/>
      <w:bookmarkEnd w:id="59"/>
      <w:bookmarkEnd w:id="60"/>
    </w:p>
    <w:bookmarkEnd w:id="48"/>
    <w:p w14:paraId="2F62E0BE">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7.评标委员会按得分之和从高到低按顺序，推荐3名中标候选人。 </w:t>
      </w:r>
    </w:p>
    <w:p w14:paraId="59A643FB">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7.1总得分相同的，由</w:t>
      </w:r>
      <w:r>
        <w:rPr>
          <w:rFonts w:hint="eastAsia" w:ascii="宋体" w:hAnsi="宋体" w:cs="宋体"/>
          <w:color w:val="auto"/>
          <w:szCs w:val="21"/>
          <w:highlight w:val="none"/>
          <w:lang w:val="en-US" w:eastAsia="zh-CN"/>
        </w:rPr>
        <w:t>招标人</w:t>
      </w:r>
      <w:r>
        <w:rPr>
          <w:rFonts w:hint="eastAsia" w:ascii="宋体" w:hAnsi="宋体" w:cs="宋体"/>
          <w:color w:val="auto"/>
          <w:kern w:val="0"/>
          <w:sz w:val="21"/>
          <w:szCs w:val="21"/>
          <w:highlight w:val="none"/>
          <w:lang w:val="en-US" w:eastAsia="zh-CN" w:bidi="ar-SA"/>
        </w:rPr>
        <w:t>或评标委员会主任</w:t>
      </w:r>
      <w:r>
        <w:rPr>
          <w:rFonts w:hint="eastAsia" w:ascii="宋体" w:hAnsi="宋体" w:cs="宋体"/>
          <w:color w:val="auto"/>
          <w:szCs w:val="21"/>
          <w:highlight w:val="none"/>
        </w:rPr>
        <w:t>现场采取随机摇号的方式确定中标候选人。</w:t>
      </w:r>
    </w:p>
    <w:p w14:paraId="252BC8E5">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7.2</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keepNext w:val="0"/>
        <w:keepLines w:val="0"/>
        <w:pageBreakBefore w:val="0"/>
        <w:widowControl w:val="0"/>
        <w:kinsoku/>
        <w:wordWrap/>
        <w:overflowPunct/>
        <w:topLinePunct w:val="0"/>
        <w:autoSpaceDE/>
        <w:autoSpaceDN/>
        <w:bidi w:val="0"/>
        <w:adjustRightInd/>
        <w:snapToGrid w:val="0"/>
        <w:spacing w:line="500" w:lineRule="exact"/>
        <w:ind w:left="0" w:leftChars="0"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61" w:name="_Hlk61815781"/>
      <w:r>
        <w:rPr>
          <w:rFonts w:hint="eastAsia" w:ascii="宋体" w:hAnsi="宋体" w:cs="宋体"/>
          <w:b/>
          <w:color w:val="auto"/>
          <w:szCs w:val="21"/>
          <w:highlight w:val="none"/>
        </w:rPr>
        <w:t>无效投标条款</w:t>
      </w:r>
    </w:p>
    <w:p w14:paraId="0617F08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keepNext w:val="0"/>
        <w:keepLines w:val="0"/>
        <w:pageBreakBefore w:val="0"/>
        <w:widowControl w:val="0"/>
        <w:kinsoku/>
        <w:wordWrap/>
        <w:overflowPunct/>
        <w:topLinePunct w:val="0"/>
        <w:autoSpaceDE/>
        <w:autoSpaceDN/>
        <w:bidi w:val="0"/>
        <w:adjustRightInd/>
        <w:snapToGrid w:val="0"/>
        <w:spacing w:line="500" w:lineRule="exact"/>
        <w:ind w:right="-212" w:rightChars="-101"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(6)不按评标委员会要求澄清、说明或补正的，或者评标委员会根据招标文件的规定对招标文件的计算错误进行修正后，投标人不接受修正的投标报价的。</w:t>
      </w:r>
    </w:p>
    <w:p w14:paraId="2155D06A">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(7)其它情形，经评标委员会委提出按无效投标处理的；</w:t>
      </w:r>
    </w:p>
    <w:p w14:paraId="44942F7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)其它情形，经评标委员会委提出按无效投标处理的；</w:t>
      </w:r>
    </w:p>
    <w:p w14:paraId="3B0AA0B8">
      <w:pPr>
        <w:keepNext w:val="0"/>
        <w:keepLines w:val="0"/>
        <w:pageBreakBefore w:val="0"/>
        <w:widowControl w:val="0"/>
        <w:kinsoku/>
        <w:wordWrap/>
        <w:overflowPunct/>
        <w:topLinePunct w:val="0"/>
        <w:autoSpaceDE/>
        <w:autoSpaceDN/>
        <w:bidi w:val="0"/>
        <w:adjustRightInd/>
        <w:snapToGrid w:val="0"/>
        <w:spacing w:line="500" w:lineRule="exact"/>
        <w:ind w:left="0" w:leftChars="0" w:firstLine="420" w:firstLineChars="200"/>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49"/>
      <w:bookmarkEnd w:id="61"/>
      <w:bookmarkStart w:id="62" w:name="_Toc449028945"/>
      <w:bookmarkStart w:id="63" w:name="_Toc58430329"/>
      <w:r>
        <w:rPr>
          <w:rFonts w:hint="eastAsia" w:ascii="宋体" w:hAnsi="宋体" w:cs="宋体"/>
          <w:color w:val="auto"/>
          <w:szCs w:val="21"/>
          <w:highlight w:val="none"/>
          <w:lang w:eastAsia="zh-CN"/>
        </w:rPr>
        <w:t>。</w:t>
      </w:r>
    </w:p>
    <w:p w14:paraId="11564C30">
      <w:pP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br w:type="page"/>
      </w:r>
    </w:p>
    <w:p w14:paraId="5F242F47">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643" w:firstLineChars="200"/>
        <w:jc w:val="center"/>
        <w:textAlignment w:val="auto"/>
        <w:rPr>
          <w:rFonts w:hint="eastAsia"/>
          <w:b/>
          <w:bCs/>
          <w:color w:val="auto"/>
          <w:sz w:val="32"/>
          <w:szCs w:val="32"/>
          <w:highlight w:val="none"/>
        </w:rPr>
      </w:pP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 xml:space="preserve"> </w:t>
      </w:r>
      <w:r>
        <w:rPr>
          <w:rFonts w:hint="eastAsia"/>
          <w:b/>
          <w:bCs/>
          <w:color w:val="auto"/>
          <w:sz w:val="32"/>
          <w:szCs w:val="32"/>
          <w:highlight w:val="none"/>
          <w:lang w:val="en-US" w:eastAsia="zh-CN"/>
        </w:rPr>
        <w:t>采购</w:t>
      </w:r>
      <w:r>
        <w:rPr>
          <w:rFonts w:hint="eastAsia"/>
          <w:b/>
          <w:bCs/>
          <w:color w:val="auto"/>
          <w:sz w:val="32"/>
          <w:szCs w:val="32"/>
          <w:highlight w:val="none"/>
        </w:rPr>
        <w:t>内容及要求</w:t>
      </w:r>
    </w:p>
    <w:p w14:paraId="60BDE8AE">
      <w:pPr>
        <w:keepNext w:val="0"/>
        <w:keepLines w:val="0"/>
        <w:pageBreakBefore w:val="0"/>
        <w:widowControl/>
        <w:kinsoku/>
        <w:wordWrap/>
        <w:overflowPunct/>
        <w:topLinePunct w:val="0"/>
        <w:autoSpaceDE/>
        <w:autoSpaceDN/>
        <w:bidi w:val="0"/>
        <w:adjustRightInd/>
        <w:snapToGrid w:val="0"/>
        <w:spacing w:line="500" w:lineRule="exact"/>
        <w:ind w:firstLine="422" w:firstLineChars="200"/>
        <w:jc w:val="left"/>
        <w:textAlignment w:val="baseline"/>
        <w:rPr>
          <w:rFonts w:hint="eastAsia" w:ascii="宋体" w:hAnsi="宋体" w:eastAsia="宋体" w:cs="宋体"/>
          <w:b/>
          <w:color w:val="auto"/>
          <w:kern w:val="0"/>
          <w:sz w:val="21"/>
          <w:szCs w:val="21"/>
          <w:highlight w:val="none"/>
          <w:u w:val="none" w:color="000000"/>
        </w:rPr>
      </w:pPr>
      <w:r>
        <w:rPr>
          <w:rFonts w:hint="eastAsia" w:ascii="宋体" w:hAnsi="宋体" w:eastAsia="宋体" w:cs="宋体"/>
          <w:b/>
          <w:color w:val="auto"/>
          <w:kern w:val="0"/>
          <w:sz w:val="21"/>
          <w:szCs w:val="21"/>
          <w:highlight w:val="none"/>
          <w:u w:val="none" w:color="000000"/>
        </w:rPr>
        <w:t>一、项目跟踪审计内容</w:t>
      </w:r>
    </w:p>
    <w:p w14:paraId="04D9F429">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1.成立项目跟踪审计组，编制跟踪审计实施方案，确定投资控制目标、重点环节及应对措施； </w:t>
      </w:r>
    </w:p>
    <w:p w14:paraId="4691ED70">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2.审核项目前期资料（图纸、工程量清单及控制价、招标投标文件、施工合同等），向甲方提交审核结果；</w:t>
      </w:r>
    </w:p>
    <w:p w14:paraId="28AF8CBA">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3.对承包方上报的请款期已完成合格工程量的计量、计价进行审核，并提供按工程形象进度付款的意见、建议。</w:t>
      </w:r>
    </w:p>
    <w:p w14:paraId="5AD7B226">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4.及时核定分阶段完工的项目分部、分项工程价款结算，项目竣工后，及时提交完整的竣工结算审核报告；</w:t>
      </w:r>
    </w:p>
    <w:p w14:paraId="05839CF9">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5.协助甲方及时审核设计变更、经济签证等发生的费用，超过一定限额的，提请甲方履行报批程序；</w:t>
      </w:r>
    </w:p>
    <w:p w14:paraId="650B1C55">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6.项目承、发包方发生工程价款结算争议时，为甲方提供咨询意见；</w:t>
      </w:r>
    </w:p>
    <w:p w14:paraId="6189A19F">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7.参与项目建设管理的有关会议，对项目投资控制的有关事项发表独立审计意见； </w:t>
      </w:r>
    </w:p>
    <w:p w14:paraId="4359FFE0">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8.其他与项目投资控制相关的工作。</w:t>
      </w:r>
    </w:p>
    <w:p w14:paraId="6D617293">
      <w:pPr>
        <w:keepNext w:val="0"/>
        <w:keepLines w:val="0"/>
        <w:pageBreakBefore w:val="0"/>
        <w:widowControl/>
        <w:numPr>
          <w:ilvl w:val="0"/>
          <w:numId w:val="10"/>
        </w:numPr>
        <w:kinsoku/>
        <w:wordWrap/>
        <w:overflowPunct/>
        <w:topLinePunct w:val="0"/>
        <w:autoSpaceDE/>
        <w:autoSpaceDN/>
        <w:bidi w:val="0"/>
        <w:adjustRightInd/>
        <w:snapToGrid w:val="0"/>
        <w:spacing w:line="500" w:lineRule="exact"/>
        <w:ind w:firstLine="422" w:firstLineChars="200"/>
        <w:jc w:val="left"/>
        <w:textAlignment w:val="baseline"/>
        <w:rPr>
          <w:rFonts w:hint="eastAsia" w:ascii="宋体" w:hAnsi="宋体" w:eastAsia="宋体" w:cs="宋体"/>
          <w:b/>
          <w:color w:val="auto"/>
          <w:kern w:val="0"/>
          <w:sz w:val="21"/>
          <w:szCs w:val="21"/>
          <w:highlight w:val="none"/>
          <w:u w:val="none" w:color="000000"/>
          <w:lang w:val="en-US" w:eastAsia="zh-CN"/>
        </w:rPr>
      </w:pPr>
      <w:r>
        <w:rPr>
          <w:rFonts w:hint="eastAsia" w:ascii="宋体" w:hAnsi="宋体" w:eastAsia="宋体" w:cs="宋体"/>
          <w:b/>
          <w:color w:val="auto"/>
          <w:kern w:val="0"/>
          <w:sz w:val="21"/>
          <w:szCs w:val="21"/>
          <w:highlight w:val="none"/>
          <w:u w:val="none" w:color="000000"/>
        </w:rPr>
        <w:t>项目跟踪审计质量要</w:t>
      </w:r>
      <w:r>
        <w:rPr>
          <w:rFonts w:hint="eastAsia" w:ascii="宋体" w:hAnsi="宋体" w:eastAsia="宋体" w:cs="宋体"/>
          <w:b/>
          <w:color w:val="auto"/>
          <w:kern w:val="0"/>
          <w:sz w:val="21"/>
          <w:szCs w:val="21"/>
          <w:highlight w:val="none"/>
          <w:u w:val="none" w:color="000000"/>
          <w:lang w:val="en-US" w:eastAsia="zh-CN"/>
        </w:rPr>
        <w:t>求</w:t>
      </w:r>
    </w:p>
    <w:p w14:paraId="4BE60895">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出具的项目竣工结算审核报告进行复审或抽查，审查结果误差按以下办法处理：（1）审查结果误差率在2%以内（含），可按照委托协议约定收取审计服务费用；（2）审查结果误差在2%-3%（含）之间，审计服务费用扣除15%；（3）审查结果误差在3%-4%（含）之间，审计服务费用扣除30%；（4）审查结果误差超过4%, 全额扣除审计服务费用；</w:t>
      </w:r>
    </w:p>
    <w:p w14:paraId="2F177AE8">
      <w:pPr>
        <w:keepNext w:val="0"/>
        <w:keepLines w:val="0"/>
        <w:pageBreakBefore w:val="0"/>
        <w:kinsoku/>
        <w:wordWrap/>
        <w:overflowPunct/>
        <w:topLinePunct w:val="0"/>
        <w:autoSpaceDE/>
        <w:autoSpaceDN/>
        <w:bidi w:val="0"/>
        <w:adjustRightInd/>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2.若乙方出现无证人员执业、挂靠执业、执业人员不到岗等违反国家、省、市相关工程造价管理文件规定，被建设行政主管部门记两次不良行为记录或列入黑名单的，甲方将终止委托审计业务；</w:t>
      </w:r>
    </w:p>
    <w:p w14:paraId="032582D9">
      <w:pPr>
        <w:keepNext w:val="0"/>
        <w:keepLines w:val="0"/>
        <w:pageBreakBefore w:val="0"/>
        <w:widowControl/>
        <w:kinsoku/>
        <w:wordWrap/>
        <w:overflowPunct/>
        <w:topLinePunct w:val="0"/>
        <w:autoSpaceDE/>
        <w:autoSpaceDN/>
        <w:bidi w:val="0"/>
        <w:adjustRightInd/>
        <w:spacing w:line="500" w:lineRule="exact"/>
        <w:jc w:val="left"/>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3.若乙方出现因违背行业准则和规范的行为被司法、纪检、检察、公安、建设行政主管部门等查处的，甲方将终止委托审计业务。</w:t>
      </w:r>
    </w:p>
    <w:p w14:paraId="0ADB5F36">
      <w:pPr>
        <w:keepNext w:val="0"/>
        <w:keepLines w:val="0"/>
        <w:pageBreakBefore w:val="0"/>
        <w:widowControl w:val="0"/>
        <w:numPr>
          <w:ilvl w:val="0"/>
          <w:numId w:val="9"/>
        </w:numPr>
        <w:kinsoku/>
        <w:wordWrap/>
        <w:overflowPunct/>
        <w:topLinePunct w:val="0"/>
        <w:autoSpaceDE/>
        <w:autoSpaceDN/>
        <w:bidi w:val="0"/>
        <w:adjustRightInd/>
        <w:snapToGrid w:val="0"/>
        <w:spacing w:line="500" w:lineRule="exact"/>
        <w:ind w:left="0" w:leftChars="0" w:firstLine="420" w:firstLineChars="2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br w:type="page"/>
      </w:r>
    </w:p>
    <w:p w14:paraId="5EAC221E">
      <w:pPr>
        <w:keepNext w:val="0"/>
        <w:keepLines w:val="0"/>
        <w:pageBreakBefore w:val="0"/>
        <w:widowControl w:val="0"/>
        <w:kinsoku/>
        <w:wordWrap/>
        <w:overflowPunct/>
        <w:topLinePunct w:val="0"/>
        <w:autoSpaceDE/>
        <w:autoSpaceDN/>
        <w:bidi w:val="0"/>
        <w:adjustRightInd/>
        <w:snapToGrid w:val="0"/>
        <w:spacing w:before="157" w:beforeLines="50" w:after="157" w:afterLines="50" w:line="440" w:lineRule="exact"/>
        <w:ind w:left="0" w:leftChars="0" w:firstLine="643" w:firstLineChars="200"/>
        <w:jc w:val="center"/>
        <w:textAlignment w:val="auto"/>
        <w:rPr>
          <w:rFonts w:hint="default" w:ascii="宋体"/>
          <w:b/>
          <w:color w:val="auto"/>
          <w:sz w:val="32"/>
          <w:szCs w:val="32"/>
          <w:highlight w:val="none"/>
          <w:lang w:val="en-US" w:eastAsia="zh-CN"/>
        </w:rPr>
      </w:pPr>
      <w:r>
        <w:rPr>
          <w:rFonts w:hint="eastAsia" w:ascii="宋体"/>
          <w:b/>
          <w:color w:val="auto"/>
          <w:sz w:val="32"/>
          <w:szCs w:val="32"/>
          <w:highlight w:val="none"/>
          <w:lang w:val="en-US" w:eastAsia="zh-CN"/>
        </w:rPr>
        <w:t xml:space="preserve">第五章  </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合同条款及格式</w:t>
      </w:r>
    </w:p>
    <w:p w14:paraId="595E018C">
      <w:pPr>
        <w:snapToGrid w:val="0"/>
        <w:spacing w:line="480" w:lineRule="exact"/>
        <w:jc w:val="center"/>
        <w:rPr>
          <w:rFonts w:hint="eastAsia" w:ascii="宋体" w:hAnsi="宋体" w:cs="宋体"/>
          <w:b/>
          <w:color w:val="auto"/>
          <w:kern w:val="0"/>
          <w:sz w:val="36"/>
          <w:szCs w:val="36"/>
          <w:highlight w:val="none"/>
        </w:rPr>
      </w:pPr>
      <w:bookmarkStart w:id="64" w:name="_Toc331685784"/>
      <w:r>
        <w:rPr>
          <w:rFonts w:hint="eastAsia" w:ascii="宋体" w:hAnsi="宋体" w:cs="宋体"/>
          <w:b/>
          <w:color w:val="auto"/>
          <w:kern w:val="0"/>
          <w:sz w:val="36"/>
          <w:szCs w:val="36"/>
          <w:highlight w:val="none"/>
          <w:lang w:val="en-US" w:eastAsia="zh-CN"/>
        </w:rPr>
        <w:t>中新苏滁高新技术产业开发区</w:t>
      </w:r>
      <w:r>
        <w:rPr>
          <w:rFonts w:hint="eastAsia" w:ascii="宋体" w:hAnsi="宋体" w:cs="宋体"/>
          <w:b/>
          <w:color w:val="auto"/>
          <w:kern w:val="0"/>
          <w:sz w:val="36"/>
          <w:szCs w:val="36"/>
          <w:highlight w:val="none"/>
          <w:lang w:eastAsia="zh-CN"/>
        </w:rPr>
        <w:t>建设</w:t>
      </w:r>
      <w:r>
        <w:rPr>
          <w:rFonts w:hint="eastAsia" w:ascii="宋体" w:hAnsi="宋体" w:cs="宋体"/>
          <w:b/>
          <w:color w:val="auto"/>
          <w:kern w:val="0"/>
          <w:sz w:val="36"/>
          <w:szCs w:val="36"/>
          <w:highlight w:val="none"/>
        </w:rPr>
        <w:t>项目</w:t>
      </w:r>
    </w:p>
    <w:p w14:paraId="75E304DB">
      <w:pPr>
        <w:snapToGrid w:val="0"/>
        <w:spacing w:line="480" w:lineRule="exact"/>
        <w:jc w:val="center"/>
        <w:rPr>
          <w:rFonts w:hint="eastAsia" w:ascii="仿宋_GB2312" w:hAnsi="仿宋" w:eastAsia="仿宋_GB2312" w:cs="宋体"/>
          <w:color w:val="auto"/>
          <w:kern w:val="0"/>
          <w:sz w:val="28"/>
          <w:szCs w:val="28"/>
          <w:highlight w:val="none"/>
        </w:rPr>
      </w:pPr>
      <w:r>
        <w:rPr>
          <w:rFonts w:hint="eastAsia" w:ascii="宋体" w:hAnsi="宋体" w:cs="宋体"/>
          <w:b/>
          <w:color w:val="auto"/>
          <w:kern w:val="0"/>
          <w:sz w:val="36"/>
          <w:szCs w:val="36"/>
          <w:highlight w:val="none"/>
        </w:rPr>
        <w:t>跟踪审计委托协议</w:t>
      </w:r>
    </w:p>
    <w:p w14:paraId="377FF67A">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rPr>
        <w:t>委托方（甲方）：</w:t>
      </w:r>
      <w:r>
        <w:rPr>
          <w:rFonts w:hint="eastAsia" w:ascii="宋体" w:hAnsi="宋体" w:eastAsia="宋体" w:cs="宋体"/>
          <w:color w:val="auto"/>
          <w:kern w:val="0"/>
          <w:sz w:val="21"/>
          <w:szCs w:val="21"/>
          <w:highlight w:val="none"/>
          <w:u w:val="single"/>
          <w:lang w:val="en-US" w:eastAsia="zh-CN"/>
        </w:rPr>
        <w:t xml:space="preserve">中新苏滁高新技术产业开发区管理委员会    </w:t>
      </w:r>
    </w:p>
    <w:p w14:paraId="37E3C296">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kern w:val="0"/>
          <w:sz w:val="21"/>
          <w:szCs w:val="21"/>
          <w:highlight w:val="none"/>
          <w:u w:val="single"/>
          <w:lang w:val="en-US"/>
        </w:rPr>
      </w:pPr>
      <w:r>
        <w:rPr>
          <w:rFonts w:hint="eastAsia" w:ascii="宋体" w:hAnsi="宋体" w:eastAsia="宋体" w:cs="宋体"/>
          <w:color w:val="auto"/>
          <w:kern w:val="0"/>
          <w:sz w:val="21"/>
          <w:szCs w:val="21"/>
          <w:highlight w:val="none"/>
        </w:rPr>
        <w:t>受托方（乙方）：</w:t>
      </w:r>
      <w:r>
        <w:rPr>
          <w:rFonts w:hint="eastAsia" w:ascii="宋体" w:hAnsi="宋体" w:eastAsia="宋体" w:cs="宋体"/>
          <w:color w:val="auto"/>
          <w:kern w:val="0"/>
          <w:sz w:val="21"/>
          <w:szCs w:val="21"/>
          <w:highlight w:val="none"/>
          <w:u w:val="single"/>
          <w:lang w:val="en-US" w:eastAsia="zh-CN"/>
        </w:rPr>
        <w:t xml:space="preserve">                                           </w:t>
      </w:r>
    </w:p>
    <w:p w14:paraId="460FE1F0">
      <w:pPr>
        <w:keepNext w:val="0"/>
        <w:keepLines w:val="0"/>
        <w:pageBreakBefore w:val="0"/>
        <w:widowControl/>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为保证</w:t>
      </w:r>
      <w:r>
        <w:rPr>
          <w:rFonts w:hint="eastAsia" w:ascii="宋体" w:hAnsi="宋体" w:eastAsia="宋体" w:cs="宋体"/>
          <w:color w:val="auto"/>
          <w:kern w:val="0"/>
          <w:sz w:val="21"/>
          <w:szCs w:val="21"/>
          <w:highlight w:val="none"/>
          <w:lang w:val="en-US" w:eastAsia="zh-CN"/>
        </w:rPr>
        <w:t>中新苏滁高新技术产业开发区</w:t>
      </w:r>
      <w:r>
        <w:rPr>
          <w:rFonts w:hint="eastAsia" w:ascii="宋体" w:hAnsi="宋体" w:eastAsia="宋体" w:cs="宋体"/>
          <w:color w:val="auto"/>
          <w:kern w:val="0"/>
          <w:sz w:val="21"/>
          <w:szCs w:val="21"/>
          <w:highlight w:val="none"/>
        </w:rPr>
        <w:t>建设项目跟踪审计工作质量和效率，依据《中华人民共和国审计法》、《中华人民共和国</w:t>
      </w:r>
      <w:r>
        <w:rPr>
          <w:rFonts w:hint="eastAsia" w:ascii="宋体" w:hAnsi="宋体" w:eastAsia="宋体" w:cs="宋体"/>
          <w:color w:val="auto"/>
          <w:kern w:val="0"/>
          <w:sz w:val="21"/>
          <w:szCs w:val="21"/>
          <w:highlight w:val="none"/>
          <w:lang w:val="en-US" w:eastAsia="zh-CN"/>
        </w:rPr>
        <w:t>民法典</w:t>
      </w:r>
      <w:r>
        <w:rPr>
          <w:rFonts w:hint="eastAsia" w:ascii="宋体" w:hAnsi="宋体" w:eastAsia="宋体" w:cs="宋体"/>
          <w:color w:val="auto"/>
          <w:kern w:val="0"/>
          <w:sz w:val="21"/>
          <w:szCs w:val="21"/>
          <w:highlight w:val="none"/>
        </w:rPr>
        <w:t>》、《中新苏滁高新技术产业开发区建设项目审计监督管理办法》等有关法律法规，甲、乙双方经协商一致，自愿签订本协议。</w:t>
      </w:r>
    </w:p>
    <w:p w14:paraId="4D7C6150">
      <w:pPr>
        <w:keepNext w:val="0"/>
        <w:keepLines w:val="0"/>
        <w:pageBreakBefore w:val="0"/>
        <w:kinsoku/>
        <w:wordWrap/>
        <w:overflowPunct/>
        <w:topLinePunct w:val="0"/>
        <w:autoSpaceDE/>
        <w:autoSpaceDN/>
        <w:bidi w:val="0"/>
        <w:snapToGrid w:val="0"/>
        <w:spacing w:line="500" w:lineRule="exact"/>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一、跟踪审计项目</w:t>
      </w:r>
    </w:p>
    <w:p w14:paraId="3A39601D">
      <w:pPr>
        <w:keepNext w:val="0"/>
        <w:keepLines w:val="0"/>
        <w:pageBreakBefore w:val="0"/>
        <w:kinsoku/>
        <w:wordWrap/>
        <w:overflowPunct/>
        <w:topLinePunct w:val="0"/>
        <w:autoSpaceDE/>
        <w:autoSpaceDN/>
        <w:bidi w:val="0"/>
        <w:snapToGrid w:val="0"/>
        <w:spacing w:line="500" w:lineRule="exact"/>
        <w:ind w:firstLine="570"/>
        <w:textAlignment w:val="auto"/>
        <w:rPr>
          <w:rFonts w:hint="eastAsia"/>
          <w:color w:val="auto"/>
          <w:u w:val="single"/>
        </w:rPr>
      </w:pPr>
      <w:r>
        <w:rPr>
          <w:rFonts w:hint="eastAsia" w:ascii="宋体" w:hAnsi="宋体" w:eastAsia="宋体" w:cs="宋体"/>
          <w:color w:val="auto"/>
          <w:kern w:val="0"/>
          <w:sz w:val="21"/>
          <w:szCs w:val="21"/>
          <w:highlight w:val="none"/>
        </w:rPr>
        <w:t>1.项目名称：</w:t>
      </w:r>
      <w:r>
        <w:rPr>
          <w:rFonts w:hint="eastAsia"/>
          <w:color w:val="auto"/>
          <w:u w:val="single"/>
        </w:rPr>
        <w:t>中新苏滁高新区超级电容智能制造基地二期项目</w:t>
      </w:r>
    </w:p>
    <w:p w14:paraId="6217B83F">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2.项目投资额</w:t>
      </w:r>
      <w:r>
        <w:rPr>
          <w:rFonts w:hint="eastAsia" w:ascii="宋体" w:hAnsi="宋体" w:eastAsia="宋体" w:cs="宋体"/>
          <w:color w:val="auto"/>
          <w:kern w:val="0"/>
          <w:sz w:val="21"/>
          <w:szCs w:val="21"/>
          <w:highlight w:val="none"/>
          <w:u w:val="single"/>
        </w:rPr>
        <w:t>：新建厂房、电芯库、厂区道路等主体，项目总建筑面积约3.23万㎡，包括土方工程、地基与基础工程、建筑结构及装饰工程、钢结构工程、安装工程、厂区道路、绿化等，总投资额约6500万元</w:t>
      </w:r>
      <w:r>
        <w:rPr>
          <w:rFonts w:hint="eastAsia" w:ascii="宋体" w:hAnsi="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审计费用约</w:t>
      </w:r>
      <w:r>
        <w:rPr>
          <w:rFonts w:hint="eastAsia" w:ascii="宋体" w:hAnsi="宋体" w:cs="宋体"/>
          <w:color w:val="auto"/>
          <w:kern w:val="0"/>
          <w:sz w:val="21"/>
          <w:szCs w:val="21"/>
          <w:highlight w:val="none"/>
          <w:u w:val="single"/>
          <w:lang w:val="en-US" w:eastAsia="zh-CN"/>
        </w:rPr>
        <w:t>18.5</w:t>
      </w:r>
      <w:r>
        <w:rPr>
          <w:rFonts w:hint="eastAsia" w:ascii="宋体" w:hAnsi="宋体" w:eastAsia="宋体" w:cs="宋体"/>
          <w:color w:val="auto"/>
          <w:kern w:val="0"/>
          <w:sz w:val="21"/>
          <w:szCs w:val="21"/>
          <w:highlight w:val="none"/>
          <w:u w:val="single"/>
        </w:rPr>
        <w:t>万元</w:t>
      </w:r>
      <w:r>
        <w:rPr>
          <w:rFonts w:hint="eastAsia" w:ascii="宋体" w:hAnsi="宋体" w:eastAsia="宋体" w:cs="宋体"/>
          <w:color w:val="auto"/>
          <w:kern w:val="0"/>
          <w:sz w:val="21"/>
          <w:szCs w:val="21"/>
          <w:highlight w:val="none"/>
          <w:u w:val="single"/>
          <w:lang w:eastAsia="zh-CN"/>
        </w:rPr>
        <w:t>。</w:t>
      </w:r>
    </w:p>
    <w:p w14:paraId="350CD9FF">
      <w:pPr>
        <w:keepNext w:val="0"/>
        <w:keepLines w:val="0"/>
        <w:pageBreakBefore w:val="0"/>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二、项目跟踪审计内容</w:t>
      </w:r>
    </w:p>
    <w:p w14:paraId="034CA62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1.成立项目跟踪审计组，编制跟踪审计实施方案，确定投资控制目标、重点环节及应对措施； </w:t>
      </w:r>
    </w:p>
    <w:p w14:paraId="0827564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2.审核项目前期资料（图纸、工程量清单及控制价、招标投标文件、施工合同等），向甲方提交审核结果；</w:t>
      </w:r>
    </w:p>
    <w:p w14:paraId="113AD01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3.对承包方上报的请款期已完成合格工程量的计量、计价进行审核，并提供按工程形象进度付款的意见、建议。</w:t>
      </w:r>
    </w:p>
    <w:p w14:paraId="1913EF8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4.及时核定分阶段完工的项目分部、分项工程价款结算，项目竣工后，及时提交完整的竣工结算审核报告；</w:t>
      </w:r>
    </w:p>
    <w:p w14:paraId="24E213B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5.协助甲方及时审核设计变更、经济签证等发生的费用，超过一定限额的，提请甲方履行报批程序；</w:t>
      </w:r>
    </w:p>
    <w:p w14:paraId="0C0A8BCE">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6.项目承、发包方发生工程价款结算争议时，为甲方提供咨询意见；</w:t>
      </w:r>
    </w:p>
    <w:p w14:paraId="3142256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7.参与项目建设管理的有关会议，对项目投资控制的有关事项发表独立审计意见； </w:t>
      </w:r>
    </w:p>
    <w:p w14:paraId="64BDA1C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8.其他与项目投资控制相关的工作。</w:t>
      </w:r>
    </w:p>
    <w:p w14:paraId="14E2B15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三、项目跟踪审计制度及相关要求</w:t>
      </w:r>
    </w:p>
    <w:p w14:paraId="28BB3D9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1.滁州市政府投资项目审计“八不准制度”；</w:t>
      </w:r>
    </w:p>
    <w:p w14:paraId="75476AE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2.滁州市政府投资项目竣工结算审计结果备案制度；</w:t>
      </w:r>
    </w:p>
    <w:p w14:paraId="3134D3B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3.滁州市建设项目施工阶段全过程造价控制管理暂行办法；</w:t>
      </w:r>
    </w:p>
    <w:p w14:paraId="110A2D1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4.实行定期、分段报告制度。乙方应及时提交项目前期资料审核结果、竣工结算审核报告；</w:t>
      </w:r>
    </w:p>
    <w:p w14:paraId="1DDCAA4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5.加强对项目变更事项的合理性、经济性审核。对涉及工程造价的重大事项（如工程造价10万元以上的变更事项和设备、材料询价采购等）须及时书面报告甲方；</w:t>
      </w:r>
    </w:p>
    <w:p w14:paraId="7B6D1C9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6.协助甲方完成项目投资控制的各项工作，接受甲方的项目现场管理。</w:t>
      </w:r>
    </w:p>
    <w:p w14:paraId="3AC841C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四、项目跟踪审计组及人员配备要求</w:t>
      </w:r>
    </w:p>
    <w:p w14:paraId="44E2033A">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1.乙方须成立项目跟踪审计组，配备相应数量具有相关专业执业资质的审计人员。本项目审计组负责人为</w:t>
      </w:r>
      <w:r>
        <w:rPr>
          <w:rFonts w:hint="eastAsia" w:ascii="宋体" w:hAnsi="宋体" w:eastAsia="宋体" w:cs="宋体"/>
          <w:color w:val="auto"/>
          <w:sz w:val="21"/>
          <w:szCs w:val="21"/>
          <w:highlight w:val="none"/>
          <w:u w:val="single"/>
        </w:rPr>
        <w:t>姓名、注册造价师证书号、联系电话</w:t>
      </w:r>
      <w:r>
        <w:rPr>
          <w:rFonts w:hint="eastAsia" w:ascii="宋体" w:hAnsi="宋体" w:eastAsia="宋体" w:cs="宋体"/>
          <w:color w:val="auto"/>
          <w:sz w:val="21"/>
          <w:szCs w:val="21"/>
          <w:highlight w:val="none"/>
        </w:rPr>
        <w:t>，成员为</w:t>
      </w:r>
      <w:r>
        <w:rPr>
          <w:rFonts w:hint="eastAsia" w:ascii="宋体" w:hAnsi="宋体" w:eastAsia="宋体" w:cs="宋体"/>
          <w:color w:val="auto"/>
          <w:sz w:val="21"/>
          <w:szCs w:val="21"/>
          <w:highlight w:val="none"/>
          <w:u w:val="single"/>
        </w:rPr>
        <w:t>姓名、造价员证书号、联系电话</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姓名、造价员证书号、联系电话</w:t>
      </w:r>
      <w:r>
        <w:rPr>
          <w:rFonts w:hint="eastAsia" w:ascii="宋体" w:hAnsi="宋体" w:eastAsia="宋体" w:cs="宋体"/>
          <w:color w:val="auto"/>
          <w:sz w:val="21"/>
          <w:szCs w:val="21"/>
          <w:highlight w:val="none"/>
        </w:rPr>
        <w:t>；</w:t>
      </w:r>
    </w:p>
    <w:p w14:paraId="6F7828F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2.项目审计人员须服从甲方的工作安排，未经甲方许可，乙方不得随意更换、调整审计组人员。</w:t>
      </w:r>
    </w:p>
    <w:p w14:paraId="502B091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五、项目跟踪审计质量要求</w:t>
      </w:r>
    </w:p>
    <w:p w14:paraId="0DED7D6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对乙方出具的项目竣工结算审核报告进行复审或抽查，审查结果误差按以下办法处理：（1）审查结果误差率在2%以内（含），可按照委托协议约定收取审计服务费用；（2）审查结果误差在2%-3%（含）之间，审计服务费用扣除15%；（3）审查结果误差在3%-4%（含）之间，审计服务费用扣除30%；（4）审查结果误差超过4%, 全额扣除审计服务费用；</w:t>
      </w:r>
    </w:p>
    <w:p w14:paraId="24AE373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2.若乙方出现无证人员执业、挂靠执业、执业人员不到岗等违反国家、省、市相关工程造价管理文件规定，被建设行政主管部门记两次不良行为记录或列入黑名单的，甲方将终止委托审计业务；</w:t>
      </w:r>
    </w:p>
    <w:p w14:paraId="36E85A7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3.若乙方出现因违背行业准则和规范的行为被司法、纪检、检察、公安、建设行政主管部门等查处的，甲方将终止委托审计业务。</w:t>
      </w:r>
    </w:p>
    <w:p w14:paraId="39BEE0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六、项目跟踪审计服务费用标准及结算方式</w:t>
      </w:r>
    </w:p>
    <w:p w14:paraId="06BFE9B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1.项目跟踪审计服务费用标准</w:t>
      </w:r>
    </w:p>
    <w:p w14:paraId="22C7605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项目跟踪审计服务费用标准执行</w:t>
      </w:r>
      <w:r>
        <w:rPr>
          <w:rFonts w:hint="eastAsia" w:ascii="宋体" w:hAnsi="宋体" w:eastAsia="宋体" w:cs="宋体"/>
          <w:color w:val="auto"/>
          <w:sz w:val="21"/>
          <w:szCs w:val="21"/>
          <w:highlight w:val="none"/>
          <w:lang w:val="en-US" w:eastAsia="zh-CN"/>
        </w:rPr>
        <w:t>《中新苏滁高新技术产业开发区建设项目审计服务费用标准》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苏滁</w:t>
      </w:r>
      <w:r>
        <w:rPr>
          <w:rFonts w:hint="eastAsia" w:ascii="宋体" w:hAnsi="宋体" w:eastAsia="宋体" w:cs="宋体"/>
          <w:color w:val="auto"/>
          <w:sz w:val="21"/>
          <w:szCs w:val="21"/>
          <w:highlight w:val="none"/>
          <w:lang w:eastAsia="zh-CN"/>
        </w:rPr>
        <w:t>财</w:t>
      </w:r>
      <w:r>
        <w:rPr>
          <w:rFonts w:hint="eastAsia" w:ascii="宋体" w:hAnsi="宋体" w:eastAsia="宋体" w:cs="宋体"/>
          <w:color w:val="auto"/>
          <w:sz w:val="21"/>
          <w:szCs w:val="21"/>
          <w:highlight w:val="none"/>
        </w:rPr>
        <w:t>发〔</w:t>
      </w:r>
      <w:r>
        <w:rPr>
          <w:rFonts w:hint="eastAsia" w:ascii="宋体" w:hAnsi="宋体" w:eastAsia="宋体" w:cs="宋体"/>
          <w:color w:val="auto"/>
          <w:sz w:val="21"/>
          <w:szCs w:val="21"/>
          <w:highlight w:val="none"/>
          <w:lang w:val="en"/>
        </w:rPr>
        <w:t>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号</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p>
    <w:p w14:paraId="64D5519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计费标准：审计服务费用按照基本费用加审核成果费用计取，具体标准如下：</w:t>
      </w:r>
    </w:p>
    <w:p w14:paraId="1518641C">
      <w:pPr>
        <w:keepNext w:val="0"/>
        <w:keepLines w:val="0"/>
        <w:pageBreakBefore w:val="0"/>
        <w:kinsoku/>
        <w:wordWrap/>
        <w:overflowPunct/>
        <w:topLinePunct w:val="0"/>
        <w:autoSpaceDE/>
        <w:autoSpaceDN/>
        <w:bidi w:val="0"/>
        <w:snapToGrid w:val="0"/>
        <w:spacing w:line="500" w:lineRule="exact"/>
        <w:ind w:firstLine="630" w:firstLineChars="3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项目跟踪审计服务费用标准</w:t>
      </w:r>
    </w:p>
    <w:tbl>
      <w:tblPr>
        <w:tblStyle w:val="34"/>
        <w:tblW w:w="0" w:type="auto"/>
        <w:tblInd w:w="108" w:type="dxa"/>
        <w:tblLayout w:type="fixed"/>
        <w:tblCellMar>
          <w:top w:w="0" w:type="dxa"/>
          <w:left w:w="108" w:type="dxa"/>
          <w:bottom w:w="0" w:type="dxa"/>
          <w:right w:w="108" w:type="dxa"/>
        </w:tblCellMar>
      </w:tblPr>
      <w:tblGrid>
        <w:gridCol w:w="3240"/>
        <w:gridCol w:w="1440"/>
        <w:gridCol w:w="1980"/>
        <w:gridCol w:w="2412"/>
      </w:tblGrid>
      <w:tr w14:paraId="72830961">
        <w:tblPrEx>
          <w:tblCellMar>
            <w:top w:w="0" w:type="dxa"/>
            <w:left w:w="108" w:type="dxa"/>
            <w:bottom w:w="0" w:type="dxa"/>
            <w:right w:w="108" w:type="dxa"/>
          </w:tblCellMar>
        </w:tblPrEx>
        <w:trPr>
          <w:trHeight w:val="435" w:hRule="atLeast"/>
        </w:trPr>
        <w:tc>
          <w:tcPr>
            <w:tcW w:w="3240" w:type="dxa"/>
            <w:tcBorders>
              <w:top w:val="single" w:color="auto" w:sz="4" w:space="0"/>
              <w:left w:val="single" w:color="auto" w:sz="4" w:space="0"/>
              <w:bottom w:val="single" w:color="auto" w:sz="4" w:space="0"/>
              <w:right w:val="single" w:color="auto" w:sz="4" w:space="0"/>
            </w:tcBorders>
            <w:noWrap w:val="0"/>
            <w:vAlign w:val="center"/>
          </w:tcPr>
          <w:p w14:paraId="5682BC47">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工程造价金额（万元）</w:t>
            </w:r>
          </w:p>
        </w:tc>
        <w:tc>
          <w:tcPr>
            <w:tcW w:w="1440" w:type="dxa"/>
            <w:tcBorders>
              <w:top w:val="single" w:color="auto" w:sz="4" w:space="0"/>
              <w:left w:val="nil"/>
              <w:bottom w:val="single" w:color="auto" w:sz="4" w:space="0"/>
              <w:right w:val="single" w:color="auto" w:sz="4" w:space="0"/>
            </w:tcBorders>
            <w:noWrap w:val="0"/>
            <w:vAlign w:val="center"/>
          </w:tcPr>
          <w:p w14:paraId="47C7667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基本费用</w:t>
            </w:r>
          </w:p>
        </w:tc>
        <w:tc>
          <w:tcPr>
            <w:tcW w:w="1980" w:type="dxa"/>
            <w:tcBorders>
              <w:top w:val="single" w:color="auto" w:sz="4" w:space="0"/>
              <w:left w:val="nil"/>
              <w:bottom w:val="single" w:color="auto" w:sz="4" w:space="0"/>
              <w:right w:val="single" w:color="auto" w:sz="4" w:space="0"/>
            </w:tcBorders>
            <w:noWrap w:val="0"/>
            <w:vAlign w:val="center"/>
          </w:tcPr>
          <w:p w14:paraId="07BC7FC4">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审核成果费用</w:t>
            </w:r>
          </w:p>
        </w:tc>
        <w:tc>
          <w:tcPr>
            <w:tcW w:w="2412" w:type="dxa"/>
            <w:tcBorders>
              <w:top w:val="single" w:color="auto" w:sz="4" w:space="0"/>
              <w:left w:val="nil"/>
              <w:bottom w:val="single" w:color="auto" w:sz="4" w:space="0"/>
              <w:right w:val="single" w:color="auto" w:sz="4" w:space="0"/>
            </w:tcBorders>
            <w:noWrap w:val="0"/>
            <w:vAlign w:val="center"/>
          </w:tcPr>
          <w:p w14:paraId="7CFD0A88">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r>
      <w:tr w14:paraId="6E164904">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7C08E33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1000以内（含）</w:t>
            </w:r>
          </w:p>
        </w:tc>
        <w:tc>
          <w:tcPr>
            <w:tcW w:w="1440" w:type="dxa"/>
            <w:tcBorders>
              <w:top w:val="nil"/>
              <w:left w:val="nil"/>
              <w:bottom w:val="single" w:color="auto" w:sz="4" w:space="0"/>
              <w:right w:val="single" w:color="auto" w:sz="4" w:space="0"/>
            </w:tcBorders>
            <w:noWrap w:val="0"/>
            <w:vAlign w:val="bottom"/>
          </w:tcPr>
          <w:p w14:paraId="0BE49CD5">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80" w:type="dxa"/>
            <w:tcBorders>
              <w:top w:val="nil"/>
              <w:left w:val="nil"/>
              <w:bottom w:val="single" w:color="auto" w:sz="4" w:space="0"/>
              <w:right w:val="single" w:color="auto" w:sz="4" w:space="0"/>
            </w:tcBorders>
            <w:noWrap w:val="0"/>
            <w:vAlign w:val="bottom"/>
          </w:tcPr>
          <w:p w14:paraId="78C2FE15">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restart"/>
            <w:tcBorders>
              <w:top w:val="nil"/>
              <w:left w:val="single" w:color="auto" w:sz="4" w:space="0"/>
              <w:bottom w:val="single" w:color="auto" w:sz="4" w:space="0"/>
              <w:right w:val="single" w:color="auto" w:sz="4" w:space="0"/>
            </w:tcBorders>
            <w:noWrap w:val="0"/>
            <w:vAlign w:val="center"/>
          </w:tcPr>
          <w:p w14:paraId="29804D3B">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审计服务费用计费基础为项目工程造价（</w:t>
            </w:r>
            <w:r>
              <w:rPr>
                <w:rFonts w:hint="eastAsia" w:ascii="宋体" w:hAnsi="宋体" w:eastAsia="宋体" w:cs="宋体"/>
                <w:color w:val="auto"/>
                <w:sz w:val="21"/>
                <w:szCs w:val="21"/>
                <w:highlight w:val="none"/>
                <w:lang w:val="en-US" w:eastAsia="zh-CN"/>
              </w:rPr>
              <w:t>苏滁财政局</w:t>
            </w:r>
            <w:r>
              <w:rPr>
                <w:rFonts w:hint="eastAsia" w:ascii="宋体" w:hAnsi="宋体" w:eastAsia="宋体" w:cs="宋体"/>
                <w:color w:val="auto"/>
                <w:sz w:val="21"/>
                <w:szCs w:val="21"/>
                <w:highlight w:val="none"/>
                <w:lang w:eastAsia="zh-CN"/>
              </w:rPr>
              <w:t>审计中心</w:t>
            </w:r>
            <w:r>
              <w:rPr>
                <w:rFonts w:hint="eastAsia" w:ascii="宋体" w:hAnsi="宋体" w:eastAsia="宋体" w:cs="宋体"/>
                <w:color w:val="auto"/>
                <w:sz w:val="21"/>
                <w:szCs w:val="21"/>
                <w:highlight w:val="none"/>
              </w:rPr>
              <w:t>备案审查确定）</w:t>
            </w:r>
          </w:p>
        </w:tc>
      </w:tr>
      <w:tr w14:paraId="0DC30140">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4342CD2">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1000-5000以内（含）</w:t>
            </w:r>
          </w:p>
        </w:tc>
        <w:tc>
          <w:tcPr>
            <w:tcW w:w="1440" w:type="dxa"/>
            <w:tcBorders>
              <w:top w:val="nil"/>
              <w:left w:val="nil"/>
              <w:bottom w:val="single" w:color="auto" w:sz="4" w:space="0"/>
              <w:right w:val="single" w:color="auto" w:sz="4" w:space="0"/>
            </w:tcBorders>
            <w:noWrap w:val="0"/>
            <w:vAlign w:val="bottom"/>
          </w:tcPr>
          <w:p w14:paraId="260C187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80" w:type="dxa"/>
            <w:tcBorders>
              <w:top w:val="nil"/>
              <w:left w:val="nil"/>
              <w:bottom w:val="single" w:color="auto" w:sz="4" w:space="0"/>
              <w:right w:val="single" w:color="auto" w:sz="4" w:space="0"/>
            </w:tcBorders>
            <w:noWrap w:val="0"/>
            <w:vAlign w:val="bottom"/>
          </w:tcPr>
          <w:p w14:paraId="006BD473">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2BB3CF33">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206B02DA">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23D84A4">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5000-10000以内（含）</w:t>
            </w:r>
          </w:p>
        </w:tc>
        <w:tc>
          <w:tcPr>
            <w:tcW w:w="1440" w:type="dxa"/>
            <w:tcBorders>
              <w:top w:val="nil"/>
              <w:left w:val="nil"/>
              <w:bottom w:val="single" w:color="auto" w:sz="4" w:space="0"/>
              <w:right w:val="single" w:color="auto" w:sz="4" w:space="0"/>
            </w:tcBorders>
            <w:noWrap w:val="0"/>
            <w:vAlign w:val="bottom"/>
          </w:tcPr>
          <w:p w14:paraId="6E8D654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980" w:type="dxa"/>
            <w:tcBorders>
              <w:top w:val="nil"/>
              <w:left w:val="nil"/>
              <w:bottom w:val="single" w:color="auto" w:sz="4" w:space="0"/>
              <w:right w:val="single" w:color="auto" w:sz="4" w:space="0"/>
            </w:tcBorders>
            <w:noWrap w:val="0"/>
            <w:vAlign w:val="bottom"/>
          </w:tcPr>
          <w:p w14:paraId="53157149">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5EC31E38">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564DAB63">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59E3F278">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10000-30000以内（含）</w:t>
            </w:r>
          </w:p>
        </w:tc>
        <w:tc>
          <w:tcPr>
            <w:tcW w:w="1440" w:type="dxa"/>
            <w:tcBorders>
              <w:top w:val="nil"/>
              <w:left w:val="nil"/>
              <w:bottom w:val="single" w:color="auto" w:sz="4" w:space="0"/>
              <w:right w:val="single" w:color="auto" w:sz="4" w:space="0"/>
            </w:tcBorders>
            <w:noWrap w:val="0"/>
            <w:vAlign w:val="center"/>
          </w:tcPr>
          <w:p w14:paraId="7DE3D5E1">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980" w:type="dxa"/>
            <w:tcBorders>
              <w:top w:val="nil"/>
              <w:left w:val="nil"/>
              <w:bottom w:val="single" w:color="auto" w:sz="4" w:space="0"/>
              <w:right w:val="single" w:color="auto" w:sz="4" w:space="0"/>
            </w:tcBorders>
            <w:noWrap w:val="0"/>
            <w:vAlign w:val="center"/>
          </w:tcPr>
          <w:p w14:paraId="402B45F5">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412" w:type="dxa"/>
            <w:vMerge w:val="continue"/>
            <w:tcBorders>
              <w:top w:val="nil"/>
              <w:left w:val="single" w:color="auto" w:sz="4" w:space="0"/>
              <w:bottom w:val="single" w:color="auto" w:sz="4" w:space="0"/>
              <w:right w:val="single" w:color="auto" w:sz="4" w:space="0"/>
            </w:tcBorders>
            <w:noWrap w:val="0"/>
            <w:vAlign w:val="center"/>
          </w:tcPr>
          <w:p w14:paraId="689EC952">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r w14:paraId="7915085C">
        <w:tblPrEx>
          <w:tblCellMar>
            <w:top w:w="0" w:type="dxa"/>
            <w:left w:w="108" w:type="dxa"/>
            <w:bottom w:w="0" w:type="dxa"/>
            <w:right w:w="108" w:type="dxa"/>
          </w:tblCellMar>
        </w:tblPrEx>
        <w:trPr>
          <w:trHeight w:val="435" w:hRule="atLeast"/>
        </w:trPr>
        <w:tc>
          <w:tcPr>
            <w:tcW w:w="3240" w:type="dxa"/>
            <w:tcBorders>
              <w:top w:val="nil"/>
              <w:left w:val="single" w:color="auto" w:sz="4" w:space="0"/>
              <w:bottom w:val="single" w:color="auto" w:sz="4" w:space="0"/>
              <w:right w:val="single" w:color="auto" w:sz="4" w:space="0"/>
            </w:tcBorders>
            <w:noWrap w:val="0"/>
            <w:vAlign w:val="center"/>
          </w:tcPr>
          <w:p w14:paraId="2BCC7F4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30000以上</w:t>
            </w:r>
          </w:p>
        </w:tc>
        <w:tc>
          <w:tcPr>
            <w:tcW w:w="1440" w:type="dxa"/>
            <w:tcBorders>
              <w:top w:val="nil"/>
              <w:left w:val="nil"/>
              <w:bottom w:val="single" w:color="auto" w:sz="4" w:space="0"/>
              <w:right w:val="single" w:color="auto" w:sz="4" w:space="0"/>
            </w:tcBorders>
            <w:noWrap w:val="0"/>
            <w:vAlign w:val="center"/>
          </w:tcPr>
          <w:p w14:paraId="174E0D1E">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一事一议</w:t>
            </w:r>
          </w:p>
        </w:tc>
        <w:tc>
          <w:tcPr>
            <w:tcW w:w="1980" w:type="dxa"/>
            <w:tcBorders>
              <w:top w:val="nil"/>
              <w:left w:val="nil"/>
              <w:bottom w:val="single" w:color="auto" w:sz="4" w:space="0"/>
              <w:right w:val="single" w:color="auto" w:sz="4" w:space="0"/>
            </w:tcBorders>
            <w:noWrap w:val="0"/>
            <w:vAlign w:val="center"/>
          </w:tcPr>
          <w:p w14:paraId="04F33946">
            <w:pPr>
              <w:keepNext w:val="0"/>
              <w:keepLines w:val="0"/>
              <w:pageBreakBefore w:val="0"/>
              <w:kinsoku/>
              <w:wordWrap/>
              <w:overflowPunct/>
              <w:topLinePunct w:val="0"/>
              <w:autoSpaceDE/>
              <w:autoSpaceDN/>
              <w:bidi w:val="0"/>
              <w:snapToGrid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一事一议</w:t>
            </w:r>
          </w:p>
        </w:tc>
        <w:tc>
          <w:tcPr>
            <w:tcW w:w="2412" w:type="dxa"/>
            <w:vMerge w:val="continue"/>
            <w:tcBorders>
              <w:top w:val="nil"/>
              <w:left w:val="single" w:color="auto" w:sz="4" w:space="0"/>
              <w:bottom w:val="single" w:color="auto" w:sz="4" w:space="0"/>
              <w:right w:val="single" w:color="auto" w:sz="4" w:space="0"/>
            </w:tcBorders>
            <w:noWrap w:val="0"/>
            <w:vAlign w:val="center"/>
          </w:tcPr>
          <w:p w14:paraId="242CF69A">
            <w:pPr>
              <w:keepNext w:val="0"/>
              <w:keepLines w:val="0"/>
              <w:pageBreakBefore w:val="0"/>
              <w:kinsoku/>
              <w:wordWrap/>
              <w:overflowPunct/>
              <w:topLinePunct w:val="0"/>
              <w:autoSpaceDE/>
              <w:autoSpaceDN/>
              <w:bidi w:val="0"/>
              <w:snapToGrid w:val="0"/>
              <w:spacing w:line="500" w:lineRule="exact"/>
              <w:ind w:firstLine="630" w:firstLineChars="300"/>
              <w:textAlignment w:val="auto"/>
              <w:rPr>
                <w:rFonts w:hint="eastAsia" w:ascii="宋体" w:hAnsi="宋体" w:eastAsia="宋体" w:cs="宋体"/>
                <w:color w:val="auto"/>
                <w:sz w:val="21"/>
                <w:szCs w:val="21"/>
                <w:highlight w:val="none"/>
              </w:rPr>
            </w:pPr>
          </w:p>
        </w:tc>
      </w:tr>
    </w:tbl>
    <w:p w14:paraId="0272C34B">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说明：（1）跟踪审计费用计算方式为：基本费用+审核成果费用;</w:t>
      </w:r>
    </w:p>
    <w:p w14:paraId="0B069901">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（2）工程造价审减率超过10%的，其超过部分审计服务费用由施工单位承担，无审减额的，按基本费用收取。</w:t>
      </w:r>
    </w:p>
    <w:p w14:paraId="22765DF0">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2.项目跟踪审计费用结算方式</w:t>
      </w:r>
    </w:p>
    <w:p w14:paraId="59949F0E">
      <w:pPr>
        <w:keepNext w:val="0"/>
        <w:keepLines w:val="0"/>
        <w:pageBreakBefore w:val="0"/>
        <w:kinsoku/>
        <w:wordWrap/>
        <w:overflowPunct/>
        <w:topLinePunct w:val="0"/>
        <w:autoSpaceDE/>
        <w:autoSpaceDN/>
        <w:bidi w:val="0"/>
        <w:snapToGrid w:val="0"/>
        <w:spacing w:line="500" w:lineRule="exact"/>
        <w:ind w:firstLine="55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须按照《建设工程价款结算暂行办法》（财建﹝2004﹞369号）有关规定，及时完成项目审计工作并出具审核报告，交付甲方审查确认后，按照审计委托协议约定收取审计服务费用。经甲方确定，对工程造价5000万元以上（含）、实际工期超过六个月的项目，可按费用标准的30%预付审计服务费用；</w:t>
      </w:r>
    </w:p>
    <w:p w14:paraId="4932E38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（2）乙方未按要求完成跟踪审计工作并移交相关资料，甲方有权拒付审计服务费用，并按照《政府投资项目跟踪审计协审机构跟踪审计工作考核办法》的有关规定追究项目协审机构相关责任。</w:t>
      </w:r>
    </w:p>
    <w:p w14:paraId="452214C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七、项目跟踪审计工作考核奖惩</w:t>
      </w:r>
    </w:p>
    <w:p w14:paraId="4ED48F3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1.及时提出整改和加强管理的合理化建议得到采纳，对节约政府投资产生明显效果的，给予0.5万元-3万元的奖励；</w:t>
      </w:r>
    </w:p>
    <w:p w14:paraId="03911BD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2.发现案件线索并经纪检、检察机关等立案查实的，根据案值大小和性质情节，给予1万元－10万元的奖励；</w:t>
      </w:r>
    </w:p>
    <w:p w14:paraId="0299FCC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3.经核实，乙方有下列情形之一的，甲方可对乙方警告、扣减审计服务费用、终止审计委托协议等：</w:t>
      </w:r>
    </w:p>
    <w:p w14:paraId="342440E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（1）工程结算审核报告存在重大失误或质量低劣；</w:t>
      </w:r>
    </w:p>
    <w:p w14:paraId="03C6F722">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（2）因自身工作错误或过失造成重大损失；</w:t>
      </w:r>
    </w:p>
    <w:p w14:paraId="089E222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（3）未经允许私自向施工单位透露审核情况或信息；</w:t>
      </w:r>
    </w:p>
    <w:p w14:paraId="4FC642FC">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（4）向相关单位或个人索要财物等谋取不正当利益；</w:t>
      </w:r>
    </w:p>
    <w:p w14:paraId="3B26127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（5）单独或与其他各方串通舞弊、弄虚作假虚增；</w:t>
      </w:r>
    </w:p>
    <w:p w14:paraId="43A2930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（6）其他违反法律法规和政策的行为。</w:t>
      </w:r>
    </w:p>
    <w:p w14:paraId="57FBA754">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八、甲乙双方的权利和义务 </w:t>
      </w:r>
    </w:p>
    <w:p w14:paraId="351F148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1.甲方权利和义务 </w:t>
      </w:r>
    </w:p>
    <w:p w14:paraId="2C23A22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（1）甲方有权对乙方的跟踪审计项目实施监督，对乙方审计工作程序、质量和效率等进行检查考核；</w:t>
      </w:r>
    </w:p>
    <w:p w14:paraId="019E4ED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（2）项目跟踪审计过程中，甲方如发现乙方所派审计人员不符合要求或不能胜任岗位工作职责的，甲方有权要求乙方及时调换，或视情况给予相应的处理、处罚；</w:t>
      </w:r>
    </w:p>
    <w:p w14:paraId="1E9DAFB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（3）甲方保证乙方审计服务费用的按时到位。</w:t>
      </w:r>
    </w:p>
    <w:p w14:paraId="648DFF9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2.乙方权利和义务</w:t>
      </w:r>
    </w:p>
    <w:p w14:paraId="18AC462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（1）乙方在完成审计任务后，有权及时取得审计服务费用；</w:t>
      </w:r>
    </w:p>
    <w:p w14:paraId="07FDB98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（2）乙方须依照甲方工作要求及行业准则、规范，按时、保质、保量完成所承担的审计任务；</w:t>
      </w:r>
    </w:p>
    <w:p w14:paraId="714176D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（3）乙方必须对审计人员进行廉政教育，如发现有违反廉洁自律规定的行为，应立即更换人员，并对其严肃处理。同时，甲方可根据性质及情节，扣减相应审计服务费用。</w:t>
      </w:r>
    </w:p>
    <w:p w14:paraId="465B7CB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九、附则</w:t>
      </w:r>
    </w:p>
    <w:p w14:paraId="4BED85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1.本协议一式</w:t>
      </w:r>
      <w:r>
        <w:rPr>
          <w:rFonts w:hint="eastAsia" w:ascii="宋体" w:hAnsi="宋体" w:eastAsia="宋体" w:cs="宋体"/>
          <w:color w:val="auto"/>
          <w:sz w:val="21"/>
          <w:szCs w:val="21"/>
          <w:highlight w:val="none"/>
          <w:lang w:val="en-US" w:eastAsia="zh-CN"/>
        </w:rPr>
        <w:t>贰</w:t>
      </w:r>
      <w:r>
        <w:rPr>
          <w:rFonts w:hint="eastAsia" w:ascii="宋体" w:hAnsi="宋体" w:eastAsia="宋体" w:cs="宋体"/>
          <w:color w:val="auto"/>
          <w:sz w:val="21"/>
          <w:szCs w:val="21"/>
          <w:highlight w:val="none"/>
        </w:rPr>
        <w:t>份，具有同等法律效力，甲方、乙方各执</w:t>
      </w:r>
      <w:r>
        <w:rPr>
          <w:rFonts w:hint="eastAsia" w:ascii="宋体" w:hAnsi="宋体" w:eastAsia="宋体" w:cs="宋体"/>
          <w:color w:val="auto"/>
          <w:sz w:val="21"/>
          <w:szCs w:val="21"/>
          <w:highlight w:val="none"/>
          <w:lang w:val="en-US" w:eastAsia="zh-CN"/>
        </w:rPr>
        <w:t>壹</w:t>
      </w:r>
      <w:r>
        <w:rPr>
          <w:rFonts w:hint="eastAsia" w:ascii="宋体" w:hAnsi="宋体" w:eastAsia="宋体" w:cs="宋体"/>
          <w:color w:val="auto"/>
          <w:sz w:val="21"/>
          <w:szCs w:val="21"/>
          <w:highlight w:val="none"/>
        </w:rPr>
        <w:t>份。</w:t>
      </w:r>
    </w:p>
    <w:p w14:paraId="7D2FABD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2.本协议未尽事宜，由甲乙双方协商解决。协商不成，可向滁州市南谯区人民法院提起诉讼。</w:t>
      </w:r>
    </w:p>
    <w:p w14:paraId="2A4DD26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3.本合同自双方签章后生效。</w:t>
      </w:r>
    </w:p>
    <w:p w14:paraId="76F461FB">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sz w:val="21"/>
          <w:szCs w:val="21"/>
          <w:highlight w:val="none"/>
        </w:rPr>
      </w:pPr>
    </w:p>
    <w:p w14:paraId="48372113">
      <w:pPr>
        <w:keepNext w:val="0"/>
        <w:keepLines w:val="0"/>
        <w:pageBreakBefore w:val="0"/>
        <w:kinsoku/>
        <w:wordWrap/>
        <w:overflowPunct/>
        <w:topLinePunct w:val="0"/>
        <w:autoSpaceDE/>
        <w:autoSpaceDN/>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甲方（签章）                   乙方（签章）</w:t>
      </w:r>
    </w:p>
    <w:p w14:paraId="7A12548C">
      <w:pPr>
        <w:pStyle w:val="29"/>
        <w:keepNext w:val="0"/>
        <w:keepLines w:val="0"/>
        <w:pageBreakBefore w:val="0"/>
        <w:kinsoku/>
        <w:wordWrap/>
        <w:overflowPunct/>
        <w:topLinePunct w:val="0"/>
        <w:autoSpaceDE/>
        <w:autoSpaceDN/>
        <w:bidi w:val="0"/>
        <w:snapToGrid w:val="0"/>
        <w:spacing w:before="0" w:beforeAutospacing="0" w:after="0" w:afterAutospacing="0" w:line="500" w:lineRule="exact"/>
        <w:textAlignment w:val="auto"/>
        <w:rPr>
          <w:rFonts w:hint="eastAsia" w:ascii="宋体" w:hAnsi="宋体" w:eastAsia="宋体" w:cs="宋体"/>
          <w:color w:val="auto"/>
          <w:sz w:val="21"/>
          <w:szCs w:val="21"/>
          <w:highlight w:val="none"/>
        </w:rPr>
      </w:pPr>
    </w:p>
    <w:p w14:paraId="231A4546">
      <w:pPr>
        <w:pStyle w:val="29"/>
        <w:keepNext w:val="0"/>
        <w:keepLines w:val="0"/>
        <w:pageBreakBefore w:val="0"/>
        <w:kinsoku/>
        <w:wordWrap/>
        <w:overflowPunct/>
        <w:topLinePunct w:val="0"/>
        <w:autoSpaceDE/>
        <w:autoSpaceDN/>
        <w:bidi w:val="0"/>
        <w:snapToGrid w:val="0"/>
        <w:spacing w:before="0" w:beforeAutospacing="0" w:after="0" w:afterAutospacing="0" w:line="500" w:lineRule="exact"/>
        <w:ind w:firstLine="1365" w:firstLineChars="650"/>
        <w:textAlignment w:val="auto"/>
        <w:rPr>
          <w:rFonts w:hint="eastAsia" w:ascii="宋体" w:hAnsi="宋体" w:eastAsia="宋体" w:cs="宋体"/>
          <w:color w:val="auto"/>
          <w:sz w:val="21"/>
          <w:szCs w:val="21"/>
          <w:highlight w:val="none"/>
        </w:rPr>
      </w:pPr>
    </w:p>
    <w:p w14:paraId="1300616C">
      <w:pPr>
        <w:pStyle w:val="29"/>
        <w:keepNext w:val="0"/>
        <w:keepLines w:val="0"/>
        <w:pageBreakBefore w:val="0"/>
        <w:kinsoku/>
        <w:wordWrap/>
        <w:overflowPunct/>
        <w:topLinePunct w:val="0"/>
        <w:autoSpaceDE/>
        <w:autoSpaceDN/>
        <w:bidi w:val="0"/>
        <w:snapToGrid w:val="0"/>
        <w:spacing w:before="0" w:beforeAutospacing="0" w:after="0" w:afterAutospacing="0" w:line="500" w:lineRule="exact"/>
        <w:ind w:firstLine="1365" w:firstLineChars="650"/>
        <w:textAlignment w:val="auto"/>
        <w:rPr>
          <w:rFonts w:hint="eastAsia" w:ascii="宋体" w:hAnsi="宋体" w:eastAsia="宋体" w:cs="宋体"/>
          <w:color w:val="auto"/>
          <w:sz w:val="21"/>
          <w:szCs w:val="21"/>
          <w:highlight w:val="none"/>
        </w:rPr>
      </w:pPr>
    </w:p>
    <w:p w14:paraId="0B0E76EA">
      <w:pPr>
        <w:pStyle w:val="29"/>
        <w:keepNext w:val="0"/>
        <w:keepLines w:val="0"/>
        <w:pageBreakBefore w:val="0"/>
        <w:kinsoku/>
        <w:wordWrap/>
        <w:overflowPunct/>
        <w:topLinePunct w:val="0"/>
        <w:autoSpaceDE/>
        <w:autoSpaceDN/>
        <w:bidi w:val="0"/>
        <w:snapToGrid w:val="0"/>
        <w:spacing w:before="0" w:beforeAutospacing="0" w:after="0" w:afterAutospacing="0" w:line="500" w:lineRule="exac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年    月    日                 年   月   日</w:t>
      </w:r>
      <w:r>
        <w:rPr>
          <w:rFonts w:hint="eastAsia" w:ascii="宋体" w:hAnsi="宋体" w:eastAsia="宋体" w:cs="宋体"/>
          <w:color w:val="auto"/>
          <w:kern w:val="2"/>
          <w:sz w:val="21"/>
          <w:szCs w:val="21"/>
          <w:highlight w:val="none"/>
        </w:rPr>
        <w:t xml:space="preserve"> </w:t>
      </w:r>
    </w:p>
    <w:p w14:paraId="5BC3344F">
      <w:pPr>
        <w:pStyle w:val="29"/>
        <w:snapToGrid w:val="0"/>
        <w:spacing w:before="0" w:beforeAutospacing="0" w:after="0" w:afterAutospacing="0" w:line="480" w:lineRule="exact"/>
        <w:ind w:firstLine="640" w:firstLineChars="200"/>
        <w:rPr>
          <w:rFonts w:ascii="宋体" w:hAnsi="宋体" w:cs="宋体"/>
          <w:bCs/>
          <w:color w:val="auto"/>
          <w:sz w:val="32"/>
          <w:szCs w:val="32"/>
          <w:highlight w:val="none"/>
        </w:rPr>
        <w:sectPr>
          <w:footerReference r:id="rId8" w:type="default"/>
          <w:pgSz w:w="11906" w:h="16838"/>
          <w:pgMar w:top="1134" w:right="1236" w:bottom="1134" w:left="1236" w:header="680" w:footer="680" w:gutter="0"/>
          <w:pgNumType w:fmt="numberInDash"/>
          <w:cols w:space="0" w:num="1"/>
          <w:rtlGutter w:val="0"/>
          <w:docGrid w:type="lines" w:linePitch="312" w:charSpace="0"/>
        </w:sectPr>
      </w:pPr>
    </w:p>
    <w:bookmarkEnd w:id="64"/>
    <w:p w14:paraId="6E698501">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六</w:t>
      </w:r>
      <w:r>
        <w:rPr>
          <w:rFonts w:hint="eastAsia" w:ascii="宋体"/>
          <w:b/>
          <w:color w:val="auto"/>
          <w:sz w:val="32"/>
          <w:szCs w:val="32"/>
          <w:highlight w:val="none"/>
        </w:rPr>
        <w:t>章  投标文件格式</w:t>
      </w:r>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65" w:name="_Toc449028949"/>
      <w:bookmarkStart w:id="66" w:name="_Toc350698753"/>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65"/>
      <w:bookmarkEnd w:id="66"/>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rPr>
          <w:rFonts w:hint="eastAsia" w:ascii="宋体"/>
          <w:color w:val="auto"/>
          <w:sz w:val="28"/>
          <w:szCs w:val="28"/>
          <w:highlight w:val="none"/>
        </w:rPr>
      </w:pP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261FB3A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有效的营业执照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4）项目组人员配备表、人员有效身份证及对应证书；</w:t>
      </w:r>
    </w:p>
    <w:p w14:paraId="72E58AC2">
      <w:pPr>
        <w:spacing w:line="500" w:lineRule="exact"/>
        <w:ind w:firstLine="420" w:firstLineChars="200"/>
        <w:jc w:val="left"/>
        <w:rPr>
          <w:rFonts w:hint="eastAsia" w:ascii="宋体"/>
          <w:color w:val="auto"/>
          <w:szCs w:val="21"/>
          <w:highlight w:val="none"/>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6）服务承诺书</w:t>
      </w:r>
      <w:r>
        <w:rPr>
          <w:rFonts w:hint="eastAsia" w:ascii="宋体"/>
          <w:color w:val="auto"/>
          <w:szCs w:val="21"/>
          <w:highlight w:val="none"/>
        </w:rPr>
        <w:t>（格式见附件）；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7</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footerReference r:id="rId9" w:type="default"/>
          <w:pgSz w:w="11906" w:h="16838"/>
          <w:pgMar w:top="1440" w:right="1236" w:bottom="1440" w:left="1236" w:header="851" w:footer="992" w:gutter="0"/>
          <w:pgNumType w:fmt="decimal"/>
          <w:cols w:space="0" w:num="1"/>
          <w:rtlGutter w:val="0"/>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8</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ind w:firstLine="443" w:firstLineChars="147"/>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67" w:name="_Toc440443268"/>
      <w:bookmarkStart w:id="68" w:name="_Toc449028950"/>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3250ACD7">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ascii="宋体" w:hAnsi="宋体"/>
          <w:color w:val="auto"/>
          <w:szCs w:val="21"/>
          <w:highlight w:val="none"/>
        </w:rPr>
      </w:pPr>
      <w:r>
        <w:rPr>
          <w:rFonts w:hint="eastAsia" w:ascii="宋体" w:hAnsi="宋体"/>
          <w:color w:val="auto"/>
          <w:szCs w:val="21"/>
          <w:highlight w:val="none"/>
        </w:rPr>
        <w:t>二、本单位郑重声明，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5915449">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988BD8D">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615" w:leftChars="-293" w:right="-512" w:rightChars="-244" w:firstLine="415" w:firstLineChars="198"/>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none"/>
          <w:lang w:eastAsia="zh-CN"/>
        </w:rPr>
        <w:t>我公司</w:t>
      </w:r>
      <w:r>
        <w:rPr>
          <w:rFonts w:hint="eastAsia" w:ascii="宋体" w:hAnsi="宋体"/>
          <w:color w:val="auto"/>
          <w:szCs w:val="21"/>
          <w:highlight w:val="none"/>
        </w:rPr>
        <w:t>没有下列情形：</w:t>
      </w:r>
      <w:bookmarkStart w:id="69" w:name="OLE_LINK133"/>
      <w:bookmarkStart w:id="70" w:name="OLE_LINK134"/>
      <w:r>
        <w:rPr>
          <w:rFonts w:hint="eastAsia" w:ascii="宋体" w:hAnsi="宋体"/>
          <w:color w:val="auto"/>
          <w:szCs w:val="21"/>
          <w:highlight w:val="none"/>
        </w:rPr>
        <w:t>①被列入“信用中国”网站“失信被执行人”的</w:t>
      </w:r>
      <w:r>
        <w:rPr>
          <w:rFonts w:hint="eastAsia" w:ascii="宋体" w:hAnsi="宋体"/>
          <w:color w:val="auto"/>
          <w:szCs w:val="21"/>
          <w:highlight w:val="none"/>
          <w:lang w:eastAsia="zh-CN"/>
        </w:rPr>
        <w:t>；</w:t>
      </w:r>
      <w:r>
        <w:rPr>
          <w:rFonts w:hint="eastAsia" w:ascii="宋体" w:hAnsi="宋体"/>
          <w:color w:val="auto"/>
          <w:szCs w:val="21"/>
          <w:highlight w:val="none"/>
        </w:rPr>
        <w:t>②被列入“信用中国”网站“重大税收违法失信主体”的；③被列入“信用中国”网站“拖欠农民工工资失信联合惩戒对象名单”的；④被列入“信用中国”网站“</w:t>
      </w:r>
      <w:r>
        <w:rPr>
          <w:rFonts w:hint="eastAsia" w:ascii="Times New Roman" w:hAnsi="Times New Roman"/>
          <w:smallCaps w:val="0"/>
          <w:color w:val="auto"/>
          <w:highlight w:val="none"/>
          <w:lang w:eastAsia="zh-CN"/>
        </w:rPr>
        <w:t>安全生产严重失信主体名单</w:t>
      </w:r>
      <w:r>
        <w:rPr>
          <w:rFonts w:hint="eastAsia" w:ascii="宋体" w:hAnsi="宋体"/>
          <w:color w:val="auto"/>
          <w:szCs w:val="21"/>
          <w:highlight w:val="none"/>
        </w:rPr>
        <w:t>”的；⑤被列入国家企业信用信息公示系统网站“严重违法失信名单”的</w:t>
      </w:r>
      <w:bookmarkEnd w:id="69"/>
      <w:bookmarkEnd w:id="70"/>
      <w:r>
        <w:rPr>
          <w:rFonts w:hint="eastAsia" w:ascii="宋体" w:hAnsi="宋体"/>
          <w:color w:val="auto"/>
          <w:szCs w:val="21"/>
          <w:highlight w:val="none"/>
          <w:lang w:eastAsia="zh-CN"/>
        </w:rPr>
        <w:t>。</w:t>
      </w:r>
    </w:p>
    <w:p w14:paraId="20CDDA7F">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投标单位（盖单位章）：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615" w:leftChars="-293" w:right="-512" w:rightChars="-244"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67"/>
    <w:bookmarkEnd w:id="68"/>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ind w:firstLine="480" w:firstLineChars="200"/>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3"/>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73B0AB5">
      <w:pPr>
        <w:rPr>
          <w:rFonts w:hint="eastAsia" w:ascii="宋体"/>
          <w:b/>
          <w:color w:val="auto"/>
          <w:sz w:val="30"/>
          <w:szCs w:val="30"/>
          <w:highlight w:val="none"/>
        </w:rPr>
      </w:pPr>
      <w:r>
        <w:rPr>
          <w:rFonts w:hint="eastAsia" w:ascii="宋体" w:hAnsi="宋体"/>
          <w:b/>
          <w:color w:val="auto"/>
          <w:sz w:val="30"/>
          <w:szCs w:val="30"/>
          <w:highlight w:val="none"/>
        </w:rPr>
        <w:br w:type="page"/>
      </w: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0A42BD5A">
      <w:pPr>
        <w:keepNext w:val="0"/>
        <w:keepLines w:val="0"/>
        <w:pageBreakBefore w:val="0"/>
        <w:widowControl/>
        <w:kinsoku/>
        <w:wordWrap/>
        <w:overflowPunct/>
        <w:topLinePunct w:val="0"/>
        <w:autoSpaceDE/>
        <w:autoSpaceDN/>
        <w:bidi w:val="0"/>
        <w:adjustRightInd/>
        <w:snapToGrid/>
        <w:spacing w:line="560" w:lineRule="exact"/>
        <w:jc w:val="left"/>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致：</w:t>
      </w:r>
      <w:r>
        <w:rPr>
          <w:rFonts w:hint="eastAsia" w:ascii="宋体" w:hAnsi="宋体" w:cs="宋体"/>
          <w:color w:val="auto"/>
          <w:kern w:val="0"/>
          <w:szCs w:val="20"/>
          <w:highlight w:val="none"/>
          <w:u w:val="single" w:color="000000"/>
        </w:rPr>
        <w:t xml:space="preserve">        （招标人）     </w:t>
      </w:r>
    </w:p>
    <w:p w14:paraId="4FD778D3">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1、根据你方招标项目的</w:t>
      </w:r>
      <w:r>
        <w:rPr>
          <w:rFonts w:hint="eastAsia" w:ascii="宋体" w:hAnsi="宋体" w:cs="宋体"/>
          <w:color w:val="auto"/>
          <w:kern w:val="0"/>
          <w:szCs w:val="20"/>
          <w:highlight w:val="none"/>
          <w:u w:val="single"/>
        </w:rPr>
        <w:t xml:space="preserve">        （项目名称）</w:t>
      </w:r>
      <w:r>
        <w:rPr>
          <w:rFonts w:hint="eastAsia" w:ascii="宋体" w:hAnsi="宋体" w:cs="宋体"/>
          <w:color w:val="auto"/>
          <w:kern w:val="0"/>
          <w:szCs w:val="20"/>
          <w:highlight w:val="none"/>
          <w:u w:val="none" w:color="000000"/>
        </w:rPr>
        <w:t>招标文件，遵照有关规定，经踏勘项目现场和研究上述采购文件的投标人须知、合同条件、技术规范和其他有关文件后，我方同意本项目</w:t>
      </w:r>
      <w:r>
        <w:rPr>
          <w:rFonts w:hint="eastAsia" w:ascii="宋体" w:hAnsi="宋体" w:cs="宋体"/>
          <w:color w:val="auto"/>
          <w:kern w:val="0"/>
          <w:szCs w:val="20"/>
          <w:highlight w:val="none"/>
          <w:u w:val="single" w:color="auto"/>
        </w:rPr>
        <w:t>《中新苏滁高新技术产业开发区建设项目审计服务费用标准》</w:t>
      </w:r>
      <w:r>
        <w:rPr>
          <w:rFonts w:hint="eastAsia"/>
          <w:color w:val="auto"/>
          <w:szCs w:val="21"/>
          <w:highlight w:val="none"/>
          <w:u w:val="single"/>
          <w:lang w:eastAsia="zh-CN"/>
        </w:rPr>
        <w:t>的固定费率报价</w:t>
      </w:r>
      <w:r>
        <w:rPr>
          <w:rFonts w:hint="eastAsia" w:ascii="宋体" w:hAnsi="宋体" w:cs="宋体"/>
          <w:color w:val="auto"/>
          <w:kern w:val="0"/>
          <w:szCs w:val="20"/>
          <w:highlight w:val="none"/>
          <w:u w:val="none" w:color="000000"/>
        </w:rPr>
        <w:t>，</w:t>
      </w:r>
      <w:r>
        <w:rPr>
          <w:rFonts w:hint="eastAsia" w:ascii="宋体" w:hAnsi="宋体" w:cs="宋体"/>
          <w:color w:val="auto"/>
          <w:kern w:val="0"/>
          <w:szCs w:val="20"/>
          <w:highlight w:val="none"/>
        </w:rPr>
        <w:t>按照招标人要求</w:t>
      </w:r>
      <w:r>
        <w:rPr>
          <w:rFonts w:hint="eastAsia" w:ascii="宋体" w:hAnsi="宋体" w:cs="宋体"/>
          <w:color w:val="auto"/>
          <w:kern w:val="0"/>
          <w:szCs w:val="20"/>
          <w:highlight w:val="none"/>
          <w:u w:val="none" w:color="000000"/>
        </w:rPr>
        <w:t>完成本项目</w:t>
      </w:r>
      <w:r>
        <w:rPr>
          <w:rFonts w:hint="eastAsia" w:ascii="宋体" w:hAnsi="宋体" w:cs="宋体"/>
          <w:color w:val="auto"/>
          <w:kern w:val="0"/>
          <w:szCs w:val="20"/>
          <w:highlight w:val="none"/>
          <w:u w:val="none" w:color="000000"/>
          <w:lang w:val="en-US" w:eastAsia="zh-CN"/>
        </w:rPr>
        <w:t>服务</w:t>
      </w:r>
      <w:r>
        <w:rPr>
          <w:rFonts w:hint="eastAsia" w:ascii="宋体" w:hAnsi="宋体" w:cs="宋体"/>
          <w:color w:val="auto"/>
          <w:kern w:val="0"/>
          <w:szCs w:val="20"/>
          <w:highlight w:val="none"/>
          <w:u w:val="none" w:color="000000"/>
        </w:rPr>
        <w:t>工作，向委托人出具合格的成果文件。</w:t>
      </w:r>
    </w:p>
    <w:p w14:paraId="3013B219">
      <w:pPr>
        <w:keepNext w:val="0"/>
        <w:keepLines w:val="0"/>
        <w:pageBreakBefore w:val="0"/>
        <w:widowControl/>
        <w:kinsoku/>
        <w:wordWrap/>
        <w:overflowPunct/>
        <w:topLinePunct w:val="0"/>
        <w:autoSpaceDE/>
        <w:autoSpaceDN/>
        <w:bidi w:val="0"/>
        <w:adjustRightInd/>
        <w:snapToGrid/>
        <w:spacing w:line="560" w:lineRule="exact"/>
        <w:ind w:left="420" w:leftChars="200"/>
        <w:jc w:val="left"/>
        <w:textAlignment w:val="baseline"/>
        <w:rPr>
          <w:rFonts w:ascii="宋体" w:hAnsi="宋体" w:cs="宋体"/>
          <w:color w:val="auto"/>
          <w:spacing w:val="-4"/>
          <w:kern w:val="0"/>
          <w:szCs w:val="20"/>
          <w:highlight w:val="none"/>
          <w:u w:val="none" w:color="000000"/>
        </w:rPr>
      </w:pPr>
      <w:r>
        <w:rPr>
          <w:rFonts w:hint="eastAsia" w:ascii="宋体" w:hAnsi="宋体" w:cs="宋体"/>
          <w:color w:val="auto"/>
          <w:spacing w:val="-4"/>
          <w:kern w:val="0"/>
          <w:szCs w:val="20"/>
          <w:highlight w:val="none"/>
          <w:u w:val="none" w:color="000000"/>
        </w:rPr>
        <w:t>2、我方已详细审核全部招标文件及有关附件，承诺招标文件及有关附件中所有条款。</w:t>
      </w:r>
    </w:p>
    <w:p w14:paraId="6200B7AB">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2"/>
          <w:highlight w:val="none"/>
          <w:u w:val="none" w:color="000000"/>
        </w:rPr>
      </w:pPr>
      <w:r>
        <w:rPr>
          <w:rFonts w:hint="eastAsia" w:ascii="宋体" w:hAnsi="宋体" w:cs="宋体"/>
          <w:color w:val="auto"/>
          <w:kern w:val="0"/>
          <w:szCs w:val="20"/>
          <w:highlight w:val="none"/>
          <w:u w:val="none" w:color="000000"/>
        </w:rPr>
        <w:t>3、一旦我方中标，我方将派出</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为项目负责人，</w:t>
      </w:r>
      <w:r>
        <w:rPr>
          <w:rFonts w:hint="eastAsia" w:ascii="宋体" w:hAnsi="宋体" w:cs="宋体"/>
          <w:color w:val="auto"/>
          <w:kern w:val="0"/>
          <w:szCs w:val="22"/>
          <w:highlight w:val="none"/>
          <w:u w:val="none" w:color="000000"/>
        </w:rPr>
        <w:t>保证本项目</w:t>
      </w:r>
      <w:r>
        <w:rPr>
          <w:rFonts w:hint="eastAsia" w:ascii="宋体" w:hAnsi="宋体" w:cs="宋体"/>
          <w:color w:val="auto"/>
          <w:kern w:val="0"/>
          <w:szCs w:val="22"/>
          <w:highlight w:val="none"/>
          <w:u w:val="none" w:color="000000"/>
          <w:lang w:val="en-US" w:eastAsia="zh-CN"/>
        </w:rPr>
        <w:t>服务</w:t>
      </w:r>
      <w:r>
        <w:rPr>
          <w:rFonts w:hint="eastAsia" w:ascii="宋体" w:hAnsi="宋体" w:cs="宋体"/>
          <w:color w:val="auto"/>
          <w:kern w:val="0"/>
          <w:szCs w:val="22"/>
          <w:highlight w:val="none"/>
          <w:u w:val="none" w:color="000000"/>
        </w:rPr>
        <w:t>工作，成果文件质量符合造价咨询合同要求。</w:t>
      </w:r>
    </w:p>
    <w:p w14:paraId="2F713986">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4、随本投标文件，我方同时按照招标文件的要求提交</w:t>
      </w:r>
      <w:r>
        <w:rPr>
          <w:rFonts w:hint="eastAsia" w:ascii="宋体" w:hAnsi="宋体" w:cs="宋体"/>
          <w:color w:val="auto"/>
          <w:kern w:val="0"/>
          <w:szCs w:val="20"/>
          <w:highlight w:val="none"/>
          <w:u w:val="single" w:color="000000"/>
        </w:rPr>
        <w:t xml:space="preserve">  0  </w:t>
      </w:r>
      <w:r>
        <w:rPr>
          <w:rFonts w:hint="eastAsia" w:ascii="宋体" w:hAnsi="宋体" w:cs="宋体"/>
          <w:color w:val="auto"/>
          <w:kern w:val="0"/>
          <w:szCs w:val="20"/>
          <w:highlight w:val="none"/>
          <w:u w:val="none" w:color="000000"/>
        </w:rPr>
        <w:t>万元的投标保证金。如果我方在本投标文件有效期内撤回投标文件，或在</w:t>
      </w:r>
      <w:r>
        <w:rPr>
          <w:rFonts w:hint="eastAsia" w:ascii="宋体" w:hAnsi="宋体" w:cs="宋体"/>
          <w:color w:val="auto"/>
          <w:szCs w:val="21"/>
          <w:highlight w:val="none"/>
        </w:rPr>
        <w:t>中标/中标通知书发出之日起</w:t>
      </w:r>
      <w:r>
        <w:rPr>
          <w:rFonts w:hint="eastAsia" w:ascii="宋体" w:hAnsi="宋体" w:cs="宋体"/>
          <w:color w:val="auto"/>
          <w:szCs w:val="21"/>
          <w:highlight w:val="none"/>
          <w:u w:val="single"/>
        </w:rPr>
        <w:t>7个日历天</w:t>
      </w:r>
      <w:r>
        <w:rPr>
          <w:rFonts w:hint="eastAsia" w:ascii="宋体" w:hAnsi="宋体" w:cs="宋体"/>
          <w:color w:val="auto"/>
          <w:szCs w:val="21"/>
          <w:highlight w:val="none"/>
        </w:rPr>
        <w:t>内</w:t>
      </w:r>
      <w:r>
        <w:rPr>
          <w:rFonts w:hint="eastAsia" w:ascii="宋体" w:hAnsi="宋体" w:cs="宋体"/>
          <w:color w:val="auto"/>
          <w:kern w:val="0"/>
          <w:szCs w:val="20"/>
          <w:highlight w:val="none"/>
          <w:u w:val="none" w:color="000000"/>
        </w:rPr>
        <w:t>未能或拒绝签订合同书，或自行转标，贵单位有权没收投标保证金，并另选中标人。</w:t>
      </w:r>
    </w:p>
    <w:p w14:paraId="779E5456">
      <w:pPr>
        <w:keepNext w:val="0"/>
        <w:keepLines w:val="0"/>
        <w:pageBreakBefore w:val="0"/>
        <w:widowControl/>
        <w:kinsoku/>
        <w:wordWrap/>
        <w:overflowPunct/>
        <w:topLinePunct w:val="0"/>
        <w:autoSpaceDE/>
        <w:autoSpaceDN/>
        <w:bidi w:val="0"/>
        <w:adjustRightInd/>
        <w:snapToGrid/>
        <w:spacing w:line="56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lang w:val="en-US" w:eastAsia="zh-CN"/>
        </w:rPr>
        <w:t>6</w:t>
      </w:r>
      <w:r>
        <w:rPr>
          <w:rFonts w:hint="eastAsia" w:ascii="宋体" w:hAnsi="宋体" w:cs="宋体"/>
          <w:color w:val="auto"/>
          <w:kern w:val="0"/>
          <w:szCs w:val="20"/>
          <w:highlight w:val="none"/>
          <w:u w:val="none" w:color="000000"/>
        </w:rPr>
        <w:t>、我单位提供如下通讯地址：</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电子邮箱（地址），确认本项目相关法律文书均通过提供的以上地址送达，相关文书只要发送至以上电子邮箱（地址）即视为送达，投标人愿意承担一切法律后果。</w:t>
      </w:r>
    </w:p>
    <w:p w14:paraId="51BD92EE">
      <w:pPr>
        <w:spacing w:line="440" w:lineRule="exact"/>
        <w:ind w:firstLine="480" w:firstLineChars="200"/>
        <w:rPr>
          <w:rFonts w:hint="eastAsia" w:ascii="宋体"/>
          <w:color w:val="auto"/>
          <w:sz w:val="24"/>
          <w:highlight w:val="none"/>
        </w:rPr>
      </w:pPr>
    </w:p>
    <w:p w14:paraId="7B105019">
      <w:pPr>
        <w:spacing w:line="440" w:lineRule="exact"/>
        <w:rPr>
          <w:rFonts w:hint="eastAsia" w:ascii="宋体"/>
          <w:color w:val="auto"/>
          <w:sz w:val="24"/>
          <w:highlight w:val="none"/>
        </w:rPr>
      </w:pPr>
      <w:r>
        <w:rPr>
          <w:rFonts w:hint="eastAsia" w:ascii="宋体"/>
          <w:color w:val="auto"/>
          <w:sz w:val="24"/>
          <w:highlight w:val="none"/>
        </w:rPr>
        <w:t> </w:t>
      </w:r>
    </w:p>
    <w:p w14:paraId="5B2F7393">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投标人：</w:t>
      </w:r>
      <w:r>
        <w:rPr>
          <w:rFonts w:hint="eastAsia" w:ascii="宋体" w:hAnsi="宋体" w:cs="宋体"/>
          <w:color w:val="auto"/>
          <w:kern w:val="0"/>
          <w:szCs w:val="20"/>
          <w:highlight w:val="none"/>
          <w:u w:val="single" w:color="000000"/>
        </w:rPr>
        <w:t xml:space="preserve">                             （盖章）   </w:t>
      </w:r>
    </w:p>
    <w:p w14:paraId="2159EFBE">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法定代表人：</w:t>
      </w:r>
      <w:r>
        <w:rPr>
          <w:rFonts w:hint="eastAsia" w:ascii="宋体" w:hAnsi="宋体" w:cs="宋体"/>
          <w:color w:val="auto"/>
          <w:kern w:val="0"/>
          <w:szCs w:val="20"/>
          <w:highlight w:val="none"/>
          <w:u w:val="single" w:color="000000"/>
        </w:rPr>
        <w:t xml:space="preserve">                         （签字或盖章）</w:t>
      </w:r>
    </w:p>
    <w:p w14:paraId="310F9424">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单位地址：</w:t>
      </w:r>
      <w:r>
        <w:rPr>
          <w:rFonts w:hint="eastAsia" w:ascii="宋体" w:hAnsi="宋体" w:cs="宋体"/>
          <w:color w:val="auto"/>
          <w:kern w:val="0"/>
          <w:szCs w:val="20"/>
          <w:highlight w:val="none"/>
          <w:u w:val="single" w:color="000000"/>
        </w:rPr>
        <w:t xml:space="preserve">                                   </w:t>
      </w:r>
    </w:p>
    <w:p w14:paraId="1BB58C45">
      <w:pPr>
        <w:keepNext w:val="0"/>
        <w:keepLines w:val="0"/>
        <w:pageBreakBefore w:val="0"/>
        <w:widowControl/>
        <w:kinsoku/>
        <w:wordWrap/>
        <w:overflowPunct/>
        <w:topLinePunct w:val="0"/>
        <w:autoSpaceDE/>
        <w:autoSpaceDN/>
        <w:bidi w:val="0"/>
        <w:adjustRightInd/>
        <w:snapToGrid/>
        <w:spacing w:line="500" w:lineRule="exact"/>
        <w:ind w:firstLine="420" w:firstLineChars="200"/>
        <w:textAlignment w:val="baseline"/>
        <w:rPr>
          <w:rFonts w:ascii="宋体" w:hAnsi="宋体" w:cs="宋体"/>
          <w:color w:val="auto"/>
          <w:kern w:val="0"/>
          <w:szCs w:val="20"/>
          <w:highlight w:val="none"/>
          <w:u w:val="single" w:color="000000"/>
        </w:rPr>
      </w:pPr>
      <w:r>
        <w:rPr>
          <w:rFonts w:hint="eastAsia" w:ascii="宋体" w:hAnsi="宋体" w:cs="宋体"/>
          <w:color w:val="auto"/>
          <w:kern w:val="0"/>
          <w:szCs w:val="20"/>
          <w:highlight w:val="none"/>
          <w:u w:val="none" w:color="000000"/>
        </w:rPr>
        <w:t>邮政编码：</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电话：</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传真：</w:t>
      </w:r>
      <w:r>
        <w:rPr>
          <w:rFonts w:hint="eastAsia" w:ascii="宋体" w:hAnsi="宋体" w:cs="宋体"/>
          <w:color w:val="auto"/>
          <w:kern w:val="0"/>
          <w:szCs w:val="20"/>
          <w:highlight w:val="none"/>
          <w:u w:val="single" w:color="000000"/>
        </w:rPr>
        <w:t xml:space="preserve">       </w:t>
      </w:r>
    </w:p>
    <w:p w14:paraId="4CF6C540">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baseline"/>
        <w:rPr>
          <w:rFonts w:ascii="宋体" w:hAnsi="宋体" w:cs="宋体"/>
          <w:color w:val="auto"/>
          <w:kern w:val="0"/>
          <w:szCs w:val="20"/>
          <w:highlight w:val="none"/>
          <w:u w:val="none" w:color="000000"/>
        </w:rPr>
      </w:pPr>
      <w:r>
        <w:rPr>
          <w:rFonts w:hint="eastAsia" w:ascii="宋体" w:hAnsi="宋体" w:cs="宋体"/>
          <w:color w:val="auto"/>
          <w:kern w:val="0"/>
          <w:szCs w:val="20"/>
          <w:highlight w:val="none"/>
          <w:u w:val="none" w:color="000000"/>
        </w:rPr>
        <w:t>日期：</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年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 xml:space="preserve">月 </w:t>
      </w:r>
      <w:r>
        <w:rPr>
          <w:rFonts w:hint="eastAsia" w:ascii="宋体" w:hAnsi="宋体" w:cs="宋体"/>
          <w:color w:val="auto"/>
          <w:kern w:val="0"/>
          <w:szCs w:val="20"/>
          <w:highlight w:val="none"/>
          <w:u w:val="single" w:color="000000"/>
        </w:rPr>
        <w:t xml:space="preserve">            </w:t>
      </w:r>
      <w:r>
        <w:rPr>
          <w:rFonts w:hint="eastAsia" w:ascii="宋体" w:hAnsi="宋体" w:cs="宋体"/>
          <w:color w:val="auto"/>
          <w:kern w:val="0"/>
          <w:szCs w:val="20"/>
          <w:highlight w:val="none"/>
          <w:u w:val="none" w:color="000000"/>
        </w:rPr>
        <w:t>日</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0" w:type="default"/>
          <w:footerReference r:id="rId11" w:type="default"/>
          <w:pgSz w:w="11906" w:h="16838"/>
          <w:pgMar w:top="1440" w:right="1236" w:bottom="1440" w:left="1236" w:header="851" w:footer="992" w:gutter="0"/>
          <w:pgNumType w:fmt="decimal"/>
          <w:cols w:space="0" w:num="1"/>
          <w:rtlGutter w:val="0"/>
          <w:docGrid w:type="lines" w:linePitch="312" w:charSpace="0"/>
        </w:sectPr>
      </w:pPr>
    </w:p>
    <w:bookmarkEnd w:id="62"/>
    <w:bookmarkEnd w:id="63"/>
    <w:p w14:paraId="59C5F8C7">
      <w:pPr>
        <w:spacing w:line="440" w:lineRule="exact"/>
        <w:jc w:val="center"/>
        <w:outlineLvl w:val="0"/>
        <w:rPr>
          <w:rFonts w:hint="eastAsia" w:ascii="宋体"/>
          <w:b/>
          <w:color w:val="auto"/>
          <w:sz w:val="32"/>
          <w:szCs w:val="32"/>
          <w:highlight w:val="none"/>
        </w:rPr>
      </w:pPr>
      <w:bookmarkStart w:id="71" w:name="_Toc449028957"/>
      <w:bookmarkStart w:id="72" w:name="_Toc58430333"/>
      <w:r>
        <w:rPr>
          <w:rFonts w:hint="eastAsia" w:ascii="宋体"/>
          <w:b/>
          <w:color w:val="auto"/>
          <w:sz w:val="32"/>
          <w:szCs w:val="32"/>
          <w:highlight w:val="none"/>
          <w:lang w:val="en-US" w:eastAsia="zh-CN"/>
        </w:rPr>
        <w:t>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71"/>
      <w:bookmarkEnd w:id="72"/>
    </w:p>
    <w:p w14:paraId="4A117D56">
      <w:pPr>
        <w:spacing w:line="440" w:lineRule="exact"/>
        <w:rPr>
          <w:rFonts w:hint="eastAsia" w:ascii="宋体"/>
          <w:color w:val="auto"/>
          <w:sz w:val="24"/>
          <w:highlight w:val="none"/>
          <w:u w:val="single"/>
        </w:rPr>
      </w:pPr>
    </w:p>
    <w:tbl>
      <w:tblPr>
        <w:tblStyle w:val="34"/>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中新苏滁高新区超级电容智能制造基地二期项目跟踪审计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中新苏滁高新技术产业开发区管理委员会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张工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0550-3755706</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经办人：杨韦</w:t>
            </w:r>
          </w:p>
          <w:p w14:paraId="033529C4">
            <w:pPr>
              <w:spacing w:line="520" w:lineRule="exact"/>
              <w:ind w:firstLine="560" w:firstLineChars="200"/>
              <w:rPr>
                <w:rFonts w:ascii="宋体" w:cs="宋体"/>
                <w:color w:val="auto"/>
                <w:sz w:val="28"/>
                <w:szCs w:val="28"/>
                <w:highlight w:val="none"/>
              </w:rPr>
            </w:pPr>
            <w:r>
              <w:rPr>
                <w:rFonts w:hint="eastAsia" w:ascii="宋体" w:cs="宋体"/>
                <w:color w:val="auto"/>
                <w:sz w:val="28"/>
                <w:szCs w:val="28"/>
                <w:highlight w:val="none"/>
              </w:rPr>
              <w:t>电  话：0550-3519590、18005501210</w:t>
            </w:r>
          </w:p>
          <w:p w14:paraId="2348145A">
            <w:pPr>
              <w:spacing w:line="520" w:lineRule="exact"/>
              <w:ind w:firstLine="6300" w:firstLineChars="2250"/>
              <w:rPr>
                <w:rFonts w:hint="eastAsia" w:ascii="宋体" w:cs="宋体"/>
                <w:color w:val="auto"/>
                <w:sz w:val="28"/>
                <w:szCs w:val="28"/>
                <w:highlight w:val="none"/>
              </w:rPr>
            </w:pPr>
          </w:p>
          <w:p w14:paraId="0F0721F1">
            <w:pPr>
              <w:pStyle w:val="33"/>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236" w:bottom="1440" w:left="1236"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DokChampa">
    <w:altName w:val="Leelawadee UI"/>
    <w:panose1 w:val="020B0604020202020204"/>
    <w:charset w:val="00"/>
    <w:family w:val="swiss"/>
    <w:pitch w:val="default"/>
    <w:sig w:usb0="00000000" w:usb1="00000000" w:usb2="00000000" w:usb3="00000000" w:csb0="40010001" w:csb1="00000000"/>
  </w:font>
  <w:font w:name="Leelawadee UI">
    <w:panose1 w:val="020B0502040204020203"/>
    <w:charset w:val="00"/>
    <w:family w:val="auto"/>
    <w:pitch w:val="default"/>
    <w:sig w:usb0="83000003" w:usb1="00000000" w:usb2="00010000" w:usb3="00000001" w:csb0="000101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8"/>
      </w:rPr>
    </w:pPr>
    <w:r>
      <w:fldChar w:fldCharType="begin"/>
    </w:r>
    <w:r>
      <w:rPr>
        <w:rStyle w:val="38"/>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8"/>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8"/>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EAAAA971"/>
    <w:multiLevelType w:val="singleLevel"/>
    <w:tmpl w:val="EAAAA971"/>
    <w:lvl w:ilvl="0" w:tentative="0">
      <w:start w:val="4"/>
      <w:numFmt w:val="chineseCounting"/>
      <w:suff w:val="space"/>
      <w:lvlText w:val="第%1章"/>
      <w:lvlJc w:val="left"/>
      <w:rPr>
        <w:rFonts w:hint="eastAsia"/>
      </w:rPr>
    </w:lvl>
  </w:abstractNum>
  <w:abstractNum w:abstractNumId="2">
    <w:nsid w:val="EAAE9BD2"/>
    <w:multiLevelType w:val="singleLevel"/>
    <w:tmpl w:val="EAAE9BD2"/>
    <w:lvl w:ilvl="0" w:tentative="0">
      <w:start w:val="2"/>
      <w:numFmt w:val="chineseCounting"/>
      <w:suff w:val="nothing"/>
      <w:lvlText w:val="%1、"/>
      <w:lvlJc w:val="left"/>
      <w:rPr>
        <w:rFonts w:hint="eastAsia"/>
      </w:rPr>
    </w:lvl>
  </w:abstractNum>
  <w:abstractNum w:abstractNumId="3">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4">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323379E"/>
    <w:multiLevelType w:val="multilevel"/>
    <w:tmpl w:val="2323379E"/>
    <w:lvl w:ilvl="0" w:tentative="0">
      <w:start w:val="1"/>
      <w:numFmt w:val="chineseCountingThousand"/>
      <w:pStyle w:val="31"/>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7">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8">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9">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8"/>
  </w:num>
  <w:num w:numId="3">
    <w:abstractNumId w:val="9"/>
  </w:num>
  <w:num w:numId="4">
    <w:abstractNumId w:val="5"/>
  </w:num>
  <w:num w:numId="5">
    <w:abstractNumId w:val="6"/>
  </w:num>
  <w:num w:numId="6">
    <w:abstractNumId w:val="4"/>
  </w:num>
  <w:num w:numId="7">
    <w:abstractNumId w:val="3"/>
  </w:num>
  <w:num w:numId="8">
    <w:abstractNumId w:val="0"/>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23584C"/>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5277A"/>
    <w:rsid w:val="029F0F02"/>
    <w:rsid w:val="02AB3F80"/>
    <w:rsid w:val="02CD5A6F"/>
    <w:rsid w:val="02D50DC8"/>
    <w:rsid w:val="02F92D08"/>
    <w:rsid w:val="02FF011F"/>
    <w:rsid w:val="0306625F"/>
    <w:rsid w:val="0314369E"/>
    <w:rsid w:val="032B6C3A"/>
    <w:rsid w:val="03433F84"/>
    <w:rsid w:val="034D095E"/>
    <w:rsid w:val="034D4E02"/>
    <w:rsid w:val="03636F78"/>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6621AB"/>
    <w:rsid w:val="056C7A1B"/>
    <w:rsid w:val="057013EC"/>
    <w:rsid w:val="05713E65"/>
    <w:rsid w:val="05777F14"/>
    <w:rsid w:val="057B29B4"/>
    <w:rsid w:val="057F7413"/>
    <w:rsid w:val="059302F0"/>
    <w:rsid w:val="05B55DC4"/>
    <w:rsid w:val="05C56ED2"/>
    <w:rsid w:val="05EB7E30"/>
    <w:rsid w:val="0600615C"/>
    <w:rsid w:val="0619721E"/>
    <w:rsid w:val="06235109"/>
    <w:rsid w:val="062459A5"/>
    <w:rsid w:val="062478E7"/>
    <w:rsid w:val="06304C93"/>
    <w:rsid w:val="064510DB"/>
    <w:rsid w:val="06581AF4"/>
    <w:rsid w:val="06620B3A"/>
    <w:rsid w:val="066E7569"/>
    <w:rsid w:val="06954AF6"/>
    <w:rsid w:val="069717B9"/>
    <w:rsid w:val="06D0451E"/>
    <w:rsid w:val="06DA6FC6"/>
    <w:rsid w:val="06EB6E0C"/>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6F4203"/>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AB5942"/>
    <w:rsid w:val="09B064D1"/>
    <w:rsid w:val="09BF2ED7"/>
    <w:rsid w:val="09BF7674"/>
    <w:rsid w:val="09F45FD8"/>
    <w:rsid w:val="09F806A3"/>
    <w:rsid w:val="0A0B50CF"/>
    <w:rsid w:val="0A0D1190"/>
    <w:rsid w:val="0A164D7F"/>
    <w:rsid w:val="0A2456C5"/>
    <w:rsid w:val="0A2543E3"/>
    <w:rsid w:val="0A474057"/>
    <w:rsid w:val="0A53598C"/>
    <w:rsid w:val="0A641E3D"/>
    <w:rsid w:val="0AA34B1B"/>
    <w:rsid w:val="0AAD7CD9"/>
    <w:rsid w:val="0AB6328D"/>
    <w:rsid w:val="0ABD15CE"/>
    <w:rsid w:val="0ABF263A"/>
    <w:rsid w:val="0AD12B8F"/>
    <w:rsid w:val="0AF02C43"/>
    <w:rsid w:val="0AF618DB"/>
    <w:rsid w:val="0B0A6314"/>
    <w:rsid w:val="0B183F48"/>
    <w:rsid w:val="0B330D82"/>
    <w:rsid w:val="0B335CF7"/>
    <w:rsid w:val="0B5C5BE2"/>
    <w:rsid w:val="0B6B051B"/>
    <w:rsid w:val="0B6E6353"/>
    <w:rsid w:val="0B7B2E88"/>
    <w:rsid w:val="0B8415DD"/>
    <w:rsid w:val="0B842ECF"/>
    <w:rsid w:val="0BA53A0C"/>
    <w:rsid w:val="0BA8462C"/>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AA5073"/>
    <w:rsid w:val="0CB14648"/>
    <w:rsid w:val="0CB21A52"/>
    <w:rsid w:val="0CB63A18"/>
    <w:rsid w:val="0CBD3A66"/>
    <w:rsid w:val="0CD72DE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C621C4"/>
    <w:rsid w:val="0FE825FD"/>
    <w:rsid w:val="0FF61E2B"/>
    <w:rsid w:val="10260FB8"/>
    <w:rsid w:val="10280789"/>
    <w:rsid w:val="104D6442"/>
    <w:rsid w:val="106F4618"/>
    <w:rsid w:val="10735462"/>
    <w:rsid w:val="10760938"/>
    <w:rsid w:val="10771710"/>
    <w:rsid w:val="107A6B0B"/>
    <w:rsid w:val="1092654A"/>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E38BD"/>
    <w:rsid w:val="114E06C3"/>
    <w:rsid w:val="11531836"/>
    <w:rsid w:val="11633A20"/>
    <w:rsid w:val="11700B96"/>
    <w:rsid w:val="117A7D9D"/>
    <w:rsid w:val="117B6FDE"/>
    <w:rsid w:val="117D1895"/>
    <w:rsid w:val="1189681F"/>
    <w:rsid w:val="118D065E"/>
    <w:rsid w:val="119111DD"/>
    <w:rsid w:val="119D0D92"/>
    <w:rsid w:val="11B01C7F"/>
    <w:rsid w:val="11C049F1"/>
    <w:rsid w:val="11C72224"/>
    <w:rsid w:val="11D16BFE"/>
    <w:rsid w:val="11E20E0C"/>
    <w:rsid w:val="11EB5F12"/>
    <w:rsid w:val="11F63B39"/>
    <w:rsid w:val="11F811A4"/>
    <w:rsid w:val="11FE4A17"/>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30D010A"/>
    <w:rsid w:val="130E5DFE"/>
    <w:rsid w:val="1318492B"/>
    <w:rsid w:val="13195D86"/>
    <w:rsid w:val="133415D2"/>
    <w:rsid w:val="13390EFF"/>
    <w:rsid w:val="134659BB"/>
    <w:rsid w:val="13534D6F"/>
    <w:rsid w:val="135D699C"/>
    <w:rsid w:val="1362355A"/>
    <w:rsid w:val="136B46BF"/>
    <w:rsid w:val="13860D94"/>
    <w:rsid w:val="13863BCF"/>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0C6230"/>
    <w:rsid w:val="17104E33"/>
    <w:rsid w:val="172779EC"/>
    <w:rsid w:val="172C5003"/>
    <w:rsid w:val="17435B9A"/>
    <w:rsid w:val="17481711"/>
    <w:rsid w:val="17530278"/>
    <w:rsid w:val="1770488D"/>
    <w:rsid w:val="177251DB"/>
    <w:rsid w:val="179F403B"/>
    <w:rsid w:val="17B46DA6"/>
    <w:rsid w:val="17E07B23"/>
    <w:rsid w:val="17F04282"/>
    <w:rsid w:val="181D21AB"/>
    <w:rsid w:val="18241EFA"/>
    <w:rsid w:val="182551D2"/>
    <w:rsid w:val="18302625"/>
    <w:rsid w:val="183C5221"/>
    <w:rsid w:val="184B770B"/>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A71C6"/>
    <w:rsid w:val="1B267FBB"/>
    <w:rsid w:val="1B3C77DE"/>
    <w:rsid w:val="1B3E1360"/>
    <w:rsid w:val="1B453F87"/>
    <w:rsid w:val="1B4A02FA"/>
    <w:rsid w:val="1B6D0A69"/>
    <w:rsid w:val="1B7D2468"/>
    <w:rsid w:val="1B886580"/>
    <w:rsid w:val="1BAB30F2"/>
    <w:rsid w:val="1BB64807"/>
    <w:rsid w:val="1BC45815"/>
    <w:rsid w:val="1BCA6B98"/>
    <w:rsid w:val="1BEC2FB3"/>
    <w:rsid w:val="1BEE345E"/>
    <w:rsid w:val="1BF209FD"/>
    <w:rsid w:val="1BF530EC"/>
    <w:rsid w:val="1BFD529F"/>
    <w:rsid w:val="1C044843"/>
    <w:rsid w:val="1C165429"/>
    <w:rsid w:val="1C4C7B54"/>
    <w:rsid w:val="1C6D30D8"/>
    <w:rsid w:val="1C7911F1"/>
    <w:rsid w:val="1C7B60E4"/>
    <w:rsid w:val="1C821221"/>
    <w:rsid w:val="1CCB47C0"/>
    <w:rsid w:val="1CE27F12"/>
    <w:rsid w:val="1CF3330B"/>
    <w:rsid w:val="1D0B3F40"/>
    <w:rsid w:val="1D0C2883"/>
    <w:rsid w:val="1D1F4CC2"/>
    <w:rsid w:val="1D3B1144"/>
    <w:rsid w:val="1D44297A"/>
    <w:rsid w:val="1D4E4561"/>
    <w:rsid w:val="1D703128"/>
    <w:rsid w:val="1D7C5FBA"/>
    <w:rsid w:val="1D807E56"/>
    <w:rsid w:val="1D81336E"/>
    <w:rsid w:val="1D8B67FB"/>
    <w:rsid w:val="1D9F19C4"/>
    <w:rsid w:val="1DA575B0"/>
    <w:rsid w:val="1DAF24EA"/>
    <w:rsid w:val="1DB375C5"/>
    <w:rsid w:val="1DB46449"/>
    <w:rsid w:val="1DBC69B5"/>
    <w:rsid w:val="1DC332DD"/>
    <w:rsid w:val="1DDB0E18"/>
    <w:rsid w:val="1DE80C95"/>
    <w:rsid w:val="1DEF6D8A"/>
    <w:rsid w:val="1E061E25"/>
    <w:rsid w:val="1E226345"/>
    <w:rsid w:val="1E37428D"/>
    <w:rsid w:val="1E384EE7"/>
    <w:rsid w:val="1E3A6C06"/>
    <w:rsid w:val="1E424E8A"/>
    <w:rsid w:val="1E5B441F"/>
    <w:rsid w:val="1E6C5E06"/>
    <w:rsid w:val="1E736290"/>
    <w:rsid w:val="1E8C6387"/>
    <w:rsid w:val="1E8F5E77"/>
    <w:rsid w:val="1E9A6CF6"/>
    <w:rsid w:val="1EAA4A5F"/>
    <w:rsid w:val="1EB06519"/>
    <w:rsid w:val="1EB458DE"/>
    <w:rsid w:val="1EC00497"/>
    <w:rsid w:val="1EDA5344"/>
    <w:rsid w:val="1EE613D0"/>
    <w:rsid w:val="1EF1268E"/>
    <w:rsid w:val="1EF21855"/>
    <w:rsid w:val="1EF501D6"/>
    <w:rsid w:val="1EF80AEE"/>
    <w:rsid w:val="1F1830CB"/>
    <w:rsid w:val="1F1D4CEA"/>
    <w:rsid w:val="1F3431EF"/>
    <w:rsid w:val="1F3D58D3"/>
    <w:rsid w:val="1F412ACD"/>
    <w:rsid w:val="1F703EFB"/>
    <w:rsid w:val="1F717B90"/>
    <w:rsid w:val="1F896D6A"/>
    <w:rsid w:val="1FA51C58"/>
    <w:rsid w:val="1FA7649E"/>
    <w:rsid w:val="1FBE7B22"/>
    <w:rsid w:val="1FCD4EA9"/>
    <w:rsid w:val="1FF02C39"/>
    <w:rsid w:val="20061562"/>
    <w:rsid w:val="200A7EAB"/>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E1EA3"/>
    <w:rsid w:val="23C40371"/>
    <w:rsid w:val="23D11B74"/>
    <w:rsid w:val="23D5432C"/>
    <w:rsid w:val="23EE71CC"/>
    <w:rsid w:val="2404346B"/>
    <w:rsid w:val="24172B97"/>
    <w:rsid w:val="24292475"/>
    <w:rsid w:val="242977C5"/>
    <w:rsid w:val="24315E72"/>
    <w:rsid w:val="24351601"/>
    <w:rsid w:val="24375486"/>
    <w:rsid w:val="24390A60"/>
    <w:rsid w:val="243E33BC"/>
    <w:rsid w:val="246F7026"/>
    <w:rsid w:val="2495534F"/>
    <w:rsid w:val="24A773D3"/>
    <w:rsid w:val="24B65FDB"/>
    <w:rsid w:val="24C364CA"/>
    <w:rsid w:val="24DB6D9D"/>
    <w:rsid w:val="24F904EE"/>
    <w:rsid w:val="25237319"/>
    <w:rsid w:val="25276E09"/>
    <w:rsid w:val="253311F6"/>
    <w:rsid w:val="253B3193"/>
    <w:rsid w:val="25552E9E"/>
    <w:rsid w:val="255866F6"/>
    <w:rsid w:val="25654FC9"/>
    <w:rsid w:val="25851E17"/>
    <w:rsid w:val="2586379D"/>
    <w:rsid w:val="25873D4C"/>
    <w:rsid w:val="25A91F14"/>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71138CD"/>
    <w:rsid w:val="271703C5"/>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C71CA"/>
    <w:rsid w:val="28F7242D"/>
    <w:rsid w:val="290B259E"/>
    <w:rsid w:val="291D0C4F"/>
    <w:rsid w:val="2924258A"/>
    <w:rsid w:val="29274E04"/>
    <w:rsid w:val="292E22E0"/>
    <w:rsid w:val="293F46A3"/>
    <w:rsid w:val="296D1EE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32EED"/>
    <w:rsid w:val="2ABC3312"/>
    <w:rsid w:val="2AC50660"/>
    <w:rsid w:val="2ACE42A1"/>
    <w:rsid w:val="2AD156A5"/>
    <w:rsid w:val="2AD73080"/>
    <w:rsid w:val="2AE44BDB"/>
    <w:rsid w:val="2AF73663"/>
    <w:rsid w:val="2AFA0B1C"/>
    <w:rsid w:val="2B1334DC"/>
    <w:rsid w:val="2B1505A0"/>
    <w:rsid w:val="2B165951"/>
    <w:rsid w:val="2B165956"/>
    <w:rsid w:val="2B214434"/>
    <w:rsid w:val="2B3559A3"/>
    <w:rsid w:val="2B3B716B"/>
    <w:rsid w:val="2B471B7C"/>
    <w:rsid w:val="2B4E474F"/>
    <w:rsid w:val="2B553EE9"/>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0A773C"/>
    <w:rsid w:val="2D2A52C6"/>
    <w:rsid w:val="2D4D7629"/>
    <w:rsid w:val="2D880661"/>
    <w:rsid w:val="2D8F1DD6"/>
    <w:rsid w:val="2D915A33"/>
    <w:rsid w:val="2D954534"/>
    <w:rsid w:val="2D9800A5"/>
    <w:rsid w:val="2DC3712A"/>
    <w:rsid w:val="2DE171DF"/>
    <w:rsid w:val="2DEF1551"/>
    <w:rsid w:val="2E0200C9"/>
    <w:rsid w:val="2E187C37"/>
    <w:rsid w:val="2E24482E"/>
    <w:rsid w:val="2E3507E9"/>
    <w:rsid w:val="2E3C6ABB"/>
    <w:rsid w:val="2E4345B4"/>
    <w:rsid w:val="2E5A3DAC"/>
    <w:rsid w:val="2E5D53FD"/>
    <w:rsid w:val="2E61599C"/>
    <w:rsid w:val="2E6332CF"/>
    <w:rsid w:val="2E6E7857"/>
    <w:rsid w:val="2E7D7A9A"/>
    <w:rsid w:val="2EA63495"/>
    <w:rsid w:val="2EBA0298"/>
    <w:rsid w:val="2EBF09B3"/>
    <w:rsid w:val="2ED22F7C"/>
    <w:rsid w:val="2ED73784"/>
    <w:rsid w:val="2EDF3673"/>
    <w:rsid w:val="2EE213C2"/>
    <w:rsid w:val="2EFC30B5"/>
    <w:rsid w:val="2F0529C7"/>
    <w:rsid w:val="2F486989"/>
    <w:rsid w:val="2F4C403D"/>
    <w:rsid w:val="2F653004"/>
    <w:rsid w:val="2F684953"/>
    <w:rsid w:val="2F8135BA"/>
    <w:rsid w:val="2F8D622E"/>
    <w:rsid w:val="2F9037FD"/>
    <w:rsid w:val="2F917CA1"/>
    <w:rsid w:val="2F982E42"/>
    <w:rsid w:val="2FCB7EDC"/>
    <w:rsid w:val="2FD951A4"/>
    <w:rsid w:val="2FDB7940"/>
    <w:rsid w:val="2FE60F0B"/>
    <w:rsid w:val="2FFE3400"/>
    <w:rsid w:val="300541EB"/>
    <w:rsid w:val="301B0290"/>
    <w:rsid w:val="303C4D07"/>
    <w:rsid w:val="306461F7"/>
    <w:rsid w:val="30647164"/>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7118EE"/>
    <w:rsid w:val="31794E91"/>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865643"/>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930DB"/>
    <w:rsid w:val="353B59DD"/>
    <w:rsid w:val="35534E88"/>
    <w:rsid w:val="355A32BB"/>
    <w:rsid w:val="35633752"/>
    <w:rsid w:val="3569521C"/>
    <w:rsid w:val="357C6CFE"/>
    <w:rsid w:val="35823489"/>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C3270A"/>
    <w:rsid w:val="3701395E"/>
    <w:rsid w:val="371448CE"/>
    <w:rsid w:val="371D2877"/>
    <w:rsid w:val="372A0A3B"/>
    <w:rsid w:val="372A4537"/>
    <w:rsid w:val="373C4996"/>
    <w:rsid w:val="374A1E98"/>
    <w:rsid w:val="37533C0B"/>
    <w:rsid w:val="375F68D7"/>
    <w:rsid w:val="37794D4F"/>
    <w:rsid w:val="37A02925"/>
    <w:rsid w:val="37B3277F"/>
    <w:rsid w:val="37B34CA4"/>
    <w:rsid w:val="37BD7469"/>
    <w:rsid w:val="37D9327F"/>
    <w:rsid w:val="37E93A81"/>
    <w:rsid w:val="37F75EE1"/>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D2116E"/>
    <w:rsid w:val="3AF37A62"/>
    <w:rsid w:val="3AF61300"/>
    <w:rsid w:val="3AFB6916"/>
    <w:rsid w:val="3AFD73E8"/>
    <w:rsid w:val="3B0529DF"/>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A1704A"/>
    <w:rsid w:val="3CAF5C0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1A3557"/>
    <w:rsid w:val="3E212D16"/>
    <w:rsid w:val="3E24689A"/>
    <w:rsid w:val="3E557A55"/>
    <w:rsid w:val="3E5D2794"/>
    <w:rsid w:val="3E612F34"/>
    <w:rsid w:val="3E8134BC"/>
    <w:rsid w:val="3E864749"/>
    <w:rsid w:val="3E8D1F7B"/>
    <w:rsid w:val="3E9073D3"/>
    <w:rsid w:val="3EAC582F"/>
    <w:rsid w:val="3EC80F65"/>
    <w:rsid w:val="3ED35D96"/>
    <w:rsid w:val="3EE0310F"/>
    <w:rsid w:val="3F192FDE"/>
    <w:rsid w:val="3F21764F"/>
    <w:rsid w:val="3F270382"/>
    <w:rsid w:val="3F4D34B9"/>
    <w:rsid w:val="3F5C61BC"/>
    <w:rsid w:val="3F7E18C4"/>
    <w:rsid w:val="3F821E5A"/>
    <w:rsid w:val="3F826617"/>
    <w:rsid w:val="3F882148"/>
    <w:rsid w:val="3FAD5B09"/>
    <w:rsid w:val="3FAF5707"/>
    <w:rsid w:val="3FD61700"/>
    <w:rsid w:val="3FD85683"/>
    <w:rsid w:val="3FF130F6"/>
    <w:rsid w:val="3FF878C8"/>
    <w:rsid w:val="3FFA5B87"/>
    <w:rsid w:val="3FFF6096"/>
    <w:rsid w:val="40044B90"/>
    <w:rsid w:val="40153FD6"/>
    <w:rsid w:val="402042D4"/>
    <w:rsid w:val="40273D0A"/>
    <w:rsid w:val="40310071"/>
    <w:rsid w:val="4045485F"/>
    <w:rsid w:val="405640FA"/>
    <w:rsid w:val="4081166C"/>
    <w:rsid w:val="40975D69"/>
    <w:rsid w:val="40A01D3A"/>
    <w:rsid w:val="40C652D1"/>
    <w:rsid w:val="40C92CD2"/>
    <w:rsid w:val="40EE1315"/>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36DDF"/>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4F7B16"/>
    <w:rsid w:val="4658671E"/>
    <w:rsid w:val="465C2A22"/>
    <w:rsid w:val="466E205D"/>
    <w:rsid w:val="467632F5"/>
    <w:rsid w:val="467911B3"/>
    <w:rsid w:val="46812B8D"/>
    <w:rsid w:val="46832413"/>
    <w:rsid w:val="46885E2A"/>
    <w:rsid w:val="469F2601"/>
    <w:rsid w:val="46A82FBF"/>
    <w:rsid w:val="46AB40C3"/>
    <w:rsid w:val="46AC31BB"/>
    <w:rsid w:val="46BA58D8"/>
    <w:rsid w:val="46C439A8"/>
    <w:rsid w:val="46CE7995"/>
    <w:rsid w:val="46D7323F"/>
    <w:rsid w:val="46E0501A"/>
    <w:rsid w:val="46FC1214"/>
    <w:rsid w:val="47021DBA"/>
    <w:rsid w:val="471F2FD5"/>
    <w:rsid w:val="47484C91"/>
    <w:rsid w:val="475278BE"/>
    <w:rsid w:val="475C698F"/>
    <w:rsid w:val="475D3DAD"/>
    <w:rsid w:val="47705F96"/>
    <w:rsid w:val="479C5383"/>
    <w:rsid w:val="479F646B"/>
    <w:rsid w:val="47A3636C"/>
    <w:rsid w:val="47A56FB4"/>
    <w:rsid w:val="47AD7CF1"/>
    <w:rsid w:val="47B9547A"/>
    <w:rsid w:val="47D67F88"/>
    <w:rsid w:val="47F20CC9"/>
    <w:rsid w:val="4803505C"/>
    <w:rsid w:val="480831B5"/>
    <w:rsid w:val="480D66CD"/>
    <w:rsid w:val="480F105A"/>
    <w:rsid w:val="48194880"/>
    <w:rsid w:val="481A5421"/>
    <w:rsid w:val="482849BA"/>
    <w:rsid w:val="48286871"/>
    <w:rsid w:val="483D056E"/>
    <w:rsid w:val="483F2BC9"/>
    <w:rsid w:val="485A1120"/>
    <w:rsid w:val="48A7549C"/>
    <w:rsid w:val="48B545A9"/>
    <w:rsid w:val="48BA15B1"/>
    <w:rsid w:val="48D273AC"/>
    <w:rsid w:val="48D76D49"/>
    <w:rsid w:val="48E97759"/>
    <w:rsid w:val="48FA645F"/>
    <w:rsid w:val="491F1E48"/>
    <w:rsid w:val="492139EC"/>
    <w:rsid w:val="492B3567"/>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6565"/>
    <w:rsid w:val="4A7B66E4"/>
    <w:rsid w:val="4A7D5113"/>
    <w:rsid w:val="4A7F4FCB"/>
    <w:rsid w:val="4A812A30"/>
    <w:rsid w:val="4A89523C"/>
    <w:rsid w:val="4AAA6714"/>
    <w:rsid w:val="4AB019AF"/>
    <w:rsid w:val="4AB60164"/>
    <w:rsid w:val="4AC54E91"/>
    <w:rsid w:val="4AD5154D"/>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D2958"/>
    <w:rsid w:val="4D145493"/>
    <w:rsid w:val="4D16313C"/>
    <w:rsid w:val="4D2D4855"/>
    <w:rsid w:val="4D393332"/>
    <w:rsid w:val="4D3B01A7"/>
    <w:rsid w:val="4D4746C5"/>
    <w:rsid w:val="4D4D1254"/>
    <w:rsid w:val="4D5A74CD"/>
    <w:rsid w:val="4D6759FB"/>
    <w:rsid w:val="4D6E3517"/>
    <w:rsid w:val="4DB14B03"/>
    <w:rsid w:val="4DB639B0"/>
    <w:rsid w:val="4DB7491F"/>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B95E75"/>
    <w:rsid w:val="50C54952"/>
    <w:rsid w:val="50CA6916"/>
    <w:rsid w:val="50CD6207"/>
    <w:rsid w:val="51015649"/>
    <w:rsid w:val="51034416"/>
    <w:rsid w:val="510A745C"/>
    <w:rsid w:val="512151F2"/>
    <w:rsid w:val="512656C9"/>
    <w:rsid w:val="5139564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E77F87"/>
    <w:rsid w:val="51EA372D"/>
    <w:rsid w:val="51EE696A"/>
    <w:rsid w:val="51F15F26"/>
    <w:rsid w:val="51F37EF0"/>
    <w:rsid w:val="51F6353C"/>
    <w:rsid w:val="51F87B88"/>
    <w:rsid w:val="520B6FE7"/>
    <w:rsid w:val="520D0FB1"/>
    <w:rsid w:val="521142C4"/>
    <w:rsid w:val="5224097B"/>
    <w:rsid w:val="522508B8"/>
    <w:rsid w:val="52270DB8"/>
    <w:rsid w:val="5238556C"/>
    <w:rsid w:val="523E1BC7"/>
    <w:rsid w:val="523F6E00"/>
    <w:rsid w:val="524B22B7"/>
    <w:rsid w:val="52692D61"/>
    <w:rsid w:val="527728CF"/>
    <w:rsid w:val="528172AA"/>
    <w:rsid w:val="52A636F2"/>
    <w:rsid w:val="52B256B5"/>
    <w:rsid w:val="52B8492E"/>
    <w:rsid w:val="52CD201A"/>
    <w:rsid w:val="52DB316A"/>
    <w:rsid w:val="52DF5523"/>
    <w:rsid w:val="52F1442F"/>
    <w:rsid w:val="52F21F55"/>
    <w:rsid w:val="530C01BA"/>
    <w:rsid w:val="530F02BC"/>
    <w:rsid w:val="53130F14"/>
    <w:rsid w:val="53191BD8"/>
    <w:rsid w:val="531C6A38"/>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B5148C"/>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1A5A4B"/>
    <w:rsid w:val="564447FE"/>
    <w:rsid w:val="56466840"/>
    <w:rsid w:val="565467A5"/>
    <w:rsid w:val="56644224"/>
    <w:rsid w:val="566559D7"/>
    <w:rsid w:val="5666680E"/>
    <w:rsid w:val="5669634B"/>
    <w:rsid w:val="56735DD8"/>
    <w:rsid w:val="567A473C"/>
    <w:rsid w:val="5685797A"/>
    <w:rsid w:val="568C1A21"/>
    <w:rsid w:val="569F4D37"/>
    <w:rsid w:val="56AB2F3F"/>
    <w:rsid w:val="56C42FEC"/>
    <w:rsid w:val="56DE34AA"/>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F0946"/>
    <w:rsid w:val="58075B26"/>
    <w:rsid w:val="580A355F"/>
    <w:rsid w:val="58127ED2"/>
    <w:rsid w:val="58172F6B"/>
    <w:rsid w:val="58281E5B"/>
    <w:rsid w:val="582C247D"/>
    <w:rsid w:val="583D29A8"/>
    <w:rsid w:val="58406187"/>
    <w:rsid w:val="584E614D"/>
    <w:rsid w:val="58537A63"/>
    <w:rsid w:val="58643CC2"/>
    <w:rsid w:val="588075E9"/>
    <w:rsid w:val="588C2AEC"/>
    <w:rsid w:val="58975A79"/>
    <w:rsid w:val="58A81A34"/>
    <w:rsid w:val="58CA7BFC"/>
    <w:rsid w:val="58CF5213"/>
    <w:rsid w:val="58E83887"/>
    <w:rsid w:val="58F90DE0"/>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57473"/>
    <w:rsid w:val="5AE92129"/>
    <w:rsid w:val="5AF102AB"/>
    <w:rsid w:val="5B163201"/>
    <w:rsid w:val="5B1A473F"/>
    <w:rsid w:val="5B2E3D47"/>
    <w:rsid w:val="5B37709F"/>
    <w:rsid w:val="5B6149A2"/>
    <w:rsid w:val="5B636D7E"/>
    <w:rsid w:val="5B7A6DEA"/>
    <w:rsid w:val="5B7E6A7C"/>
    <w:rsid w:val="5BA20303"/>
    <w:rsid w:val="5BB26726"/>
    <w:rsid w:val="5BB701E0"/>
    <w:rsid w:val="5BB926FC"/>
    <w:rsid w:val="5BF54320"/>
    <w:rsid w:val="5C0B238F"/>
    <w:rsid w:val="5C1633F6"/>
    <w:rsid w:val="5C246971"/>
    <w:rsid w:val="5C4867F4"/>
    <w:rsid w:val="5C49715E"/>
    <w:rsid w:val="5C6737F1"/>
    <w:rsid w:val="5C8F5ED1"/>
    <w:rsid w:val="5C9C18B0"/>
    <w:rsid w:val="5C9E7970"/>
    <w:rsid w:val="5CBD1826"/>
    <w:rsid w:val="5CC37F37"/>
    <w:rsid w:val="5CE943C9"/>
    <w:rsid w:val="5CF96FBB"/>
    <w:rsid w:val="5CFC5A84"/>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33611"/>
    <w:rsid w:val="5DE50E0B"/>
    <w:rsid w:val="5DEA03F9"/>
    <w:rsid w:val="5DEB5F1F"/>
    <w:rsid w:val="5DEB608F"/>
    <w:rsid w:val="5E0266B8"/>
    <w:rsid w:val="5E211941"/>
    <w:rsid w:val="5E2719AF"/>
    <w:rsid w:val="5E2C7B5F"/>
    <w:rsid w:val="5E324CBD"/>
    <w:rsid w:val="5E37388C"/>
    <w:rsid w:val="5E386485"/>
    <w:rsid w:val="5E49652D"/>
    <w:rsid w:val="5E55621E"/>
    <w:rsid w:val="5E556A51"/>
    <w:rsid w:val="5E6C7060"/>
    <w:rsid w:val="5EA7453C"/>
    <w:rsid w:val="5EAE0F71"/>
    <w:rsid w:val="5ED27BE1"/>
    <w:rsid w:val="5ED35BB4"/>
    <w:rsid w:val="5ED75612"/>
    <w:rsid w:val="5F1E2A19"/>
    <w:rsid w:val="5F1F1B33"/>
    <w:rsid w:val="5F2136D8"/>
    <w:rsid w:val="5F2D0AE0"/>
    <w:rsid w:val="5F432EF8"/>
    <w:rsid w:val="5F47659C"/>
    <w:rsid w:val="5F4D7ADC"/>
    <w:rsid w:val="5F526256"/>
    <w:rsid w:val="5F5433E2"/>
    <w:rsid w:val="5F555D46"/>
    <w:rsid w:val="5F5B16CF"/>
    <w:rsid w:val="5F765539"/>
    <w:rsid w:val="5F7E529D"/>
    <w:rsid w:val="5FB40CBE"/>
    <w:rsid w:val="5FC2239B"/>
    <w:rsid w:val="5FCA04E2"/>
    <w:rsid w:val="5FDF1F8A"/>
    <w:rsid w:val="5FE356A8"/>
    <w:rsid w:val="5FF40024"/>
    <w:rsid w:val="602676E1"/>
    <w:rsid w:val="602E4F74"/>
    <w:rsid w:val="603418A5"/>
    <w:rsid w:val="60366D51"/>
    <w:rsid w:val="604D4C6F"/>
    <w:rsid w:val="606002D2"/>
    <w:rsid w:val="607628FE"/>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92960"/>
    <w:rsid w:val="615A5A4D"/>
    <w:rsid w:val="6166248C"/>
    <w:rsid w:val="61706E67"/>
    <w:rsid w:val="61AC41D6"/>
    <w:rsid w:val="61D70DF9"/>
    <w:rsid w:val="61D77A00"/>
    <w:rsid w:val="61EE148D"/>
    <w:rsid w:val="621B3277"/>
    <w:rsid w:val="6228211F"/>
    <w:rsid w:val="6229771A"/>
    <w:rsid w:val="622C555D"/>
    <w:rsid w:val="623B7475"/>
    <w:rsid w:val="624D53FA"/>
    <w:rsid w:val="625E7607"/>
    <w:rsid w:val="626478C2"/>
    <w:rsid w:val="626529F4"/>
    <w:rsid w:val="626C4988"/>
    <w:rsid w:val="62854B94"/>
    <w:rsid w:val="62922E0D"/>
    <w:rsid w:val="62C610B8"/>
    <w:rsid w:val="62E224E8"/>
    <w:rsid w:val="62F13FD7"/>
    <w:rsid w:val="62FE497B"/>
    <w:rsid w:val="62FF03D9"/>
    <w:rsid w:val="62FF64C2"/>
    <w:rsid w:val="630E4B89"/>
    <w:rsid w:val="633345F0"/>
    <w:rsid w:val="63352116"/>
    <w:rsid w:val="63377DE5"/>
    <w:rsid w:val="633B5253"/>
    <w:rsid w:val="633C769A"/>
    <w:rsid w:val="63452A53"/>
    <w:rsid w:val="63485127"/>
    <w:rsid w:val="635B58F5"/>
    <w:rsid w:val="637531A0"/>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A7DF2"/>
    <w:rsid w:val="644D7933"/>
    <w:rsid w:val="645152C2"/>
    <w:rsid w:val="64607667"/>
    <w:rsid w:val="64800394"/>
    <w:rsid w:val="648814BB"/>
    <w:rsid w:val="64975171"/>
    <w:rsid w:val="64A15589"/>
    <w:rsid w:val="64AA0614"/>
    <w:rsid w:val="64AB4ABB"/>
    <w:rsid w:val="64BE5FF1"/>
    <w:rsid w:val="64C549E2"/>
    <w:rsid w:val="64D4770D"/>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8D3AA7"/>
    <w:rsid w:val="668D6304"/>
    <w:rsid w:val="669C6028"/>
    <w:rsid w:val="669F0689"/>
    <w:rsid w:val="669F53E8"/>
    <w:rsid w:val="66A87A0F"/>
    <w:rsid w:val="66B20509"/>
    <w:rsid w:val="66C50541"/>
    <w:rsid w:val="66C509D5"/>
    <w:rsid w:val="66DA2CB3"/>
    <w:rsid w:val="66F40793"/>
    <w:rsid w:val="6717038D"/>
    <w:rsid w:val="671706D3"/>
    <w:rsid w:val="67286A44"/>
    <w:rsid w:val="672F48CC"/>
    <w:rsid w:val="6730396A"/>
    <w:rsid w:val="67346B89"/>
    <w:rsid w:val="6739419F"/>
    <w:rsid w:val="6751773B"/>
    <w:rsid w:val="6760797E"/>
    <w:rsid w:val="67801EB9"/>
    <w:rsid w:val="67A71109"/>
    <w:rsid w:val="67C76B2D"/>
    <w:rsid w:val="67CE0D8B"/>
    <w:rsid w:val="67EE2A60"/>
    <w:rsid w:val="68036CFD"/>
    <w:rsid w:val="681A38D9"/>
    <w:rsid w:val="68324E76"/>
    <w:rsid w:val="6839795B"/>
    <w:rsid w:val="683E5252"/>
    <w:rsid w:val="68456C28"/>
    <w:rsid w:val="684C67E9"/>
    <w:rsid w:val="685118DE"/>
    <w:rsid w:val="685E101E"/>
    <w:rsid w:val="68702AEA"/>
    <w:rsid w:val="688233FF"/>
    <w:rsid w:val="68883E6D"/>
    <w:rsid w:val="68AD6BF3"/>
    <w:rsid w:val="68B7537B"/>
    <w:rsid w:val="68D56A00"/>
    <w:rsid w:val="68DA1F54"/>
    <w:rsid w:val="68EB078F"/>
    <w:rsid w:val="691D1B71"/>
    <w:rsid w:val="69280C5E"/>
    <w:rsid w:val="693115D2"/>
    <w:rsid w:val="693A3226"/>
    <w:rsid w:val="693E4935"/>
    <w:rsid w:val="694D54E1"/>
    <w:rsid w:val="699944EC"/>
    <w:rsid w:val="69995724"/>
    <w:rsid w:val="69B31FE7"/>
    <w:rsid w:val="69B47EE5"/>
    <w:rsid w:val="69C4686C"/>
    <w:rsid w:val="69CE0ADD"/>
    <w:rsid w:val="6A176F2F"/>
    <w:rsid w:val="6A23687A"/>
    <w:rsid w:val="6A240036"/>
    <w:rsid w:val="6A3550F2"/>
    <w:rsid w:val="6A372756"/>
    <w:rsid w:val="6A3B19C7"/>
    <w:rsid w:val="6A4B20C8"/>
    <w:rsid w:val="6A4B5F33"/>
    <w:rsid w:val="6A577BBA"/>
    <w:rsid w:val="6A590439"/>
    <w:rsid w:val="6A597D4C"/>
    <w:rsid w:val="6A680FC7"/>
    <w:rsid w:val="6A880A74"/>
    <w:rsid w:val="6A942216"/>
    <w:rsid w:val="6A9B0075"/>
    <w:rsid w:val="6AB57FE0"/>
    <w:rsid w:val="6AC51D73"/>
    <w:rsid w:val="6AC82C33"/>
    <w:rsid w:val="6AD67F71"/>
    <w:rsid w:val="6AE213F9"/>
    <w:rsid w:val="6AE85CC0"/>
    <w:rsid w:val="6AF7771D"/>
    <w:rsid w:val="6B036F9E"/>
    <w:rsid w:val="6B105217"/>
    <w:rsid w:val="6B2F7A95"/>
    <w:rsid w:val="6B311795"/>
    <w:rsid w:val="6B4D0219"/>
    <w:rsid w:val="6BA17867"/>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2F6D0B"/>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B3D99"/>
    <w:rsid w:val="6F415A91"/>
    <w:rsid w:val="6F5479EB"/>
    <w:rsid w:val="6F5558BD"/>
    <w:rsid w:val="6F5C177F"/>
    <w:rsid w:val="6F5E47A3"/>
    <w:rsid w:val="6F622446"/>
    <w:rsid w:val="6F6373A3"/>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2F13E2"/>
    <w:rsid w:val="70335C2F"/>
    <w:rsid w:val="70476FEF"/>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F6001"/>
    <w:rsid w:val="72473CB6"/>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B6A64"/>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D35377"/>
    <w:rsid w:val="75F93477"/>
    <w:rsid w:val="76063D02"/>
    <w:rsid w:val="760B3E0F"/>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DF00CF"/>
    <w:rsid w:val="78E57CE3"/>
    <w:rsid w:val="78E72828"/>
    <w:rsid w:val="78EA7B9F"/>
    <w:rsid w:val="79224F56"/>
    <w:rsid w:val="79336CA0"/>
    <w:rsid w:val="793A7966"/>
    <w:rsid w:val="793B1C09"/>
    <w:rsid w:val="7947274B"/>
    <w:rsid w:val="79526D7F"/>
    <w:rsid w:val="79BA79F3"/>
    <w:rsid w:val="79BB215E"/>
    <w:rsid w:val="79CE4C1B"/>
    <w:rsid w:val="79D87646"/>
    <w:rsid w:val="79E82BC7"/>
    <w:rsid w:val="7A1067EC"/>
    <w:rsid w:val="7A192CE7"/>
    <w:rsid w:val="7A2E2EA3"/>
    <w:rsid w:val="7A3007C8"/>
    <w:rsid w:val="7A3231AD"/>
    <w:rsid w:val="7A4A77F3"/>
    <w:rsid w:val="7A5A72EE"/>
    <w:rsid w:val="7A6169E0"/>
    <w:rsid w:val="7A844288"/>
    <w:rsid w:val="7AA02113"/>
    <w:rsid w:val="7AA82540"/>
    <w:rsid w:val="7AB931D5"/>
    <w:rsid w:val="7ADC02AF"/>
    <w:rsid w:val="7AE56AF0"/>
    <w:rsid w:val="7B002DC3"/>
    <w:rsid w:val="7B080E99"/>
    <w:rsid w:val="7B0C23FF"/>
    <w:rsid w:val="7B110428"/>
    <w:rsid w:val="7B113011"/>
    <w:rsid w:val="7B205002"/>
    <w:rsid w:val="7B220D7A"/>
    <w:rsid w:val="7B2F5349"/>
    <w:rsid w:val="7B5666FB"/>
    <w:rsid w:val="7B5C232E"/>
    <w:rsid w:val="7B5E12BB"/>
    <w:rsid w:val="7B637C47"/>
    <w:rsid w:val="7B780AEF"/>
    <w:rsid w:val="7BA43E85"/>
    <w:rsid w:val="7BAB6FC2"/>
    <w:rsid w:val="7BBF4208"/>
    <w:rsid w:val="7BC0312E"/>
    <w:rsid w:val="7BC62E25"/>
    <w:rsid w:val="7BD02203"/>
    <w:rsid w:val="7BD22006"/>
    <w:rsid w:val="7BE269EA"/>
    <w:rsid w:val="7BE349AD"/>
    <w:rsid w:val="7BEC6B07"/>
    <w:rsid w:val="7BFC0690"/>
    <w:rsid w:val="7BFE17E7"/>
    <w:rsid w:val="7C013085"/>
    <w:rsid w:val="7C0E2B1C"/>
    <w:rsid w:val="7C0E57A2"/>
    <w:rsid w:val="7C151079"/>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D13314E"/>
    <w:rsid w:val="7D230DDA"/>
    <w:rsid w:val="7D365DD8"/>
    <w:rsid w:val="7D3A23FC"/>
    <w:rsid w:val="7D4C0330"/>
    <w:rsid w:val="7D4C6831"/>
    <w:rsid w:val="7D625FC7"/>
    <w:rsid w:val="7D650CA3"/>
    <w:rsid w:val="7D6A0419"/>
    <w:rsid w:val="7D6B7727"/>
    <w:rsid w:val="7D7A5D33"/>
    <w:rsid w:val="7DA0242A"/>
    <w:rsid w:val="7DB12889"/>
    <w:rsid w:val="7DB52379"/>
    <w:rsid w:val="7DBC3708"/>
    <w:rsid w:val="7DD018F6"/>
    <w:rsid w:val="7DD4016C"/>
    <w:rsid w:val="7DEE5D3D"/>
    <w:rsid w:val="7E167D92"/>
    <w:rsid w:val="7E1A50EB"/>
    <w:rsid w:val="7E1D2CB4"/>
    <w:rsid w:val="7E222BD7"/>
    <w:rsid w:val="7E2412AD"/>
    <w:rsid w:val="7E24305B"/>
    <w:rsid w:val="7E290672"/>
    <w:rsid w:val="7E4266E2"/>
    <w:rsid w:val="7E576F8D"/>
    <w:rsid w:val="7E6C2A49"/>
    <w:rsid w:val="7E6D4A02"/>
    <w:rsid w:val="7E722A66"/>
    <w:rsid w:val="7E794FBB"/>
    <w:rsid w:val="7E806AA4"/>
    <w:rsid w:val="7E8F4979"/>
    <w:rsid w:val="7E9C305C"/>
    <w:rsid w:val="7EA06B86"/>
    <w:rsid w:val="7EA26042"/>
    <w:rsid w:val="7EAA17B2"/>
    <w:rsid w:val="7EAF6879"/>
    <w:rsid w:val="7EB45D48"/>
    <w:rsid w:val="7EC17031"/>
    <w:rsid w:val="7ECA2F01"/>
    <w:rsid w:val="7ED71E7C"/>
    <w:rsid w:val="7EDE2253"/>
    <w:rsid w:val="7EEA7E01"/>
    <w:rsid w:val="7F0417A2"/>
    <w:rsid w:val="7F360FA8"/>
    <w:rsid w:val="7F3D43D5"/>
    <w:rsid w:val="7F427C3D"/>
    <w:rsid w:val="7F517E80"/>
    <w:rsid w:val="7F565496"/>
    <w:rsid w:val="7F7211CD"/>
    <w:rsid w:val="7F8B3961"/>
    <w:rsid w:val="7F8F3102"/>
    <w:rsid w:val="7F912972"/>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6">
    <w:name w:val="Default Paragraph Font"/>
    <w:autoRedefine/>
    <w:semiHidden/>
    <w:qFormat/>
    <w:uiPriority w:val="0"/>
  </w:style>
  <w:style w:type="table" w:default="1" w:styleId="34">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0">
    <w:name w:val="index 1"/>
    <w:basedOn w:val="1"/>
    <w:next w:val="1"/>
    <w:autoRedefine/>
    <w:qFormat/>
    <w:uiPriority w:val="0"/>
    <w:pPr>
      <w:jc w:val="center"/>
    </w:pPr>
    <w:rPr>
      <w:rFonts w:ascii="Arial" w:hAnsi="Arial" w:eastAsia="Arial" w:cs="Arial"/>
      <w:b/>
      <w:bCs/>
      <w:sz w:val="28"/>
    </w:rPr>
  </w:style>
  <w:style w:type="paragraph" w:styleId="31">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2">
    <w:name w:val="annotation subject"/>
    <w:basedOn w:val="12"/>
    <w:next w:val="12"/>
    <w:link w:val="66"/>
    <w:autoRedefine/>
    <w:qFormat/>
    <w:uiPriority w:val="0"/>
    <w:rPr>
      <w:b/>
      <w:bCs/>
    </w:rPr>
  </w:style>
  <w:style w:type="paragraph" w:styleId="33">
    <w:name w:val="Body Text First Indent 2"/>
    <w:basedOn w:val="14"/>
    <w:next w:val="1"/>
    <w:link w:val="53"/>
    <w:autoRedefine/>
    <w:qFormat/>
    <w:uiPriority w:val="0"/>
    <w:pPr>
      <w:ind w:left="420" w:firstLine="420" w:firstLineChars="200"/>
    </w:pPr>
  </w:style>
  <w:style w:type="table" w:styleId="35">
    <w:name w:val="Table Grid"/>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autoRedefine/>
    <w:qFormat/>
    <w:uiPriority w:val="0"/>
    <w:rPr>
      <w:b/>
    </w:rPr>
  </w:style>
  <w:style w:type="character" w:styleId="38">
    <w:name w:val="page number"/>
    <w:basedOn w:val="36"/>
    <w:autoRedefine/>
    <w:qFormat/>
    <w:uiPriority w:val="0"/>
  </w:style>
  <w:style w:type="character" w:styleId="39">
    <w:name w:val="FollowedHyperlink"/>
    <w:autoRedefine/>
    <w:qFormat/>
    <w:uiPriority w:val="0"/>
    <w:rPr>
      <w:color w:val="333333"/>
      <w:u w:val="none"/>
    </w:rPr>
  </w:style>
  <w:style w:type="character" w:styleId="40">
    <w:name w:val="Emphasis"/>
    <w:autoRedefine/>
    <w:qFormat/>
    <w:uiPriority w:val="20"/>
    <w:rPr>
      <w:i/>
      <w:iCs/>
    </w:rPr>
  </w:style>
  <w:style w:type="character" w:styleId="41">
    <w:name w:val="HTML Definition"/>
    <w:autoRedefine/>
    <w:qFormat/>
    <w:uiPriority w:val="0"/>
  </w:style>
  <w:style w:type="character" w:styleId="42">
    <w:name w:val="HTML Typewriter"/>
    <w:autoRedefine/>
    <w:qFormat/>
    <w:uiPriority w:val="0"/>
    <w:rPr>
      <w:rFonts w:ascii="monospace" w:hAnsi="monospace" w:eastAsia="monospace" w:cs="monospace"/>
      <w:sz w:val="20"/>
    </w:rPr>
  </w:style>
  <w:style w:type="character" w:styleId="43">
    <w:name w:val="HTML Acronym"/>
    <w:autoRedefine/>
    <w:qFormat/>
    <w:uiPriority w:val="0"/>
  </w:style>
  <w:style w:type="character" w:styleId="44">
    <w:name w:val="HTML Variable"/>
    <w:autoRedefine/>
    <w:qFormat/>
    <w:uiPriority w:val="0"/>
  </w:style>
  <w:style w:type="character" w:styleId="45">
    <w:name w:val="Hyperlink"/>
    <w:autoRedefine/>
    <w:qFormat/>
    <w:uiPriority w:val="99"/>
    <w:rPr>
      <w:color w:val="333333"/>
      <w:u w:val="none"/>
    </w:rPr>
  </w:style>
  <w:style w:type="character" w:styleId="46">
    <w:name w:val="HTML Code"/>
    <w:autoRedefine/>
    <w:qFormat/>
    <w:uiPriority w:val="0"/>
    <w:rPr>
      <w:rFonts w:hint="default" w:ascii="monospace" w:hAnsi="monospace" w:eastAsia="monospace" w:cs="monospace"/>
      <w:sz w:val="20"/>
    </w:rPr>
  </w:style>
  <w:style w:type="character" w:styleId="47">
    <w:name w:val="annotation reference"/>
    <w:autoRedefine/>
    <w:qFormat/>
    <w:uiPriority w:val="0"/>
    <w:rPr>
      <w:sz w:val="21"/>
      <w:szCs w:val="21"/>
    </w:rPr>
  </w:style>
  <w:style w:type="character" w:styleId="48">
    <w:name w:val="HTML Cite"/>
    <w:autoRedefine/>
    <w:qFormat/>
    <w:uiPriority w:val="0"/>
  </w:style>
  <w:style w:type="character" w:styleId="49">
    <w:name w:val="HTML Keyboard"/>
    <w:autoRedefine/>
    <w:qFormat/>
    <w:uiPriority w:val="0"/>
    <w:rPr>
      <w:rFonts w:hint="default" w:ascii="monospace" w:hAnsi="monospace" w:eastAsia="monospace" w:cs="monospace"/>
      <w:sz w:val="20"/>
    </w:rPr>
  </w:style>
  <w:style w:type="character" w:styleId="50">
    <w:name w:val="HTML Sample"/>
    <w:autoRedefine/>
    <w:qFormat/>
    <w:uiPriority w:val="0"/>
    <w:rPr>
      <w:rFonts w:hint="default" w:ascii="monospace" w:hAnsi="monospace" w:eastAsia="monospace" w:cs="monospace"/>
    </w:rPr>
  </w:style>
  <w:style w:type="paragraph" w:customStyle="1" w:styleId="51">
    <w:name w:val="正文文字 8"/>
    <w:basedOn w:val="1"/>
    <w:next w:val="1"/>
    <w:autoRedefine/>
    <w:qFormat/>
    <w:uiPriority w:val="0"/>
    <w:pPr>
      <w:ind w:left="240"/>
    </w:pPr>
    <w:rPr>
      <w:sz w:val="16"/>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3"/>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2"/>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6"/>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6"/>
    <w:autoRedefine/>
    <w:qFormat/>
    <w:uiPriority w:val="0"/>
    <w:rPr>
      <w:b/>
      <w:bCs/>
      <w:color w:val="FF7800"/>
    </w:rPr>
  </w:style>
  <w:style w:type="character" w:customStyle="1" w:styleId="130">
    <w:name w:val="a-desc"/>
    <w:basedOn w:val="36"/>
    <w:autoRedefine/>
    <w:qFormat/>
    <w:uiPriority w:val="0"/>
    <w:rPr>
      <w:color w:val="315EFB"/>
    </w:rPr>
  </w:style>
  <w:style w:type="character" w:customStyle="1" w:styleId="131">
    <w:name w:val="bg"/>
    <w:basedOn w:val="36"/>
    <w:autoRedefine/>
    <w:qFormat/>
    <w:uiPriority w:val="0"/>
    <w:rPr>
      <w:shd w:val="clear" w:color="auto" w:fill="000000"/>
    </w:rPr>
  </w:style>
  <w:style w:type="character" w:customStyle="1" w:styleId="132">
    <w:name w:val="bg1"/>
    <w:basedOn w:val="36"/>
    <w:autoRedefine/>
    <w:qFormat/>
    <w:uiPriority w:val="0"/>
    <w:rPr>
      <w:shd w:val="clear" w:color="auto" w:fill="000000"/>
    </w:rPr>
  </w:style>
  <w:style w:type="character" w:customStyle="1" w:styleId="133">
    <w:name w:val="bg2"/>
    <w:basedOn w:val="36"/>
    <w:autoRedefine/>
    <w:qFormat/>
    <w:uiPriority w:val="0"/>
    <w:rPr>
      <w:shd w:val="clear" w:color="auto" w:fill="000000"/>
    </w:rPr>
  </w:style>
  <w:style w:type="character" w:customStyle="1" w:styleId="134">
    <w:name w:val="iknow-qb-ad-sou-icon"/>
    <w:basedOn w:val="36"/>
    <w:autoRedefine/>
    <w:qFormat/>
    <w:uiPriority w:val="0"/>
  </w:style>
  <w:style w:type="character" w:customStyle="1" w:styleId="135">
    <w:name w:val="del-btn"/>
    <w:basedOn w:val="36"/>
    <w:autoRedefine/>
    <w:qFormat/>
    <w:uiPriority w:val="0"/>
  </w:style>
  <w:style w:type="character" w:customStyle="1" w:styleId="136">
    <w:name w:val="del-btn1"/>
    <w:basedOn w:val="36"/>
    <w:autoRedefine/>
    <w:qFormat/>
    <w:uiPriority w:val="0"/>
  </w:style>
  <w:style w:type="character" w:customStyle="1" w:styleId="137">
    <w:name w:val="del-btn2"/>
    <w:basedOn w:val="36"/>
    <w:autoRedefine/>
    <w:qFormat/>
    <w:uiPriority w:val="0"/>
  </w:style>
  <w:style w:type="character" w:customStyle="1" w:styleId="138">
    <w:name w:val="answer-title"/>
    <w:basedOn w:val="36"/>
    <w:autoRedefine/>
    <w:qFormat/>
    <w:uiPriority w:val="0"/>
  </w:style>
  <w:style w:type="character" w:customStyle="1" w:styleId="139">
    <w:name w:val="new-icon2"/>
    <w:basedOn w:val="36"/>
    <w:autoRedefine/>
    <w:qFormat/>
    <w:uiPriority w:val="0"/>
  </w:style>
  <w:style w:type="character" w:customStyle="1" w:styleId="140">
    <w:name w:val="new-icon3"/>
    <w:basedOn w:val="36"/>
    <w:autoRedefine/>
    <w:qFormat/>
    <w:uiPriority w:val="0"/>
  </w:style>
  <w:style w:type="character" w:customStyle="1" w:styleId="141">
    <w:name w:val="green"/>
    <w:basedOn w:val="36"/>
    <w:autoRedefine/>
    <w:qFormat/>
    <w:uiPriority w:val="0"/>
    <w:rPr>
      <w:color w:val="3B6FFF"/>
    </w:rPr>
  </w:style>
  <w:style w:type="character" w:customStyle="1" w:styleId="142">
    <w:name w:val="green1"/>
    <w:basedOn w:val="36"/>
    <w:autoRedefine/>
    <w:qFormat/>
    <w:uiPriority w:val="0"/>
    <w:rPr>
      <w:color w:val="3B6FFF"/>
    </w:rPr>
  </w:style>
  <w:style w:type="character" w:customStyle="1" w:styleId="143">
    <w:name w:val="green2"/>
    <w:basedOn w:val="36"/>
    <w:autoRedefine/>
    <w:qFormat/>
    <w:uiPriority w:val="0"/>
    <w:rPr>
      <w:color w:val="4DC86F"/>
    </w:rPr>
  </w:style>
  <w:style w:type="character" w:customStyle="1" w:styleId="144">
    <w:name w:val="green3"/>
    <w:basedOn w:val="36"/>
    <w:autoRedefine/>
    <w:qFormat/>
    <w:uiPriority w:val="0"/>
    <w:rPr>
      <w:color w:val="4DC86F"/>
    </w:rPr>
  </w:style>
  <w:style w:type="character" w:customStyle="1" w:styleId="145">
    <w:name w:val="answer-title2"/>
    <w:basedOn w:val="36"/>
    <w:autoRedefine/>
    <w:qFormat/>
    <w:uiPriority w:val="0"/>
  </w:style>
  <w:style w:type="character" w:customStyle="1" w:styleId="146">
    <w:name w:val="new-icon"/>
    <w:basedOn w:val="36"/>
    <w:autoRedefine/>
    <w:qFormat/>
    <w:uiPriority w:val="0"/>
  </w:style>
  <w:style w:type="character" w:customStyle="1" w:styleId="147">
    <w:name w:val="new-icon1"/>
    <w:basedOn w:val="36"/>
    <w:autoRedefine/>
    <w:qFormat/>
    <w:uiPriority w:val="0"/>
  </w:style>
  <w:style w:type="character" w:customStyle="1" w:styleId="148">
    <w:name w:val="font31"/>
    <w:basedOn w:val="36"/>
    <w:autoRedefine/>
    <w:qFormat/>
    <w:uiPriority w:val="0"/>
    <w:rPr>
      <w:rFonts w:hint="eastAsia" w:ascii="宋体" w:hAnsi="宋体" w:eastAsia="宋体" w:cs="宋体"/>
      <w:color w:val="000000"/>
      <w:sz w:val="21"/>
      <w:szCs w:val="21"/>
      <w:u w:val="none"/>
    </w:rPr>
  </w:style>
  <w:style w:type="character" w:customStyle="1" w:styleId="149">
    <w:name w:val="font51"/>
    <w:basedOn w:val="36"/>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15410</Words>
  <Characters>17275</Characters>
  <Lines>358</Lines>
  <Paragraphs>100</Paragraphs>
  <TotalTime>8</TotalTime>
  <ScaleCrop>false</ScaleCrop>
  <LinksUpToDate>false</LinksUpToDate>
  <CharactersWithSpaces>17649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韦韦</cp:lastModifiedBy>
  <cp:lastPrinted>2023-12-15T01:51:00Z</cp:lastPrinted>
  <dcterms:modified xsi:type="dcterms:W3CDTF">2026-09-07T08:08:24Z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9DE97A078242434B8B3280E52CDBE9A2_13</vt:lpwstr>
  </property>
  <property fmtid="{D5CDD505-2E9C-101B-9397-08002B2CF9AE}" pid="4" name="KSOTemplateDocerSaveRecord">
    <vt:lpwstr>eyJoZGlkIjoiZmQ5MGI3YTdkMjVkZTZjM2ZjZTQ5YjMxYTJjZjRlOWEiLCJ1c2VySWQiOiIzNjE4MjQ5In0=</vt:lpwstr>
  </property>
</Properties>
</file>