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CBF5">
      <w:pPr>
        <w:tabs>
          <w:tab w:val="left" w:pos="315"/>
          <w:tab w:val="left" w:pos="8820"/>
        </w:tabs>
        <w:spacing w:before="312" w:beforeLines="100" w:after="156" w:afterLines="50" w:line="500" w:lineRule="exact"/>
        <w:ind w:right="267" w:rightChars="127"/>
        <w:jc w:val="both"/>
        <w:rPr>
          <w:rFonts w:ascii="宋体" w:hAnsi="宋体" w:eastAsia="宋体" w:cs="宋体"/>
          <w:b/>
          <w:bCs/>
          <w:sz w:val="52"/>
          <w:szCs w:val="52"/>
        </w:rPr>
      </w:pPr>
    </w:p>
    <w:p w14:paraId="0E300C15">
      <w:pPr>
        <w:tabs>
          <w:tab w:val="left" w:pos="315"/>
          <w:tab w:val="left" w:pos="8820"/>
        </w:tabs>
        <w:spacing w:before="312" w:beforeLines="100" w:after="156" w:afterLines="50" w:line="500" w:lineRule="exact"/>
        <w:ind w:right="267" w:rightChars="127"/>
        <w:jc w:val="center"/>
        <w:rPr>
          <w:rFonts w:ascii="宋体" w:hAnsi="宋体" w:eastAsia="宋体" w:cs="宋体"/>
          <w:b/>
          <w:bCs/>
          <w:sz w:val="52"/>
          <w:szCs w:val="52"/>
        </w:rPr>
      </w:pPr>
    </w:p>
    <w:p w14:paraId="3D3EF75E">
      <w:pPr>
        <w:tabs>
          <w:tab w:val="left" w:pos="315"/>
          <w:tab w:val="left" w:pos="8820"/>
        </w:tabs>
        <w:spacing w:before="312" w:beforeLines="100" w:after="156" w:afterLines="50" w:line="500" w:lineRule="exact"/>
        <w:ind w:right="267" w:rightChars="127"/>
        <w:jc w:val="center"/>
        <w:rPr>
          <w:rFonts w:ascii="宋体" w:hAnsi="宋体" w:eastAsia="宋体" w:cs="宋体"/>
          <w:b/>
          <w:bCs/>
          <w:sz w:val="52"/>
          <w:szCs w:val="52"/>
        </w:rPr>
      </w:pPr>
      <w:bookmarkStart w:id="0" w:name="_Hlk9544796"/>
      <w:r>
        <w:rPr>
          <w:rFonts w:hint="eastAsia" w:ascii="宋体" w:hAnsi="宋体" w:eastAsia="宋体" w:cs="宋体"/>
          <w:b/>
          <w:bCs/>
          <w:sz w:val="52"/>
          <w:szCs w:val="52"/>
        </w:rPr>
        <w:t>安徽省政府采购项目</w:t>
      </w:r>
    </w:p>
    <w:p w14:paraId="31D1BAD6">
      <w:pPr>
        <w:tabs>
          <w:tab w:val="left" w:pos="315"/>
          <w:tab w:val="left" w:pos="8820"/>
        </w:tabs>
        <w:spacing w:before="312" w:beforeLines="100" w:after="156"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公开招标文件示范文本</w:t>
      </w:r>
      <w:bookmarkEnd w:id="0"/>
      <w:r>
        <w:rPr>
          <w:rFonts w:hint="eastAsia" w:ascii="宋体" w:hAnsi="宋体" w:eastAsia="宋体" w:cs="宋体"/>
          <w:b/>
          <w:bCs/>
          <w:sz w:val="52"/>
          <w:szCs w:val="52"/>
        </w:rPr>
        <w:t>（服务类）</w:t>
      </w:r>
    </w:p>
    <w:p w14:paraId="745CABD0">
      <w:pPr>
        <w:tabs>
          <w:tab w:val="left" w:pos="315"/>
          <w:tab w:val="left" w:pos="8820"/>
        </w:tabs>
        <w:spacing w:before="312" w:beforeLines="100" w:after="156"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（2024年版）</w:t>
      </w:r>
    </w:p>
    <w:p w14:paraId="1B53D760">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32A4DC3F">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38DA0CE1">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4E87F024">
      <w:pPr>
        <w:rPr>
          <w:rFonts w:ascii="宋体" w:hAnsi="宋体" w:eastAsia="宋体" w:cs="宋体"/>
        </w:rPr>
      </w:pPr>
    </w:p>
    <w:p w14:paraId="05A6C321">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608DAF0D">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0237FE67">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1DA97A69">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6F3459B3">
      <w:pPr>
        <w:tabs>
          <w:tab w:val="left" w:pos="315"/>
          <w:tab w:val="left" w:pos="8820"/>
        </w:tabs>
        <w:spacing w:before="312" w:beforeLines="100" w:after="156" w:afterLines="50" w:line="500" w:lineRule="exact"/>
        <w:ind w:right="267" w:rightChars="127"/>
        <w:jc w:val="center"/>
        <w:rPr>
          <w:rFonts w:ascii="宋体" w:hAnsi="宋体" w:eastAsia="宋体" w:cs="宋体"/>
          <w:b/>
          <w:bCs/>
          <w:sz w:val="44"/>
          <w:szCs w:val="44"/>
        </w:rPr>
      </w:pPr>
    </w:p>
    <w:p w14:paraId="3FBEDB49">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lang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u w:val="single"/>
          <w:lang w:eastAsia="zh-CN"/>
        </w:rPr>
        <w:t>滁州市</w:t>
      </w:r>
      <w:r>
        <w:rPr>
          <w:rFonts w:hint="eastAsia" w:ascii="宋体" w:hAnsi="宋体" w:eastAsia="宋体" w:cs="宋体"/>
          <w:b/>
          <w:spacing w:val="20"/>
          <w:kern w:val="0"/>
          <w:sz w:val="32"/>
          <w:szCs w:val="32"/>
          <w:u w:val="single"/>
          <w:lang w:val="en-US" w:eastAsia="zh-CN"/>
        </w:rPr>
        <w:t>第二</w:t>
      </w:r>
      <w:r>
        <w:rPr>
          <w:rFonts w:hint="eastAsia" w:ascii="宋体" w:hAnsi="宋体" w:eastAsia="宋体" w:cs="宋体"/>
          <w:b/>
          <w:spacing w:val="20"/>
          <w:kern w:val="0"/>
          <w:sz w:val="32"/>
          <w:szCs w:val="32"/>
          <w:u w:val="single"/>
          <w:lang w:eastAsia="zh-CN"/>
        </w:rPr>
        <w:t>小学物业管理服务项目</w:t>
      </w:r>
    </w:p>
    <w:p w14:paraId="6F5982D5">
      <w:pPr>
        <w:tabs>
          <w:tab w:val="left" w:pos="2410"/>
        </w:tabs>
        <w:autoSpaceDE w:val="0"/>
        <w:autoSpaceDN w:val="0"/>
        <w:adjustRightInd w:val="0"/>
        <w:snapToGrid w:val="0"/>
        <w:spacing w:line="360" w:lineRule="auto"/>
        <w:ind w:firstLine="723" w:firstLineChars="200"/>
        <w:rPr>
          <w:rFonts w:ascii="宋体" w:hAnsi="宋体" w:eastAsia="宋体" w:cs="宋体"/>
          <w:b/>
          <w:spacing w:val="20"/>
          <w:kern w:val="0"/>
          <w:sz w:val="32"/>
          <w:szCs w:val="32"/>
        </w:rPr>
      </w:pPr>
      <w:r>
        <w:rPr>
          <w:rFonts w:hint="eastAsia" w:ascii="宋体" w:hAnsi="宋体" w:eastAsia="宋体" w:cs="宋体"/>
          <w:b/>
          <w:spacing w:val="20"/>
          <w:kern w:val="0"/>
          <w:sz w:val="32"/>
          <w:szCs w:val="32"/>
        </w:rPr>
        <w:t>采 购 人：</w:t>
      </w:r>
      <w:r>
        <w:rPr>
          <w:rFonts w:hint="eastAsia" w:ascii="宋体" w:hAnsi="宋体" w:eastAsia="宋体" w:cs="宋体"/>
          <w:b/>
          <w:spacing w:val="20"/>
          <w:kern w:val="0"/>
          <w:sz w:val="32"/>
          <w:szCs w:val="32"/>
          <w:u w:val="single"/>
          <w:lang w:eastAsia="zh-CN"/>
        </w:rPr>
        <w:t>滁州市第二小学</w:t>
      </w:r>
      <w:r>
        <w:rPr>
          <w:rFonts w:hint="eastAsia" w:ascii="宋体" w:hAnsi="宋体" w:eastAsia="宋体" w:cs="宋体"/>
          <w:b/>
          <w:spacing w:val="20"/>
          <w:kern w:val="0"/>
          <w:sz w:val="32"/>
          <w:szCs w:val="32"/>
          <w:u w:val="single"/>
        </w:rPr>
        <w:t xml:space="preserve">          </w:t>
      </w:r>
    </w:p>
    <w:p w14:paraId="3823A29A">
      <w:pPr>
        <w:tabs>
          <w:tab w:val="left" w:pos="2410"/>
        </w:tabs>
        <w:autoSpaceDE w:val="0"/>
        <w:autoSpaceDN w:val="0"/>
        <w:adjustRightInd w:val="0"/>
        <w:snapToGrid w:val="0"/>
        <w:spacing w:line="360" w:lineRule="auto"/>
        <w:ind w:firstLine="723" w:firstLineChars="200"/>
        <w:rPr>
          <w:rFonts w:hint="eastAsia" w:ascii="宋体" w:hAnsi="宋体" w:eastAsia="宋体" w:cs="宋体"/>
          <w:lang w:eastAsia="zh-CN"/>
        </w:rPr>
      </w:pPr>
      <w:r>
        <w:rPr>
          <w:rFonts w:hint="eastAsia" w:ascii="宋体" w:hAnsi="宋体" w:eastAsia="宋体" w:cs="宋体"/>
          <w:b/>
          <w:spacing w:val="20"/>
          <w:kern w:val="0"/>
          <w:sz w:val="32"/>
          <w:szCs w:val="32"/>
        </w:rPr>
        <w:t>采购代理机构：</w:t>
      </w:r>
      <w:r>
        <w:rPr>
          <w:rFonts w:hint="eastAsia" w:ascii="宋体" w:hAnsi="宋体" w:eastAsia="宋体" w:cs="宋体"/>
          <w:b/>
          <w:spacing w:val="20"/>
          <w:kern w:val="0"/>
          <w:sz w:val="32"/>
          <w:szCs w:val="32"/>
          <w:u w:val="single"/>
          <w:lang w:eastAsia="zh-CN"/>
        </w:rPr>
        <w:t>滁州市城投工程咨询管理有限公司</w:t>
      </w:r>
    </w:p>
    <w:p w14:paraId="4589BAE2">
      <w:pPr>
        <w:tabs>
          <w:tab w:val="left" w:pos="2410"/>
        </w:tabs>
        <w:autoSpaceDE w:val="0"/>
        <w:autoSpaceDN w:val="0"/>
        <w:adjustRightInd w:val="0"/>
        <w:snapToGrid w:val="0"/>
        <w:spacing w:line="360" w:lineRule="auto"/>
        <w:jc w:val="center"/>
        <w:rPr>
          <w:rFonts w:ascii="宋体" w:hAnsi="宋体" w:eastAsia="宋体" w:cs="宋体"/>
          <w:b/>
          <w:sz w:val="36"/>
        </w:rPr>
      </w:pPr>
      <w:r>
        <w:rPr>
          <w:rFonts w:hint="eastAsia" w:ascii="宋体" w:hAnsi="宋体" w:eastAsia="宋体" w:cs="宋体"/>
          <w:b/>
          <w:color w:val="auto"/>
          <w:sz w:val="36"/>
          <w:u w:val="single"/>
        </w:rPr>
        <w:t>2025</w:t>
      </w:r>
      <w:r>
        <w:rPr>
          <w:rFonts w:hint="eastAsia" w:ascii="宋体" w:hAnsi="宋体" w:eastAsia="宋体" w:cs="宋体"/>
          <w:b/>
          <w:color w:val="auto"/>
          <w:sz w:val="36"/>
        </w:rPr>
        <w:t>年</w:t>
      </w:r>
      <w:r>
        <w:rPr>
          <w:rFonts w:hint="eastAsia" w:ascii="宋体" w:hAnsi="宋体" w:eastAsia="宋体" w:cs="宋体"/>
          <w:b/>
          <w:color w:val="auto"/>
          <w:sz w:val="36"/>
          <w:u w:val="single"/>
          <w:lang w:val="en-US" w:eastAsia="zh-CN"/>
        </w:rPr>
        <w:t>9</w:t>
      </w:r>
      <w:r>
        <w:rPr>
          <w:rFonts w:hint="eastAsia" w:ascii="宋体" w:hAnsi="宋体" w:eastAsia="宋体" w:cs="宋体"/>
          <w:b/>
          <w:color w:val="auto"/>
          <w:sz w:val="36"/>
        </w:rPr>
        <w:t>月</w:t>
      </w:r>
      <w:r>
        <w:rPr>
          <w:rFonts w:hint="eastAsia" w:ascii="宋体" w:hAnsi="宋体" w:eastAsia="宋体" w:cs="宋体"/>
          <w:b/>
          <w:color w:val="auto"/>
          <w:sz w:val="36"/>
          <w:u w:val="single"/>
          <w:lang w:val="en-US" w:eastAsia="zh-CN"/>
        </w:rPr>
        <w:t>30</w:t>
      </w:r>
      <w:r>
        <w:rPr>
          <w:rFonts w:hint="eastAsia" w:ascii="宋体" w:hAnsi="宋体" w:eastAsia="宋体" w:cs="宋体"/>
          <w:b/>
          <w:color w:val="auto"/>
          <w:sz w:val="36"/>
          <w:lang w:val="en-US" w:eastAsia="zh-CN"/>
        </w:rPr>
        <w:t>日</w:t>
      </w:r>
      <w:r>
        <w:rPr>
          <w:rFonts w:hint="eastAsia" w:ascii="宋体" w:hAnsi="宋体" w:eastAsia="宋体" w:cs="宋体"/>
          <w:b/>
          <w:color w:val="auto"/>
          <w:sz w:val="36"/>
        </w:rPr>
        <w:br w:type="page"/>
      </w:r>
    </w:p>
    <w:p w14:paraId="2D9DF932">
      <w:pPr>
        <w:rPr>
          <w:rFonts w:ascii="宋体" w:hAnsi="宋体" w:eastAsia="宋体" w:cs="宋体"/>
          <w:b/>
          <w:sz w:val="28"/>
        </w:rPr>
      </w:pPr>
    </w:p>
    <w:p w14:paraId="1984FF18">
      <w:pPr>
        <w:tabs>
          <w:tab w:val="left" w:pos="2410"/>
        </w:tabs>
        <w:autoSpaceDE w:val="0"/>
        <w:autoSpaceDN w:val="0"/>
        <w:adjustRightInd w:val="0"/>
        <w:snapToGrid w:val="0"/>
        <w:spacing w:line="600" w:lineRule="exact"/>
        <w:jc w:val="center"/>
        <w:rPr>
          <w:rFonts w:ascii="宋体" w:hAnsi="宋体" w:eastAsia="宋体" w:cs="宋体"/>
          <w:b/>
          <w:sz w:val="28"/>
        </w:rPr>
      </w:pPr>
      <w:r>
        <w:rPr>
          <w:rFonts w:hint="eastAsia" w:ascii="宋体" w:hAnsi="宋体" w:eastAsia="宋体" w:cs="宋体"/>
          <w:b/>
          <w:sz w:val="28"/>
        </w:rPr>
        <w:t>目  录</w:t>
      </w:r>
    </w:p>
    <w:p w14:paraId="7B316EF8">
      <w:pPr>
        <w:pStyle w:val="19"/>
        <w:tabs>
          <w:tab w:val="right" w:leader="dot" w:pos="8306"/>
        </w:tabs>
        <w:spacing w:line="600" w:lineRule="exact"/>
        <w:jc w:val="center"/>
        <w:rPr>
          <w:rFonts w:ascii="宋体" w:hAnsi="宋体" w:eastAsia="宋体" w:cs="宋体"/>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fldChar w:fldCharType="begin"/>
      </w:r>
      <w:r>
        <w:instrText xml:space="preserve"> HYPERLINK \l "_Toc32331" </w:instrText>
      </w:r>
      <w:r>
        <w:fldChar w:fldCharType="separate"/>
      </w:r>
      <w:r>
        <w:rPr>
          <w:rFonts w:hint="eastAsia" w:ascii="宋体" w:hAnsi="宋体" w:eastAsia="宋体" w:cs="宋体"/>
        </w:rPr>
        <w:t>第一章  投标邀请</w:t>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end"/>
      </w:r>
    </w:p>
    <w:p w14:paraId="784D5570">
      <w:pPr>
        <w:pStyle w:val="19"/>
        <w:tabs>
          <w:tab w:val="right" w:leader="dot" w:pos="8306"/>
        </w:tabs>
        <w:spacing w:line="600" w:lineRule="exact"/>
        <w:jc w:val="center"/>
        <w:rPr>
          <w:rFonts w:ascii="宋体" w:hAnsi="宋体" w:eastAsia="宋体" w:cs="宋体"/>
        </w:rPr>
      </w:pPr>
      <w:r>
        <w:fldChar w:fldCharType="begin"/>
      </w:r>
      <w:r>
        <w:instrText xml:space="preserve"> HYPERLINK \l "_Toc8888" </w:instrText>
      </w:r>
      <w: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lang w:val="en-US" w:eastAsia="zh-CN"/>
        </w:rPr>
        <w:t>6</w:t>
      </w:r>
      <w:r>
        <w:rPr>
          <w:rFonts w:hint="eastAsia" w:ascii="宋体" w:hAnsi="宋体" w:eastAsia="宋体" w:cs="宋体"/>
        </w:rPr>
        <w:fldChar w:fldCharType="end"/>
      </w:r>
    </w:p>
    <w:p w14:paraId="3CBA2E2E">
      <w:pPr>
        <w:pStyle w:val="19"/>
        <w:tabs>
          <w:tab w:val="right" w:leader="dot" w:pos="8306"/>
        </w:tabs>
        <w:spacing w:line="600" w:lineRule="exact"/>
        <w:jc w:val="center"/>
        <w:rPr>
          <w:rFonts w:hint="eastAsia" w:ascii="宋体" w:hAnsi="宋体" w:eastAsia="宋体" w:cs="宋体"/>
          <w:lang w:val="en-US" w:eastAsia="zh-CN"/>
        </w:rPr>
      </w:pPr>
      <w:r>
        <w:fldChar w:fldCharType="begin"/>
      </w:r>
      <w:r>
        <w:instrText xml:space="preserve"> HYPERLINK \l "_Toc22605" </w:instrText>
      </w:r>
      <w:r>
        <w:fldChar w:fldCharType="separate"/>
      </w:r>
      <w:r>
        <w:rPr>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9</w:t>
      </w:r>
    </w:p>
    <w:p w14:paraId="757EB09B">
      <w:pPr>
        <w:pStyle w:val="19"/>
        <w:tabs>
          <w:tab w:val="right" w:leader="dot" w:pos="8306"/>
        </w:tabs>
        <w:spacing w:line="600" w:lineRule="exact"/>
        <w:jc w:val="center"/>
        <w:rPr>
          <w:rFonts w:hint="eastAsia" w:ascii="宋体" w:hAnsi="宋体" w:eastAsia="宋体" w:cs="宋体"/>
          <w:lang w:eastAsia="zh-CN"/>
        </w:rPr>
      </w:pPr>
      <w:r>
        <w:fldChar w:fldCharType="begin"/>
      </w:r>
      <w:r>
        <w:instrText xml:space="preserve"> HYPERLINK \l "_Toc30824" </w:instrText>
      </w:r>
      <w:r>
        <w:fldChar w:fldCharType="separate"/>
      </w:r>
      <w:r>
        <w:rPr>
          <w:rFonts w:hint="eastAsia" w:ascii="宋体" w:hAnsi="宋体" w:eastAsia="宋体" w:cs="宋体"/>
        </w:rPr>
        <w:t>第四章  评标方法和标准（综合评分法）</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5</w:t>
      </w:r>
    </w:p>
    <w:p w14:paraId="5BB633E1">
      <w:pPr>
        <w:pStyle w:val="19"/>
        <w:tabs>
          <w:tab w:val="right" w:leader="dot" w:pos="8306"/>
        </w:tabs>
        <w:spacing w:line="600" w:lineRule="exact"/>
        <w:jc w:val="center"/>
        <w:rPr>
          <w:rFonts w:hint="eastAsia" w:ascii="宋体" w:hAnsi="宋体" w:eastAsia="宋体" w:cs="宋体"/>
          <w:szCs w:val="24"/>
          <w:lang w:eastAsia="zh-CN"/>
        </w:rPr>
      </w:pPr>
      <w:r>
        <w:fldChar w:fldCharType="begin"/>
      </w:r>
      <w:r>
        <w:instrText xml:space="preserve"> HYPERLINK \l "_Toc20405" </w:instrText>
      </w:r>
      <w:r>
        <w:fldChar w:fldCharType="separate"/>
      </w:r>
      <w:r>
        <w:rPr>
          <w:rFonts w:hint="eastAsia" w:ascii="宋体" w:hAnsi="宋体" w:eastAsia="宋体" w:cs="宋体"/>
        </w:rPr>
        <w:t>第五章  采购合同</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3</w:t>
      </w:r>
    </w:p>
    <w:p w14:paraId="0A637E9C">
      <w:pPr>
        <w:pStyle w:val="19"/>
        <w:tabs>
          <w:tab w:val="right" w:leader="dot" w:pos="8306"/>
        </w:tabs>
        <w:spacing w:line="600" w:lineRule="exact"/>
        <w:jc w:val="center"/>
        <w:rPr>
          <w:rFonts w:hint="eastAsia" w:ascii="宋体" w:hAnsi="宋体" w:eastAsia="宋体" w:cs="宋体"/>
          <w:szCs w:val="24"/>
          <w:lang w:eastAsia="zh-CN"/>
        </w:rPr>
      </w:pPr>
      <w:r>
        <w:fldChar w:fldCharType="begin"/>
      </w:r>
      <w:r>
        <w:instrText xml:space="preserve"> HYPERLINK \l "_Toc13555" </w:instrText>
      </w:r>
      <w:r>
        <w:fldChar w:fldCharType="separate"/>
      </w:r>
      <w:r>
        <w:rPr>
          <w:rFonts w:hint="eastAsia" w:ascii="宋体" w:hAnsi="宋体" w:eastAsia="宋体" w:cs="宋体"/>
        </w:rPr>
        <w:t>第六章  投标文件格式</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3</w:t>
      </w:r>
    </w:p>
    <w:p w14:paraId="6AC31AA2">
      <w:pPr>
        <w:pStyle w:val="19"/>
        <w:tabs>
          <w:tab w:val="right" w:leader="dot" w:pos="8306"/>
        </w:tabs>
        <w:spacing w:line="600" w:lineRule="exact"/>
        <w:jc w:val="center"/>
        <w:rPr>
          <w:rFonts w:hint="eastAsia" w:ascii="宋体" w:hAnsi="宋体" w:eastAsia="宋体" w:cs="宋体"/>
          <w:szCs w:val="24"/>
          <w:lang w:eastAsia="zh-CN"/>
        </w:rPr>
      </w:pPr>
      <w:r>
        <w:fldChar w:fldCharType="begin"/>
      </w:r>
      <w:r>
        <w:instrText xml:space="preserve"> HYPERLINK \l "_Toc20819" </w:instrText>
      </w:r>
      <w:r>
        <w:fldChar w:fldCharType="separate"/>
      </w:r>
      <w:r>
        <w:rPr>
          <w:rFonts w:hint="eastAsia" w:ascii="宋体" w:hAnsi="宋体" w:eastAsia="宋体" w:cs="宋体"/>
        </w:rPr>
        <w:t>第七章</w:t>
      </w:r>
      <w:r>
        <w:rPr>
          <w:rFonts w:hint="eastAsia" w:ascii="宋体" w:hAnsi="宋体" w:eastAsia="宋体" w:cs="宋体"/>
          <w:bCs/>
        </w:rPr>
        <w:t xml:space="preserve">  政府采购</w:t>
      </w:r>
      <w:r>
        <w:rPr>
          <w:rFonts w:hint="eastAsia" w:ascii="宋体" w:hAnsi="宋体" w:eastAsia="宋体" w:cs="宋体"/>
        </w:rPr>
        <w:t>供应</w:t>
      </w:r>
      <w:r>
        <w:rPr>
          <w:rFonts w:hint="eastAsia" w:ascii="宋体" w:hAnsi="宋体" w:eastAsia="宋体" w:cs="宋体"/>
          <w:bCs/>
        </w:rPr>
        <w:t>商询问函和质疑函范本</w:t>
      </w:r>
      <w:r>
        <w:rPr>
          <w:rFonts w:hint="eastAsia" w:ascii="宋体" w:hAnsi="宋体" w:eastAsia="宋体" w:cs="宋体"/>
        </w:rPr>
        <w:tab/>
      </w:r>
      <w:r>
        <w:rPr>
          <w:rFonts w:hint="eastAsia" w:ascii="宋体" w:hAnsi="宋体" w:eastAsia="宋体" w:cs="宋体"/>
          <w:lang w:val="en-US" w:eastAsia="zh-CN"/>
        </w:rPr>
        <w:t>5</w:t>
      </w:r>
      <w:r>
        <w:rPr>
          <w:rFonts w:hint="eastAsia" w:ascii="宋体" w:hAnsi="宋体" w:eastAsia="宋体" w:cs="宋体"/>
        </w:rPr>
        <w:fldChar w:fldCharType="end"/>
      </w:r>
      <w:r>
        <w:rPr>
          <w:rFonts w:hint="eastAsia" w:ascii="宋体" w:hAnsi="宋体" w:eastAsia="宋体" w:cs="宋体"/>
          <w:lang w:val="en-US" w:eastAsia="zh-CN"/>
        </w:rPr>
        <w:t>8</w:t>
      </w:r>
    </w:p>
    <w:p w14:paraId="5743E563">
      <w:pPr>
        <w:spacing w:line="600" w:lineRule="exact"/>
        <w:jc w:val="center"/>
        <w:rPr>
          <w:rFonts w:ascii="宋体" w:hAnsi="宋体" w:eastAsia="宋体" w:cs="宋体"/>
          <w:b/>
          <w:sz w:val="32"/>
        </w:rPr>
      </w:pPr>
      <w:r>
        <w:rPr>
          <w:rFonts w:hint="eastAsia" w:ascii="宋体" w:hAnsi="宋体" w:eastAsia="宋体" w:cs="宋体"/>
          <w:szCs w:val="24"/>
        </w:rPr>
        <w:fldChar w:fldCharType="end"/>
      </w:r>
    </w:p>
    <w:p w14:paraId="66426126">
      <w:pPr>
        <w:spacing w:line="360" w:lineRule="auto"/>
        <w:rPr>
          <w:rFonts w:ascii="宋体" w:hAnsi="宋体" w:eastAsia="宋体" w:cs="宋体"/>
          <w:b/>
          <w:sz w:val="32"/>
        </w:rPr>
      </w:pPr>
    </w:p>
    <w:p w14:paraId="021F879C">
      <w:pPr>
        <w:spacing w:line="360" w:lineRule="auto"/>
        <w:jc w:val="center"/>
        <w:outlineLvl w:val="1"/>
        <w:rPr>
          <w:rFonts w:ascii="宋体" w:hAnsi="宋体" w:eastAsia="宋体" w:cs="宋体"/>
          <w:b/>
          <w:sz w:val="28"/>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4054AB71">
      <w:pPr>
        <w:keepNext/>
        <w:keepLines/>
        <w:pageBreakBefore w:val="0"/>
        <w:widowControl w:val="0"/>
        <w:kinsoku/>
        <w:wordWrap w:val="0"/>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bCs/>
          <w:color w:val="auto"/>
          <w:kern w:val="2"/>
          <w:sz w:val="28"/>
          <w:szCs w:val="28"/>
          <w:highlight w:val="none"/>
          <w:lang w:val="en-US" w:eastAsia="zh-CN" w:bidi="ar"/>
        </w:rPr>
      </w:pPr>
      <w:bookmarkStart w:id="1" w:name="_Toc35393790"/>
      <w:bookmarkStart w:id="2" w:name="_Toc31215"/>
      <w:bookmarkStart w:id="3" w:name="_Toc28359002"/>
      <w:bookmarkStart w:id="4" w:name="_Toc11704"/>
      <w:bookmarkStart w:id="5" w:name="_Toc23993"/>
      <w:bookmarkStart w:id="6" w:name="_Toc28359079"/>
      <w:bookmarkStart w:id="7" w:name="_Toc35393621"/>
      <w:bookmarkStart w:id="8" w:name="_Hlk24379207"/>
      <w:bookmarkStart w:id="9" w:name="_Toc1381"/>
      <w:bookmarkStart w:id="10" w:name="_Toc31518"/>
      <w:r>
        <w:rPr>
          <w:rFonts w:hint="eastAsia" w:ascii="宋体" w:hAnsi="宋体" w:eastAsia="宋体" w:cs="宋体"/>
          <w:b/>
          <w:bCs/>
          <w:color w:val="auto"/>
          <w:kern w:val="2"/>
          <w:sz w:val="28"/>
          <w:szCs w:val="28"/>
          <w:highlight w:val="none"/>
          <w:lang w:val="en-US" w:eastAsia="zh-CN" w:bidi="ar"/>
        </w:rPr>
        <w:t>第一章  投标邀请</w:t>
      </w:r>
    </w:p>
    <w:p w14:paraId="72FAE3FB">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项目概况</w:t>
      </w:r>
    </w:p>
    <w:p w14:paraId="596D9D44">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sz w:val="28"/>
          <w:szCs w:val="28"/>
          <w:u w:val="single"/>
          <w:lang w:eastAsia="zh-CN"/>
        </w:rPr>
        <w:t>滁州市第二小学物业管理服务项目</w:t>
      </w:r>
      <w:r>
        <w:rPr>
          <w:rFonts w:hint="eastAsia" w:ascii="仿宋" w:hAnsi="仿宋" w:eastAsia="仿宋" w:cs="仿宋"/>
          <w:color w:val="auto"/>
          <w:kern w:val="2"/>
          <w:sz w:val="28"/>
          <w:szCs w:val="28"/>
          <w:highlight w:val="none"/>
          <w:lang w:val="en-US" w:eastAsia="zh-CN" w:bidi="ar"/>
        </w:rPr>
        <w:t>的潜在投标人应在</w:t>
      </w:r>
      <w:r>
        <w:rPr>
          <w:rFonts w:hint="eastAsia" w:ascii="仿宋" w:hAnsi="仿宋" w:eastAsia="仿宋" w:cs="仿宋"/>
          <w:color w:val="auto"/>
          <w:kern w:val="2"/>
          <w:sz w:val="28"/>
          <w:szCs w:val="28"/>
          <w:highlight w:val="none"/>
          <w:u w:val="single"/>
          <w:lang w:val="en-US" w:eastAsia="zh-CN" w:bidi="ar"/>
        </w:rPr>
        <w:t>滁州市琅琊区人民政府（https://www.lyq.gov.cn/）、</w:t>
      </w:r>
      <w:r>
        <w:rPr>
          <w:rFonts w:hint="eastAsia" w:ascii="仿宋" w:hAnsi="仿宋" w:eastAsia="仿宋" w:cs="仿宋"/>
          <w:sz w:val="28"/>
          <w:szCs w:val="28"/>
          <w:highlight w:val="none"/>
          <w:u w:val="single"/>
        </w:rPr>
        <w:t>滁州市城投工程咨询管理有限公司（https://www.czctgczx.com/）</w:t>
      </w:r>
      <w:r>
        <w:rPr>
          <w:rFonts w:hint="eastAsia" w:ascii="仿宋" w:hAnsi="仿宋" w:eastAsia="仿宋" w:cs="仿宋"/>
          <w:color w:val="auto"/>
          <w:kern w:val="2"/>
          <w:sz w:val="28"/>
          <w:szCs w:val="28"/>
          <w:highlight w:val="none"/>
          <w:lang w:val="en-US" w:eastAsia="zh-CN" w:bidi="ar"/>
        </w:rPr>
        <w:t xml:space="preserve">获取招标文件，并于 </w:t>
      </w:r>
      <w:r>
        <w:rPr>
          <w:rFonts w:hint="eastAsia" w:ascii="仿宋" w:hAnsi="仿宋" w:eastAsia="仿宋" w:cs="仿宋"/>
          <w:color w:val="auto"/>
          <w:kern w:val="2"/>
          <w:sz w:val="28"/>
          <w:szCs w:val="28"/>
          <w:highlight w:val="none"/>
          <w:u w:val="single"/>
          <w:lang w:val="en-US" w:eastAsia="zh-CN" w:bidi="ar"/>
        </w:rPr>
        <w:t>2025年10月11日15点00分</w:t>
      </w:r>
      <w:r>
        <w:rPr>
          <w:rFonts w:hint="eastAsia" w:ascii="仿宋" w:hAnsi="仿宋" w:eastAsia="仿宋" w:cs="仿宋"/>
          <w:color w:val="auto"/>
          <w:kern w:val="2"/>
          <w:sz w:val="28"/>
          <w:szCs w:val="28"/>
          <w:highlight w:val="none"/>
          <w:lang w:val="en-US" w:eastAsia="zh-CN" w:bidi="ar"/>
        </w:rPr>
        <w:t>（北京时间）前递交投标文件。</w:t>
      </w:r>
    </w:p>
    <w:p w14:paraId="6E54085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一、项目基本情况</w:t>
      </w:r>
      <w:bookmarkEnd w:id="1"/>
      <w:bookmarkEnd w:id="2"/>
      <w:bookmarkEnd w:id="3"/>
      <w:bookmarkEnd w:id="4"/>
      <w:bookmarkEnd w:id="5"/>
      <w:bookmarkEnd w:id="6"/>
      <w:bookmarkEnd w:id="7"/>
    </w:p>
    <w:bookmarkEnd w:id="8"/>
    <w:p w14:paraId="5E7DDA2B">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28"/>
          <w:highlight w:val="none"/>
          <w:lang w:val="en-US" w:bidi="ar"/>
        </w:rPr>
      </w:pPr>
      <w:bookmarkStart w:id="304" w:name="_GoBack"/>
      <w:bookmarkEnd w:id="304"/>
      <w:bookmarkStart w:id="11" w:name="_Toc28359080"/>
      <w:bookmarkStart w:id="12" w:name="_Toc4879"/>
      <w:bookmarkStart w:id="13" w:name="_Toc35393791"/>
      <w:bookmarkStart w:id="14" w:name="_Toc35393622"/>
      <w:bookmarkStart w:id="15" w:name="_Toc28004"/>
      <w:bookmarkStart w:id="16" w:name="_Toc28359003"/>
      <w:r>
        <w:rPr>
          <w:rFonts w:hint="eastAsia" w:ascii="仿宋" w:hAnsi="仿宋" w:eastAsia="仿宋" w:cs="仿宋"/>
          <w:color w:val="auto"/>
          <w:kern w:val="2"/>
          <w:sz w:val="28"/>
          <w:szCs w:val="28"/>
          <w:highlight w:val="none"/>
          <w:lang w:val="en-US" w:eastAsia="zh-CN" w:bidi="ar"/>
        </w:rPr>
        <w:t>项目名称：滁州市第二小学物业管理服务项目</w:t>
      </w:r>
    </w:p>
    <w:p w14:paraId="3A737E89">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预算金额：28.85万元一年，86.55万三年</w:t>
      </w:r>
    </w:p>
    <w:p w14:paraId="36E3AF81">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最高限价：28.85万元一年，86.55万三年</w:t>
      </w:r>
    </w:p>
    <w:p w14:paraId="0F82DB04">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采购需求：全面负责校园保洁、维修、绿化等，项目概况以现场实物为准，具体详见采购需求</w:t>
      </w:r>
    </w:p>
    <w:p w14:paraId="50896D37">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合同履行期限：服务期三年，合同一年一签。</w:t>
      </w:r>
    </w:p>
    <w:p w14:paraId="09C324C5">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bidi="ar"/>
        </w:rPr>
        <w:t>本项目不接受联合体</w:t>
      </w:r>
      <w:r>
        <w:rPr>
          <w:rFonts w:hint="eastAsia" w:ascii="仿宋" w:hAnsi="仿宋" w:eastAsia="仿宋" w:cs="仿宋"/>
          <w:color w:val="auto"/>
          <w:kern w:val="2"/>
          <w:sz w:val="28"/>
          <w:szCs w:val="28"/>
          <w:highlight w:val="none"/>
          <w:lang w:val="en-US" w:eastAsia="zh-CN" w:bidi="ar"/>
        </w:rPr>
        <w:t>。</w:t>
      </w:r>
    </w:p>
    <w:p w14:paraId="058EC3F6">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576AEB10">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bookmarkStart w:id="18" w:name="_Toc28359004"/>
      <w:bookmarkStart w:id="19" w:name="_Toc28359081"/>
      <w:r>
        <w:rPr>
          <w:rFonts w:hint="eastAsia" w:ascii="仿宋" w:hAnsi="仿宋" w:eastAsia="仿宋" w:cs="仿宋"/>
          <w:color w:val="auto"/>
          <w:kern w:val="2"/>
          <w:sz w:val="28"/>
          <w:szCs w:val="28"/>
          <w:highlight w:val="none"/>
          <w:lang w:val="en-US" w:eastAsia="zh-CN" w:bidi="ar"/>
        </w:rPr>
        <w:t>1.投标人须</w:t>
      </w:r>
      <w:bookmarkStart w:id="20" w:name="_Toc2689"/>
      <w:bookmarkStart w:id="21" w:name="_Toc7189"/>
      <w:bookmarkStart w:id="22" w:name="_Toc35393623"/>
      <w:bookmarkStart w:id="23" w:name="_Toc28172"/>
      <w:bookmarkStart w:id="24" w:name="_Toc35393792"/>
      <w:r>
        <w:rPr>
          <w:rFonts w:hint="eastAsia" w:ascii="仿宋" w:hAnsi="仿宋" w:eastAsia="仿宋" w:cs="仿宋"/>
          <w:color w:val="auto"/>
          <w:kern w:val="2"/>
          <w:sz w:val="28"/>
          <w:szCs w:val="28"/>
          <w:highlight w:val="none"/>
          <w:lang w:val="en-US" w:eastAsia="zh-CN" w:bidi="ar"/>
        </w:rPr>
        <w:t>具有独立承担民事责任且具有相应服务能力的企业；</w:t>
      </w:r>
    </w:p>
    <w:p w14:paraId="04B65FE7">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2.信誉要求：投标人存在以下情形之一的，不得被确定为中标人。</w:t>
      </w:r>
    </w:p>
    <w:p w14:paraId="238FDD9A">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①被列入“信用中国”网站“失信被执行人”的;</w:t>
      </w:r>
    </w:p>
    <w:p w14:paraId="344AF178">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②被列入“信用中国”网站“重大税收违法失信主体”的；</w:t>
      </w:r>
    </w:p>
    <w:p w14:paraId="429B4708">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③被列入“信用中国”网站“拖欠农民工工资失信联合惩戒对象名单”的；</w:t>
      </w:r>
    </w:p>
    <w:p w14:paraId="6F6F89C9">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④被列入“信用中国”网站 “严重失信主体名单”的；</w:t>
      </w:r>
    </w:p>
    <w:p w14:paraId="6ADEE0C2">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⑤在“信用中国”网站上披露的仍在公示期的严重失信行为(具体行为类别及判定依据见附件2)的。</w:t>
      </w:r>
    </w:p>
    <w:p w14:paraId="1A0D91C7">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⑥被列入国家企业信用信息公示系统网站“经营异常名录”或者“严重违法失信名单”的。</w:t>
      </w:r>
    </w:p>
    <w:p w14:paraId="566A73EA">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bookmarkStart w:id="25" w:name="OLE_LINK2"/>
      <w:r>
        <w:rPr>
          <w:rFonts w:hint="eastAsia" w:ascii="仿宋" w:hAnsi="仿宋" w:eastAsia="仿宋" w:cs="仿宋"/>
          <w:color w:val="auto"/>
          <w:kern w:val="2"/>
          <w:sz w:val="28"/>
          <w:szCs w:val="28"/>
          <w:highlight w:val="none"/>
          <w:lang w:val="en-US" w:eastAsia="zh-CN" w:bidi="ar"/>
        </w:rPr>
        <w:t>⑦</w:t>
      </w:r>
      <w:bookmarkEnd w:id="25"/>
      <w:r>
        <w:rPr>
          <w:rFonts w:hint="eastAsia" w:ascii="仿宋" w:hAnsi="仿宋" w:eastAsia="仿宋" w:cs="仿宋"/>
          <w:color w:val="auto"/>
          <w:kern w:val="2"/>
          <w:sz w:val="28"/>
          <w:szCs w:val="28"/>
          <w:highlight w:val="none"/>
          <w:lang w:val="en-US" w:eastAsia="zh-CN" w:bidi="ar"/>
        </w:rPr>
        <w:t>前三年有行贿犯罪行为的单位和个人。</w:t>
      </w:r>
    </w:p>
    <w:p w14:paraId="54309DC2">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3.投标人所属分公司、办事处等分支机构存在第3款信誉要求①-⑦项情形之一的，接受其被确定为中标人。</w:t>
      </w:r>
    </w:p>
    <w:p w14:paraId="2173EE73">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备注：第2、3条按照附件1“关于联合惩戒失信行为加强信用查询管理的通知”查询或承诺。</w:t>
      </w:r>
    </w:p>
    <w:p w14:paraId="4D43E24E">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76C0AC24">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w:t>
      </w:r>
      <w:r>
        <w:rPr>
          <w:rFonts w:hint="eastAsia" w:ascii="仿宋" w:hAnsi="仿宋" w:eastAsia="仿宋" w:cs="仿宋"/>
          <w:color w:val="auto"/>
          <w:sz w:val="28"/>
          <w:szCs w:val="28"/>
          <w:highlight w:val="none"/>
          <w:u w:val="single"/>
          <w:lang w:bidi="ar"/>
        </w:rPr>
        <w:t>202</w:t>
      </w:r>
      <w:r>
        <w:rPr>
          <w:rFonts w:hint="eastAsia" w:ascii="仿宋" w:hAnsi="仿宋" w:eastAsia="仿宋" w:cs="仿宋"/>
          <w:color w:val="auto"/>
          <w:sz w:val="28"/>
          <w:szCs w:val="28"/>
          <w:highlight w:val="none"/>
          <w:u w:val="single"/>
          <w:lang w:val="en-US" w:eastAsia="zh-CN" w:bidi="ar"/>
        </w:rPr>
        <w:t>5</w:t>
      </w:r>
      <w:r>
        <w:rPr>
          <w:rFonts w:hint="eastAsia" w:ascii="仿宋" w:hAnsi="仿宋" w:eastAsia="仿宋" w:cs="仿宋"/>
          <w:color w:val="auto"/>
          <w:sz w:val="28"/>
          <w:szCs w:val="28"/>
          <w:highlight w:val="none"/>
          <w:u w:val="single"/>
          <w:lang w:bidi="ar"/>
        </w:rPr>
        <w:t>年</w:t>
      </w:r>
      <w:r>
        <w:rPr>
          <w:rFonts w:hint="eastAsia" w:ascii="仿宋" w:hAnsi="仿宋" w:eastAsia="仿宋" w:cs="仿宋"/>
          <w:color w:val="auto"/>
          <w:sz w:val="28"/>
          <w:szCs w:val="28"/>
          <w:highlight w:val="none"/>
          <w:u w:val="single"/>
          <w:lang w:val="en-US" w:eastAsia="zh-CN" w:bidi="ar"/>
        </w:rPr>
        <w:t>9</w:t>
      </w:r>
      <w:r>
        <w:rPr>
          <w:rFonts w:hint="eastAsia" w:ascii="仿宋" w:hAnsi="仿宋" w:eastAsia="仿宋" w:cs="仿宋"/>
          <w:color w:val="auto"/>
          <w:sz w:val="28"/>
          <w:szCs w:val="28"/>
          <w:highlight w:val="none"/>
          <w:u w:val="single"/>
          <w:lang w:bidi="ar"/>
        </w:rPr>
        <w:t>月</w:t>
      </w:r>
      <w:r>
        <w:rPr>
          <w:rFonts w:hint="eastAsia" w:ascii="仿宋" w:hAnsi="仿宋" w:eastAsia="仿宋" w:cs="宋体"/>
          <w:color w:val="auto"/>
          <w:sz w:val="28"/>
          <w:szCs w:val="28"/>
          <w:highlight w:val="none"/>
          <w:u w:val="single"/>
          <w:lang w:val="en-US" w:eastAsia="zh-CN" w:bidi="ar"/>
        </w:rPr>
        <w:t>30</w:t>
      </w:r>
      <w:r>
        <w:rPr>
          <w:rFonts w:hint="eastAsia" w:ascii="仿宋" w:hAnsi="仿宋" w:eastAsia="仿宋" w:cs="仿宋"/>
          <w:color w:val="auto"/>
          <w:sz w:val="28"/>
          <w:szCs w:val="28"/>
          <w:highlight w:val="none"/>
          <w:u w:val="single"/>
          <w:lang w:bidi="ar"/>
        </w:rPr>
        <w:t>日</w:t>
      </w:r>
      <w:r>
        <w:rPr>
          <w:rFonts w:hint="eastAsia" w:ascii="仿宋" w:hAnsi="仿宋" w:eastAsia="仿宋" w:cs="仿宋"/>
          <w:color w:val="auto"/>
          <w:sz w:val="28"/>
          <w:szCs w:val="28"/>
          <w:highlight w:val="none"/>
          <w:lang w:bidi="ar"/>
        </w:rPr>
        <w:t>至</w:t>
      </w:r>
      <w:r>
        <w:rPr>
          <w:rFonts w:hint="eastAsia" w:ascii="仿宋" w:hAnsi="仿宋" w:eastAsia="仿宋" w:cs="仿宋"/>
          <w:color w:val="auto"/>
          <w:sz w:val="28"/>
          <w:szCs w:val="28"/>
          <w:highlight w:val="none"/>
          <w:u w:val="single"/>
          <w:lang w:bidi="ar"/>
        </w:rPr>
        <w:t>202</w:t>
      </w:r>
      <w:r>
        <w:rPr>
          <w:rFonts w:hint="eastAsia" w:ascii="仿宋" w:hAnsi="仿宋" w:eastAsia="仿宋" w:cs="仿宋"/>
          <w:color w:val="auto"/>
          <w:sz w:val="28"/>
          <w:szCs w:val="28"/>
          <w:highlight w:val="none"/>
          <w:u w:val="single"/>
          <w:lang w:val="en-US" w:eastAsia="zh-CN" w:bidi="ar"/>
        </w:rPr>
        <w:t>5</w:t>
      </w:r>
      <w:r>
        <w:rPr>
          <w:rFonts w:hint="eastAsia" w:ascii="仿宋" w:hAnsi="仿宋" w:eastAsia="仿宋" w:cs="仿宋"/>
          <w:color w:val="auto"/>
          <w:sz w:val="28"/>
          <w:szCs w:val="28"/>
          <w:highlight w:val="none"/>
          <w:u w:val="single"/>
          <w:lang w:bidi="ar"/>
        </w:rPr>
        <w:t>年</w:t>
      </w:r>
      <w:r>
        <w:rPr>
          <w:rFonts w:hint="eastAsia" w:ascii="仿宋" w:hAnsi="仿宋" w:eastAsia="仿宋" w:cs="仿宋"/>
          <w:color w:val="auto"/>
          <w:sz w:val="28"/>
          <w:szCs w:val="28"/>
          <w:highlight w:val="none"/>
          <w:u w:val="single"/>
          <w:lang w:val="en-US" w:eastAsia="zh-CN" w:bidi="ar"/>
        </w:rPr>
        <w:t>10</w:t>
      </w:r>
      <w:r>
        <w:rPr>
          <w:rFonts w:hint="eastAsia" w:ascii="仿宋" w:hAnsi="仿宋" w:eastAsia="仿宋" w:cs="仿宋"/>
          <w:color w:val="auto"/>
          <w:sz w:val="28"/>
          <w:szCs w:val="28"/>
          <w:highlight w:val="none"/>
          <w:u w:val="single"/>
          <w:lang w:bidi="ar"/>
        </w:rPr>
        <w:t>月</w:t>
      </w:r>
      <w:r>
        <w:rPr>
          <w:rFonts w:hint="eastAsia" w:ascii="仿宋" w:hAnsi="仿宋" w:eastAsia="仿宋" w:cs="宋体"/>
          <w:color w:val="auto"/>
          <w:sz w:val="28"/>
          <w:szCs w:val="28"/>
          <w:highlight w:val="none"/>
          <w:u w:val="single"/>
          <w:lang w:val="en-US" w:eastAsia="zh-CN" w:bidi="ar"/>
        </w:rPr>
        <w:t>11</w:t>
      </w:r>
      <w:r>
        <w:rPr>
          <w:rFonts w:hint="eastAsia" w:ascii="仿宋" w:hAnsi="仿宋" w:eastAsia="仿宋" w:cs="仿宋"/>
          <w:color w:val="auto"/>
          <w:sz w:val="28"/>
          <w:szCs w:val="28"/>
          <w:highlight w:val="none"/>
          <w:u w:val="single"/>
          <w:lang w:bidi="ar"/>
        </w:rPr>
        <w:t>日</w:t>
      </w:r>
    </w:p>
    <w:p w14:paraId="2F58727F">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地点：滁州市琅琊区人民政府（https://www.lyq.gov.cn/）、滁州市城投工程咨询管理有限公司（https://www.czctgczx.com/）</w:t>
      </w:r>
    </w:p>
    <w:p w14:paraId="1BD21717">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方式：网上下载</w:t>
      </w:r>
    </w:p>
    <w:p w14:paraId="2C3334AE">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售价：0元。</w:t>
      </w:r>
    </w:p>
    <w:p w14:paraId="421401A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6" w:name="_Toc28359082"/>
      <w:bookmarkStart w:id="27" w:name="_Toc28359005"/>
      <w:bookmarkStart w:id="28" w:name="_Toc6135"/>
      <w:bookmarkStart w:id="29" w:name="_Toc35393624"/>
      <w:bookmarkStart w:id="30" w:name="_Toc23486"/>
      <w:bookmarkStart w:id="31" w:name="_Toc35393793"/>
      <w:bookmarkStart w:id="32" w:name="_Toc19139"/>
      <w:r>
        <w:rPr>
          <w:rFonts w:hint="eastAsia" w:ascii="黑体" w:hAnsi="黑体" w:eastAsia="黑体" w:cs="黑体"/>
          <w:b w:val="0"/>
          <w:color w:val="auto"/>
          <w:sz w:val="28"/>
          <w:szCs w:val="28"/>
          <w:highlight w:val="none"/>
        </w:rPr>
        <w:t>四、提交投标文件</w:t>
      </w:r>
      <w:bookmarkEnd w:id="26"/>
      <w:bookmarkEnd w:id="27"/>
      <w:r>
        <w:rPr>
          <w:rFonts w:hint="eastAsia" w:ascii="黑体" w:hAnsi="黑体" w:eastAsia="黑体" w:cs="黑体"/>
          <w:b w:val="0"/>
          <w:color w:val="auto"/>
          <w:sz w:val="28"/>
          <w:szCs w:val="28"/>
          <w:highlight w:val="none"/>
        </w:rPr>
        <w:t>截止时间、开标时间和地点</w:t>
      </w:r>
      <w:bookmarkEnd w:id="28"/>
      <w:bookmarkEnd w:id="29"/>
      <w:bookmarkEnd w:id="30"/>
      <w:bookmarkEnd w:id="31"/>
      <w:bookmarkEnd w:id="32"/>
    </w:p>
    <w:p w14:paraId="1980CEF1">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default" w:ascii="仿宋" w:hAnsi="仿宋" w:eastAsia="仿宋" w:cs="仿宋"/>
          <w:b w:val="0"/>
          <w:bCs w:val="0"/>
          <w:color w:val="auto"/>
          <w:sz w:val="28"/>
          <w:szCs w:val="28"/>
          <w:highlight w:val="none"/>
          <w:lang w:val="en-US" w:eastAsia="zh-CN"/>
        </w:rPr>
      </w:pPr>
      <w:bookmarkStart w:id="33" w:name="_Toc1913"/>
      <w:bookmarkStart w:id="34" w:name="_Toc35393794"/>
      <w:bookmarkStart w:id="35" w:name="_Toc19623"/>
      <w:bookmarkStart w:id="36" w:name="_Toc5602"/>
      <w:bookmarkStart w:id="37" w:name="_Toc35393625"/>
      <w:bookmarkStart w:id="38" w:name="_Toc28359007"/>
      <w:bookmarkStart w:id="39" w:name="_Toc28359084"/>
      <w:r>
        <w:rPr>
          <w:rFonts w:hint="eastAsia" w:ascii="仿宋" w:hAnsi="仿宋" w:eastAsia="仿宋" w:cs="仿宋"/>
          <w:b w:val="0"/>
          <w:bCs w:val="0"/>
          <w:color w:val="auto"/>
          <w:sz w:val="28"/>
          <w:szCs w:val="28"/>
          <w:highlight w:val="none"/>
          <w:lang w:val="en-US" w:eastAsia="zh-CN"/>
        </w:rPr>
        <w:t>时间：</w:t>
      </w:r>
      <w:r>
        <w:rPr>
          <w:rFonts w:hint="eastAsia" w:ascii="仿宋" w:hAnsi="仿宋" w:eastAsia="仿宋" w:cs="仿宋"/>
          <w:color w:val="auto"/>
          <w:kern w:val="0"/>
          <w:sz w:val="28"/>
          <w:szCs w:val="28"/>
          <w:highlight w:val="none"/>
          <w:lang w:bidi="ar"/>
        </w:rPr>
        <w:t>202</w:t>
      </w:r>
      <w:r>
        <w:rPr>
          <w:rFonts w:hint="eastAsia" w:ascii="仿宋" w:hAnsi="仿宋" w:eastAsia="仿宋" w:cs="仿宋"/>
          <w:color w:val="auto"/>
          <w:kern w:val="0"/>
          <w:sz w:val="28"/>
          <w:szCs w:val="28"/>
          <w:highlight w:val="none"/>
          <w:lang w:val="en-US" w:eastAsia="zh-CN" w:bidi="ar"/>
        </w:rPr>
        <w:t>5</w:t>
      </w:r>
      <w:r>
        <w:rPr>
          <w:rFonts w:hint="eastAsia" w:ascii="仿宋" w:hAnsi="仿宋" w:eastAsia="仿宋" w:cs="仿宋"/>
          <w:color w:val="auto"/>
          <w:kern w:val="0"/>
          <w:sz w:val="28"/>
          <w:szCs w:val="28"/>
          <w:highlight w:val="none"/>
          <w:lang w:bidi="ar"/>
        </w:rPr>
        <w:t>年</w:t>
      </w:r>
      <w:r>
        <w:rPr>
          <w:rFonts w:hint="eastAsia" w:ascii="仿宋" w:hAnsi="仿宋" w:eastAsia="仿宋" w:cs="仿宋"/>
          <w:color w:val="auto"/>
          <w:kern w:val="0"/>
          <w:sz w:val="28"/>
          <w:szCs w:val="28"/>
          <w:highlight w:val="none"/>
          <w:lang w:val="en-US" w:eastAsia="zh-CN" w:bidi="ar"/>
        </w:rPr>
        <w:t>10</w:t>
      </w:r>
      <w:r>
        <w:rPr>
          <w:rFonts w:hint="eastAsia" w:ascii="仿宋" w:hAnsi="仿宋" w:eastAsia="仿宋" w:cs="仿宋"/>
          <w:color w:val="auto"/>
          <w:kern w:val="0"/>
          <w:sz w:val="28"/>
          <w:szCs w:val="28"/>
          <w:highlight w:val="none"/>
          <w:lang w:bidi="ar"/>
        </w:rPr>
        <w:t>月</w:t>
      </w:r>
      <w:r>
        <w:rPr>
          <w:rFonts w:hint="eastAsia" w:ascii="仿宋" w:hAnsi="仿宋" w:eastAsia="仿宋" w:cs="宋体"/>
          <w:color w:val="auto"/>
          <w:kern w:val="0"/>
          <w:sz w:val="28"/>
          <w:szCs w:val="28"/>
          <w:highlight w:val="none"/>
          <w:lang w:val="en-US" w:eastAsia="zh-CN" w:bidi="ar"/>
        </w:rPr>
        <w:t>11</w:t>
      </w:r>
      <w:r>
        <w:rPr>
          <w:rFonts w:hint="eastAsia" w:ascii="仿宋" w:hAnsi="仿宋" w:eastAsia="仿宋" w:cs="仿宋"/>
          <w:color w:val="auto"/>
          <w:kern w:val="0"/>
          <w:sz w:val="28"/>
          <w:szCs w:val="28"/>
          <w:highlight w:val="none"/>
          <w:lang w:bidi="ar"/>
        </w:rPr>
        <w:t>日</w:t>
      </w:r>
      <w:r>
        <w:rPr>
          <w:rFonts w:hint="eastAsia" w:ascii="仿宋" w:hAnsi="仿宋" w:eastAsia="仿宋" w:cs="仿宋"/>
          <w:color w:val="auto"/>
          <w:kern w:val="0"/>
          <w:sz w:val="28"/>
          <w:szCs w:val="28"/>
          <w:highlight w:val="none"/>
          <w:lang w:val="en-US" w:eastAsia="zh-CN" w:bidi="ar"/>
        </w:rPr>
        <w:t>15</w:t>
      </w:r>
      <w:r>
        <w:rPr>
          <w:rFonts w:hint="eastAsia" w:ascii="仿宋" w:hAnsi="仿宋" w:eastAsia="仿宋" w:cs="仿宋"/>
          <w:color w:val="auto"/>
          <w:kern w:val="0"/>
          <w:sz w:val="28"/>
          <w:szCs w:val="28"/>
          <w:highlight w:val="none"/>
          <w:lang w:bidi="ar"/>
        </w:rPr>
        <w:t>点</w:t>
      </w:r>
      <w:r>
        <w:rPr>
          <w:rFonts w:hint="eastAsia" w:ascii="仿宋" w:hAnsi="仿宋" w:eastAsia="仿宋" w:cs="仿宋"/>
          <w:color w:val="auto"/>
          <w:kern w:val="0"/>
          <w:sz w:val="28"/>
          <w:szCs w:val="28"/>
          <w:highlight w:val="none"/>
          <w:lang w:val="en-US" w:eastAsia="zh-CN" w:bidi="ar"/>
        </w:rPr>
        <w:t>00</w:t>
      </w:r>
      <w:r>
        <w:rPr>
          <w:rFonts w:hint="eastAsia" w:ascii="仿宋" w:hAnsi="仿宋" w:eastAsia="仿宋" w:cs="仿宋"/>
          <w:color w:val="auto"/>
          <w:kern w:val="0"/>
          <w:sz w:val="28"/>
          <w:szCs w:val="28"/>
          <w:highlight w:val="none"/>
          <w:lang w:bidi="ar"/>
        </w:rPr>
        <w:t>分（北京时间）</w:t>
      </w:r>
    </w:p>
    <w:p w14:paraId="4046932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地点：新点电子交易平台【滁州专区】</w:t>
      </w:r>
    </w:p>
    <w:p w14:paraId="5525472A">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3"/>
      <w:bookmarkEnd w:id="34"/>
      <w:bookmarkEnd w:id="35"/>
      <w:bookmarkEnd w:id="36"/>
      <w:bookmarkEnd w:id="37"/>
      <w:bookmarkEnd w:id="38"/>
      <w:bookmarkEnd w:id="39"/>
      <w:r>
        <w:rPr>
          <w:rFonts w:hint="eastAsia" w:ascii="黑体" w:hAnsi="黑体" w:eastAsia="黑体" w:cs="黑体"/>
          <w:b w:val="0"/>
          <w:color w:val="auto"/>
          <w:sz w:val="28"/>
          <w:szCs w:val="28"/>
          <w:highlight w:val="none"/>
          <w:lang w:val="en-US" w:eastAsia="zh-CN"/>
        </w:rPr>
        <w:t>发布期限</w:t>
      </w:r>
    </w:p>
    <w:p w14:paraId="07C7BD5C">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color w:val="auto"/>
          <w:kern w:val="0"/>
          <w:sz w:val="28"/>
          <w:szCs w:val="28"/>
          <w:highlight w:val="none"/>
          <w:lang w:bidi="ar"/>
        </w:rPr>
        <w:t>自本公告发布之日起5个工作日</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w:t>
      </w:r>
    </w:p>
    <w:p w14:paraId="33C74E7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0142A22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3C9CE29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F2C6755">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4F17CEBA">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08311296">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3AC4FDC9">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4.本项目采用不见面开标，投标人登录滁州市城投工程咨询有限公司不见面开标系统参与网上开标（网址：http://js.etrading.cn/EpointBidOpening/bidopeninghallaction/hall/login）。</w:t>
      </w:r>
    </w:p>
    <w:p w14:paraId="15BD616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7497FA97">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50439F6D">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848C468">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4E8A1AF7">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、对本次招标提出询问，请按以下方式联系</w:t>
      </w:r>
    </w:p>
    <w:p w14:paraId="13A20F2B">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信息</w:t>
      </w:r>
    </w:p>
    <w:p w14:paraId="1694FEC6">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名称：滁州市第二小学</w:t>
      </w:r>
    </w:p>
    <w:p w14:paraId="27A4B390">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地址：安徽省滁州市琅琊区定远路346号</w:t>
      </w:r>
    </w:p>
    <w:p w14:paraId="79B30C3B">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40" w:name="_Toc28359009"/>
      <w:bookmarkStart w:id="41" w:name="_Toc28359086"/>
      <w:r>
        <w:rPr>
          <w:rFonts w:hint="eastAsia" w:ascii="仿宋" w:hAnsi="仿宋" w:eastAsia="仿宋" w:cs="仿宋"/>
          <w:color w:val="auto"/>
          <w:sz w:val="28"/>
          <w:szCs w:val="28"/>
          <w:highlight w:val="none"/>
          <w:lang w:val="en-US" w:eastAsia="zh-CN"/>
        </w:rPr>
        <w:t xml:space="preserve">彭老师18019817678  </w:t>
      </w:r>
    </w:p>
    <w:p w14:paraId="2D3E4675">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40"/>
      <w:bookmarkEnd w:id="41"/>
    </w:p>
    <w:p w14:paraId="5D5BF6E6">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u w:val="none"/>
          <w:lang w:val="en-US" w:eastAsia="zh-CN"/>
        </w:rPr>
      </w:pPr>
      <w:bookmarkStart w:id="42" w:name="_Toc28359010"/>
      <w:bookmarkStart w:id="43" w:name="_Toc28359087"/>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7ED6C50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p>
    <w:p w14:paraId="25410904">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olor w:val="auto"/>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杨韦0550-3519590、18005501210</w:t>
      </w:r>
      <w:bookmarkEnd w:id="42"/>
      <w:bookmarkEnd w:id="43"/>
    </w:p>
    <w:p w14:paraId="2756D5DE">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sz w:val="28"/>
          <w:szCs w:val="28"/>
        </w:rPr>
      </w:pPr>
    </w:p>
    <w:p w14:paraId="340FB1B5">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sz w:val="28"/>
          <w:szCs w:val="28"/>
        </w:rPr>
      </w:pPr>
    </w:p>
    <w:p w14:paraId="3894563E">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sz w:val="28"/>
          <w:szCs w:val="28"/>
        </w:rPr>
      </w:pPr>
    </w:p>
    <w:p w14:paraId="25EA2031">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sz w:val="28"/>
          <w:szCs w:val="28"/>
        </w:rPr>
      </w:pPr>
    </w:p>
    <w:p w14:paraId="5F4EFEC6">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sz w:val="28"/>
          <w:szCs w:val="28"/>
        </w:rPr>
      </w:pPr>
    </w:p>
    <w:p w14:paraId="25C7BDAC">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sz w:val="28"/>
          <w:szCs w:val="28"/>
        </w:rPr>
      </w:pPr>
    </w:p>
    <w:bookmarkEnd w:id="9"/>
    <w:bookmarkEnd w:id="10"/>
    <w:p w14:paraId="11C70188">
      <w:pPr>
        <w:rPr>
          <w:rFonts w:hint="eastAsia" w:ascii="宋体" w:hAnsi="宋体" w:eastAsia="宋体" w:cs="宋体"/>
          <w:b/>
          <w:sz w:val="28"/>
        </w:rPr>
      </w:pPr>
      <w:bookmarkStart w:id="44" w:name="_Toc8888"/>
      <w:r>
        <w:rPr>
          <w:rFonts w:hint="eastAsia" w:ascii="宋体" w:hAnsi="宋体" w:eastAsia="宋体" w:cs="宋体"/>
          <w:b/>
          <w:sz w:val="28"/>
        </w:rPr>
        <w:br w:type="page"/>
      </w:r>
    </w:p>
    <w:p w14:paraId="4A4BACD0">
      <w:pPr>
        <w:spacing w:line="360" w:lineRule="auto"/>
        <w:jc w:val="center"/>
        <w:outlineLvl w:val="0"/>
        <w:rPr>
          <w:rFonts w:ascii="宋体" w:hAnsi="宋体" w:eastAsia="宋体" w:cs="宋体"/>
          <w:b/>
          <w:sz w:val="28"/>
        </w:rPr>
      </w:pPr>
      <w:r>
        <w:rPr>
          <w:rFonts w:hint="eastAsia" w:ascii="宋体" w:hAnsi="宋体" w:eastAsia="宋体" w:cs="宋体"/>
          <w:b/>
          <w:sz w:val="28"/>
        </w:rPr>
        <w:t>第二章  投标人须知</w:t>
      </w:r>
      <w:bookmarkEnd w:id="44"/>
    </w:p>
    <w:p w14:paraId="6FB0836F">
      <w:pPr>
        <w:spacing w:line="360" w:lineRule="auto"/>
        <w:jc w:val="center"/>
        <w:outlineLvl w:val="1"/>
        <w:rPr>
          <w:rFonts w:ascii="宋体" w:hAnsi="宋体" w:eastAsia="宋体" w:cs="宋体"/>
          <w:b/>
          <w:sz w:val="24"/>
        </w:rPr>
      </w:pPr>
      <w:bookmarkStart w:id="45" w:name="_Toc7178"/>
      <w:bookmarkStart w:id="46" w:name="_Toc13589"/>
      <w:r>
        <w:rPr>
          <w:rFonts w:hint="eastAsia" w:ascii="宋体" w:hAnsi="宋体" w:eastAsia="宋体" w:cs="宋体"/>
          <w:b/>
          <w:sz w:val="24"/>
        </w:rPr>
        <w:t>一、投标人须知前附表</w:t>
      </w:r>
      <w:bookmarkEnd w:id="45"/>
      <w:bookmarkEnd w:id="46"/>
    </w:p>
    <w:p w14:paraId="1058794A">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本表是本项目的具体要求，是对投标人须知的具体补充和修改，如有不一致，以本表为准。</w:t>
      </w:r>
    </w:p>
    <w:tbl>
      <w:tblPr>
        <w:tblStyle w:val="28"/>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708"/>
        <w:gridCol w:w="6727"/>
      </w:tblGrid>
      <w:tr w14:paraId="23BB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56B10F08">
            <w:pPr>
              <w:pStyle w:val="46"/>
              <w:keepNext w:val="0"/>
              <w:keepLines w:val="0"/>
              <w:pageBreakBefore w:val="0"/>
              <w:widowControl w:val="0"/>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bCs w:val="0"/>
                <w:kern w:val="2"/>
                <w:sz w:val="24"/>
                <w:szCs w:val="24"/>
              </w:rPr>
            </w:pPr>
            <w:r>
              <w:rPr>
                <w:rFonts w:hint="eastAsia" w:ascii="宋体" w:hAnsi="宋体" w:eastAsia="宋体" w:cs="宋体"/>
                <w:bCs w:val="0"/>
                <w:kern w:val="2"/>
                <w:sz w:val="24"/>
                <w:szCs w:val="24"/>
              </w:rPr>
              <w:t>条款号</w:t>
            </w:r>
          </w:p>
        </w:tc>
        <w:tc>
          <w:tcPr>
            <w:tcW w:w="2708" w:type="dxa"/>
            <w:vAlign w:val="center"/>
          </w:tcPr>
          <w:p w14:paraId="776DD78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bCs w:val="0"/>
                <w:kern w:val="2"/>
                <w:sz w:val="24"/>
                <w:szCs w:val="24"/>
              </w:rPr>
            </w:pPr>
            <w:r>
              <w:rPr>
                <w:rFonts w:hint="eastAsia" w:ascii="宋体" w:hAnsi="宋体" w:eastAsia="宋体" w:cs="宋体"/>
                <w:bCs w:val="0"/>
                <w:kern w:val="2"/>
                <w:sz w:val="24"/>
                <w:szCs w:val="24"/>
              </w:rPr>
              <w:t>条款名称</w:t>
            </w:r>
          </w:p>
        </w:tc>
        <w:tc>
          <w:tcPr>
            <w:tcW w:w="6727" w:type="dxa"/>
            <w:vAlign w:val="center"/>
          </w:tcPr>
          <w:p w14:paraId="2322528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bCs w:val="0"/>
                <w:kern w:val="2"/>
                <w:sz w:val="24"/>
                <w:szCs w:val="24"/>
              </w:rPr>
            </w:pPr>
            <w:r>
              <w:rPr>
                <w:rFonts w:hint="eastAsia" w:ascii="宋体" w:hAnsi="宋体" w:eastAsia="宋体" w:cs="宋体"/>
                <w:bCs w:val="0"/>
                <w:kern w:val="2"/>
                <w:sz w:val="24"/>
                <w:szCs w:val="24"/>
              </w:rPr>
              <w:t>内容、说明与要求</w:t>
            </w:r>
          </w:p>
        </w:tc>
      </w:tr>
      <w:tr w14:paraId="113D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3CA173A6">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2.5</w:t>
            </w:r>
          </w:p>
        </w:tc>
        <w:tc>
          <w:tcPr>
            <w:tcW w:w="2708" w:type="dxa"/>
            <w:vAlign w:val="center"/>
          </w:tcPr>
          <w:p w14:paraId="21028F5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sz w:val="24"/>
                <w:szCs w:val="24"/>
              </w:rPr>
            </w:pPr>
            <w:r>
              <w:rPr>
                <w:rFonts w:hint="eastAsia" w:ascii="宋体" w:hAnsi="宋体" w:eastAsia="宋体" w:cs="宋体"/>
                <w:b w:val="0"/>
                <w:kern w:val="2"/>
                <w:sz w:val="24"/>
                <w:szCs w:val="24"/>
              </w:rPr>
              <w:t>现场考察或标前答疑会</w:t>
            </w:r>
          </w:p>
        </w:tc>
        <w:tc>
          <w:tcPr>
            <w:tcW w:w="6727" w:type="dxa"/>
            <w:vAlign w:val="center"/>
          </w:tcPr>
          <w:p w14:paraId="1ED0EE8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sz w:val="24"/>
                <w:szCs w:val="24"/>
              </w:rPr>
              <w:t>不组织或不召开</w:t>
            </w:r>
          </w:p>
          <w:p w14:paraId="3B2669E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统一组织或统一召开</w:t>
            </w:r>
          </w:p>
          <w:p w14:paraId="4943D52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sz w:val="24"/>
                <w:szCs w:val="24"/>
                <w:u w:val="single"/>
              </w:rPr>
            </w:pPr>
            <w:r>
              <w:rPr>
                <w:rFonts w:hint="eastAsia" w:ascii="宋体" w:hAnsi="宋体" w:eastAsia="宋体" w:cs="宋体"/>
                <w:bCs/>
                <w:sz w:val="24"/>
                <w:szCs w:val="24"/>
              </w:rPr>
              <w:t>时间：</w:t>
            </w:r>
            <w:r>
              <w:rPr>
                <w:rFonts w:hint="eastAsia" w:ascii="宋体" w:hAnsi="宋体" w:eastAsia="宋体" w:cs="宋体"/>
                <w:bCs/>
                <w:sz w:val="24"/>
                <w:szCs w:val="24"/>
                <w:u w:val="single"/>
              </w:rPr>
              <w:t>/</w:t>
            </w:r>
            <w:r>
              <w:rPr>
                <w:rFonts w:hint="eastAsia" w:ascii="宋体" w:hAnsi="宋体" w:eastAsia="宋体" w:cs="宋体"/>
                <w:bCs/>
                <w:sz w:val="24"/>
                <w:szCs w:val="24"/>
              </w:rPr>
              <w:t>年</w:t>
            </w:r>
            <w:r>
              <w:rPr>
                <w:rFonts w:hint="eastAsia" w:ascii="宋体" w:hAnsi="宋体" w:eastAsia="宋体" w:cs="宋体"/>
                <w:bCs/>
                <w:sz w:val="24"/>
                <w:szCs w:val="24"/>
                <w:u w:val="single"/>
              </w:rPr>
              <w:t>/</w:t>
            </w:r>
            <w:r>
              <w:rPr>
                <w:rFonts w:hint="eastAsia" w:ascii="宋体" w:hAnsi="宋体" w:eastAsia="宋体" w:cs="宋体"/>
                <w:bCs/>
                <w:sz w:val="24"/>
                <w:szCs w:val="24"/>
              </w:rPr>
              <w:t>月</w:t>
            </w:r>
            <w:r>
              <w:rPr>
                <w:rFonts w:hint="eastAsia" w:ascii="宋体" w:hAnsi="宋体" w:eastAsia="宋体" w:cs="宋体"/>
                <w:bCs/>
                <w:sz w:val="24"/>
                <w:szCs w:val="24"/>
                <w:u w:val="single"/>
              </w:rPr>
              <w:t>/</w:t>
            </w:r>
            <w:r>
              <w:rPr>
                <w:rFonts w:hint="eastAsia" w:ascii="宋体" w:hAnsi="宋体" w:eastAsia="宋体" w:cs="宋体"/>
                <w:bCs/>
                <w:sz w:val="24"/>
                <w:szCs w:val="24"/>
              </w:rPr>
              <w:t>日</w:t>
            </w:r>
            <w:r>
              <w:rPr>
                <w:rFonts w:hint="eastAsia" w:ascii="宋体" w:hAnsi="宋体" w:eastAsia="宋体" w:cs="宋体"/>
                <w:bCs/>
                <w:sz w:val="24"/>
                <w:szCs w:val="24"/>
                <w:u w:val="single"/>
              </w:rPr>
              <w:t>/</w:t>
            </w:r>
            <w:r>
              <w:rPr>
                <w:rFonts w:hint="eastAsia" w:ascii="宋体" w:hAnsi="宋体" w:eastAsia="宋体" w:cs="宋体"/>
                <w:bCs/>
                <w:sz w:val="24"/>
                <w:szCs w:val="24"/>
              </w:rPr>
              <w:t>时</w:t>
            </w:r>
            <w:r>
              <w:rPr>
                <w:rFonts w:hint="eastAsia" w:ascii="宋体" w:hAnsi="宋体" w:eastAsia="宋体" w:cs="宋体"/>
                <w:bCs/>
                <w:sz w:val="24"/>
                <w:szCs w:val="24"/>
                <w:u w:val="single"/>
              </w:rPr>
              <w:t>/</w:t>
            </w:r>
            <w:r>
              <w:rPr>
                <w:rFonts w:hint="eastAsia" w:ascii="宋体" w:hAnsi="宋体" w:eastAsia="宋体" w:cs="宋体"/>
                <w:bCs/>
                <w:sz w:val="24"/>
                <w:szCs w:val="24"/>
              </w:rPr>
              <w:t>分</w:t>
            </w:r>
          </w:p>
          <w:p w14:paraId="1BD0ACF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sz w:val="24"/>
                <w:szCs w:val="24"/>
                <w:u w:val="single"/>
              </w:rPr>
            </w:pPr>
            <w:r>
              <w:rPr>
                <w:rFonts w:hint="eastAsia" w:ascii="宋体" w:hAnsi="宋体" w:eastAsia="宋体" w:cs="宋体"/>
                <w:bCs/>
                <w:sz w:val="24"/>
                <w:szCs w:val="24"/>
              </w:rPr>
              <w:t>地点：</w:t>
            </w:r>
            <w:r>
              <w:rPr>
                <w:rFonts w:hint="eastAsia" w:ascii="宋体" w:hAnsi="宋体" w:eastAsia="宋体" w:cs="宋体"/>
                <w:bCs/>
                <w:sz w:val="24"/>
                <w:szCs w:val="24"/>
                <w:u w:val="single"/>
              </w:rPr>
              <w:t>/</w:t>
            </w:r>
          </w:p>
          <w:p w14:paraId="05F4102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sz w:val="24"/>
                <w:szCs w:val="24"/>
                <w:u w:val="single"/>
              </w:rPr>
            </w:pPr>
            <w:r>
              <w:rPr>
                <w:rFonts w:hint="eastAsia" w:ascii="宋体" w:hAnsi="宋体" w:eastAsia="宋体" w:cs="宋体"/>
                <w:bCs/>
                <w:sz w:val="24"/>
                <w:szCs w:val="24"/>
              </w:rPr>
              <w:t>联系人及联系电话：</w:t>
            </w:r>
            <w:r>
              <w:rPr>
                <w:rFonts w:hint="eastAsia" w:ascii="宋体" w:hAnsi="宋体" w:eastAsia="宋体" w:cs="宋体"/>
                <w:bCs/>
                <w:sz w:val="24"/>
                <w:szCs w:val="24"/>
                <w:u w:val="single"/>
              </w:rPr>
              <w:t>/</w:t>
            </w:r>
          </w:p>
          <w:p w14:paraId="77DB285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Cs w:val="0"/>
                <w:sz w:val="24"/>
                <w:szCs w:val="24"/>
              </w:rPr>
              <w:t>注：如投标人未参加采购人统一组织的现场考察或采购人统一召开的标前答疑会，视同放弃现场考察或标前答疑会，由此引起的一切责任由投标人自行承担。</w:t>
            </w:r>
          </w:p>
        </w:tc>
      </w:tr>
      <w:tr w14:paraId="7A82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4BEA679D">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6.1</w:t>
            </w:r>
          </w:p>
        </w:tc>
        <w:tc>
          <w:tcPr>
            <w:tcW w:w="2708" w:type="dxa"/>
            <w:vAlign w:val="center"/>
          </w:tcPr>
          <w:p w14:paraId="2B6B6C7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询问截止时间</w:t>
            </w:r>
          </w:p>
        </w:tc>
        <w:tc>
          <w:tcPr>
            <w:tcW w:w="6727" w:type="dxa"/>
            <w:vAlign w:val="center"/>
          </w:tcPr>
          <w:p w14:paraId="384C4106">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u w:val="single"/>
              </w:rPr>
              <w:t>2025</w:t>
            </w:r>
            <w:r>
              <w:rPr>
                <w:rFonts w:hint="eastAsia" w:ascii="宋体" w:hAnsi="宋体" w:eastAsia="宋体" w:cs="宋体"/>
                <w:b w:val="0"/>
                <w:sz w:val="24"/>
                <w:szCs w:val="24"/>
              </w:rPr>
              <w:t>年</w:t>
            </w:r>
            <w:r>
              <w:rPr>
                <w:rFonts w:hint="eastAsia" w:ascii="宋体" w:hAnsi="宋体" w:eastAsia="宋体" w:cs="宋体"/>
                <w:b w:val="0"/>
                <w:color w:val="auto"/>
                <w:sz w:val="24"/>
                <w:szCs w:val="24"/>
                <w:u w:val="single"/>
                <w:lang w:val="en-US" w:eastAsia="zh-CN"/>
              </w:rPr>
              <w:t xml:space="preserve"> 10 </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u w:val="single"/>
              </w:rPr>
              <w:t xml:space="preserve"> </w:t>
            </w:r>
            <w:r>
              <w:rPr>
                <w:rFonts w:hint="eastAsia" w:ascii="宋体" w:hAnsi="宋体" w:eastAsia="宋体" w:cs="宋体"/>
                <w:b w:val="0"/>
                <w:color w:val="auto"/>
                <w:sz w:val="24"/>
                <w:szCs w:val="24"/>
                <w:u w:val="single"/>
                <w:lang w:val="en-US" w:eastAsia="zh-CN"/>
              </w:rPr>
              <w:t>9</w:t>
            </w:r>
            <w:r>
              <w:rPr>
                <w:rFonts w:hint="eastAsia" w:ascii="宋体" w:hAnsi="宋体" w:eastAsia="宋体" w:cs="宋体"/>
                <w:b w:val="0"/>
                <w:color w:val="auto"/>
                <w:sz w:val="24"/>
                <w:szCs w:val="24"/>
                <w:u w:val="single"/>
              </w:rPr>
              <w:t xml:space="preserve"> </w:t>
            </w:r>
            <w:r>
              <w:rPr>
                <w:rFonts w:hint="eastAsia" w:ascii="宋体" w:hAnsi="宋体" w:eastAsia="宋体" w:cs="宋体"/>
                <w:b w:val="0"/>
                <w:color w:val="auto"/>
                <w:sz w:val="24"/>
                <w:szCs w:val="24"/>
              </w:rPr>
              <w:t>日</w:t>
            </w:r>
            <w:r>
              <w:rPr>
                <w:rFonts w:hint="eastAsia" w:ascii="宋体" w:hAnsi="宋体" w:eastAsia="宋体" w:cs="宋体"/>
                <w:b w:val="0"/>
                <w:color w:val="auto"/>
                <w:sz w:val="24"/>
                <w:szCs w:val="24"/>
                <w:u w:val="single"/>
                <w:lang w:val="en-US" w:eastAsia="zh-CN"/>
              </w:rPr>
              <w:t>15</w:t>
            </w:r>
            <w:r>
              <w:rPr>
                <w:rFonts w:hint="eastAsia" w:ascii="宋体" w:hAnsi="宋体" w:eastAsia="宋体" w:cs="宋体"/>
                <w:b w:val="0"/>
                <w:color w:val="auto"/>
                <w:sz w:val="24"/>
                <w:szCs w:val="24"/>
              </w:rPr>
              <w:t>时</w:t>
            </w:r>
            <w:r>
              <w:rPr>
                <w:rFonts w:hint="eastAsia" w:ascii="宋体" w:hAnsi="宋体" w:eastAsia="宋体" w:cs="宋体"/>
                <w:b w:val="0"/>
                <w:color w:val="auto"/>
                <w:sz w:val="24"/>
                <w:szCs w:val="24"/>
                <w:u w:val="single"/>
                <w:lang w:val="en-US" w:eastAsia="zh-CN"/>
              </w:rPr>
              <w:t>00</w:t>
            </w:r>
            <w:r>
              <w:rPr>
                <w:rFonts w:hint="eastAsia" w:ascii="宋体" w:hAnsi="宋体" w:eastAsia="宋体" w:cs="宋体"/>
                <w:b w:val="0"/>
                <w:sz w:val="24"/>
                <w:szCs w:val="24"/>
              </w:rPr>
              <w:t>分</w:t>
            </w:r>
          </w:p>
        </w:tc>
      </w:tr>
      <w:tr w14:paraId="3C03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F603674">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7.1</w:t>
            </w:r>
          </w:p>
        </w:tc>
        <w:tc>
          <w:tcPr>
            <w:tcW w:w="2708" w:type="dxa"/>
            <w:vAlign w:val="center"/>
          </w:tcPr>
          <w:p w14:paraId="151305C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包别划分</w:t>
            </w:r>
          </w:p>
        </w:tc>
        <w:tc>
          <w:tcPr>
            <w:tcW w:w="6727" w:type="dxa"/>
            <w:vAlign w:val="center"/>
          </w:tcPr>
          <w:p w14:paraId="5137896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bCs w:val="0"/>
                <w:sz w:val="24"/>
                <w:szCs w:val="24"/>
              </w:rPr>
              <w:t>☑</w:t>
            </w:r>
            <w:r>
              <w:rPr>
                <w:rFonts w:hint="eastAsia" w:ascii="宋体" w:hAnsi="宋体" w:eastAsia="宋体" w:cs="宋体"/>
                <w:b w:val="0"/>
                <w:sz w:val="24"/>
                <w:szCs w:val="24"/>
              </w:rPr>
              <w:t>不分包     □分为</w:t>
            </w:r>
            <w:r>
              <w:rPr>
                <w:rFonts w:hint="eastAsia" w:ascii="宋体" w:hAnsi="宋体" w:eastAsia="宋体" w:cs="宋体"/>
                <w:b w:val="0"/>
                <w:sz w:val="24"/>
                <w:szCs w:val="24"/>
                <w:u w:val="single"/>
              </w:rPr>
              <w:t>/</w:t>
            </w:r>
            <w:r>
              <w:rPr>
                <w:rFonts w:hint="eastAsia" w:ascii="宋体" w:hAnsi="宋体" w:eastAsia="宋体" w:cs="宋体"/>
                <w:b w:val="0"/>
                <w:sz w:val="24"/>
                <w:szCs w:val="24"/>
              </w:rPr>
              <w:t>个包</w:t>
            </w:r>
          </w:p>
          <w:p w14:paraId="5095A15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u w:val="single"/>
              </w:rPr>
            </w:pPr>
            <w:r>
              <w:rPr>
                <w:rFonts w:hint="eastAsia" w:ascii="宋体" w:hAnsi="宋体" w:eastAsia="宋体" w:cs="宋体"/>
                <w:b w:val="0"/>
                <w:sz w:val="24"/>
                <w:szCs w:val="24"/>
              </w:rPr>
              <w:t>投标人对多个包进行投标的中标包数规定：</w:t>
            </w:r>
            <w:r>
              <w:rPr>
                <w:rFonts w:hint="eastAsia" w:ascii="宋体" w:hAnsi="宋体" w:eastAsia="宋体" w:cs="宋体"/>
                <w:b w:val="0"/>
                <w:sz w:val="24"/>
                <w:szCs w:val="24"/>
                <w:u w:val="single"/>
              </w:rPr>
              <w:t>/</w:t>
            </w:r>
            <w:r>
              <w:rPr>
                <w:rFonts w:hint="eastAsia" w:ascii="宋体" w:hAnsi="宋体" w:eastAsia="宋体" w:cs="宋体"/>
                <w:b w:val="0"/>
                <w:bCs w:val="0"/>
                <w:sz w:val="24"/>
                <w:szCs w:val="24"/>
                <w:u w:val="single"/>
              </w:rPr>
              <w:t xml:space="preserve"> </w:t>
            </w:r>
          </w:p>
        </w:tc>
      </w:tr>
      <w:tr w14:paraId="1079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EF8FAC3">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10.1</w:t>
            </w:r>
          </w:p>
        </w:tc>
        <w:tc>
          <w:tcPr>
            <w:tcW w:w="2708" w:type="dxa"/>
            <w:vAlign w:val="center"/>
          </w:tcPr>
          <w:p w14:paraId="4C3C02F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投标保证金</w:t>
            </w:r>
          </w:p>
        </w:tc>
        <w:tc>
          <w:tcPr>
            <w:tcW w:w="6727" w:type="dxa"/>
            <w:vAlign w:val="center"/>
          </w:tcPr>
          <w:p w14:paraId="0624B68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不收取</w:t>
            </w:r>
          </w:p>
        </w:tc>
      </w:tr>
      <w:tr w14:paraId="3C7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35662901">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11.1</w:t>
            </w:r>
          </w:p>
        </w:tc>
        <w:tc>
          <w:tcPr>
            <w:tcW w:w="2708" w:type="dxa"/>
            <w:vAlign w:val="center"/>
          </w:tcPr>
          <w:p w14:paraId="7B01B1E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投标有效期</w:t>
            </w:r>
          </w:p>
        </w:tc>
        <w:tc>
          <w:tcPr>
            <w:tcW w:w="6727" w:type="dxa"/>
            <w:vAlign w:val="center"/>
          </w:tcPr>
          <w:p w14:paraId="0981554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u w:val="single"/>
              </w:rPr>
              <w:t>90</w:t>
            </w:r>
            <w:r>
              <w:rPr>
                <w:rFonts w:hint="eastAsia" w:ascii="宋体" w:hAnsi="宋体" w:eastAsia="宋体" w:cs="宋体"/>
                <w:b w:val="0"/>
                <w:sz w:val="24"/>
                <w:szCs w:val="24"/>
              </w:rPr>
              <w:t>日历日</w:t>
            </w:r>
          </w:p>
        </w:tc>
      </w:tr>
      <w:tr w14:paraId="7DB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099864B">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13.1</w:t>
            </w:r>
          </w:p>
        </w:tc>
        <w:tc>
          <w:tcPr>
            <w:tcW w:w="2708" w:type="dxa"/>
            <w:shd w:val="clear" w:color="auto" w:fill="auto"/>
            <w:vAlign w:val="center"/>
          </w:tcPr>
          <w:p w14:paraId="0E2C43F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投标文件解密时间</w:t>
            </w:r>
          </w:p>
        </w:tc>
        <w:tc>
          <w:tcPr>
            <w:tcW w:w="6727" w:type="dxa"/>
            <w:shd w:val="clear" w:color="auto" w:fill="auto"/>
            <w:vAlign w:val="center"/>
          </w:tcPr>
          <w:p w14:paraId="604062C0">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u w:val="single"/>
                <w:lang w:val="en-US" w:eastAsia="zh-CN" w:bidi="ar-SA"/>
              </w:rPr>
            </w:pPr>
            <w:r>
              <w:rPr>
                <w:rFonts w:hint="eastAsia" w:ascii="宋体" w:hAnsi="宋体" w:eastAsia="宋体" w:cs="宋体"/>
                <w:b w:val="0"/>
                <w:color w:val="auto"/>
                <w:sz w:val="24"/>
                <w:highlight w:val="none"/>
              </w:rPr>
              <w:t>投标截止时间后</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30</w:t>
            </w:r>
            <w:r>
              <w:rPr>
                <w:rFonts w:hint="eastAsia" w:ascii="宋体" w:hAnsi="宋体" w:eastAsia="宋体" w:cs="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0CF4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08F8E8E">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14.1</w:t>
            </w:r>
          </w:p>
        </w:tc>
        <w:tc>
          <w:tcPr>
            <w:tcW w:w="2708" w:type="dxa"/>
            <w:vAlign w:val="center"/>
          </w:tcPr>
          <w:p w14:paraId="7774D26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资格审查</w:t>
            </w:r>
          </w:p>
        </w:tc>
        <w:tc>
          <w:tcPr>
            <w:tcW w:w="6727" w:type="dxa"/>
            <w:vAlign w:val="center"/>
          </w:tcPr>
          <w:p w14:paraId="6E03496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☑采购人审查</w:t>
            </w:r>
          </w:p>
          <w:p w14:paraId="78F9449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u w:val="single"/>
              </w:rPr>
            </w:pPr>
            <w:r>
              <w:rPr>
                <w:rFonts w:hint="eastAsia" w:ascii="宋体" w:hAnsi="宋体" w:eastAsia="宋体" w:cs="宋体"/>
                <w:b w:val="0"/>
                <w:bCs w:val="0"/>
                <w:sz w:val="24"/>
                <w:szCs w:val="24"/>
              </w:rPr>
              <w:t>□采购人出具委托函委托采购代理机构进行审查</w:t>
            </w:r>
          </w:p>
        </w:tc>
      </w:tr>
      <w:tr w14:paraId="6633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42534B1">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17.2</w:t>
            </w:r>
          </w:p>
        </w:tc>
        <w:tc>
          <w:tcPr>
            <w:tcW w:w="2708" w:type="dxa"/>
            <w:vAlign w:val="center"/>
          </w:tcPr>
          <w:p w14:paraId="67844CF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评标方法</w:t>
            </w:r>
          </w:p>
        </w:tc>
        <w:tc>
          <w:tcPr>
            <w:tcW w:w="6727" w:type="dxa"/>
            <w:vAlign w:val="center"/>
          </w:tcPr>
          <w:p w14:paraId="22EB085E">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u w:val="single"/>
              </w:rPr>
            </w:pPr>
            <w:r>
              <w:rPr>
                <w:rFonts w:hint="eastAsia" w:ascii="宋体" w:hAnsi="宋体" w:eastAsia="宋体" w:cs="宋体"/>
                <w:b w:val="0"/>
                <w:bCs w:val="0"/>
                <w:sz w:val="24"/>
                <w:szCs w:val="24"/>
              </w:rPr>
              <w:t>□</w:t>
            </w:r>
            <w:r>
              <w:rPr>
                <w:rFonts w:hint="eastAsia" w:ascii="宋体" w:hAnsi="宋体" w:eastAsia="宋体" w:cs="宋体"/>
                <w:b w:val="0"/>
                <w:sz w:val="24"/>
                <w:szCs w:val="24"/>
              </w:rPr>
              <w:t>最低评标价法</w:t>
            </w:r>
          </w:p>
          <w:p w14:paraId="246E9A2C">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bCs w:val="0"/>
                <w:sz w:val="24"/>
                <w:szCs w:val="24"/>
              </w:rPr>
              <w:t>☑</w:t>
            </w:r>
            <w:r>
              <w:rPr>
                <w:rFonts w:hint="eastAsia" w:ascii="宋体" w:hAnsi="宋体" w:eastAsia="宋体" w:cs="宋体"/>
                <w:b w:val="0"/>
                <w:sz w:val="24"/>
                <w:szCs w:val="24"/>
              </w:rPr>
              <w:t>综合评分法</w:t>
            </w:r>
          </w:p>
        </w:tc>
      </w:tr>
      <w:tr w14:paraId="4FF6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D85C2B7">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21.1</w:t>
            </w:r>
          </w:p>
        </w:tc>
        <w:tc>
          <w:tcPr>
            <w:tcW w:w="2708" w:type="dxa"/>
            <w:vAlign w:val="center"/>
          </w:tcPr>
          <w:p w14:paraId="736AA837">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评标委员会推荐中标候选人的数量</w:t>
            </w:r>
          </w:p>
        </w:tc>
        <w:tc>
          <w:tcPr>
            <w:tcW w:w="6727" w:type="dxa"/>
            <w:vAlign w:val="center"/>
          </w:tcPr>
          <w:p w14:paraId="712087AB">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评标委员会推荐3名中标候选人。</w:t>
            </w:r>
          </w:p>
        </w:tc>
      </w:tr>
      <w:tr w14:paraId="3244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172171B">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21.2</w:t>
            </w:r>
          </w:p>
        </w:tc>
        <w:tc>
          <w:tcPr>
            <w:tcW w:w="2708" w:type="dxa"/>
            <w:vAlign w:val="center"/>
          </w:tcPr>
          <w:p w14:paraId="55AED98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确定中标人</w:t>
            </w:r>
          </w:p>
        </w:tc>
        <w:tc>
          <w:tcPr>
            <w:tcW w:w="6727" w:type="dxa"/>
            <w:vAlign w:val="center"/>
          </w:tcPr>
          <w:p w14:paraId="4A54598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采购人委托评标委员会确定</w:t>
            </w:r>
          </w:p>
          <w:p w14:paraId="53992951">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bCs w:val="0"/>
                <w:kern w:val="2"/>
                <w:sz w:val="24"/>
                <w:szCs w:val="24"/>
              </w:rPr>
              <w:t>□采购人确定</w:t>
            </w:r>
          </w:p>
        </w:tc>
      </w:tr>
      <w:tr w14:paraId="484A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2BCF6AB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ind w:firstLine="240" w:firstLineChars="100"/>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23.3</w:t>
            </w:r>
          </w:p>
        </w:tc>
        <w:tc>
          <w:tcPr>
            <w:tcW w:w="2708" w:type="dxa"/>
            <w:vAlign w:val="center"/>
          </w:tcPr>
          <w:p w14:paraId="6E956D9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随中标结果公告同时公告的内容</w:t>
            </w:r>
          </w:p>
        </w:tc>
        <w:tc>
          <w:tcPr>
            <w:tcW w:w="6727" w:type="dxa"/>
            <w:vAlign w:val="center"/>
          </w:tcPr>
          <w:p w14:paraId="329FAED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）中标（成交）供应商的评审总得分</w:t>
            </w:r>
            <w:r>
              <w:rPr>
                <w:rFonts w:hint="eastAsia" w:ascii="宋体" w:hAnsi="宋体" w:eastAsia="宋体" w:cs="宋体"/>
                <w:b w:val="0"/>
                <w:i/>
                <w:iCs/>
                <w:color w:val="auto"/>
                <w:sz w:val="24"/>
                <w:highlight w:val="none"/>
              </w:rPr>
              <w:t>；</w:t>
            </w:r>
          </w:p>
          <w:p w14:paraId="503A958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val="en-US" w:eastAsia="zh-CN"/>
              </w:rPr>
              <w:t>2</w:t>
            </w:r>
            <w:r>
              <w:rPr>
                <w:rFonts w:hint="eastAsia" w:ascii="宋体" w:hAnsi="宋体" w:eastAsia="宋体" w:cs="宋体"/>
                <w:b w:val="0"/>
                <w:color w:val="auto"/>
                <w:sz w:val="24"/>
                <w:highlight w:val="none"/>
              </w:rPr>
              <w:t>）中标（成交）供应商的业绩。</w:t>
            </w:r>
          </w:p>
        </w:tc>
      </w:tr>
      <w:tr w14:paraId="2226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B83DFDC">
            <w:pPr>
              <w:pStyle w:val="46"/>
              <w:keepNext w:val="0"/>
              <w:keepLines w:val="0"/>
              <w:pageBreakBefore w:val="0"/>
              <w:widowControl w:val="0"/>
              <w:kinsoku/>
              <w:wordWrap/>
              <w:overflowPunct/>
              <w:topLinePunct w:val="0"/>
              <w:autoSpaceDE/>
              <w:autoSpaceDN/>
              <w:bidi w:val="0"/>
              <w:spacing w:before="0" w:beforeAutospacing="0" w:after="0" w:afterAutospacing="0" w:line="500" w:lineRule="exact"/>
              <w:ind w:firstLine="240" w:firstLineChars="100"/>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24.1</w:t>
            </w:r>
          </w:p>
        </w:tc>
        <w:tc>
          <w:tcPr>
            <w:tcW w:w="2708" w:type="dxa"/>
            <w:shd w:val="clear" w:color="auto" w:fill="auto"/>
            <w:vAlign w:val="center"/>
          </w:tcPr>
          <w:p w14:paraId="0DE49787">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中标通知书发出的形式</w:t>
            </w:r>
          </w:p>
        </w:tc>
        <w:tc>
          <w:tcPr>
            <w:tcW w:w="6727" w:type="dxa"/>
            <w:shd w:val="clear" w:color="auto" w:fill="auto"/>
            <w:vAlign w:val="center"/>
          </w:tcPr>
          <w:p w14:paraId="77D2CCDE">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6B26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100786F3">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rPr>
              <w:t>25.1</w:t>
            </w:r>
          </w:p>
        </w:tc>
        <w:tc>
          <w:tcPr>
            <w:tcW w:w="2708" w:type="dxa"/>
            <w:shd w:val="clear" w:color="auto" w:fill="auto"/>
            <w:vAlign w:val="center"/>
          </w:tcPr>
          <w:p w14:paraId="162D2C1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告知招标结果的形式</w:t>
            </w:r>
          </w:p>
        </w:tc>
        <w:tc>
          <w:tcPr>
            <w:tcW w:w="6727" w:type="dxa"/>
            <w:shd w:val="clear" w:color="auto" w:fill="auto"/>
            <w:vAlign w:val="center"/>
          </w:tcPr>
          <w:p w14:paraId="43115BC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3956C7C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rPr>
              <w:t>□评标现场告知</w:t>
            </w:r>
          </w:p>
        </w:tc>
      </w:tr>
      <w:tr w14:paraId="5F81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45D789E2">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rPr>
              <w:t>26.1</w:t>
            </w:r>
          </w:p>
        </w:tc>
        <w:tc>
          <w:tcPr>
            <w:tcW w:w="2708" w:type="dxa"/>
            <w:shd w:val="clear" w:color="auto" w:fill="auto"/>
            <w:vAlign w:val="center"/>
          </w:tcPr>
          <w:p w14:paraId="3A34EC1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履约保证金</w:t>
            </w:r>
          </w:p>
        </w:tc>
        <w:tc>
          <w:tcPr>
            <w:tcW w:w="6727" w:type="dxa"/>
            <w:shd w:val="clear" w:color="auto" w:fill="auto"/>
            <w:vAlign w:val="top"/>
          </w:tcPr>
          <w:p w14:paraId="0A5CBD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662311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162FDE1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 </w:t>
            </w:r>
            <w:r>
              <w:rPr>
                <w:rFonts w:hint="eastAsia" w:ascii="宋体" w:hAnsi="宋体" w:eastAsia="宋体" w:cs="宋体"/>
                <w:bCs/>
                <w:color w:val="auto"/>
                <w:kern w:val="0"/>
                <w:sz w:val="24"/>
                <w:szCs w:val="28"/>
                <w:highlight w:val="none"/>
              </w:rPr>
              <w:t>%</w:t>
            </w:r>
          </w:p>
          <w:p w14:paraId="6B0C512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□定额收取：人民币元</w:t>
            </w:r>
          </w:p>
          <w:p w14:paraId="042C77A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0213770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转账/电汇</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汇票</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7A5819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u w:val="singl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kern w:val="0"/>
                <w:sz w:val="24"/>
                <w:szCs w:val="28"/>
                <w:highlight w:val="none"/>
                <w:u w:val="single"/>
              </w:rPr>
              <w:t>/</w:t>
            </w:r>
          </w:p>
          <w:p w14:paraId="2BB11F0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kern w:val="0"/>
                <w:sz w:val="24"/>
                <w:szCs w:val="28"/>
                <w:highlight w:val="none"/>
                <w:u w:val="single"/>
              </w:rPr>
              <w:t>/</w:t>
            </w:r>
          </w:p>
          <w:p w14:paraId="3B4D0B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w:t>
            </w:r>
          </w:p>
          <w:p w14:paraId="7E5FEAF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05D230B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66589C7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0D92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2A0EC158">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27.1</w:t>
            </w:r>
          </w:p>
        </w:tc>
        <w:tc>
          <w:tcPr>
            <w:tcW w:w="2708" w:type="dxa"/>
            <w:shd w:val="clear" w:color="auto" w:fill="auto"/>
            <w:vAlign w:val="center"/>
          </w:tcPr>
          <w:p w14:paraId="6EE25DCA">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签订合同</w:t>
            </w:r>
          </w:p>
        </w:tc>
        <w:tc>
          <w:tcPr>
            <w:tcW w:w="6727" w:type="dxa"/>
            <w:shd w:val="clear" w:color="auto" w:fill="auto"/>
            <w:vAlign w:val="top"/>
          </w:tcPr>
          <w:p w14:paraId="5721C84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rPr>
              <w:t>采购人与中标人应当自发出中标通知书之日起7个工作日内签订合同。</w:t>
            </w:r>
          </w:p>
        </w:tc>
      </w:tr>
      <w:tr w14:paraId="7856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5F1839C7">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28.1</w:t>
            </w:r>
          </w:p>
        </w:tc>
        <w:tc>
          <w:tcPr>
            <w:tcW w:w="2708" w:type="dxa"/>
            <w:shd w:val="clear" w:color="auto" w:fill="auto"/>
            <w:vAlign w:val="center"/>
          </w:tcPr>
          <w:p w14:paraId="27E351AE">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代理费用</w:t>
            </w:r>
          </w:p>
        </w:tc>
        <w:tc>
          <w:tcPr>
            <w:tcW w:w="6727" w:type="dxa"/>
            <w:shd w:val="clear" w:color="auto" w:fill="auto"/>
            <w:vAlign w:val="center"/>
          </w:tcPr>
          <w:p w14:paraId="3FE65C5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785C3A6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2937ED5B">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w:t>
            </w:r>
            <w:r>
              <w:rPr>
                <w:rFonts w:hint="eastAsia" w:ascii="宋体" w:hAnsi="宋体" w:eastAsia="宋体" w:cs="宋体"/>
                <w:b w:val="0"/>
                <w:color w:val="auto"/>
                <w:sz w:val="24"/>
                <w:highlight w:val="none"/>
                <w:lang w:val="en-US" w:eastAsia="zh-CN"/>
              </w:rPr>
              <w:t>金额</w:t>
            </w:r>
            <w:r>
              <w:rPr>
                <w:rFonts w:hint="eastAsia" w:ascii="宋体" w:hAnsi="宋体" w:eastAsia="宋体" w:cs="宋体"/>
                <w:b w:val="0"/>
                <w:color w:val="auto"/>
                <w:sz w:val="24"/>
                <w:highlight w:val="none"/>
              </w:rPr>
              <w:t>：</w:t>
            </w:r>
            <w:r>
              <w:rPr>
                <w:rFonts w:hint="eastAsia" w:ascii="宋体" w:hAnsi="宋体" w:eastAsia="宋体" w:cs="宋体"/>
                <w:b w:val="0"/>
                <w:bCs w:val="0"/>
                <w:color w:val="auto"/>
                <w:kern w:val="2"/>
                <w:sz w:val="24"/>
                <w:szCs w:val="24"/>
                <w:highlight w:val="none"/>
                <w:u w:val="single"/>
                <w:lang w:val="en-US" w:eastAsia="zh-CN"/>
              </w:rPr>
              <w:t xml:space="preserve">6500元（不含专家评审费，具体费用以实际发生费用在为准） </w:t>
            </w:r>
          </w:p>
        </w:tc>
      </w:tr>
      <w:tr w14:paraId="7B89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32FD6E08">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31.3</w:t>
            </w:r>
          </w:p>
        </w:tc>
        <w:tc>
          <w:tcPr>
            <w:tcW w:w="2708" w:type="dxa"/>
            <w:shd w:val="clear" w:color="auto" w:fill="auto"/>
            <w:vAlign w:val="center"/>
          </w:tcPr>
          <w:p w14:paraId="50A37A3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质疑函递交方式、接收部门、联系电话和通讯地址</w:t>
            </w:r>
          </w:p>
        </w:tc>
        <w:tc>
          <w:tcPr>
            <w:tcW w:w="6727" w:type="dxa"/>
            <w:shd w:val="clear" w:color="auto" w:fill="auto"/>
            <w:vAlign w:val="center"/>
          </w:tcPr>
          <w:p w14:paraId="2419438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新点电子交易平台【滁州专区】对招标文件提出澄清（质疑）】。一份质疑函只能针对一个项目提出质疑，且针对同一采购程序环节的质疑应当一次性提出；</w:t>
            </w:r>
          </w:p>
          <w:p w14:paraId="6070045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color w:val="auto"/>
                <w:sz w:val="24"/>
                <w:szCs w:val="18"/>
                <w:highlight w:val="none"/>
                <w:lang w:val="en-US"/>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val="en-US" w:eastAsia="zh-CN"/>
              </w:rPr>
              <w:t>滁州市第二小学</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滁州市城投工程咨询管理有限公司</w:t>
            </w:r>
          </w:p>
          <w:p w14:paraId="0F68975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b w:val="0"/>
                <w:color w:val="auto"/>
                <w:sz w:val="24"/>
                <w:highlight w:val="none"/>
              </w:rPr>
              <w:t>联系电话：</w:t>
            </w:r>
            <w:r>
              <w:rPr>
                <w:rFonts w:hint="eastAsia" w:ascii="宋体" w:hAnsi="宋体" w:eastAsia="宋体" w:cs="宋体"/>
                <w:color w:val="auto"/>
                <w:sz w:val="24"/>
                <w:highlight w:val="none"/>
                <w:u w:val="single"/>
                <w:lang w:val="en-US" w:eastAsia="zh-CN"/>
              </w:rPr>
              <w:t>18019817678 、0550-3519590</w:t>
            </w:r>
          </w:p>
          <w:p w14:paraId="5025F99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rPr>
              <w:t>安徽省滁州市琅琊区定远路346号、滁州市龙蟠大道109号房产大厦</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楼。</w:t>
            </w:r>
          </w:p>
        </w:tc>
      </w:tr>
      <w:tr w14:paraId="12A9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486ABC3D">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2708" w:type="dxa"/>
            <w:shd w:val="clear" w:color="auto" w:fill="auto"/>
            <w:vAlign w:val="center"/>
          </w:tcPr>
          <w:p w14:paraId="1ACE667A">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sz w:val="24"/>
                <w:szCs w:val="24"/>
                <w:lang w:val="en-US" w:eastAsia="zh-CN"/>
              </w:rPr>
              <w:t>其他内容</w:t>
            </w:r>
          </w:p>
        </w:tc>
        <w:tc>
          <w:tcPr>
            <w:tcW w:w="6727" w:type="dxa"/>
            <w:shd w:val="clear" w:color="auto" w:fill="auto"/>
            <w:vAlign w:val="center"/>
          </w:tcPr>
          <w:p w14:paraId="4636315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（1）构成本招标文件的各个组成文件应互为解释，互为说明；</w:t>
            </w:r>
          </w:p>
          <w:p w14:paraId="4E8D305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（2）同一组成文件中就同一事项的规定或约定不一致的，以编排顺序在后者为准；</w:t>
            </w:r>
          </w:p>
          <w:p w14:paraId="7770B32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（3）如有不明确或不一致，构成合同文件组成内容的，以合同文件约定内容为准，且以专用合同条款约定的合同文件优先顺序解释；</w:t>
            </w:r>
          </w:p>
          <w:p w14:paraId="7205EB0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（4）除招标文件中有特别规定外，仅适用于招标投标阶段的规定，按招标公告、投标邀请、投标人须知、评标方法和标准、投标文件格式的先后顺序解释；</w:t>
            </w:r>
          </w:p>
          <w:p w14:paraId="52AE466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color w:val="auto"/>
                <w:kern w:val="0"/>
                <w:sz w:val="24"/>
                <w:szCs w:val="28"/>
                <w:highlight w:val="none"/>
                <w:lang w:val="en-US" w:eastAsia="zh-CN" w:bidi="ar-SA"/>
              </w:rPr>
              <w:t>（5）按本款前述规定仍不能形成结论的，由采购人负责解释。</w:t>
            </w:r>
          </w:p>
        </w:tc>
      </w:tr>
      <w:tr w14:paraId="43A4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0" w:type="dxa"/>
            <w:gridSpan w:val="3"/>
            <w:vAlign w:val="center"/>
          </w:tcPr>
          <w:p w14:paraId="08ECD36C">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投标软件制作工具下载：</w:t>
            </w:r>
          </w:p>
          <w:p w14:paraId="655214B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sz w:val="24"/>
                <w:szCs w:val="24"/>
              </w:rPr>
            </w:pPr>
            <w:r>
              <w:rPr>
                <w:rFonts w:hint="eastAsia" w:ascii="宋体" w:hAnsi="宋体" w:eastAsia="宋体" w:cs="宋体"/>
                <w:b/>
                <w:bCs w:val="0"/>
                <w:sz w:val="24"/>
                <w:szCs w:val="24"/>
              </w:rPr>
              <w:t>https://download.bqpoint.com/download/downloaddetail.html?SourceFrom=Ztb&amp;ZtbSoftXiaQuCode=0128&amp;ZtbSoftType=tballinclusive</w:t>
            </w:r>
          </w:p>
        </w:tc>
      </w:tr>
    </w:tbl>
    <w:p w14:paraId="29C2AFDD">
      <w:pPr>
        <w:spacing w:line="360" w:lineRule="auto"/>
        <w:jc w:val="center"/>
        <w:outlineLvl w:val="1"/>
        <w:rPr>
          <w:rFonts w:ascii="宋体" w:hAnsi="宋体" w:eastAsia="宋体" w:cs="宋体"/>
          <w:b/>
          <w:sz w:val="24"/>
        </w:rPr>
      </w:pPr>
      <w:r>
        <w:rPr>
          <w:rFonts w:hint="eastAsia" w:ascii="宋体" w:hAnsi="宋体" w:eastAsia="宋体" w:cs="宋体"/>
          <w:b/>
          <w:sz w:val="28"/>
        </w:rPr>
        <w:br w:type="page"/>
      </w:r>
      <w:bookmarkStart w:id="47" w:name="_Toc24882"/>
      <w:bookmarkStart w:id="48" w:name="_Toc9427"/>
      <w:r>
        <w:rPr>
          <w:rFonts w:hint="eastAsia" w:asciiTheme="minorEastAsia" w:hAnsiTheme="minorEastAsia" w:eastAsiaTheme="minorEastAsia"/>
          <w:b/>
          <w:color w:val="auto"/>
          <w:sz w:val="24"/>
          <w:highlight w:val="none"/>
        </w:rPr>
        <w:t>二、投标人须知正文</w:t>
      </w:r>
      <w:bookmarkEnd w:id="47"/>
      <w:bookmarkEnd w:id="48"/>
    </w:p>
    <w:p w14:paraId="1CE3A8E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1.采购人、采购代理机构及投标人</w:t>
      </w:r>
    </w:p>
    <w:p w14:paraId="0739F25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1.1采购人：是指依法开展政府采购活动的国家机关、事业单位、团体组织。</w:t>
      </w:r>
    </w:p>
    <w:p w14:paraId="4C1FA36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1.2采购代理机构：是指集中采购机构或从事采购代理业务的社会中介机构。</w:t>
      </w:r>
    </w:p>
    <w:p w14:paraId="56A6CF1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1.3政府采购监督管理部门：各级人民政府指定的有关部门依法履行与政府采购活动有关的监督管理职责。</w:t>
      </w:r>
    </w:p>
    <w:p w14:paraId="7B358EF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1.4投标人：是指向采购人提供货物、工程或者服务的法人、其他组织或者自然人。分支机构不得参加政府采购活动，但银行、保险、石油石化、电力、电信等特殊行业除外。</w:t>
      </w:r>
    </w:p>
    <w:p w14:paraId="2C78857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2.资金落实情况</w:t>
      </w:r>
    </w:p>
    <w:p w14:paraId="71B22BC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2.1本项目的采购人已获得足以支付本次招标后所签订的合同项下的资金。</w:t>
      </w:r>
    </w:p>
    <w:p w14:paraId="45EACCC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3.投标费用</w:t>
      </w:r>
    </w:p>
    <w:p w14:paraId="093F98B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不论投标的结果如何，投标人应承担所有与准备和参加投标有关的费用。</w:t>
      </w:r>
    </w:p>
    <w:p w14:paraId="1F897F1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4.适用法律</w:t>
      </w:r>
    </w:p>
    <w:p w14:paraId="714C3CA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18C012F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5.招标文件构成</w:t>
      </w:r>
    </w:p>
    <w:p w14:paraId="34D2D81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5.1招标文件包括下列内容：</w:t>
      </w:r>
    </w:p>
    <w:p w14:paraId="15AD3E1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投标邀请</w:t>
      </w:r>
    </w:p>
    <w:p w14:paraId="2B882D4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5A33565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第三章  采购需求</w:t>
      </w:r>
    </w:p>
    <w:p w14:paraId="387FC1C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评标方法和标准</w:t>
      </w:r>
    </w:p>
    <w:p w14:paraId="1EB17AF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政府采购合同</w:t>
      </w:r>
    </w:p>
    <w:p w14:paraId="57A0BCF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投标文件格式</w:t>
      </w:r>
    </w:p>
    <w:p w14:paraId="497465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政府采购询问函和质疑函范本</w:t>
      </w:r>
    </w:p>
    <w:p w14:paraId="6EC4A8D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5.2现场考察（</w:t>
      </w:r>
      <w:r>
        <w:rPr>
          <w:rFonts w:hint="eastAsia" w:ascii="宋体" w:hAnsi="宋体" w:eastAsia="宋体" w:cs="宋体"/>
          <w:bCs/>
          <w:sz w:val="24"/>
          <w:szCs w:val="24"/>
        </w:rPr>
        <w:t>标前答疑会</w:t>
      </w:r>
      <w:r>
        <w:rPr>
          <w:rFonts w:hint="eastAsia" w:ascii="宋体" w:hAnsi="宋体" w:eastAsia="宋体" w:cs="宋体"/>
          <w:sz w:val="24"/>
          <w:szCs w:val="24"/>
        </w:rPr>
        <w:t>）及相关事项见</w:t>
      </w:r>
      <w:r>
        <w:rPr>
          <w:rFonts w:hint="eastAsia" w:ascii="宋体" w:hAnsi="宋体" w:eastAsia="宋体" w:cs="宋体"/>
          <w:sz w:val="24"/>
          <w:szCs w:val="24"/>
          <w:u w:val="single"/>
        </w:rPr>
        <w:t>投标人须知前附表</w:t>
      </w:r>
      <w:r>
        <w:rPr>
          <w:rFonts w:hint="eastAsia" w:ascii="宋体" w:hAnsi="宋体" w:eastAsia="宋体" w:cs="宋体"/>
          <w:sz w:val="24"/>
          <w:szCs w:val="24"/>
        </w:rPr>
        <w:t>。</w:t>
      </w:r>
    </w:p>
    <w:p w14:paraId="431580B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5.3投标人应认真阅读招标文件所有的事项、格式、条款和技术规范等。</w:t>
      </w:r>
    </w:p>
    <w:p w14:paraId="1680E19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6.招标文件的澄清与修改</w:t>
      </w:r>
    </w:p>
    <w:p w14:paraId="653DAF9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6.1投标人如对招标文件内容有疑问，可在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规定的询问截止时间前提交给采购代理机构。</w:t>
      </w:r>
    </w:p>
    <w:p w14:paraId="2099D9D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6.2采购人可主动地或在答复投标人提出的询问时对招标文件进</w:t>
      </w:r>
      <w:r>
        <w:rPr>
          <w:rFonts w:hint="eastAsia" w:ascii="宋体" w:hAnsi="宋体" w:eastAsia="宋体" w:cs="宋体"/>
          <w:sz w:val="24"/>
          <w:szCs w:val="24"/>
          <w:highlight w:val="none"/>
        </w:rPr>
        <w:t>行澄清与修改。采购代理机构将在</w:t>
      </w:r>
      <w:r>
        <w:rPr>
          <w:rFonts w:hint="eastAsia" w:ascii="宋体" w:hAnsi="宋体" w:eastAsia="宋体" w:cs="宋体"/>
          <w:sz w:val="24"/>
          <w:szCs w:val="24"/>
          <w:highlight w:val="none"/>
          <w:lang w:val="en-US" w:eastAsia="zh-CN"/>
        </w:rPr>
        <w:t>滁州市琅琊区人民政府（https://www.lyq.gov.cn/）、滁州市城投工程咨询管理有限公司（https://www.czctgczx.com/）网站</w:t>
      </w:r>
      <w:r>
        <w:rPr>
          <w:rFonts w:hint="eastAsia" w:ascii="宋体" w:hAnsi="宋体" w:eastAsia="宋体" w:cs="宋体"/>
          <w:sz w:val="24"/>
          <w:szCs w:val="24"/>
          <w:highlight w:val="none"/>
        </w:rPr>
        <w:t>发布更正公告，澄清或修改招标文件，更正公告的内容作为招标文件的组成部分，对投标人起约束作</w:t>
      </w:r>
      <w:r>
        <w:rPr>
          <w:rFonts w:hint="eastAsia" w:ascii="宋体" w:hAnsi="宋体" w:eastAsia="宋体" w:cs="宋体"/>
          <w:sz w:val="24"/>
          <w:szCs w:val="24"/>
        </w:rPr>
        <w:t>用。投标人应主动上网查询。采购代理机构不承担投标人未及时关注相关信息引发的相关责任。</w:t>
      </w:r>
    </w:p>
    <w:p w14:paraId="7CDD54B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6.3任何人或任何组织向投标人提供的任何书面或口头资料，未经采购代理机构在发布或书面通知，均作无效处理，不得作为招标文件的组成部分。采购代理机构对投标人由此而做出的推论、理解和结论概不负责。</w:t>
      </w:r>
    </w:p>
    <w:p w14:paraId="68AEB5B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i/>
          <w:iCs/>
          <w:sz w:val="24"/>
          <w:szCs w:val="24"/>
        </w:rPr>
      </w:pPr>
      <w:r>
        <w:rPr>
          <w:rFonts w:hint="eastAsia" w:ascii="宋体" w:hAnsi="宋体" w:eastAsia="宋体" w:cs="宋体"/>
          <w:sz w:val="24"/>
          <w:szCs w:val="24"/>
        </w:rPr>
        <w:t>6.4对于没有提出疑问又参与了本项目投标的投标人将被视为完全认同本招标文件（含更正公告的内容）</w:t>
      </w:r>
      <w:r>
        <w:rPr>
          <w:rFonts w:hint="eastAsia" w:ascii="宋体" w:hAnsi="宋体" w:eastAsia="宋体" w:cs="宋体"/>
          <w:i/>
          <w:sz w:val="24"/>
          <w:szCs w:val="24"/>
        </w:rPr>
        <w:t>。</w:t>
      </w:r>
    </w:p>
    <w:p w14:paraId="3F89803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7.投标范围及投标文件中标准和计量单位的使用</w:t>
      </w:r>
    </w:p>
    <w:p w14:paraId="6BA5E60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7.1项目有分包的，投标人可对招标文件其中某一个或几个分包进行投标，除非在</w:t>
      </w:r>
      <w:r>
        <w:rPr>
          <w:rFonts w:hint="eastAsia" w:ascii="宋体" w:hAnsi="宋体" w:eastAsia="宋体" w:cs="宋体"/>
          <w:sz w:val="24"/>
          <w:szCs w:val="24"/>
          <w:u w:val="single"/>
        </w:rPr>
        <w:t>投标人须知前附表</w:t>
      </w:r>
      <w:r>
        <w:rPr>
          <w:rFonts w:hint="eastAsia" w:ascii="宋体" w:hAnsi="宋体" w:eastAsia="宋体" w:cs="宋体"/>
          <w:sz w:val="24"/>
          <w:szCs w:val="24"/>
        </w:rPr>
        <w:t>中另有规定。</w:t>
      </w:r>
    </w:p>
    <w:p w14:paraId="2F03885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7.2投标人应当对所投分包招标文件中“采购需求”所列的所有内容进行投标，如仅响应所投包别中的部分内容，其所投包别的投标将被认定为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153C5F9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bookmarkStart w:id="49" w:name="_Hlk16458980"/>
      <w:r>
        <w:rPr>
          <w:rFonts w:hint="eastAsia" w:ascii="宋体" w:hAnsi="宋体" w:eastAsia="宋体" w:cs="宋体"/>
          <w:sz w:val="24"/>
          <w:szCs w:val="24"/>
        </w:rPr>
        <w:t>7.3无论招标文件中是否要求，投标人所投货物、服务及工程（如有）均应符合国家强制性标准。</w:t>
      </w:r>
    </w:p>
    <w:bookmarkEnd w:id="49"/>
    <w:p w14:paraId="4A18766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D8CE6B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7.5除招标文件中有特殊要求外，投标文件中所使用的计量单位，应采用中华人民共和国法定计量单位。</w:t>
      </w:r>
    </w:p>
    <w:p w14:paraId="0F192BA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8.投标文件构成</w:t>
      </w:r>
    </w:p>
    <w:p w14:paraId="195F512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8.1投标人应完整地按招标文件提供的投标文件格式及要求编写投标文件，具体内容详见本项目投标文件格式的相关内容。</w:t>
      </w:r>
    </w:p>
    <w:p w14:paraId="1249384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8.2投标人应提交招标文件要求的证明文件，证明其投标内容符合招标文件规定，该证明文件是投标文件的一部分。证明文件形式可以是文字资料、图纸和数据</w:t>
      </w:r>
      <w:bookmarkStart w:id="50" w:name="_Hlk11703583"/>
      <w:r>
        <w:rPr>
          <w:rFonts w:hint="eastAsia" w:ascii="宋体" w:hAnsi="宋体" w:eastAsia="宋体" w:cs="宋体"/>
          <w:sz w:val="24"/>
          <w:szCs w:val="24"/>
        </w:rPr>
        <w:t>等。</w:t>
      </w:r>
    </w:p>
    <w:bookmarkEnd w:id="50"/>
    <w:p w14:paraId="5726D63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8.3为保证公平公正，除非另有规定或说明，投标人对同一项目投标时，不得同时提供备选投标方案。</w:t>
      </w:r>
    </w:p>
    <w:p w14:paraId="165FBBE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9.投标报价</w:t>
      </w:r>
    </w:p>
    <w:p w14:paraId="2ADBE24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12.1投标人的报价应当包括满足本次招标全部采购需求。除招标文件另有规定外，所有投标均应以人民币报价。投标人的投标报价应遵守《中华人民共和国价格法》。</w:t>
      </w:r>
    </w:p>
    <w:p w14:paraId="574FF29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9.2投标人报价超过招标文件规定的预算金额或者分项、分包最高限价，其投标将被认定为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14:paraId="1AAE92E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9.3投标报价在合同履行过程中是固定不变的，不得以任何理由予以变更。任何包含价格调整要求的投标，其投标将被认定为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162AE49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67714C5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9.5采购人不接受具有附加条件的报价。</w:t>
      </w:r>
    </w:p>
    <w:p w14:paraId="634407E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10.投标保证金</w:t>
      </w:r>
    </w:p>
    <w:p w14:paraId="25493C7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10.1本项目不收取投标保证金。</w:t>
      </w:r>
    </w:p>
    <w:p w14:paraId="4477ADE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11.投标有效期</w:t>
      </w:r>
    </w:p>
    <w:p w14:paraId="43C4C2D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11.1投标有效期为从投标截止之日算起的日历天数，投标有效期详见</w:t>
      </w:r>
      <w:r>
        <w:rPr>
          <w:rFonts w:hint="eastAsia" w:ascii="宋体" w:hAnsi="宋体" w:eastAsia="宋体" w:cs="宋体"/>
          <w:sz w:val="24"/>
          <w:szCs w:val="24"/>
          <w:u w:val="single"/>
        </w:rPr>
        <w:t>投标人须知前附表</w:t>
      </w:r>
      <w:r>
        <w:rPr>
          <w:rFonts w:hint="eastAsia" w:ascii="宋体" w:hAnsi="宋体" w:eastAsia="宋体" w:cs="宋体"/>
          <w:sz w:val="24"/>
          <w:szCs w:val="24"/>
        </w:rPr>
        <w:t>。</w:t>
      </w:r>
    </w:p>
    <w:p w14:paraId="1D33FD4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11.2在投标有效期内，投标人的投标保持有效，投标人不得要求撤销或修改其投标文件。投标有效期不满足要求的投标，其投标将被认定为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12F9749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9EFAC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12.投标文件的递交、修改与撤回</w:t>
      </w:r>
    </w:p>
    <w:p w14:paraId="37A90A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12.1投标人应当在招标公告规定的投标截止时间前，将加密的投标文件在电子交易系统上传。</w:t>
      </w:r>
    </w:p>
    <w:p w14:paraId="4308BE8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87201F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13.开标</w:t>
      </w:r>
    </w:p>
    <w:p w14:paraId="1EDB7DD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规定的解密时间前对其投标文件进行解密。</w:t>
      </w:r>
    </w:p>
    <w:p w14:paraId="6E14FE2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13.2开标时，采购代理机构将通过网上开标系统公布开标结果，公布内容包括投标人名称、投标价格及招标文件规定的内容。</w:t>
      </w:r>
    </w:p>
    <w:p w14:paraId="4C8319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14:paraId="5E4CE60C">
      <w:pPr>
        <w:spacing w:line="500" w:lineRule="exact"/>
        <w:ind w:left="-420" w:leftChars="-200" w:firstLine="436" w:firstLineChars="182"/>
        <w:jc w:val="left"/>
        <w:rPr>
          <w:rFonts w:hint="eastAsia" w:ascii="宋体" w:hAnsi="宋体" w:eastAsia="宋体" w:cs="宋体"/>
          <w:sz w:val="24"/>
          <w:szCs w:val="24"/>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14:paraId="22AEC0D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14.资格审查及组建评标委员会</w:t>
      </w:r>
    </w:p>
    <w:p w14:paraId="3FC36AF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14.1采购人或采购代理机构依据法律法规和招标文件中规定的内容，对投标人资格进行审查，未通过资格审查的投标人不进入评标。</w:t>
      </w:r>
    </w:p>
    <w:p w14:paraId="6180718B">
      <w:pPr>
        <w:spacing w:line="500" w:lineRule="exact"/>
        <w:ind w:left="-420" w:leftChars="-200" w:firstLine="436" w:firstLineChars="182"/>
        <w:jc w:val="left"/>
        <w:rPr>
          <w:rFonts w:ascii="宋体" w:hAnsi="宋体" w:eastAsia="宋体" w:cs="宋体"/>
          <w:color w:val="auto"/>
          <w:sz w:val="24"/>
          <w:szCs w:val="24"/>
          <w:highlight w:val="none"/>
        </w:rPr>
      </w:pPr>
      <w:bookmarkStart w:id="51" w:name="_Hlk24663244"/>
      <w:r>
        <w:rPr>
          <w:rFonts w:hint="eastAsia" w:ascii="宋体" w:hAnsi="宋体" w:eastAsia="宋体" w:cs="宋体"/>
          <w:sz w:val="24"/>
          <w:szCs w:val="24"/>
        </w:rPr>
        <w:t>14.2</w:t>
      </w:r>
      <w:r>
        <w:rPr>
          <w:rFonts w:hint="eastAsia" w:ascii="宋体" w:hAnsi="宋体" w:eastAsia="宋体" w:cs="宋体"/>
          <w:color w:val="auto"/>
          <w:sz w:val="24"/>
          <w:szCs w:val="24"/>
          <w:highlight w:val="none"/>
        </w:rPr>
        <w:t>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EDC6FE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C707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51"/>
    <w:p w14:paraId="65D3258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14.3按照《中华人民共和国政府采购法》、《中华人民共和国政府采购法实施条例》及本项目本级和上级财政部门、政府采购监督管理部门的有关规定依法组建的评标委员会，负责本项目评标工作。</w:t>
      </w:r>
    </w:p>
    <w:p w14:paraId="44C352C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15.投标文件符合性审查与澄清</w:t>
      </w:r>
    </w:p>
    <w:p w14:paraId="1ABDDFA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15.1符合性审查是指依据招标文件的规定，从投标文件的有效性和完整性对招标文件的响应程度进行审查，以确定是否对招标文件的实质性要求做出响应。</w:t>
      </w:r>
    </w:p>
    <w:p w14:paraId="0FE949C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15.2投标文件的澄清</w:t>
      </w:r>
    </w:p>
    <w:p w14:paraId="6DB50DA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3D4F249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本项目采用远程开标，具体操作方法详见服务指南&gt;交易须知&gt;开标大厅远程解密、质疑(异议)及回复以及评标过程中询标流程操作手册。</w:t>
      </w:r>
    </w:p>
    <w:p w14:paraId="3281629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15.2.2投标人的澄清、说明或补正将作为投标文件的一部分。</w:t>
      </w:r>
    </w:p>
    <w:p w14:paraId="1FC82D0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15.2.3评标委员会对投标人提交的澄清、说明或补正有疑问的，可以要求投标人进一步澄清、说明或补正，直至满足评标委员会的要求。</w:t>
      </w:r>
    </w:p>
    <w:p w14:paraId="6CBD169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15.3投标文件报价出现前后不一致的，按照下列规定修正：</w:t>
      </w:r>
    </w:p>
    <w:p w14:paraId="07F7B52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14:paraId="55857C2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57D7473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14:paraId="426FE0C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14:paraId="0C8F4F5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5F0CCDF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对不同文字文本投标文件的解释发生异议的，以中文文本为准。</w:t>
      </w:r>
    </w:p>
    <w:p w14:paraId="5FFD82F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16.投标无效</w:t>
      </w:r>
    </w:p>
    <w:p w14:paraId="7BF3CB6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16.1根据本招标文件的规定，评标委员会要审查每份投标文件是否实质上响应了招标文件的要求。投标人不得通过修正或撤销不符合要求的偏离，从而使其投标成为实质上响应的投标。</w:t>
      </w:r>
    </w:p>
    <w:p w14:paraId="11B21EC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评标委员会决定投标的响应性只根据招标文件要求和投标文件内容。</w:t>
      </w:r>
    </w:p>
    <w:p w14:paraId="5AFF1AD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无论何种原因，即使投标人投标时携带了证书材料的，但投标文件中未提供与之内容完全一致的复印件的，评标委员会视同其未提供。</w:t>
      </w:r>
    </w:p>
    <w:p w14:paraId="2975142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16.2如发现下列情况之一的，其投标将被认定为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4551D75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（1）投标文件未按照招标文件规定要求签署、盖章的；</w:t>
      </w:r>
    </w:p>
    <w:p w14:paraId="10C8349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（2）不具备招标文件中规定的资格要求的；</w:t>
      </w:r>
    </w:p>
    <w:p w14:paraId="31AF3CE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（3）报价超过招标文件中规定的预算金额或者最高限价的；</w:t>
      </w:r>
    </w:p>
    <w:p w14:paraId="3F6DFA7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（4）投标文件含有采购人不能接受的附加条件的；</w:t>
      </w:r>
    </w:p>
    <w:p w14:paraId="6205277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（5）法律、法规和招标文件规定的其他无效情形。</w:t>
      </w:r>
    </w:p>
    <w:p w14:paraId="005E20D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17.比较与评价</w:t>
      </w:r>
    </w:p>
    <w:p w14:paraId="6505FC9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17.1经符合性审查合格的投标文件，评标委员会将根据招标文件确定的评标方法和标准，对其投标文件作进一步的比较与评价。</w:t>
      </w:r>
    </w:p>
    <w:p w14:paraId="6BE3966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17.2评标严格按照招标文件的要求和条件进行。根据实际情况，在</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中规定采用下列一种评标方法，详细评标方法和标准见招标文件第四章：</w:t>
      </w:r>
    </w:p>
    <w:p w14:paraId="04ED263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综合评分法，是指投标文件满足招标文件全部实质性要求，且按照评审因素的量化指标评审得分最高的投标人为中标候选人的评标方法。</w:t>
      </w:r>
    </w:p>
    <w:p w14:paraId="717D8C0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18.废标、重新招标与变更采购方式</w:t>
      </w:r>
    </w:p>
    <w:p w14:paraId="1219B52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18.1出现下列情形之一，将导致项目废标：</w:t>
      </w:r>
    </w:p>
    <w:p w14:paraId="73D7D56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（1）符合专业条件的供应商或者对招标文件做实质性响应的供应商不足规定数量的；</w:t>
      </w:r>
    </w:p>
    <w:p w14:paraId="7CC4EFC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1A4AC88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（3）投标人的报价均超过了采购预算，采购人不能支付的；</w:t>
      </w:r>
    </w:p>
    <w:p w14:paraId="7D3BB9E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1AFE62A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18.2公开招标数额标准以上的采购项目，投标截止后投标人不足3家或者通过资格审查或符合性审查的投标人不足3家的，除采购任务取消情形外，按照以下方式处理：</w:t>
      </w:r>
    </w:p>
    <w:p w14:paraId="0F0BA0B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（1）招标文件存在不合理条款或者招标程序不符合规定的，采购人、采购代理机构改正后依法重新招标；</w:t>
      </w:r>
    </w:p>
    <w:p w14:paraId="6E7A202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宋体" w:hAnsi="宋体" w:eastAsia="宋体" w:cs="宋体"/>
          <w:sz w:val="24"/>
          <w:szCs w:val="24"/>
        </w:rPr>
        <w:t>批准。</w:t>
      </w:r>
    </w:p>
    <w:p w14:paraId="70AFD35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19.保密要求</w:t>
      </w:r>
    </w:p>
    <w:p w14:paraId="3BE47B1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19.1评标将在严格保密的情况下进行。</w:t>
      </w:r>
    </w:p>
    <w:p w14:paraId="3F2656B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19.2有关人员应当遵守评标工作纪律，不得泄露评标文件、评标情况和评标中获悉的国家秘密、商业秘密。</w:t>
      </w:r>
    </w:p>
    <w:p w14:paraId="3BC9151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20.中标候选人的确定原则及标准</w:t>
      </w:r>
    </w:p>
    <w:p w14:paraId="4D59581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20.1评标委员会依据本项目招标文件所约定的评标方法，对实质上响应招标文件的投标人按下列方法进行排序，确定中标候选人：</w:t>
      </w:r>
    </w:p>
    <w:p w14:paraId="5FB0094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采用综合评分法的，评标结果按评审后得分由高到低顺序排列。得分相同的，按投标报价由低到高顺序排列。得分与投标报价均相同的，则采取评标委员会随机抽取的方式确定中标候选顺序。</w:t>
      </w:r>
    </w:p>
    <w:p w14:paraId="4F5AE80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21.确定中标候选人和中标人</w:t>
      </w:r>
    </w:p>
    <w:p w14:paraId="7E01FF8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21.1评标委员会将根据评标标准，按</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中规定数量推荐中标候选人。</w:t>
      </w:r>
    </w:p>
    <w:p w14:paraId="3ECD235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21.2按</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中规定，由评标委员会或采购人确定中标人。</w:t>
      </w:r>
    </w:p>
    <w:p w14:paraId="6995371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21.3因重大变故采购任务取消时，采购人有权拒绝任何投标人中标，且对受影响的投标人不承担任何责任。</w:t>
      </w:r>
    </w:p>
    <w:p w14:paraId="6AE3C87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22.编写评标报告</w:t>
      </w:r>
    </w:p>
    <w:p w14:paraId="4A6027E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52ADA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23.中标结果公告</w:t>
      </w:r>
    </w:p>
    <w:p w14:paraId="69C8B11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23.1除</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5A94FB2">
      <w:pPr>
        <w:keepNext w:val="0"/>
        <w:keepLines w:val="0"/>
        <w:pageBreakBefore w:val="0"/>
        <w:widowControl w:val="0"/>
        <w:kinsoku/>
        <w:wordWrap w:val="0"/>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23.2自中标人确定之日</w:t>
      </w:r>
      <w:r>
        <w:rPr>
          <w:rFonts w:hint="eastAsia" w:ascii="宋体" w:hAnsi="宋体" w:eastAsia="宋体" w:cs="宋体"/>
          <w:sz w:val="24"/>
          <w:szCs w:val="24"/>
          <w:highlight w:val="none"/>
        </w:rPr>
        <w:t>起2个工作日内，采购代理机构将在</w:t>
      </w:r>
      <w:r>
        <w:rPr>
          <w:rFonts w:hint="eastAsia" w:ascii="宋体" w:hAnsi="宋体" w:eastAsia="宋体" w:cs="宋体"/>
          <w:sz w:val="24"/>
          <w:szCs w:val="24"/>
          <w:highlight w:val="none"/>
          <w:lang w:val="en-US" w:eastAsia="zh-CN"/>
        </w:rPr>
        <w:t>滁州市琅琊区人民政府（https://www.lyq.gov.cn/）、</w:t>
      </w:r>
      <w:r>
        <w:rPr>
          <w:rFonts w:hint="eastAsia" w:ascii="宋体" w:hAnsi="宋体" w:eastAsia="宋体" w:cs="宋体"/>
          <w:sz w:val="24"/>
          <w:szCs w:val="24"/>
          <w:highlight w:val="none"/>
        </w:rPr>
        <w:t>滁州市城投工程咨询管理有限公司（https://www.czctgczx.com/）发布中标结果公告。</w:t>
      </w:r>
    </w:p>
    <w:p w14:paraId="377F2A0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23.3中标结果公告内容应当包括</w:t>
      </w:r>
      <w:r>
        <w:rPr>
          <w:rFonts w:hint="eastAsia" w:ascii="宋体" w:hAnsi="宋体" w:eastAsia="宋体" w:cs="宋体"/>
          <w:sz w:val="24"/>
          <w:szCs w:val="24"/>
        </w:rPr>
        <w:t>采购人及其委托的采购代理机构的名称、地址、联系方式，项目名称，中标人名称、地址和中标金额，主要中标标的的名称、服务范围、服务要求、服务时间、服务标准，中标公告期限、评审专家名单以及</w:t>
      </w:r>
      <w:r>
        <w:rPr>
          <w:rFonts w:hint="eastAsia" w:ascii="宋体" w:hAnsi="宋体" w:eastAsia="宋体" w:cs="宋体"/>
          <w:sz w:val="24"/>
          <w:szCs w:val="24"/>
          <w:u w:val="single"/>
        </w:rPr>
        <w:t>投标人须知前附表</w:t>
      </w:r>
      <w:r>
        <w:rPr>
          <w:rFonts w:hint="eastAsia" w:ascii="宋体" w:hAnsi="宋体" w:eastAsia="宋体" w:cs="宋体"/>
          <w:sz w:val="24"/>
          <w:szCs w:val="24"/>
        </w:rPr>
        <w:t>中约定进行公告的内容。中标公告期限为1个工作日。</w:t>
      </w:r>
    </w:p>
    <w:p w14:paraId="186D99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24.中标通知书</w:t>
      </w:r>
    </w:p>
    <w:p w14:paraId="25D68F4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24.1采购代理机构发布中标结果公告</w:t>
      </w:r>
      <w:r>
        <w:rPr>
          <w:rFonts w:hint="eastAsia" w:ascii="宋体" w:hAnsi="宋体" w:eastAsia="宋体" w:cs="宋体"/>
          <w:iCs/>
          <w:sz w:val="24"/>
          <w:szCs w:val="24"/>
        </w:rPr>
        <w:t>的</w:t>
      </w:r>
      <w:r>
        <w:rPr>
          <w:rFonts w:hint="eastAsia" w:ascii="宋体" w:hAnsi="宋体" w:eastAsia="宋体" w:cs="宋体"/>
          <w:sz w:val="24"/>
          <w:szCs w:val="24"/>
        </w:rPr>
        <w:t>同时以</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规定的形式向中标人发出中标通知书。中标通知书须加盖采购人、采购代理机构公章，方可发出。</w:t>
      </w:r>
    </w:p>
    <w:p w14:paraId="689F149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24.2中标通知书对采购人和中标人具有同等法律效力。中标通知书发出以后，采购人改变中标结果或者中标人放弃中标，应当承担相应的法律责任。</w:t>
      </w:r>
    </w:p>
    <w:p w14:paraId="1F781CC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24.3中标通知书是合同的组成部分。</w:t>
      </w:r>
    </w:p>
    <w:p w14:paraId="6FD6B57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25.告知招标结果</w:t>
      </w:r>
    </w:p>
    <w:p w14:paraId="56F0D1E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25.1在公告中标结果的同时，采购代理机构同时以</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规定的形式告知未通过资格审查的投标人未通过的原因；采用综合评分法评审的，还将告知未中标人本人的评审得分和排序。</w:t>
      </w:r>
    </w:p>
    <w:p w14:paraId="76CAFC9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26.履约保证金</w:t>
      </w:r>
    </w:p>
    <w:p w14:paraId="0368B5D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26.1中标人应按照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规定缴纳履约保证金。</w:t>
      </w:r>
    </w:p>
    <w:p w14:paraId="2C1411C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26.2如果中标人没有按照上述履约保证金的规定执行，将视为放弃中标资格。在此情况下，采购人可确定下一中标候选人为中标人，也可以重新开展采购活动。</w:t>
      </w:r>
    </w:p>
    <w:p w14:paraId="37F762E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27.签订合同</w:t>
      </w:r>
    </w:p>
    <w:p w14:paraId="166F79C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27.1采购人与中标人应当按照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规定的时间内完成采购合同签订及合同公告。</w:t>
      </w:r>
    </w:p>
    <w:p w14:paraId="18F38D8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27.2招标文件、中标人的投标文件及其澄清文件等，均为签订合同的依据。</w:t>
      </w:r>
    </w:p>
    <w:p w14:paraId="4E87625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27.3中标人拒绝与采购人签订合同的，采购人可以按照评审报告推荐的中标候选人名单排序，确定下一中标候选人为中标人，也可以重新开展政府采购活动。</w:t>
      </w:r>
    </w:p>
    <w:p w14:paraId="75FA689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28.代理费用</w:t>
      </w:r>
    </w:p>
    <w:p w14:paraId="3C59E79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28.1本项目代理费用的收取按</w:t>
      </w:r>
      <w:r>
        <w:rPr>
          <w:rFonts w:hint="eastAsia" w:ascii="宋体" w:hAnsi="宋体" w:eastAsia="宋体" w:cs="宋体"/>
          <w:sz w:val="24"/>
          <w:szCs w:val="24"/>
          <w:u w:val="single"/>
        </w:rPr>
        <w:t>投标人须知前附表的</w:t>
      </w:r>
      <w:r>
        <w:rPr>
          <w:rFonts w:hint="eastAsia" w:ascii="宋体" w:hAnsi="宋体" w:eastAsia="宋体" w:cs="宋体"/>
          <w:sz w:val="24"/>
          <w:szCs w:val="24"/>
        </w:rPr>
        <w:t>规定执行。</w:t>
      </w:r>
    </w:p>
    <w:p w14:paraId="675CB36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bookmarkStart w:id="52" w:name="_Toc2583661"/>
      <w:bookmarkStart w:id="53" w:name="_Toc518923100"/>
      <w:r>
        <w:rPr>
          <w:rFonts w:hint="eastAsia" w:ascii="宋体" w:hAnsi="宋体" w:eastAsia="宋体" w:cs="宋体"/>
          <w:b/>
          <w:sz w:val="24"/>
          <w:szCs w:val="24"/>
        </w:rPr>
        <w:t>29.廉洁自律规定</w:t>
      </w:r>
      <w:bookmarkEnd w:id="52"/>
      <w:bookmarkEnd w:id="53"/>
    </w:p>
    <w:p w14:paraId="0BFF589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29.1采购代理机构工作人员不得以不正当手段获取政府采购代理业务，不得与采购人、供应商恶意串通。</w:t>
      </w:r>
    </w:p>
    <w:p w14:paraId="4BEC0E3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29.2采购代理机构工作人员不得接受采购人或者供应商组织的宴请、旅游、娱乐，不得收受礼品、现金、有价证券等，不得向采购人或者供应商报销应当由个人承担的费用。</w:t>
      </w:r>
    </w:p>
    <w:p w14:paraId="3BC348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bookmarkStart w:id="54" w:name="_Toc518923101"/>
      <w:bookmarkStart w:id="55" w:name="_Toc2583662"/>
      <w:r>
        <w:rPr>
          <w:rFonts w:hint="eastAsia" w:ascii="宋体" w:hAnsi="宋体" w:eastAsia="宋体" w:cs="宋体"/>
          <w:b/>
          <w:sz w:val="24"/>
          <w:szCs w:val="24"/>
        </w:rPr>
        <w:t>30.人员回避</w:t>
      </w:r>
      <w:bookmarkEnd w:id="54"/>
      <w:bookmarkEnd w:id="55"/>
    </w:p>
    <w:p w14:paraId="014811B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投标人认为采购人员及其相关人员有法律法规所列与其他供应商有利害关系的，可以向采购人或采购代理机构书面提出回避申请，并说明理由。</w:t>
      </w:r>
    </w:p>
    <w:p w14:paraId="303C525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31.质疑的提出与接收</w:t>
      </w:r>
    </w:p>
    <w:p w14:paraId="5A35DCE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31.1投标人认为招标文件、招标过程和中标结果使自己的权益受到损害的，可以在知道或者应知其权益受到损害之日起七个工作日内，以书面形式向采购人或其委托的采购代理机构提出质疑。</w:t>
      </w:r>
    </w:p>
    <w:p w14:paraId="7A38E69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4AF8B6C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32.投诉</w:t>
      </w:r>
    </w:p>
    <w:p w14:paraId="58468B05">
      <w:pPr>
        <w:keepNext w:val="0"/>
        <w:keepLines w:val="0"/>
        <w:pageBreakBefore w:val="0"/>
        <w:widowControl w:val="0"/>
        <w:kinsoku/>
        <w:wordWrap w:val="0"/>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质疑投标人对采购人、采购代理机构的答复不满意，或者采购人、采购代理机构未在规定的时间内答复的，可以在答复期满后十五个工作日内按有关规定，以书面形式向同级政府采购监督管理部门提出投诉或者线上提交投诉材料。</w:t>
      </w:r>
    </w:p>
    <w:p w14:paraId="0772A08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政府采购监督管理部门应当在收到投诉后30个工作日内，对投诉事项作出处理决定，并以书面形式通知投诉人和与投诉事项有关的当事人。政府采购监督管理部门处理投诉事项，需要检验、检测、鉴定、专家评审以及需要投诉人补正材料的，所需时间不计算在投诉处理期限内。</w:t>
      </w:r>
    </w:p>
    <w:p w14:paraId="268AAEC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32.3政府采购监督管理部门在处理投诉事项期间，可以视具体情况书面通知采购人暂停采购活动，但暂停时间最长不得超过30日。</w:t>
      </w:r>
    </w:p>
    <w:p w14:paraId="5B32A0F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sz w:val="24"/>
          <w:szCs w:val="24"/>
        </w:rPr>
      </w:pPr>
      <w:r>
        <w:rPr>
          <w:rFonts w:hint="eastAsia" w:ascii="宋体" w:hAnsi="宋体" w:eastAsia="宋体" w:cs="宋体"/>
          <w:b/>
          <w:sz w:val="24"/>
          <w:szCs w:val="24"/>
        </w:rPr>
        <w:t>33.需要补充的其他内容</w:t>
      </w:r>
    </w:p>
    <w:p w14:paraId="63416F3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w:t>
      </w:r>
      <w:r>
        <w:rPr>
          <w:rFonts w:hint="eastAsia" w:ascii="宋体" w:hAnsi="宋体" w:eastAsia="宋体" w:cs="宋体"/>
          <w:sz w:val="24"/>
          <w:szCs w:val="24"/>
          <w:u w:val="single"/>
        </w:rPr>
        <w:t>投标人须知前附表</w:t>
      </w:r>
      <w:r>
        <w:rPr>
          <w:rFonts w:hint="eastAsia" w:ascii="宋体" w:hAnsi="宋体" w:eastAsia="宋体" w:cs="宋体"/>
          <w:sz w:val="24"/>
          <w:szCs w:val="24"/>
        </w:rPr>
        <w:t>。</w:t>
      </w:r>
    </w:p>
    <w:p w14:paraId="00756EA6">
      <w:pPr>
        <w:keepNext w:val="0"/>
        <w:keepLines w:val="0"/>
        <w:pageBreakBefore w:val="0"/>
        <w:widowControl/>
        <w:kinsoku/>
        <w:overflowPunct/>
        <w:topLinePunct w:val="0"/>
        <w:autoSpaceDE/>
        <w:autoSpaceDN/>
        <w:bidi w:val="0"/>
        <w:adjustRightInd/>
        <w:snapToGrid/>
        <w:ind w:firstLine="480" w:firstLineChars="200"/>
        <w:jc w:val="left"/>
        <w:textAlignment w:val="auto"/>
        <w:rPr>
          <w:rFonts w:ascii="宋体" w:hAnsi="宋体" w:eastAsia="宋体" w:cs="宋体"/>
          <w:b/>
          <w:sz w:val="28"/>
        </w:rPr>
      </w:pPr>
      <w:r>
        <w:rPr>
          <w:rFonts w:hint="eastAsia" w:ascii="宋体" w:hAnsi="宋体" w:eastAsia="宋体" w:cs="宋体"/>
          <w:sz w:val="24"/>
        </w:rPr>
        <w:br w:type="page"/>
      </w:r>
    </w:p>
    <w:p w14:paraId="6265C794">
      <w:pPr>
        <w:numPr>
          <w:ilvl w:val="0"/>
          <w:numId w:val="2"/>
        </w:numPr>
        <w:spacing w:line="360" w:lineRule="auto"/>
        <w:jc w:val="center"/>
        <w:outlineLvl w:val="0"/>
        <w:rPr>
          <w:rFonts w:ascii="宋体" w:hAnsi="宋体" w:eastAsia="宋体" w:cs="宋体"/>
          <w:b/>
          <w:sz w:val="28"/>
        </w:rPr>
      </w:pPr>
      <w:r>
        <w:rPr>
          <w:rFonts w:hint="eastAsia" w:ascii="宋体" w:hAnsi="宋体" w:eastAsia="宋体" w:cs="宋体"/>
          <w:b/>
          <w:sz w:val="28"/>
        </w:rPr>
        <w:t xml:space="preserve"> </w:t>
      </w:r>
      <w:bookmarkStart w:id="56" w:name="_Toc22605"/>
      <w:r>
        <w:rPr>
          <w:rFonts w:hint="eastAsia" w:ascii="宋体" w:hAnsi="宋体" w:eastAsia="宋体" w:cs="宋体"/>
          <w:b/>
          <w:sz w:val="28"/>
        </w:rPr>
        <w:t>采购需求</w:t>
      </w:r>
      <w:bookmarkEnd w:id="56"/>
    </w:p>
    <w:p w14:paraId="6E3E56F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eastAsia="宋体" w:cs="宋体"/>
          <w:b/>
          <w:sz w:val="24"/>
        </w:rPr>
      </w:pPr>
      <w:r>
        <w:rPr>
          <w:rFonts w:hint="eastAsia" w:ascii="宋体" w:hAnsi="宋体" w:eastAsia="宋体" w:cs="宋体"/>
          <w:b/>
          <w:sz w:val="24"/>
        </w:rPr>
        <w:t>前注：</w:t>
      </w:r>
    </w:p>
    <w:p w14:paraId="6A414DE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75B500E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2.政府采购政策（包括但不限于下列具体政策要求）：</w:t>
      </w:r>
    </w:p>
    <w:p w14:paraId="66832F2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40E39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819A1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bCs/>
          <w:sz w:val="24"/>
          <w:szCs w:val="18"/>
        </w:rPr>
      </w:pPr>
      <w:r>
        <w:rPr>
          <w:rFonts w:hint="eastAsia" w:ascii="宋体" w:hAnsi="宋体" w:eastAsia="宋体" w:cs="宋体"/>
          <w:sz w:val="24"/>
          <w:szCs w:val="24"/>
        </w:rPr>
        <w:t>3.如采购人允许采用分包方式履行合同的，应当明确可以分包履行的相关内容。</w:t>
      </w:r>
    </w:p>
    <w:p w14:paraId="24550F2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firstLine="437"/>
        <w:jc w:val="left"/>
        <w:textAlignment w:val="auto"/>
        <w:outlineLvl w:val="1"/>
        <w:rPr>
          <w:rFonts w:ascii="宋体" w:hAnsi="宋体" w:eastAsia="宋体" w:cs="宋体"/>
          <w:b/>
          <w:sz w:val="24"/>
          <w:szCs w:val="18"/>
        </w:rPr>
      </w:pPr>
      <w:bookmarkStart w:id="57" w:name="_Toc21798"/>
      <w:bookmarkStart w:id="58" w:name="_Toc4148"/>
      <w:bookmarkStart w:id="59" w:name="_Hlk23621890"/>
      <w:r>
        <w:rPr>
          <w:rFonts w:hint="eastAsia" w:ascii="宋体" w:hAnsi="宋体" w:eastAsia="宋体" w:cs="宋体"/>
          <w:b/>
          <w:sz w:val="24"/>
          <w:szCs w:val="18"/>
        </w:rPr>
        <w:t>一、采购需求前附表</w:t>
      </w:r>
      <w:bookmarkEnd w:id="57"/>
      <w:bookmarkEnd w:id="58"/>
    </w:p>
    <w:tbl>
      <w:tblPr>
        <w:tblStyle w:val="28"/>
        <w:tblW w:w="5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982"/>
        <w:gridCol w:w="6707"/>
      </w:tblGrid>
      <w:tr w14:paraId="6190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31EB86C4">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
                <w:kern w:val="2"/>
                <w:sz w:val="24"/>
                <w:szCs w:val="24"/>
              </w:rPr>
            </w:pPr>
            <w:r>
              <w:rPr>
                <w:rFonts w:hint="eastAsia" w:ascii="宋体" w:hAnsi="宋体" w:eastAsia="宋体" w:cs="宋体"/>
                <w:b/>
                <w:kern w:val="2"/>
                <w:sz w:val="24"/>
                <w:szCs w:val="24"/>
              </w:rPr>
              <w:t>序号</w:t>
            </w:r>
          </w:p>
        </w:tc>
        <w:tc>
          <w:tcPr>
            <w:tcW w:w="1043" w:type="pct"/>
            <w:vAlign w:val="center"/>
          </w:tcPr>
          <w:p w14:paraId="3662775E">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Cs w:val="0"/>
                <w:sz w:val="24"/>
                <w:szCs w:val="24"/>
              </w:rPr>
            </w:pPr>
            <w:r>
              <w:rPr>
                <w:rFonts w:hint="eastAsia" w:ascii="宋体" w:hAnsi="宋体" w:eastAsia="宋体" w:cs="宋体"/>
                <w:bCs w:val="0"/>
                <w:sz w:val="24"/>
                <w:szCs w:val="24"/>
              </w:rPr>
              <w:t>条款名称</w:t>
            </w:r>
          </w:p>
        </w:tc>
        <w:tc>
          <w:tcPr>
            <w:tcW w:w="3529" w:type="pct"/>
            <w:vAlign w:val="center"/>
          </w:tcPr>
          <w:p w14:paraId="3C0FC422">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Cs w:val="0"/>
                <w:sz w:val="24"/>
                <w:szCs w:val="24"/>
              </w:rPr>
            </w:pPr>
            <w:r>
              <w:rPr>
                <w:rFonts w:hint="eastAsia" w:ascii="宋体" w:hAnsi="宋体" w:eastAsia="宋体" w:cs="宋体"/>
                <w:bCs w:val="0"/>
                <w:sz w:val="24"/>
                <w:szCs w:val="24"/>
              </w:rPr>
              <w:t>内容、说明与要求</w:t>
            </w:r>
          </w:p>
        </w:tc>
      </w:tr>
      <w:tr w14:paraId="3D62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743DB40E">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Cs/>
                <w:kern w:val="2"/>
                <w:sz w:val="24"/>
                <w:szCs w:val="24"/>
              </w:rPr>
            </w:pPr>
            <w:r>
              <w:rPr>
                <w:rFonts w:hint="eastAsia" w:ascii="宋体" w:hAnsi="宋体" w:eastAsia="宋体" w:cs="宋体"/>
                <w:bCs/>
                <w:kern w:val="2"/>
                <w:sz w:val="24"/>
                <w:szCs w:val="24"/>
              </w:rPr>
              <w:t>1</w:t>
            </w:r>
          </w:p>
        </w:tc>
        <w:tc>
          <w:tcPr>
            <w:tcW w:w="1043" w:type="pct"/>
            <w:vAlign w:val="center"/>
          </w:tcPr>
          <w:p w14:paraId="3155F558">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 w:val="0"/>
                <w:sz w:val="24"/>
                <w:szCs w:val="24"/>
              </w:rPr>
            </w:pPr>
            <w:r>
              <w:rPr>
                <w:rFonts w:hint="eastAsia" w:ascii="宋体" w:hAnsi="宋体" w:eastAsia="宋体" w:cs="宋体"/>
                <w:b w:val="0"/>
                <w:sz w:val="24"/>
                <w:szCs w:val="24"/>
              </w:rPr>
              <w:t>付款方式</w:t>
            </w:r>
          </w:p>
        </w:tc>
        <w:tc>
          <w:tcPr>
            <w:tcW w:w="3529" w:type="pct"/>
            <w:vAlign w:val="center"/>
          </w:tcPr>
          <w:p w14:paraId="7486442C">
            <w:pPr>
              <w:pStyle w:val="1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无预付款，考核合格后，经批报程序按季度支付费用，支付当年合同总金额的四分之一。</w:t>
            </w:r>
          </w:p>
        </w:tc>
      </w:tr>
      <w:tr w14:paraId="0748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6BF39EB">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Cs/>
                <w:kern w:val="2"/>
                <w:sz w:val="24"/>
                <w:szCs w:val="24"/>
              </w:rPr>
            </w:pPr>
            <w:r>
              <w:rPr>
                <w:rFonts w:hint="eastAsia" w:ascii="宋体" w:hAnsi="宋体" w:eastAsia="宋体" w:cs="宋体"/>
                <w:bCs/>
                <w:kern w:val="2"/>
                <w:sz w:val="24"/>
                <w:szCs w:val="24"/>
              </w:rPr>
              <w:t>2</w:t>
            </w:r>
          </w:p>
        </w:tc>
        <w:tc>
          <w:tcPr>
            <w:tcW w:w="1043" w:type="pct"/>
            <w:vAlign w:val="center"/>
          </w:tcPr>
          <w:p w14:paraId="69A74670">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 w:val="0"/>
                <w:sz w:val="24"/>
                <w:szCs w:val="24"/>
              </w:rPr>
            </w:pPr>
            <w:r>
              <w:rPr>
                <w:rFonts w:hint="eastAsia" w:ascii="宋体" w:hAnsi="宋体" w:eastAsia="宋体" w:cs="宋体"/>
                <w:b w:val="0"/>
                <w:sz w:val="24"/>
                <w:szCs w:val="24"/>
              </w:rPr>
              <w:t>服务地点</w:t>
            </w:r>
          </w:p>
        </w:tc>
        <w:tc>
          <w:tcPr>
            <w:tcW w:w="3529" w:type="pct"/>
            <w:vAlign w:val="center"/>
          </w:tcPr>
          <w:p w14:paraId="171A53C3">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bCs/>
                <w:kern w:val="0"/>
                <w:sz w:val="24"/>
                <w:szCs w:val="24"/>
                <w:u w:val="single"/>
                <w:lang w:val="en-US" w:eastAsia="zh-CN" w:bidi="ar-SA"/>
              </w:rPr>
            </w:pPr>
            <w:r>
              <w:rPr>
                <w:rFonts w:hint="eastAsia" w:ascii="宋体" w:hAnsi="宋体" w:eastAsia="宋体" w:cs="宋体"/>
                <w:b w:val="0"/>
                <w:bCs/>
                <w:kern w:val="0"/>
                <w:sz w:val="24"/>
                <w:szCs w:val="24"/>
                <w:u w:val="single"/>
                <w:lang w:val="en-US" w:eastAsia="zh-CN" w:bidi="ar-SA"/>
              </w:rPr>
              <w:t>滁州市第二小学，采购人指定地点</w:t>
            </w:r>
          </w:p>
        </w:tc>
      </w:tr>
      <w:tr w14:paraId="762F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FEE9438">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Cs/>
                <w:kern w:val="2"/>
                <w:sz w:val="24"/>
                <w:szCs w:val="24"/>
              </w:rPr>
            </w:pPr>
            <w:r>
              <w:rPr>
                <w:rFonts w:hint="eastAsia" w:ascii="宋体" w:hAnsi="宋体" w:eastAsia="宋体" w:cs="宋体"/>
                <w:bCs/>
                <w:kern w:val="2"/>
                <w:sz w:val="24"/>
                <w:szCs w:val="24"/>
              </w:rPr>
              <w:t>3</w:t>
            </w:r>
          </w:p>
        </w:tc>
        <w:tc>
          <w:tcPr>
            <w:tcW w:w="1043" w:type="pct"/>
            <w:vAlign w:val="center"/>
          </w:tcPr>
          <w:p w14:paraId="6CB3AAF7">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 w:val="0"/>
                <w:sz w:val="24"/>
                <w:szCs w:val="24"/>
              </w:rPr>
            </w:pPr>
            <w:r>
              <w:rPr>
                <w:rFonts w:hint="eastAsia" w:ascii="宋体" w:hAnsi="宋体" w:eastAsia="宋体" w:cs="宋体"/>
                <w:b w:val="0"/>
                <w:sz w:val="24"/>
                <w:szCs w:val="24"/>
              </w:rPr>
              <w:t>服务期限</w:t>
            </w:r>
          </w:p>
        </w:tc>
        <w:tc>
          <w:tcPr>
            <w:tcW w:w="3529" w:type="pct"/>
            <w:vAlign w:val="center"/>
          </w:tcPr>
          <w:p w14:paraId="2B7055F0">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宋体" w:cs="宋体"/>
                <w:b w:val="0"/>
                <w:sz w:val="24"/>
                <w:szCs w:val="24"/>
                <w:u w:val="single"/>
              </w:rPr>
            </w:pPr>
            <w:r>
              <w:rPr>
                <w:rFonts w:hint="eastAsia" w:ascii="宋体" w:hAnsi="宋体" w:eastAsia="宋体" w:cs="宋体"/>
                <w:b w:val="0"/>
                <w:sz w:val="24"/>
                <w:szCs w:val="24"/>
                <w:u w:val="single"/>
              </w:rPr>
              <w:t>服务期三年（合同一年一签）。</w:t>
            </w:r>
          </w:p>
          <w:p w14:paraId="15D76C08">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宋体" w:cs="宋体"/>
                <w:b w:val="0"/>
                <w:sz w:val="24"/>
                <w:szCs w:val="24"/>
              </w:rPr>
            </w:pPr>
            <w:r>
              <w:rPr>
                <w:rFonts w:hint="eastAsia" w:ascii="宋体" w:hAnsi="宋体" w:eastAsia="宋体" w:cs="宋体"/>
                <w:b w:val="0"/>
                <w:sz w:val="24"/>
                <w:szCs w:val="24"/>
                <w:u w:val="single"/>
              </w:rPr>
              <w:t>服务期限内招标人按照招标文件考核办法对中标进行量化考核，考核不合格，采购人依据考核情况酌情扣减物业服务费且同步进行整改。若整改仍不合格的终止合同。</w:t>
            </w:r>
          </w:p>
        </w:tc>
      </w:tr>
      <w:tr w14:paraId="0B50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108A3E95">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Cs/>
                <w:kern w:val="2"/>
                <w:sz w:val="24"/>
                <w:szCs w:val="24"/>
              </w:rPr>
            </w:pPr>
            <w:r>
              <w:rPr>
                <w:rFonts w:hint="eastAsia" w:ascii="宋体" w:hAnsi="宋体" w:eastAsia="宋体" w:cs="宋体"/>
                <w:bCs/>
                <w:kern w:val="2"/>
                <w:sz w:val="24"/>
                <w:szCs w:val="24"/>
              </w:rPr>
              <w:t>4</w:t>
            </w:r>
          </w:p>
        </w:tc>
        <w:tc>
          <w:tcPr>
            <w:tcW w:w="1043" w:type="pct"/>
            <w:vAlign w:val="center"/>
          </w:tcPr>
          <w:p w14:paraId="375A2D80">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 w:val="0"/>
                <w:sz w:val="24"/>
                <w:szCs w:val="24"/>
              </w:rPr>
            </w:pPr>
            <w:r>
              <w:rPr>
                <w:rFonts w:hint="eastAsia" w:ascii="宋体" w:hAnsi="宋体" w:eastAsia="宋体" w:cs="宋体"/>
                <w:b w:val="0"/>
                <w:sz w:val="24"/>
                <w:szCs w:val="24"/>
              </w:rPr>
              <w:t>本项目采购标的名称及所属行业</w:t>
            </w:r>
          </w:p>
        </w:tc>
        <w:tc>
          <w:tcPr>
            <w:tcW w:w="3529" w:type="pct"/>
            <w:vAlign w:val="center"/>
          </w:tcPr>
          <w:p w14:paraId="5E59E7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标的名称：</w:t>
            </w:r>
            <w:r>
              <w:rPr>
                <w:rFonts w:hint="eastAsia" w:ascii="宋体" w:hAnsi="宋体" w:eastAsia="宋体" w:cs="宋体"/>
                <w:sz w:val="24"/>
                <w:szCs w:val="24"/>
                <w:lang w:eastAsia="zh-CN"/>
              </w:rPr>
              <w:t>滁州市第二小学物业管理服务项目</w:t>
            </w:r>
          </w:p>
          <w:p w14:paraId="6B6578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所属行业：物业管理</w:t>
            </w:r>
          </w:p>
        </w:tc>
      </w:tr>
      <w:bookmarkEnd w:id="59"/>
    </w:tbl>
    <w:p w14:paraId="54B4CE06">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firstLine="437"/>
        <w:jc w:val="left"/>
        <w:textAlignment w:val="auto"/>
        <w:outlineLvl w:val="1"/>
        <w:rPr>
          <w:rFonts w:hint="eastAsia" w:ascii="宋体" w:hAnsi="宋体" w:eastAsia="宋体" w:cs="宋体"/>
          <w:b/>
          <w:sz w:val="24"/>
          <w:szCs w:val="18"/>
        </w:rPr>
      </w:pPr>
      <w:bookmarkStart w:id="60" w:name="_Toc30824"/>
      <w:r>
        <w:rPr>
          <w:rFonts w:hint="eastAsia" w:ascii="宋体" w:hAnsi="宋体" w:eastAsia="宋体" w:cs="宋体"/>
          <w:b/>
          <w:sz w:val="24"/>
          <w:szCs w:val="18"/>
        </w:rPr>
        <w:t>二、服务需求</w:t>
      </w:r>
    </w:p>
    <w:p w14:paraId="53F298A2">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val="en-US" w:eastAsia="zh-CN"/>
        </w:rPr>
        <w:t>一</w:t>
      </w:r>
      <w:r>
        <w:rPr>
          <w:rFonts w:hint="eastAsia" w:ascii="宋体" w:hAnsi="宋体" w:eastAsia="宋体" w:cs="宋体"/>
          <w:b/>
          <w:bCs/>
          <w:color w:val="000000"/>
          <w:kern w:val="0"/>
          <w:sz w:val="24"/>
          <w:szCs w:val="24"/>
        </w:rPr>
        <w:t>）保洁服务</w:t>
      </w:r>
      <w:r>
        <w:rPr>
          <w:rFonts w:hint="eastAsia" w:ascii="宋体" w:hAnsi="宋体" w:eastAsia="宋体" w:cs="宋体"/>
          <w:b/>
          <w:bCs/>
          <w:color w:val="000000"/>
          <w:kern w:val="0"/>
          <w:sz w:val="24"/>
          <w:szCs w:val="24"/>
          <w:lang w:val="en-US" w:eastAsia="zh-CN"/>
        </w:rPr>
        <w:t>范围</w:t>
      </w:r>
    </w:p>
    <w:p w14:paraId="01170AF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1、东、西校区及附属丰山幼儿园</w:t>
      </w:r>
      <w:r>
        <w:rPr>
          <w:rFonts w:hint="eastAsia" w:ascii="宋体" w:hAnsi="宋体" w:eastAsia="宋体" w:cs="宋体"/>
          <w:color w:val="000000"/>
          <w:kern w:val="0"/>
          <w:sz w:val="24"/>
          <w:szCs w:val="24"/>
          <w:highlight w:val="none"/>
          <w:lang w:eastAsia="zh-CN"/>
        </w:rPr>
        <w:t>所有教室公共部位，楼梯、厕所、舞蹈房、多功能</w:t>
      </w:r>
      <w:r>
        <w:rPr>
          <w:rFonts w:hint="eastAsia" w:ascii="宋体" w:hAnsi="宋体" w:eastAsia="宋体" w:cs="宋体"/>
          <w:color w:val="000000"/>
          <w:kern w:val="0"/>
          <w:sz w:val="24"/>
          <w:szCs w:val="24"/>
          <w:highlight w:val="none"/>
          <w:lang w:val="en-US" w:eastAsia="zh-CN"/>
        </w:rPr>
        <w:t>教室、学术</w:t>
      </w:r>
      <w:r>
        <w:rPr>
          <w:rFonts w:hint="eastAsia" w:ascii="宋体" w:hAnsi="宋体" w:eastAsia="宋体" w:cs="宋体"/>
          <w:color w:val="000000"/>
          <w:kern w:val="0"/>
          <w:sz w:val="24"/>
          <w:szCs w:val="24"/>
          <w:highlight w:val="none"/>
          <w:lang w:eastAsia="zh-CN"/>
        </w:rPr>
        <w:t>报告厅、会议室、操场、</w:t>
      </w:r>
      <w:r>
        <w:rPr>
          <w:rFonts w:hint="eastAsia" w:ascii="宋体" w:hAnsi="宋体" w:eastAsia="宋体" w:cs="宋体"/>
          <w:color w:val="000000"/>
          <w:kern w:val="0"/>
          <w:sz w:val="24"/>
          <w:szCs w:val="24"/>
          <w:highlight w:val="none"/>
          <w:lang w:val="en-US" w:eastAsia="zh-CN"/>
        </w:rPr>
        <w:t>健身房</w:t>
      </w:r>
      <w:r>
        <w:rPr>
          <w:rFonts w:hint="eastAsia" w:ascii="宋体" w:hAnsi="宋体" w:eastAsia="宋体" w:cs="宋体"/>
          <w:color w:val="000000"/>
          <w:kern w:val="0"/>
          <w:sz w:val="24"/>
          <w:szCs w:val="24"/>
          <w:highlight w:val="none"/>
          <w:lang w:eastAsia="zh-CN"/>
        </w:rPr>
        <w:t>、种植基地、地下车库；校园外围卫生：操场、大门口、以及路面。</w:t>
      </w:r>
    </w:p>
    <w:p w14:paraId="12F2D952">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备注：如有检查物业配合学校彻底清洁校园环境卫生。</w:t>
      </w:r>
    </w:p>
    <w:p w14:paraId="70F52A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水电维修：所有照明设备、变压器（</w:t>
      </w:r>
      <w:r>
        <w:rPr>
          <w:rFonts w:hint="eastAsia" w:ascii="宋体" w:hAnsi="宋体" w:eastAsia="宋体" w:cs="宋体"/>
          <w:color w:val="000000"/>
          <w:kern w:val="0"/>
          <w:sz w:val="24"/>
          <w:szCs w:val="24"/>
          <w:highlight w:val="none"/>
          <w:lang w:val="en-US" w:eastAsia="zh-CN"/>
        </w:rPr>
        <w:t>电工工作人员需持有政府部门颁发的高、低压电工证）、</w:t>
      </w:r>
      <w:r>
        <w:rPr>
          <w:rFonts w:hint="eastAsia" w:ascii="宋体" w:hAnsi="宋体" w:eastAsia="宋体" w:cs="宋体"/>
          <w:color w:val="000000"/>
          <w:kern w:val="0"/>
          <w:sz w:val="24"/>
          <w:szCs w:val="24"/>
          <w:highlight w:val="none"/>
          <w:lang w:eastAsia="zh-CN"/>
        </w:rPr>
        <w:t>每年维保一次</w:t>
      </w:r>
      <w:r>
        <w:rPr>
          <w:rFonts w:hint="eastAsia" w:ascii="宋体" w:hAnsi="宋体" w:eastAsia="宋体" w:cs="宋体"/>
          <w:color w:val="000000"/>
          <w:kern w:val="0"/>
          <w:sz w:val="24"/>
          <w:szCs w:val="24"/>
          <w:highlight w:val="none"/>
          <w:lang w:val="en-US" w:eastAsia="zh-CN"/>
        </w:rPr>
        <w:t>以及校园内日常零星维修</w:t>
      </w:r>
      <w:r>
        <w:rPr>
          <w:rFonts w:hint="eastAsia" w:ascii="宋体" w:hAnsi="宋体" w:eastAsia="宋体" w:cs="宋体"/>
          <w:color w:val="000000"/>
          <w:kern w:val="0"/>
          <w:sz w:val="24"/>
          <w:szCs w:val="24"/>
          <w:highlight w:val="none"/>
          <w:lang w:eastAsia="zh-CN"/>
        </w:rPr>
        <w:t>。</w:t>
      </w:r>
    </w:p>
    <w:p w14:paraId="01E7D0F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消防</w:t>
      </w:r>
      <w:r>
        <w:rPr>
          <w:rFonts w:hint="eastAsia" w:ascii="宋体" w:hAnsi="宋体" w:eastAsia="宋体" w:cs="宋体"/>
          <w:color w:val="auto"/>
          <w:kern w:val="0"/>
          <w:sz w:val="24"/>
          <w:szCs w:val="24"/>
          <w:highlight w:val="none"/>
          <w:lang w:eastAsia="zh-CN"/>
        </w:rPr>
        <w:t>维护：校园所有灭火器每月维护一次、消防设施每月维护一次，</w:t>
      </w:r>
      <w:r>
        <w:rPr>
          <w:rFonts w:hint="eastAsia" w:ascii="宋体" w:hAnsi="宋体" w:eastAsia="宋体" w:cs="宋体"/>
          <w:color w:val="auto"/>
          <w:kern w:val="0"/>
          <w:sz w:val="24"/>
          <w:szCs w:val="24"/>
          <w:highlight w:val="none"/>
          <w:lang w:val="en-US" w:eastAsia="zh-CN"/>
        </w:rPr>
        <w:t>及时填写维护记录卡片</w:t>
      </w:r>
      <w:r>
        <w:rPr>
          <w:rFonts w:hint="eastAsia" w:ascii="宋体" w:hAnsi="宋体" w:eastAsia="宋体" w:cs="宋体"/>
          <w:color w:val="auto"/>
          <w:kern w:val="0"/>
          <w:sz w:val="24"/>
          <w:szCs w:val="24"/>
          <w:highlight w:val="none"/>
          <w:lang w:eastAsia="zh-CN"/>
        </w:rPr>
        <w:t>。</w:t>
      </w:r>
    </w:p>
    <w:p w14:paraId="2AB28BB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饮水机维护：校园所有饮水机每日维护一次。</w:t>
      </w:r>
    </w:p>
    <w:p w14:paraId="4219970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绿化养护：园区内的树木、花草的浇水、施肥、除杂草、修剪、病虫害防治、抗旱、排涝、防寒等养护管理。</w:t>
      </w:r>
      <w:r>
        <w:rPr>
          <w:rFonts w:hint="eastAsia" w:ascii="宋体" w:hAnsi="宋体" w:eastAsia="宋体" w:cs="宋体"/>
          <w:color w:val="auto"/>
          <w:kern w:val="0"/>
          <w:sz w:val="24"/>
          <w:szCs w:val="24"/>
          <w:highlight w:val="none"/>
          <w:lang w:eastAsia="zh-CN"/>
        </w:rPr>
        <w:t>绿化修剪</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lang w:eastAsia="zh-CN"/>
        </w:rPr>
        <w:t>每年</w:t>
      </w:r>
      <w:r>
        <w:rPr>
          <w:rFonts w:hint="eastAsia" w:ascii="宋体" w:hAnsi="宋体" w:eastAsia="宋体" w:cs="宋体"/>
          <w:color w:val="auto"/>
          <w:kern w:val="0"/>
          <w:sz w:val="24"/>
          <w:szCs w:val="24"/>
          <w:highlight w:val="none"/>
          <w:lang w:val="en-US" w:eastAsia="zh-CN"/>
        </w:rPr>
        <w:t xml:space="preserve">6次，修剪以后及时清运，无杂草、无枯叶、保持地面干净整洁。浇灌要求：根据实际情况，不定期对花草、树木进行浇灌，确保花草树木不被干死。 </w:t>
      </w:r>
    </w:p>
    <w:p w14:paraId="10B0C9F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6、楼面天沟沉淀物每年要清理至少2次，地面雨篦子、窨井及排水沟每年至少清理2次。</w:t>
      </w:r>
    </w:p>
    <w:p w14:paraId="197A295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7、垃圾清运：每天一次，保证当天清运及时。                                  </w:t>
      </w:r>
    </w:p>
    <w:p w14:paraId="208CAC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8、员工服装，福利，由中标单位负责。</w:t>
      </w:r>
    </w:p>
    <w:p w14:paraId="671E01D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9、学校所有下水道疏通，由中标单位负责。</w:t>
      </w:r>
    </w:p>
    <w:p w14:paraId="477FC3C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10、招标人要求的其他工作内容。</w:t>
      </w:r>
    </w:p>
    <w:p w14:paraId="538F038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11、每学期开学前大清洁一次，包括幼儿园门厅玻璃门清洁。</w:t>
      </w:r>
    </w:p>
    <w:p w14:paraId="360B90C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12、如遇教室做考试考场或开办会议时，应及时配合学校安排将桌凳搬运到位，保持桌凳清洁及空余教室清洁；</w:t>
      </w:r>
    </w:p>
    <w:p w14:paraId="7B7F1A9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13、每学期开学前，教室调整桌椅数量，更换坏的桌椅时，应及时配合学校安排将桌凳搬运到位，保持桌凳清洁及空余教室清洁；</w:t>
      </w:r>
    </w:p>
    <w:p w14:paraId="5E2FB06A">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注：服务内容包括但不限于以上内容，以学校实际需求为准，乙方须按照学校要求完成。</w:t>
      </w:r>
    </w:p>
    <w:p w14:paraId="06606D4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w:t>
      </w:r>
      <w:r>
        <w:rPr>
          <w:rFonts w:hint="eastAsia" w:ascii="宋体" w:hAnsi="宋体" w:eastAsia="宋体" w:cs="宋体"/>
          <w:b/>
          <w:bCs/>
          <w:color w:val="000000"/>
          <w:kern w:val="0"/>
          <w:sz w:val="24"/>
          <w:szCs w:val="24"/>
          <w:highlight w:val="none"/>
          <w:lang w:val="en-US" w:eastAsia="zh-CN"/>
        </w:rPr>
        <w:t>二</w:t>
      </w:r>
      <w:r>
        <w:rPr>
          <w:rFonts w:hint="eastAsia" w:ascii="宋体" w:hAnsi="宋体" w:eastAsia="宋体" w:cs="宋体"/>
          <w:b/>
          <w:bCs/>
          <w:color w:val="000000"/>
          <w:kern w:val="0"/>
          <w:sz w:val="24"/>
          <w:szCs w:val="24"/>
          <w:highlight w:val="none"/>
        </w:rPr>
        <w:t>）</w:t>
      </w:r>
      <w:r>
        <w:rPr>
          <w:rFonts w:hint="eastAsia" w:ascii="宋体" w:hAnsi="宋体" w:eastAsia="宋体" w:cs="宋体"/>
          <w:b/>
          <w:bCs/>
          <w:color w:val="000000"/>
          <w:kern w:val="0"/>
          <w:sz w:val="24"/>
          <w:szCs w:val="24"/>
          <w:highlight w:val="none"/>
          <w:lang w:val="en-US" w:eastAsia="zh-CN"/>
        </w:rPr>
        <w:t>物业管理人员及服务要求</w:t>
      </w:r>
    </w:p>
    <w:p w14:paraId="1169820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1、保洁人员5名、水电工1名（</w:t>
      </w:r>
      <w:r>
        <w:rPr>
          <w:rFonts w:hint="eastAsia" w:ascii="宋体" w:hAnsi="宋体" w:eastAsia="宋体" w:cs="宋体"/>
          <w:sz w:val="24"/>
          <w:szCs w:val="24"/>
          <w:highlight w:val="none"/>
          <w:lang w:val="en-US" w:eastAsia="zh-CN"/>
        </w:rPr>
        <w:t>须持证上岗（具有应急管理部门特种设备高压证和低压证）、绿化养护工1名</w:t>
      </w:r>
      <w:r>
        <w:rPr>
          <w:rFonts w:hint="eastAsia" w:ascii="宋体" w:hAnsi="宋体" w:eastAsia="宋体" w:cs="宋体"/>
          <w:color w:val="auto"/>
          <w:kern w:val="0"/>
          <w:sz w:val="24"/>
          <w:szCs w:val="24"/>
          <w:highlight w:val="none"/>
          <w:lang w:val="en-US" w:eastAsia="zh-CN"/>
        </w:rPr>
        <w:t>；</w:t>
      </w:r>
    </w:p>
    <w:p w14:paraId="5D524B5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男女不限，初中以上文化；身体健康，责任心较强，形体符合工作要求，工作态度端正，无不良记录。</w:t>
      </w:r>
    </w:p>
    <w:p w14:paraId="74B4336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2、工作要求</w:t>
      </w:r>
    </w:p>
    <w:p w14:paraId="6AFADB2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2.1保洁部门工作职责：</w:t>
      </w:r>
    </w:p>
    <w:p w14:paraId="6EA53B0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①具体负责校区整体卫生环境卫生(道路、绿化带、操场等)及教学楼、行政办公楼、综合楼等公共场地如楼梯、走廊、厕所等的清洁；</w:t>
      </w:r>
      <w:r>
        <w:rPr>
          <w:rFonts w:hint="eastAsia" w:ascii="宋体" w:hAnsi="宋体" w:eastAsia="宋体" w:cs="宋体"/>
          <w:color w:val="000000"/>
          <w:kern w:val="0"/>
          <w:sz w:val="24"/>
          <w:szCs w:val="24"/>
          <w:highlight w:val="none"/>
          <w:lang w:val="en-US" w:eastAsia="zh-CN"/>
        </w:rPr>
        <w:t>②所有公厕的下水道要定期疏通、清理确保畅通无阻；③公厕卫生要确保墙壁干净无痰迹、无蛛网、无灰尘、门窗无灰尘，地面要干净，保证无污渍、无杂物、无异味；④各楼层室外卫生要做到地面干净，墙壁洁白无印记，楼梯及栏杆扶手清洁无灰尘；⑤校区环境要随时保证清洁无纸屑杂物等；⑥车辆停放区域和地下车库按学校的要求定期打扫，保持清洁。⑦</w:t>
      </w:r>
      <w:r>
        <w:rPr>
          <w:rFonts w:hint="eastAsia" w:ascii="宋体" w:hAnsi="宋体" w:eastAsia="宋体" w:cs="宋体"/>
          <w:sz w:val="24"/>
          <w:szCs w:val="24"/>
          <w:highlight w:val="none"/>
          <w:lang w:val="en-US" w:eastAsia="zh-CN"/>
        </w:rPr>
        <w:t>日常水电设施维护维修和杂项维修。</w:t>
      </w:r>
    </w:p>
    <w:p w14:paraId="5AB70AA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2.2绿化管理工作职责：</w:t>
      </w:r>
    </w:p>
    <w:p w14:paraId="5659363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①负责校园绿化带内花草树木除草、修剪、整理草坪；②负责清理校园绿化带内无砖头、纸屑、烟头、石块、棍棒等杂物；③校园绿化的修剪和保养，由学校指定时间安排清除校园内的杂草工作；并对校园绿化和所有花箱和盆景适时浇水。④种植基地由学校指定时间安排清理维护。</w:t>
      </w:r>
    </w:p>
    <w:p w14:paraId="7CB8DE7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3、物业管理质量与服务要求</w:t>
      </w:r>
    </w:p>
    <w:p w14:paraId="0919FFE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3.1早上7:30前必须完成洗手间的卫生，课间要及时冲洗，保证无臭味散发.</w:t>
      </w:r>
    </w:p>
    <w:p w14:paraId="1D785F7B">
      <w:pPr>
        <w:keepNext w:val="0"/>
        <w:keepLines w:val="0"/>
        <w:pageBreakBefore w:val="0"/>
        <w:widowControl/>
        <w:kinsoku/>
        <w:wordWrap/>
        <w:overflowPunct/>
        <w:topLinePunct w:val="0"/>
        <w:autoSpaceDE/>
        <w:autoSpaceDN/>
        <w:bidi w:val="0"/>
        <w:adjustRightInd/>
        <w:snapToGrid/>
        <w:spacing w:line="500" w:lineRule="exact"/>
        <w:ind w:left="479" w:leftChars="228" w:firstLine="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highlight w:val="none"/>
          <w:lang w:val="en-US" w:eastAsia="zh-CN"/>
        </w:rPr>
        <w:t>3.2垃圾清理后送到垃圾中转站；由乙方</w:t>
      </w:r>
      <w:r>
        <w:rPr>
          <w:rFonts w:hint="eastAsia" w:ascii="宋体" w:hAnsi="宋体" w:eastAsia="宋体" w:cs="宋体"/>
          <w:color w:val="000000"/>
          <w:kern w:val="0"/>
          <w:sz w:val="24"/>
          <w:szCs w:val="24"/>
          <w:lang w:val="en-US" w:eastAsia="zh-CN"/>
        </w:rPr>
        <w:t>外运。</w:t>
      </w:r>
    </w:p>
    <w:p w14:paraId="46068E4C">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（三）其他要求</w:t>
      </w:r>
    </w:p>
    <w:p w14:paraId="0C089F1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1、以上服务内容，由于中标人工作不力、监管不到位等自身原因引起的各种事故及造成的各类损失，由中标人承担全部经济和法律责任；</w:t>
      </w:r>
    </w:p>
    <w:p w14:paraId="332B25B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2、采购人有权要求对素质差或工作质量差的员工进行更换；</w:t>
      </w:r>
    </w:p>
    <w:p w14:paraId="7AC603E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3、上岗人员仪表整洁，业务操作规范，礼貌待人，保持岗位卫生整洁；</w:t>
      </w:r>
    </w:p>
    <w:p w14:paraId="4BFCAD4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4、依法办事，文明执勤，不与师生发生争吵，杜绝物业管理人员与师生发生冲突，禁止物业管理人员出手伤及师生人身安全；</w:t>
      </w:r>
    </w:p>
    <w:p w14:paraId="0A64ABB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5、中标人人员的社会保险费等由乙方解决与甲方无关系；</w:t>
      </w:r>
    </w:p>
    <w:p w14:paraId="18B2261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6、中标人日常保洁所需的设备、工具、统一服装由中标人承担。清洁剂等清洁用品用具费用由采购人承担；</w:t>
      </w:r>
    </w:p>
    <w:p w14:paraId="14F1525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7、中标人必须遵守，严格执行国家和地方物业管理法规、条例；</w:t>
      </w:r>
    </w:p>
    <w:p w14:paraId="4AA9E8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8、遇雨雪天气，及时组织人员清扫道路、各门前、校内主要通道保障畅通；</w:t>
      </w:r>
    </w:p>
    <w:p w14:paraId="072606B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8、采购人因紧急或特别事件的需要，而要求中标人临时突击卫生清洁工作时，中标人应无条件执行。</w:t>
      </w:r>
    </w:p>
    <w:p w14:paraId="3071F1EB">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（四）相关场地提供</w:t>
      </w:r>
    </w:p>
    <w:p w14:paraId="4292FD0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1、学校提供物业管理用房及保洁休息室，但办公用品（如电脑、文件柜等自身使用的办公用品）由中标人自行解决。</w:t>
      </w:r>
    </w:p>
    <w:p w14:paraId="4048DFD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2、根据需要，中标人在适合的楼层位置配置清洁堆放间。</w:t>
      </w:r>
    </w:p>
    <w:p w14:paraId="25B7FD64">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（五）物业档案资料管理</w:t>
      </w:r>
    </w:p>
    <w:p w14:paraId="32266E9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1、按照《物业管理条例》相关规定及工作要求，做好档案建立、交接等工作。</w:t>
      </w:r>
    </w:p>
    <w:p w14:paraId="1AD764C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2、建立健全档案管理制度，各种基础资料、台账报表、图册健全，保存完好。</w:t>
      </w:r>
    </w:p>
    <w:p w14:paraId="37C2FC40">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除评分标准中要求提供的人员证明材料作为评分条件外，投标人在投标文件中无须提供人员其他相关证明材料，由采购人在合同签订后中标人进场服务前核查人员配备情况，人员须按照要求配备到位，否则采购人有权追究中标人相应责任。</w:t>
      </w:r>
    </w:p>
    <w:p w14:paraId="3F2F95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firstLine="437"/>
        <w:jc w:val="left"/>
        <w:textAlignment w:val="auto"/>
        <w:outlineLvl w:val="1"/>
        <w:rPr>
          <w:rFonts w:hint="eastAsia" w:ascii="宋体" w:hAnsi="宋体" w:eastAsia="宋体" w:cs="宋体"/>
          <w:b/>
          <w:sz w:val="24"/>
          <w:szCs w:val="18"/>
        </w:rPr>
      </w:pPr>
      <w:r>
        <w:rPr>
          <w:rFonts w:hint="eastAsia" w:ascii="宋体" w:hAnsi="宋体" w:eastAsia="宋体" w:cs="宋体"/>
          <w:b/>
          <w:sz w:val="24"/>
          <w:szCs w:val="18"/>
          <w:lang w:val="en-US" w:eastAsia="zh-CN"/>
        </w:rPr>
        <w:t>三</w:t>
      </w:r>
      <w:r>
        <w:rPr>
          <w:rFonts w:hint="eastAsia" w:ascii="宋体" w:hAnsi="宋体" w:eastAsia="宋体" w:cs="宋体"/>
          <w:b/>
          <w:sz w:val="24"/>
          <w:szCs w:val="18"/>
        </w:rPr>
        <w:t>、考核要求</w:t>
      </w:r>
    </w:p>
    <w:p w14:paraId="2115AE9A">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（一）考核形式</w:t>
      </w:r>
    </w:p>
    <w:p w14:paraId="4932C5D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1、每月巡查。由学校组织安排专人（不少于1人）负责，做好巡查记录并将检查结果及时反馈中标人，限期整改。</w:t>
      </w:r>
    </w:p>
    <w:p w14:paraId="0D4C2F0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2、全面检查。由考核小组组织实施，每月一次，对照《考核评分细则》，现场评分、亮分，并由中标人对检查结果认可签字。</w:t>
      </w:r>
    </w:p>
    <w:p w14:paraId="445755C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3、若中标人拒不签字，按照考核要求依据照片和现场考核人员两人签字为准，作为考核依据。</w:t>
      </w:r>
    </w:p>
    <w:p w14:paraId="6A3D72D7">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（二）分值评定</w:t>
      </w:r>
    </w:p>
    <w:p w14:paraId="2828362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考核分值为100分。每次考核按照《考核评分细则》规定进行扣分，作为支付中标人服务费用的依据。</w:t>
      </w:r>
    </w:p>
    <w:p w14:paraId="2D25B6C2">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（三）考核兑现</w:t>
      </w:r>
    </w:p>
    <w:p w14:paraId="500C7A9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1、每月考核得分90分（含）及以上为合格，全额支付月服务费。</w:t>
      </w:r>
    </w:p>
    <w:p w14:paraId="186BF67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2、每月考核得分80分（不含）-89分（含）的为基本合格，支付月服务费的95%。</w:t>
      </w:r>
    </w:p>
    <w:p w14:paraId="1C73B41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3、每月考核得分80分（含）以下的为不合格，支付月服务费的85%。</w:t>
      </w:r>
    </w:p>
    <w:p w14:paraId="10BFE00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4、连续</w:t>
      </w:r>
      <w:r>
        <w:rPr>
          <w:rFonts w:hint="eastAsia" w:ascii="宋体" w:hAnsi="宋体" w:eastAsia="宋体" w:cs="宋体"/>
          <w:color w:val="000000"/>
          <w:kern w:val="0"/>
          <w:sz w:val="24"/>
          <w:szCs w:val="24"/>
          <w:highlight w:val="none"/>
          <w:lang w:eastAsia="zh-CN"/>
        </w:rPr>
        <w:t>两</w:t>
      </w:r>
      <w:r>
        <w:rPr>
          <w:rFonts w:hint="eastAsia" w:ascii="宋体" w:hAnsi="宋体" w:eastAsia="宋体" w:cs="宋体"/>
          <w:color w:val="000000"/>
          <w:kern w:val="0"/>
          <w:sz w:val="24"/>
          <w:szCs w:val="24"/>
        </w:rPr>
        <w:t>个月考核在80分（含）以下的或一年平均考核在80分（含）以下的为不合格，支付月服务费的80%，且采购人有权追究</w:t>
      </w:r>
      <w:r>
        <w:rPr>
          <w:rFonts w:hint="eastAsia" w:ascii="宋体" w:hAnsi="宋体" w:eastAsia="宋体" w:cs="宋体"/>
          <w:color w:val="000000"/>
          <w:kern w:val="0"/>
          <w:sz w:val="24"/>
          <w:szCs w:val="24"/>
          <w:lang w:val="en-US" w:eastAsia="zh-CN"/>
        </w:rPr>
        <w:t>中标人</w:t>
      </w:r>
      <w:r>
        <w:rPr>
          <w:rFonts w:hint="eastAsia" w:ascii="宋体" w:hAnsi="宋体" w:eastAsia="宋体" w:cs="宋体"/>
          <w:color w:val="000000"/>
          <w:kern w:val="0"/>
          <w:sz w:val="24"/>
          <w:szCs w:val="24"/>
        </w:rPr>
        <w:t>相应责任，造成的影响和损失由中标人承担。</w:t>
      </w:r>
    </w:p>
    <w:p w14:paraId="4EAFC36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四）考核评分细则，中标后另行协商。</w:t>
      </w:r>
    </w:p>
    <w:p w14:paraId="53A8EC3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firstLine="437"/>
        <w:jc w:val="left"/>
        <w:textAlignment w:val="auto"/>
        <w:outlineLvl w:val="1"/>
        <w:rPr>
          <w:rFonts w:hint="eastAsia" w:ascii="宋体" w:hAnsi="宋体" w:eastAsia="宋体" w:cs="宋体"/>
          <w:b/>
          <w:sz w:val="24"/>
          <w:szCs w:val="18"/>
        </w:rPr>
      </w:pPr>
      <w:r>
        <w:rPr>
          <w:rFonts w:hint="eastAsia" w:ascii="宋体" w:hAnsi="宋体" w:eastAsia="宋体" w:cs="宋体"/>
          <w:b/>
          <w:sz w:val="24"/>
          <w:szCs w:val="18"/>
          <w:lang w:val="en-US" w:eastAsia="zh-CN"/>
        </w:rPr>
        <w:t>四</w:t>
      </w:r>
      <w:r>
        <w:rPr>
          <w:rFonts w:hint="eastAsia" w:ascii="宋体" w:hAnsi="宋体" w:eastAsia="宋体" w:cs="宋体"/>
          <w:b/>
          <w:sz w:val="24"/>
          <w:szCs w:val="18"/>
        </w:rPr>
        <w:t>、报价要求及说明</w:t>
      </w:r>
    </w:p>
    <w:p w14:paraId="3FC2AE7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（一）本项目服务期三年，合同一年一签</w:t>
      </w:r>
      <w:r>
        <w:rPr>
          <w:rFonts w:hint="eastAsia" w:ascii="宋体" w:hAnsi="宋体" w:eastAsia="宋体" w:cs="宋体"/>
          <w:color w:val="000000"/>
          <w:kern w:val="0"/>
          <w:sz w:val="24"/>
          <w:szCs w:val="24"/>
          <w:lang w:val="en-US" w:eastAsia="zh-CN"/>
        </w:rPr>
        <w:t>，签订后，中标人按照合同约定履行相关权利和义务。每年由招标人对其考核，考核合格，续签下一年合同；考核不合格的，招标人有权单方解除合同。</w:t>
      </w:r>
    </w:p>
    <w:p w14:paraId="0DA595D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（二）本项目投标报价为完成本次招标服务项目的全部费用价格。</w:t>
      </w:r>
    </w:p>
    <w:p w14:paraId="7F8BC3C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（三）相关说明：</w:t>
      </w:r>
    </w:p>
    <w:p w14:paraId="2DD49AC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1、物业管理运行费用，包括（但不限于）：</w:t>
      </w:r>
    </w:p>
    <w:p w14:paraId="125BFD2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（1）人工费用(含所有服务于本项目的各类人员的工资、福利、社保、服装、交通费用、人身安全等)；</w:t>
      </w:r>
    </w:p>
    <w:p w14:paraId="7721533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）管理酬金；</w:t>
      </w:r>
    </w:p>
    <w:p w14:paraId="49C0958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）税金；</w:t>
      </w:r>
    </w:p>
    <w:p w14:paraId="59DB939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2、其它相关说明：</w:t>
      </w:r>
    </w:p>
    <w:p w14:paraId="536227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（1）报价不含公共水、电、气费用；</w:t>
      </w:r>
    </w:p>
    <w:p w14:paraId="38544C7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（2）报价时须按服务项目内容分项报价，汇总计算；</w:t>
      </w:r>
    </w:p>
    <w:p w14:paraId="0918084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（3）服务费用在服务期限内除因政策性原因，给予调整外，其余不予调整。</w:t>
      </w:r>
    </w:p>
    <w:p w14:paraId="24F4E16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p>
    <w:p w14:paraId="06AD9DB1">
      <w:pPr>
        <w:spacing w:line="360" w:lineRule="auto"/>
        <w:jc w:val="left"/>
        <w:outlineLvl w:val="0"/>
        <w:rPr>
          <w:rFonts w:hint="eastAsia" w:ascii="宋体" w:hAnsi="宋体" w:eastAsia="宋体" w:cs="宋体"/>
          <w:b w:val="0"/>
          <w:bCs/>
          <w:sz w:val="24"/>
          <w:szCs w:val="24"/>
          <w:lang w:eastAsia="zh-CN"/>
        </w:rPr>
      </w:pPr>
    </w:p>
    <w:p w14:paraId="26D45D5A">
      <w:pPr>
        <w:rPr>
          <w:rFonts w:hint="eastAsia" w:ascii="宋体" w:hAnsi="宋体" w:eastAsia="宋体" w:cs="宋体"/>
          <w:b/>
          <w:sz w:val="28"/>
        </w:rPr>
      </w:pPr>
      <w:r>
        <w:rPr>
          <w:rFonts w:hint="eastAsia" w:ascii="宋体" w:hAnsi="宋体" w:eastAsia="宋体" w:cs="宋体"/>
          <w:b/>
          <w:sz w:val="28"/>
        </w:rPr>
        <w:br w:type="page"/>
      </w:r>
    </w:p>
    <w:p w14:paraId="7D8CA460">
      <w:pPr>
        <w:spacing w:line="360" w:lineRule="auto"/>
        <w:ind w:firstLine="1687" w:firstLineChars="600"/>
        <w:jc w:val="left"/>
        <w:outlineLvl w:val="0"/>
        <w:rPr>
          <w:rFonts w:ascii="宋体" w:hAnsi="宋体" w:eastAsia="宋体" w:cs="宋体"/>
          <w:b/>
          <w:sz w:val="28"/>
        </w:rPr>
      </w:pPr>
      <w:r>
        <w:rPr>
          <w:rFonts w:hint="eastAsia" w:ascii="宋体" w:hAnsi="宋体" w:eastAsia="宋体" w:cs="宋体"/>
          <w:b/>
          <w:sz w:val="28"/>
        </w:rPr>
        <w:t>第四章  评标方法和标准（综合评分法）</w:t>
      </w:r>
      <w:bookmarkEnd w:id="60"/>
    </w:p>
    <w:p w14:paraId="561779A7">
      <w:pPr>
        <w:keepNext w:val="0"/>
        <w:keepLines w:val="0"/>
        <w:pageBreakBefore w:val="0"/>
        <w:widowControl w:val="0"/>
        <w:kinsoku/>
        <w:wordWrap/>
        <w:overflowPunct/>
        <w:topLinePunct w:val="0"/>
        <w:autoSpaceDE/>
        <w:autoSpaceDN/>
        <w:bidi w:val="0"/>
        <w:spacing w:line="500" w:lineRule="exact"/>
        <w:ind w:firstLine="437"/>
        <w:textAlignment w:val="auto"/>
        <w:outlineLvl w:val="1"/>
        <w:rPr>
          <w:rFonts w:ascii="宋体" w:hAnsi="宋体" w:eastAsia="宋体" w:cs="宋体"/>
          <w:b/>
          <w:sz w:val="24"/>
        </w:rPr>
      </w:pPr>
      <w:bookmarkStart w:id="61" w:name="_Toc4705"/>
      <w:bookmarkStart w:id="62" w:name="_Toc11823"/>
      <w:r>
        <w:rPr>
          <w:rFonts w:hint="eastAsia" w:ascii="宋体" w:hAnsi="宋体" w:eastAsia="宋体" w:cs="宋体"/>
          <w:b/>
          <w:sz w:val="24"/>
        </w:rPr>
        <w:t>一、总则</w:t>
      </w:r>
      <w:bookmarkEnd w:id="61"/>
      <w:bookmarkEnd w:id="62"/>
    </w:p>
    <w:p w14:paraId="30D742B1">
      <w:pPr>
        <w:keepNext w:val="0"/>
        <w:keepLines w:val="0"/>
        <w:pageBreakBefore w:val="0"/>
        <w:widowControl w:val="0"/>
        <w:kinsoku/>
        <w:wordWrap/>
        <w:overflowPunct/>
        <w:topLinePunct w:val="0"/>
        <w:autoSpaceDE/>
        <w:autoSpaceDN/>
        <w:bidi w:val="0"/>
        <w:spacing w:line="500" w:lineRule="exact"/>
        <w:ind w:firstLine="435"/>
        <w:textAlignment w:val="auto"/>
        <w:rPr>
          <w:rFonts w:ascii="宋体" w:hAnsi="宋体" w:eastAsia="宋体" w:cs="宋体"/>
          <w:sz w:val="24"/>
        </w:rPr>
      </w:pPr>
      <w:r>
        <w:rPr>
          <w:rFonts w:hint="eastAsia" w:ascii="宋体" w:hAnsi="宋体" w:eastAsia="宋体" w:cs="宋体"/>
          <w:sz w:val="24"/>
        </w:rPr>
        <w:t>本项目将按照招标文件第二章投标人须知的相关要求及本章的规定评标。</w:t>
      </w:r>
    </w:p>
    <w:p w14:paraId="047B963F">
      <w:pPr>
        <w:keepNext w:val="0"/>
        <w:keepLines w:val="0"/>
        <w:pageBreakBefore w:val="0"/>
        <w:widowControl w:val="0"/>
        <w:kinsoku/>
        <w:wordWrap/>
        <w:overflowPunct/>
        <w:topLinePunct w:val="0"/>
        <w:autoSpaceDE/>
        <w:autoSpaceDN/>
        <w:bidi w:val="0"/>
        <w:spacing w:line="500" w:lineRule="exact"/>
        <w:ind w:firstLine="437"/>
        <w:textAlignment w:val="auto"/>
        <w:outlineLvl w:val="1"/>
        <w:rPr>
          <w:rFonts w:ascii="宋体" w:hAnsi="宋体" w:eastAsia="宋体" w:cs="宋体"/>
          <w:b/>
          <w:sz w:val="24"/>
        </w:rPr>
      </w:pPr>
      <w:bookmarkStart w:id="63" w:name="_Toc32410"/>
      <w:bookmarkStart w:id="64" w:name="_Toc31871"/>
      <w:r>
        <w:rPr>
          <w:rFonts w:hint="eastAsia" w:ascii="宋体" w:hAnsi="宋体" w:eastAsia="宋体" w:cs="宋体"/>
          <w:b/>
          <w:sz w:val="24"/>
        </w:rPr>
        <w:t>二、评标方法</w:t>
      </w:r>
      <w:bookmarkEnd w:id="63"/>
      <w:bookmarkEnd w:id="64"/>
    </w:p>
    <w:p w14:paraId="25B15090">
      <w:pPr>
        <w:keepNext w:val="0"/>
        <w:keepLines w:val="0"/>
        <w:pageBreakBefore w:val="0"/>
        <w:widowControl w:val="0"/>
        <w:kinsoku/>
        <w:wordWrap/>
        <w:overflowPunct/>
        <w:topLinePunct w:val="0"/>
        <w:autoSpaceDE/>
        <w:autoSpaceDN/>
        <w:bidi w:val="0"/>
        <w:spacing w:line="500" w:lineRule="exact"/>
        <w:ind w:firstLine="437"/>
        <w:textAlignment w:val="auto"/>
        <w:outlineLvl w:val="2"/>
        <w:rPr>
          <w:rFonts w:ascii="宋体" w:hAnsi="宋体" w:eastAsia="宋体" w:cs="宋体"/>
          <w:sz w:val="24"/>
        </w:rPr>
      </w:pPr>
      <w:r>
        <w:rPr>
          <w:rFonts w:hint="eastAsia" w:ascii="宋体" w:hAnsi="宋体" w:eastAsia="宋体" w:cs="宋体"/>
          <w:sz w:val="24"/>
        </w:rPr>
        <w:t>2.1资格审查</w:t>
      </w:r>
    </w:p>
    <w:tbl>
      <w:tblPr>
        <w:tblStyle w:val="28"/>
        <w:tblW w:w="6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833"/>
        <w:gridCol w:w="6080"/>
        <w:gridCol w:w="1903"/>
      </w:tblGrid>
      <w:tr w14:paraId="0C44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E5BBAF4">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sz w:val="24"/>
              </w:rPr>
            </w:pPr>
            <w:r>
              <w:rPr>
                <w:rFonts w:hint="eastAsia" w:ascii="宋体" w:hAnsi="宋体" w:eastAsia="宋体" w:cs="宋体"/>
                <w:b/>
                <w:sz w:val="24"/>
                <w:szCs w:val="22"/>
              </w:rPr>
              <w:t>资格审查表</w:t>
            </w:r>
          </w:p>
        </w:tc>
      </w:tr>
      <w:tr w14:paraId="03A8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bottom w:val="single" w:color="auto" w:sz="4" w:space="0"/>
            </w:tcBorders>
            <w:vAlign w:val="center"/>
          </w:tcPr>
          <w:p w14:paraId="67027833">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sz w:val="24"/>
              </w:rPr>
            </w:pPr>
            <w:r>
              <w:rPr>
                <w:rFonts w:hint="eastAsia" w:ascii="宋体" w:hAnsi="宋体" w:eastAsia="宋体" w:cs="宋体"/>
                <w:sz w:val="24"/>
              </w:rPr>
              <w:t>序号</w:t>
            </w:r>
          </w:p>
        </w:tc>
        <w:tc>
          <w:tcPr>
            <w:tcW w:w="870" w:type="pct"/>
            <w:tcBorders>
              <w:bottom w:val="single" w:color="auto" w:sz="4" w:space="0"/>
            </w:tcBorders>
            <w:vAlign w:val="center"/>
          </w:tcPr>
          <w:p w14:paraId="48D1E07A">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500" w:lineRule="exact"/>
              <w:ind w:right="-10"/>
              <w:textAlignment w:val="auto"/>
              <w:rPr>
                <w:rFonts w:ascii="宋体" w:hAnsi="宋体" w:eastAsia="宋体" w:cs="宋体"/>
                <w:kern w:val="2"/>
                <w:szCs w:val="24"/>
              </w:rPr>
            </w:pPr>
            <w:r>
              <w:rPr>
                <w:rFonts w:hint="eastAsia" w:ascii="宋体" w:hAnsi="宋体" w:eastAsia="宋体" w:cs="宋体"/>
                <w:kern w:val="2"/>
                <w:szCs w:val="24"/>
              </w:rPr>
              <w:t>审查因素</w:t>
            </w:r>
          </w:p>
        </w:tc>
        <w:tc>
          <w:tcPr>
            <w:tcW w:w="2885" w:type="pct"/>
            <w:tcBorders>
              <w:bottom w:val="single" w:color="auto" w:sz="4" w:space="0"/>
            </w:tcBorders>
            <w:vAlign w:val="center"/>
          </w:tcPr>
          <w:p w14:paraId="6F7E0A17">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sz w:val="24"/>
              </w:rPr>
            </w:pPr>
            <w:r>
              <w:rPr>
                <w:rFonts w:hint="eastAsia" w:ascii="宋体" w:hAnsi="宋体" w:eastAsia="宋体" w:cs="宋体"/>
                <w:sz w:val="24"/>
              </w:rPr>
              <w:t>审查内容</w:t>
            </w:r>
          </w:p>
        </w:tc>
        <w:tc>
          <w:tcPr>
            <w:tcW w:w="901" w:type="pct"/>
            <w:tcBorders>
              <w:bottom w:val="single" w:color="auto" w:sz="4" w:space="0"/>
            </w:tcBorders>
            <w:vAlign w:val="center"/>
          </w:tcPr>
          <w:p w14:paraId="15134044">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sz w:val="24"/>
              </w:rPr>
            </w:pPr>
            <w:r>
              <w:rPr>
                <w:rFonts w:hint="eastAsia" w:ascii="宋体" w:hAnsi="宋体" w:eastAsia="宋体" w:cs="宋体"/>
                <w:sz w:val="24"/>
              </w:rPr>
              <w:t>格式要求</w:t>
            </w:r>
          </w:p>
        </w:tc>
      </w:tr>
      <w:tr w14:paraId="36F1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2" w:type="pct"/>
            <w:tcBorders>
              <w:bottom w:val="single" w:color="auto" w:sz="4" w:space="0"/>
            </w:tcBorders>
            <w:vAlign w:val="center"/>
          </w:tcPr>
          <w:p w14:paraId="23FA7325">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sz w:val="24"/>
              </w:rPr>
            </w:pPr>
            <w:r>
              <w:rPr>
                <w:rFonts w:hint="eastAsia" w:ascii="宋体" w:hAnsi="宋体" w:eastAsia="宋体" w:cs="宋体"/>
                <w:sz w:val="24"/>
              </w:rPr>
              <w:t>1</w:t>
            </w:r>
          </w:p>
        </w:tc>
        <w:tc>
          <w:tcPr>
            <w:tcW w:w="870" w:type="pct"/>
            <w:tcBorders>
              <w:bottom w:val="single" w:color="auto" w:sz="4" w:space="0"/>
            </w:tcBorders>
            <w:vAlign w:val="center"/>
          </w:tcPr>
          <w:p w14:paraId="12692A17">
            <w:pPr>
              <w:keepNext w:val="0"/>
              <w:keepLines w:val="0"/>
              <w:pageBreakBefore w:val="0"/>
              <w:widowControl w:val="0"/>
              <w:kinsoku/>
              <w:wordWrap/>
              <w:overflowPunct/>
              <w:topLinePunct w:val="0"/>
              <w:autoSpaceDE/>
              <w:autoSpaceDN/>
              <w:bidi w:val="0"/>
              <w:spacing w:line="500" w:lineRule="exact"/>
              <w:ind w:right="-10"/>
              <w:jc w:val="center"/>
              <w:textAlignment w:val="auto"/>
              <w:rPr>
                <w:rFonts w:ascii="宋体" w:hAnsi="宋体" w:eastAsia="宋体" w:cs="宋体"/>
                <w:sz w:val="24"/>
                <w:szCs w:val="28"/>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885" w:type="pct"/>
            <w:tcBorders>
              <w:bottom w:val="single" w:color="auto" w:sz="4" w:space="0"/>
            </w:tcBorders>
            <w:vAlign w:val="center"/>
          </w:tcPr>
          <w:p w14:paraId="24FB2227">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sz w:val="24"/>
                <w:szCs w:val="24"/>
              </w:rPr>
            </w:pPr>
            <w:r>
              <w:rPr>
                <w:rFonts w:hint="eastAsia" w:ascii="宋体" w:hAnsi="宋体" w:eastAsia="宋体" w:cs="宋体"/>
                <w:sz w:val="24"/>
                <w:szCs w:val="24"/>
              </w:rPr>
              <w:t>（1）投标人为企业（包括合伙企业）的，应提供有效的营业执照；</w:t>
            </w:r>
          </w:p>
          <w:p w14:paraId="4B49B9CF">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sz w:val="24"/>
                <w:szCs w:val="24"/>
              </w:rPr>
            </w:pPr>
            <w:r>
              <w:rPr>
                <w:rFonts w:hint="eastAsia" w:ascii="宋体" w:hAnsi="宋体" w:eastAsia="宋体" w:cs="宋体"/>
                <w:sz w:val="24"/>
                <w:szCs w:val="24"/>
              </w:rPr>
              <w:t>（2）投标人为事业单位的，应提供有效的事业单位法人证书；</w:t>
            </w:r>
          </w:p>
          <w:p w14:paraId="5EEA29DE">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sz w:val="24"/>
                <w:szCs w:val="24"/>
              </w:rPr>
            </w:pPr>
            <w:r>
              <w:rPr>
                <w:rFonts w:hint="eastAsia" w:ascii="宋体" w:hAnsi="宋体" w:eastAsia="宋体" w:cs="宋体"/>
                <w:sz w:val="24"/>
                <w:szCs w:val="24"/>
              </w:rPr>
              <w:t>（3）投标人是非企业机构的，应提供有效的执业许可证或登记证书等证明文件；</w:t>
            </w:r>
          </w:p>
          <w:p w14:paraId="2E830949">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sz w:val="24"/>
                <w:szCs w:val="24"/>
              </w:rPr>
            </w:pPr>
            <w:r>
              <w:rPr>
                <w:rFonts w:hint="eastAsia" w:ascii="宋体" w:hAnsi="宋体" w:eastAsia="宋体" w:cs="宋体"/>
                <w:sz w:val="24"/>
                <w:szCs w:val="24"/>
              </w:rPr>
              <w:t>（4）投标人是个体工商户的，应提供有效的个体工商户营业执照；</w:t>
            </w:r>
          </w:p>
          <w:p w14:paraId="4E63C2CC">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sz w:val="24"/>
                <w:szCs w:val="28"/>
              </w:rPr>
            </w:pPr>
            <w:r>
              <w:rPr>
                <w:rFonts w:hint="eastAsia" w:ascii="宋体" w:hAnsi="宋体" w:eastAsia="宋体" w:cs="宋体"/>
                <w:sz w:val="24"/>
                <w:szCs w:val="24"/>
              </w:rPr>
              <w:t>（5）投标人是自然人的，应提供有效的自然人身份证明。</w:t>
            </w:r>
          </w:p>
        </w:tc>
        <w:tc>
          <w:tcPr>
            <w:tcW w:w="901" w:type="pct"/>
            <w:vAlign w:val="center"/>
          </w:tcPr>
          <w:p w14:paraId="290F2C79">
            <w:pPr>
              <w:keepNext w:val="0"/>
              <w:keepLines w:val="0"/>
              <w:pageBreakBefore w:val="0"/>
              <w:widowControl w:val="0"/>
              <w:kinsoku/>
              <w:wordWrap/>
              <w:overflowPunct/>
              <w:topLinePunct w:val="0"/>
              <w:autoSpaceDE/>
              <w:autoSpaceDN/>
              <w:bidi w:val="0"/>
              <w:spacing w:line="500" w:lineRule="exact"/>
              <w:jc w:val="left"/>
              <w:textAlignment w:val="auto"/>
              <w:rPr>
                <w:rFonts w:ascii="宋体" w:hAnsi="宋体" w:eastAsia="宋体" w:cs="宋体"/>
                <w:sz w:val="24"/>
              </w:rPr>
            </w:pPr>
            <w:r>
              <w:rPr>
                <w:rFonts w:hint="eastAsia" w:ascii="宋体" w:hAnsi="宋体" w:eastAsia="宋体" w:cs="宋体"/>
                <w:sz w:val="24"/>
                <w:szCs w:val="24"/>
              </w:rPr>
              <w:t>提供材料应完整的体现出材料或证照全部内容。</w:t>
            </w:r>
          </w:p>
        </w:tc>
      </w:tr>
      <w:tr w14:paraId="13EB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42" w:type="pct"/>
            <w:tcBorders>
              <w:bottom w:val="single" w:color="auto" w:sz="4" w:space="0"/>
            </w:tcBorders>
            <w:vAlign w:val="center"/>
          </w:tcPr>
          <w:p w14:paraId="5A3D42BC">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sz w:val="24"/>
              </w:rPr>
            </w:pPr>
            <w:r>
              <w:rPr>
                <w:rFonts w:hint="eastAsia" w:ascii="宋体" w:hAnsi="宋体" w:eastAsia="宋体" w:cs="宋体"/>
                <w:sz w:val="24"/>
              </w:rPr>
              <w:t>2</w:t>
            </w:r>
          </w:p>
        </w:tc>
        <w:tc>
          <w:tcPr>
            <w:tcW w:w="870" w:type="pct"/>
            <w:tcBorders>
              <w:bottom w:val="single" w:color="auto" w:sz="4" w:space="0"/>
            </w:tcBorders>
            <w:vAlign w:val="center"/>
          </w:tcPr>
          <w:p w14:paraId="6FFDFCCC">
            <w:pPr>
              <w:keepNext w:val="0"/>
              <w:keepLines w:val="0"/>
              <w:pageBreakBefore w:val="0"/>
              <w:widowControl w:val="0"/>
              <w:kinsoku/>
              <w:wordWrap/>
              <w:overflowPunct/>
              <w:topLinePunct w:val="0"/>
              <w:autoSpaceDE/>
              <w:autoSpaceDN/>
              <w:bidi w:val="0"/>
              <w:spacing w:line="500" w:lineRule="exact"/>
              <w:ind w:right="-10"/>
              <w:jc w:val="center"/>
              <w:textAlignment w:val="auto"/>
              <w:rPr>
                <w:rFonts w:ascii="宋体" w:hAnsi="宋体" w:eastAsia="宋体" w:cs="宋体"/>
                <w:sz w:val="24"/>
                <w:szCs w:val="28"/>
              </w:rPr>
            </w:pPr>
            <w:r>
              <w:rPr>
                <w:rFonts w:hint="eastAsia" w:ascii="宋体" w:hAnsi="宋体" w:eastAsia="宋体" w:cs="宋体"/>
                <w:sz w:val="24"/>
                <w:szCs w:val="18"/>
              </w:rPr>
              <w:t>投标人资格声明书</w:t>
            </w:r>
          </w:p>
        </w:tc>
        <w:tc>
          <w:tcPr>
            <w:tcW w:w="2885" w:type="pct"/>
            <w:tcBorders>
              <w:bottom w:val="single" w:color="auto" w:sz="4" w:space="0"/>
            </w:tcBorders>
            <w:vAlign w:val="center"/>
          </w:tcPr>
          <w:p w14:paraId="00767F3B">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sz w:val="24"/>
                <w:szCs w:val="28"/>
              </w:rPr>
            </w:pPr>
            <w:r>
              <w:rPr>
                <w:rFonts w:hint="eastAsia" w:ascii="宋体" w:hAnsi="宋体" w:eastAsia="宋体" w:cs="宋体"/>
                <w:sz w:val="24"/>
                <w:szCs w:val="24"/>
              </w:rPr>
              <w:t>提供符合招标文件要求的《投标人资格声明书》。</w:t>
            </w:r>
          </w:p>
        </w:tc>
        <w:tc>
          <w:tcPr>
            <w:tcW w:w="901" w:type="pct"/>
            <w:vAlign w:val="center"/>
          </w:tcPr>
          <w:p w14:paraId="589E2FB5">
            <w:pPr>
              <w:keepNext w:val="0"/>
              <w:keepLines w:val="0"/>
              <w:pageBreakBefore w:val="0"/>
              <w:widowControl w:val="0"/>
              <w:kinsoku/>
              <w:wordWrap/>
              <w:overflowPunct/>
              <w:topLinePunct w:val="0"/>
              <w:autoSpaceDE/>
              <w:autoSpaceDN/>
              <w:bidi w:val="0"/>
              <w:spacing w:line="500" w:lineRule="exact"/>
              <w:jc w:val="left"/>
              <w:textAlignment w:val="auto"/>
              <w:rPr>
                <w:rFonts w:ascii="宋体" w:hAnsi="宋体" w:eastAsia="宋体" w:cs="宋体"/>
                <w:sz w:val="24"/>
                <w:szCs w:val="24"/>
              </w:rPr>
            </w:pPr>
            <w:r>
              <w:rPr>
                <w:rFonts w:hint="eastAsia" w:ascii="宋体" w:hAnsi="宋体" w:eastAsia="宋体" w:cs="宋体"/>
                <w:sz w:val="24"/>
              </w:rPr>
              <w:t>详见第六章投标文件格式。</w:t>
            </w:r>
          </w:p>
        </w:tc>
      </w:tr>
      <w:tr w14:paraId="3327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bottom w:val="single" w:color="auto" w:sz="4" w:space="0"/>
            </w:tcBorders>
            <w:vAlign w:val="center"/>
          </w:tcPr>
          <w:p w14:paraId="18112F2A">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sz w:val="24"/>
              </w:rPr>
            </w:pPr>
            <w:r>
              <w:rPr>
                <w:rFonts w:hint="eastAsia" w:ascii="宋体" w:hAnsi="宋体" w:eastAsia="宋体" w:cs="宋体"/>
                <w:sz w:val="24"/>
              </w:rPr>
              <w:t>3</w:t>
            </w:r>
          </w:p>
        </w:tc>
        <w:tc>
          <w:tcPr>
            <w:tcW w:w="870" w:type="pct"/>
            <w:tcBorders>
              <w:bottom w:val="single" w:color="auto" w:sz="4" w:space="0"/>
            </w:tcBorders>
            <w:vAlign w:val="center"/>
          </w:tcPr>
          <w:p w14:paraId="74911BFD">
            <w:pPr>
              <w:keepNext w:val="0"/>
              <w:keepLines w:val="0"/>
              <w:pageBreakBefore w:val="0"/>
              <w:widowControl w:val="0"/>
              <w:kinsoku/>
              <w:wordWrap/>
              <w:overflowPunct/>
              <w:topLinePunct w:val="0"/>
              <w:autoSpaceDE/>
              <w:autoSpaceDN/>
              <w:bidi w:val="0"/>
              <w:spacing w:line="500" w:lineRule="exact"/>
              <w:ind w:right="-10"/>
              <w:jc w:val="center"/>
              <w:textAlignment w:val="auto"/>
              <w:rPr>
                <w:rFonts w:ascii="宋体" w:hAnsi="宋体" w:eastAsia="宋体" w:cs="宋体"/>
                <w:sz w:val="24"/>
                <w:szCs w:val="28"/>
              </w:rPr>
            </w:pPr>
            <w:r>
              <w:rPr>
                <w:rFonts w:hint="eastAsia" w:ascii="宋体" w:hAnsi="宋体" w:eastAsia="宋体" w:cs="宋体"/>
                <w:sz w:val="24"/>
                <w:szCs w:val="24"/>
              </w:rPr>
              <w:t>投标人信用记录</w:t>
            </w:r>
          </w:p>
        </w:tc>
        <w:tc>
          <w:tcPr>
            <w:tcW w:w="2885" w:type="pct"/>
            <w:tcBorders>
              <w:bottom w:val="single" w:color="auto" w:sz="4" w:space="0"/>
            </w:tcBorders>
            <w:vAlign w:val="center"/>
          </w:tcPr>
          <w:p w14:paraId="4C23CC34">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投标邀请第4条信誉要求和</w:t>
            </w:r>
            <w:r>
              <w:rPr>
                <w:rFonts w:hint="eastAsia" w:ascii="宋体" w:hAnsi="宋体" w:eastAsia="宋体" w:cs="宋体"/>
                <w:sz w:val="24"/>
                <w:szCs w:val="24"/>
                <w:lang w:val="zh-CN"/>
              </w:rPr>
              <w:t>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cs="宋体"/>
                <w:sz w:val="24"/>
                <w:szCs w:val="28"/>
              </w:rPr>
              <w:t>的</w:t>
            </w:r>
            <w:r>
              <w:rPr>
                <w:rFonts w:hint="eastAsia" w:ascii="宋体" w:hAnsi="宋体" w:eastAsia="宋体" w:cs="宋体"/>
                <w:sz w:val="24"/>
                <w:szCs w:val="18"/>
              </w:rPr>
              <w:t>不良信用记录情形</w:t>
            </w:r>
          </w:p>
        </w:tc>
        <w:tc>
          <w:tcPr>
            <w:tcW w:w="901" w:type="pct"/>
            <w:tcBorders>
              <w:bottom w:val="single" w:color="auto" w:sz="4" w:space="0"/>
            </w:tcBorders>
            <w:vAlign w:val="center"/>
          </w:tcPr>
          <w:p w14:paraId="2A91A392">
            <w:pPr>
              <w:keepNext w:val="0"/>
              <w:keepLines w:val="0"/>
              <w:pageBreakBefore w:val="0"/>
              <w:widowControl w:val="0"/>
              <w:kinsoku/>
              <w:wordWrap/>
              <w:overflowPunct/>
              <w:topLinePunct w:val="0"/>
              <w:autoSpaceDE/>
              <w:autoSpaceDN/>
              <w:bidi w:val="0"/>
              <w:spacing w:line="500" w:lineRule="exact"/>
              <w:jc w:val="left"/>
              <w:textAlignment w:val="auto"/>
              <w:rPr>
                <w:rFonts w:ascii="宋体" w:hAnsi="宋体" w:eastAsia="宋体" w:cs="宋体"/>
              </w:rPr>
            </w:pPr>
            <w:r>
              <w:rPr>
                <w:rFonts w:hint="eastAsia" w:ascii="宋体" w:hAnsi="宋体" w:eastAsia="宋体" w:cs="宋体"/>
                <w:sz w:val="24"/>
                <w:szCs w:val="24"/>
              </w:rPr>
              <w:t>无须投标人提供，由采购人或采购代理机构查询。</w:t>
            </w:r>
          </w:p>
        </w:tc>
      </w:tr>
    </w:tbl>
    <w:p w14:paraId="7D3C233A">
      <w:pPr>
        <w:spacing w:line="440" w:lineRule="exact"/>
        <w:ind w:left="-420" w:leftChars="-200" w:right="-313" w:rightChars="-149" w:firstLine="436" w:firstLineChars="181"/>
        <w:rPr>
          <w:rFonts w:ascii="宋体" w:hAnsi="宋体" w:eastAsia="宋体" w:cs="宋体"/>
          <w:sz w:val="24"/>
        </w:rPr>
      </w:pPr>
      <w:r>
        <w:rPr>
          <w:rFonts w:hint="eastAsia" w:ascii="宋体" w:hAnsi="宋体" w:eastAsia="宋体" w:cs="宋体"/>
          <w:b/>
          <w:bCs/>
          <w:sz w:val="24"/>
        </w:rPr>
        <w:t>资格审查指标通过标准：</w:t>
      </w:r>
      <w:r>
        <w:rPr>
          <w:rFonts w:hint="eastAsia" w:ascii="宋体" w:hAnsi="宋体" w:eastAsia="宋体" w:cs="宋体"/>
          <w:sz w:val="24"/>
        </w:rPr>
        <w:t>投标人必须通过资格审查表中的全部评审指标。</w:t>
      </w:r>
    </w:p>
    <w:p w14:paraId="4670BF9C">
      <w:pPr>
        <w:spacing w:line="440" w:lineRule="exact"/>
        <w:ind w:left="-420" w:leftChars="-200" w:right="-313" w:rightChars="-149" w:firstLine="434" w:firstLineChars="181"/>
        <w:outlineLvl w:val="2"/>
        <w:rPr>
          <w:rFonts w:ascii="宋体" w:hAnsi="宋体" w:eastAsia="宋体" w:cs="宋体"/>
          <w:sz w:val="24"/>
        </w:rPr>
      </w:pPr>
      <w:r>
        <w:rPr>
          <w:rFonts w:hint="eastAsia" w:ascii="宋体" w:hAnsi="宋体" w:eastAsia="宋体" w:cs="宋体"/>
          <w:sz w:val="24"/>
        </w:rPr>
        <w:t>2.2符合性审查</w:t>
      </w:r>
    </w:p>
    <w:p w14:paraId="5A4F241D">
      <w:pPr>
        <w:spacing w:line="440" w:lineRule="exact"/>
        <w:ind w:left="-420" w:leftChars="-200" w:right="-313" w:rightChars="-149" w:firstLine="434" w:firstLineChars="181"/>
        <w:rPr>
          <w:rFonts w:ascii="宋体" w:hAnsi="宋体" w:eastAsia="宋体" w:cs="宋体"/>
          <w:sz w:val="24"/>
        </w:rPr>
      </w:pPr>
      <w:r>
        <w:rPr>
          <w:rFonts w:hint="eastAsia" w:ascii="宋体" w:hAnsi="宋体" w:eastAsia="宋体" w:cs="宋体"/>
          <w:sz w:val="24"/>
        </w:rPr>
        <w:t>评标委员会对通过资格审查的投标人的投标文件进行符合性审查，以确定其是否满足招标文件的实质性要求。符合性审查表如下：</w:t>
      </w:r>
    </w:p>
    <w:tbl>
      <w:tblPr>
        <w:tblStyle w:val="28"/>
        <w:tblW w:w="6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47"/>
        <w:gridCol w:w="4096"/>
        <w:gridCol w:w="3239"/>
      </w:tblGrid>
      <w:tr w14:paraId="51CE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F3B0419">
            <w:pPr>
              <w:adjustRightInd w:val="0"/>
              <w:snapToGrid w:val="0"/>
              <w:spacing w:line="440" w:lineRule="exact"/>
              <w:ind w:right="-10"/>
              <w:jc w:val="center"/>
              <w:rPr>
                <w:rFonts w:ascii="宋体" w:hAnsi="宋体" w:eastAsia="宋体" w:cs="宋体"/>
                <w:b/>
                <w:bCs/>
                <w:sz w:val="24"/>
              </w:rPr>
            </w:pPr>
            <w:r>
              <w:rPr>
                <w:rFonts w:hint="eastAsia" w:ascii="宋体" w:hAnsi="宋体" w:eastAsia="宋体" w:cs="宋体"/>
                <w:b/>
                <w:bCs/>
                <w:sz w:val="24"/>
              </w:rPr>
              <w:t>符合性审查表</w:t>
            </w:r>
          </w:p>
        </w:tc>
      </w:tr>
      <w:tr w14:paraId="3A3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4" w:type="pct"/>
            <w:tcBorders>
              <w:bottom w:val="single" w:color="auto" w:sz="4" w:space="0"/>
            </w:tcBorders>
            <w:vAlign w:val="center"/>
          </w:tcPr>
          <w:p w14:paraId="053745B3">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序号</w:t>
            </w:r>
          </w:p>
        </w:tc>
        <w:tc>
          <w:tcPr>
            <w:tcW w:w="1045" w:type="pct"/>
            <w:tcBorders>
              <w:bottom w:val="single" w:color="auto" w:sz="4" w:space="0"/>
            </w:tcBorders>
            <w:vAlign w:val="center"/>
          </w:tcPr>
          <w:p w14:paraId="04338DF8">
            <w:pPr>
              <w:pStyle w:val="47"/>
              <w:pBdr>
                <w:bottom w:val="none" w:color="auto" w:sz="0" w:space="0"/>
              </w:pBdr>
              <w:tabs>
                <w:tab w:val="clear" w:pos="4153"/>
                <w:tab w:val="clear" w:pos="8306"/>
              </w:tabs>
              <w:snapToGrid w:val="0"/>
              <w:spacing w:line="440" w:lineRule="exact"/>
              <w:ind w:right="-10"/>
              <w:textAlignment w:val="auto"/>
              <w:rPr>
                <w:rFonts w:ascii="宋体" w:hAnsi="宋体" w:eastAsia="宋体" w:cs="宋体"/>
                <w:kern w:val="2"/>
              </w:rPr>
            </w:pPr>
            <w:r>
              <w:rPr>
                <w:rFonts w:hint="eastAsia" w:ascii="宋体" w:hAnsi="宋体" w:eastAsia="宋体" w:cs="宋体"/>
                <w:kern w:val="2"/>
              </w:rPr>
              <w:t>审查指标</w:t>
            </w:r>
          </w:p>
        </w:tc>
        <w:tc>
          <w:tcPr>
            <w:tcW w:w="1994" w:type="pct"/>
            <w:tcBorders>
              <w:bottom w:val="single" w:color="auto" w:sz="4" w:space="0"/>
            </w:tcBorders>
            <w:vAlign w:val="center"/>
          </w:tcPr>
          <w:p w14:paraId="10F9FD4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审查标准</w:t>
            </w:r>
          </w:p>
        </w:tc>
        <w:tc>
          <w:tcPr>
            <w:tcW w:w="1575" w:type="pct"/>
            <w:tcBorders>
              <w:bottom w:val="single" w:color="auto" w:sz="4" w:space="0"/>
            </w:tcBorders>
            <w:vAlign w:val="center"/>
          </w:tcPr>
          <w:p w14:paraId="57AE0CED">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格式要求</w:t>
            </w:r>
          </w:p>
        </w:tc>
      </w:tr>
      <w:tr w14:paraId="00B9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0E14D293">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1</w:t>
            </w:r>
          </w:p>
        </w:tc>
        <w:tc>
          <w:tcPr>
            <w:tcW w:w="1045" w:type="pct"/>
            <w:vAlign w:val="center"/>
          </w:tcPr>
          <w:p w14:paraId="38C2A83D">
            <w:pPr>
              <w:spacing w:after="50" w:line="440" w:lineRule="exact"/>
              <w:ind w:right="-10"/>
              <w:jc w:val="center"/>
              <w:rPr>
                <w:rFonts w:ascii="宋体" w:hAnsi="宋体" w:eastAsia="宋体" w:cs="宋体"/>
                <w:sz w:val="24"/>
                <w:szCs w:val="28"/>
              </w:rPr>
            </w:pPr>
            <w:r>
              <w:rPr>
                <w:rFonts w:hint="eastAsia" w:ascii="宋体" w:hAnsi="宋体" w:eastAsia="宋体" w:cs="宋体"/>
                <w:sz w:val="24"/>
              </w:rPr>
              <w:t>开标一览表</w:t>
            </w:r>
          </w:p>
        </w:tc>
        <w:tc>
          <w:tcPr>
            <w:tcW w:w="1994" w:type="pct"/>
            <w:vAlign w:val="center"/>
          </w:tcPr>
          <w:p w14:paraId="46BD81B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格式、填写要求符合招标文件规定并加盖投标人公章</w:t>
            </w:r>
          </w:p>
        </w:tc>
        <w:tc>
          <w:tcPr>
            <w:tcW w:w="1575" w:type="pct"/>
            <w:vAlign w:val="center"/>
          </w:tcPr>
          <w:p w14:paraId="3C40E4D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3FED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774B12BD">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2</w:t>
            </w:r>
          </w:p>
        </w:tc>
        <w:tc>
          <w:tcPr>
            <w:tcW w:w="1045" w:type="pct"/>
            <w:vAlign w:val="center"/>
          </w:tcPr>
          <w:p w14:paraId="5D4C1F6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投标函</w:t>
            </w:r>
          </w:p>
        </w:tc>
        <w:tc>
          <w:tcPr>
            <w:tcW w:w="1994" w:type="pct"/>
            <w:vAlign w:val="center"/>
          </w:tcPr>
          <w:p w14:paraId="14B9B36F">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格式、填写要求符合招标文件规定并加盖投标人公章</w:t>
            </w:r>
          </w:p>
        </w:tc>
        <w:tc>
          <w:tcPr>
            <w:tcW w:w="1575" w:type="pct"/>
            <w:vAlign w:val="center"/>
          </w:tcPr>
          <w:p w14:paraId="3842BAE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7096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3977DCA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3</w:t>
            </w:r>
          </w:p>
        </w:tc>
        <w:tc>
          <w:tcPr>
            <w:tcW w:w="1045" w:type="pct"/>
            <w:vAlign w:val="center"/>
          </w:tcPr>
          <w:p w14:paraId="0D9BEF75">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授权书</w:t>
            </w:r>
          </w:p>
        </w:tc>
        <w:tc>
          <w:tcPr>
            <w:tcW w:w="1994" w:type="pct"/>
            <w:vAlign w:val="center"/>
          </w:tcPr>
          <w:p w14:paraId="3843925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格式、填写要求符合招标文件规定并加盖投标人公章</w:t>
            </w:r>
          </w:p>
        </w:tc>
        <w:tc>
          <w:tcPr>
            <w:tcW w:w="1575" w:type="pct"/>
            <w:vAlign w:val="center"/>
          </w:tcPr>
          <w:p w14:paraId="26945A47">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法定代表人参加投标的无需此件，提供身份证明即可。详见第六章投标文件格式。</w:t>
            </w:r>
          </w:p>
        </w:tc>
      </w:tr>
      <w:tr w14:paraId="39EF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48F1AD70">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4</w:t>
            </w:r>
          </w:p>
        </w:tc>
        <w:tc>
          <w:tcPr>
            <w:tcW w:w="1045" w:type="pct"/>
            <w:vAlign w:val="center"/>
          </w:tcPr>
          <w:p w14:paraId="5C97ABF4">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投标报价</w:t>
            </w:r>
          </w:p>
        </w:tc>
        <w:tc>
          <w:tcPr>
            <w:tcW w:w="1994" w:type="pct"/>
            <w:vAlign w:val="center"/>
          </w:tcPr>
          <w:p w14:paraId="7604D241">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rPr>
              <w:t>招标文件投标人须知正文第9条要求</w:t>
            </w:r>
          </w:p>
        </w:tc>
        <w:tc>
          <w:tcPr>
            <w:tcW w:w="1575" w:type="pct"/>
            <w:vAlign w:val="center"/>
          </w:tcPr>
          <w:p w14:paraId="0FB2A2F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7C6B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55998DB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5</w:t>
            </w:r>
          </w:p>
        </w:tc>
        <w:tc>
          <w:tcPr>
            <w:tcW w:w="1045" w:type="pct"/>
            <w:vAlign w:val="center"/>
          </w:tcPr>
          <w:p w14:paraId="2B16030C">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商务响应情况</w:t>
            </w:r>
          </w:p>
        </w:tc>
        <w:tc>
          <w:tcPr>
            <w:tcW w:w="1994" w:type="pct"/>
            <w:vAlign w:val="center"/>
          </w:tcPr>
          <w:p w14:paraId="3202685C">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符合招标文件采购需求中对付款方式、服务地点、服务期限等实质性要求</w:t>
            </w:r>
          </w:p>
        </w:tc>
        <w:tc>
          <w:tcPr>
            <w:tcW w:w="1575" w:type="pct"/>
            <w:vAlign w:val="center"/>
          </w:tcPr>
          <w:p w14:paraId="5F0A9D83">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6BBB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7AD8E7D1">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6</w:t>
            </w:r>
          </w:p>
        </w:tc>
        <w:tc>
          <w:tcPr>
            <w:tcW w:w="1045" w:type="pct"/>
            <w:vAlign w:val="center"/>
          </w:tcPr>
          <w:p w14:paraId="4CC9E414">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其他要求</w:t>
            </w:r>
          </w:p>
        </w:tc>
        <w:tc>
          <w:tcPr>
            <w:tcW w:w="1994" w:type="pct"/>
            <w:vAlign w:val="center"/>
          </w:tcPr>
          <w:p w14:paraId="70CF951F">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符合法律、行政法规规定的其他条件或招标文件列明的其他实质性要求</w:t>
            </w:r>
          </w:p>
        </w:tc>
        <w:tc>
          <w:tcPr>
            <w:tcW w:w="1575" w:type="pct"/>
            <w:vAlign w:val="center"/>
          </w:tcPr>
          <w:p w14:paraId="08F59CD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bl>
    <w:p w14:paraId="1955974D">
      <w:pPr>
        <w:spacing w:line="440" w:lineRule="exact"/>
        <w:ind w:left="-420" w:leftChars="-200" w:right="-512" w:rightChars="-244" w:firstLine="436" w:firstLineChars="181"/>
        <w:rPr>
          <w:rFonts w:ascii="宋体" w:hAnsi="宋体" w:eastAsia="宋体" w:cs="宋体"/>
          <w:sz w:val="24"/>
        </w:rPr>
      </w:pPr>
      <w:r>
        <w:rPr>
          <w:rFonts w:hint="eastAsia" w:ascii="宋体" w:hAnsi="宋体" w:eastAsia="宋体" w:cs="宋体"/>
          <w:b/>
          <w:bCs/>
          <w:sz w:val="24"/>
        </w:rPr>
        <w:t>符合性审查指标通过标准：</w:t>
      </w:r>
      <w:r>
        <w:rPr>
          <w:rFonts w:hint="eastAsia" w:ascii="宋体" w:hAnsi="宋体" w:eastAsia="宋体" w:cs="宋体"/>
          <w:sz w:val="24"/>
        </w:rPr>
        <w:t>投标人必须通过符合性审查表中的全部评审指标。</w:t>
      </w:r>
    </w:p>
    <w:p w14:paraId="738CCB48">
      <w:pPr>
        <w:spacing w:line="440" w:lineRule="exact"/>
        <w:ind w:left="-420" w:leftChars="-200" w:right="-512" w:rightChars="-244" w:firstLine="434" w:firstLineChars="181"/>
        <w:outlineLvl w:val="2"/>
        <w:rPr>
          <w:rFonts w:ascii="宋体" w:hAnsi="宋体" w:eastAsia="宋体" w:cs="宋体"/>
          <w:sz w:val="24"/>
        </w:rPr>
      </w:pPr>
      <w:r>
        <w:rPr>
          <w:rFonts w:hint="eastAsia" w:ascii="宋体" w:hAnsi="宋体" w:eastAsia="宋体" w:cs="宋体"/>
          <w:sz w:val="24"/>
        </w:rPr>
        <w:t>2.3详细审查</w:t>
      </w:r>
    </w:p>
    <w:p w14:paraId="51E10F54">
      <w:pPr>
        <w:spacing w:line="440" w:lineRule="exact"/>
        <w:ind w:left="-420" w:leftChars="-200" w:right="-512" w:rightChars="-244" w:firstLine="434" w:firstLineChars="181"/>
        <w:rPr>
          <w:rFonts w:ascii="宋体" w:hAnsi="宋体" w:eastAsia="宋体" w:cs="宋体"/>
          <w:sz w:val="24"/>
        </w:rPr>
      </w:pPr>
      <w:r>
        <w:rPr>
          <w:rFonts w:hint="eastAsia" w:ascii="宋体" w:hAnsi="宋体" w:eastAsia="宋体" w:cs="宋体"/>
          <w:sz w:val="24"/>
        </w:rPr>
        <w:t>2.3.1评标委员会按照下表对投标文件进行详细审查和评分。</w:t>
      </w:r>
    </w:p>
    <w:p w14:paraId="5C872D82">
      <w:pPr>
        <w:spacing w:line="500" w:lineRule="exact"/>
        <w:ind w:left="-619" w:leftChars="-295" w:firstLine="436" w:firstLineChars="18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auto"/>
          <w:sz w:val="24"/>
          <w:szCs w:val="24"/>
          <w:highlight w:val="none"/>
        </w:rPr>
        <w:t>本项目综合评分满分为100分，其中：</w:t>
      </w:r>
      <w:r>
        <w:rPr>
          <w:rFonts w:hint="eastAsia" w:ascii="宋体" w:hAnsi="宋体" w:eastAsia="宋体" w:cs="宋体"/>
          <w:color w:val="auto"/>
          <w:sz w:val="24"/>
          <w:highlight w:val="none"/>
        </w:rPr>
        <w:t>资信分值占总分值的权重为</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lang w:val="en-US" w:eastAsia="zh-CN"/>
        </w:rPr>
        <w:t>45</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43</w:t>
      </w:r>
      <w:r>
        <w:rPr>
          <w:rFonts w:hint="eastAsia" w:ascii="宋体" w:hAnsi="宋体" w:eastAsia="宋体" w:cs="宋体"/>
          <w:color w:val="auto"/>
          <w:sz w:val="24"/>
          <w:highlight w:val="none"/>
        </w:rPr>
        <w:t>%。具体评分细则如下：</w:t>
      </w:r>
    </w:p>
    <w:tbl>
      <w:tblPr>
        <w:tblStyle w:val="28"/>
        <w:tblW w:w="6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844"/>
        <w:gridCol w:w="6383"/>
        <w:gridCol w:w="1075"/>
      </w:tblGrid>
      <w:tr w14:paraId="0537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5" w:type="pct"/>
            <w:tcBorders>
              <w:top w:val="single" w:color="auto" w:sz="4" w:space="0"/>
              <w:left w:val="single" w:color="auto" w:sz="4" w:space="0"/>
              <w:bottom w:val="single" w:color="auto" w:sz="4" w:space="0"/>
              <w:right w:val="single" w:color="auto" w:sz="4" w:space="0"/>
            </w:tcBorders>
            <w:vAlign w:val="center"/>
          </w:tcPr>
          <w:p w14:paraId="2295B73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类别</w:t>
            </w:r>
          </w:p>
        </w:tc>
        <w:tc>
          <w:tcPr>
            <w:tcW w:w="875" w:type="pct"/>
            <w:tcBorders>
              <w:top w:val="single" w:color="auto" w:sz="4" w:space="0"/>
              <w:left w:val="single" w:color="auto" w:sz="4" w:space="0"/>
              <w:bottom w:val="single" w:color="auto" w:sz="4" w:space="0"/>
              <w:right w:val="single" w:color="auto" w:sz="4" w:space="0"/>
            </w:tcBorders>
            <w:vAlign w:val="center"/>
          </w:tcPr>
          <w:p w14:paraId="35BCECD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3029" w:type="pct"/>
            <w:tcBorders>
              <w:top w:val="single" w:color="auto" w:sz="4" w:space="0"/>
              <w:left w:val="single" w:color="auto" w:sz="4" w:space="0"/>
              <w:bottom w:val="single" w:color="auto" w:sz="4" w:space="0"/>
              <w:right w:val="single" w:color="auto" w:sz="4" w:space="0"/>
            </w:tcBorders>
            <w:vAlign w:val="center"/>
          </w:tcPr>
          <w:p w14:paraId="097436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509" w:type="pct"/>
            <w:tcBorders>
              <w:top w:val="single" w:color="auto" w:sz="4" w:space="0"/>
              <w:left w:val="single" w:color="auto" w:sz="4" w:space="0"/>
              <w:bottom w:val="single" w:color="auto" w:sz="4" w:space="0"/>
              <w:right w:val="single" w:color="auto" w:sz="4" w:space="0"/>
            </w:tcBorders>
            <w:vAlign w:val="center"/>
          </w:tcPr>
          <w:p w14:paraId="7D0DA6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分值范围</w:t>
            </w:r>
          </w:p>
        </w:tc>
      </w:tr>
      <w:tr w14:paraId="4C7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5" w:type="pct"/>
            <w:vMerge w:val="restart"/>
            <w:tcBorders>
              <w:top w:val="single" w:color="auto" w:sz="4" w:space="0"/>
              <w:left w:val="single" w:color="auto" w:sz="4" w:space="0"/>
              <w:right w:val="single" w:color="auto" w:sz="4" w:space="0"/>
            </w:tcBorders>
            <w:vAlign w:val="center"/>
          </w:tcPr>
          <w:p w14:paraId="41E792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资信分</w:t>
            </w:r>
          </w:p>
          <w:p w14:paraId="0ED506E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（30分）</w:t>
            </w: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14:paraId="78F9FAC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投标人</w:t>
            </w:r>
            <w:r>
              <w:rPr>
                <w:rFonts w:hint="eastAsia" w:ascii="宋体" w:hAnsi="宋体" w:eastAsia="宋体" w:cs="宋体"/>
                <w:sz w:val="21"/>
                <w:szCs w:val="21"/>
                <w:lang w:val="zh-CN"/>
              </w:rPr>
              <w:t>业绩</w:t>
            </w:r>
          </w:p>
        </w:tc>
        <w:tc>
          <w:tcPr>
            <w:tcW w:w="3029" w:type="pct"/>
            <w:tcBorders>
              <w:top w:val="single" w:color="auto" w:sz="4" w:space="0"/>
              <w:left w:val="single" w:color="auto" w:sz="4" w:space="0"/>
              <w:bottom w:val="single" w:color="auto" w:sz="4" w:space="0"/>
              <w:right w:val="single" w:color="auto" w:sz="4" w:space="0"/>
            </w:tcBorders>
            <w:shd w:val="clear" w:color="auto" w:fill="auto"/>
            <w:vAlign w:val="center"/>
          </w:tcPr>
          <w:p w14:paraId="4B96EC4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w:t>
            </w:r>
            <w:r>
              <w:rPr>
                <w:rFonts w:hint="eastAsia" w:ascii="宋体" w:hAnsi="宋体" w:eastAsia="宋体" w:cs="宋体"/>
                <w:sz w:val="21"/>
                <w:szCs w:val="21"/>
                <w:lang w:val="en-US" w:eastAsia="zh-CN"/>
              </w:rPr>
              <w:t>1</w:t>
            </w:r>
            <w:r>
              <w:rPr>
                <w:rFonts w:hint="eastAsia" w:ascii="宋体" w:hAnsi="宋体" w:eastAsia="宋体" w:cs="宋体"/>
                <w:sz w:val="21"/>
                <w:szCs w:val="21"/>
              </w:rPr>
              <w:t>至投标截止日（以合同签订时间为准），投标人管理过（含在管）物业管理服务业绩的，每提供一个得</w:t>
            </w:r>
            <w:r>
              <w:rPr>
                <w:rFonts w:hint="eastAsia" w:ascii="宋体" w:hAnsi="宋体" w:eastAsia="宋体" w:cs="宋体"/>
                <w:sz w:val="21"/>
                <w:szCs w:val="21"/>
                <w:lang w:val="en-US" w:eastAsia="zh-CN"/>
              </w:rPr>
              <w:t>3</w:t>
            </w:r>
            <w:r>
              <w:rPr>
                <w:rFonts w:hint="eastAsia" w:ascii="宋体" w:hAnsi="宋体" w:eastAsia="宋体" w:cs="宋体"/>
                <w:sz w:val="21"/>
                <w:szCs w:val="21"/>
              </w:rPr>
              <w:t>分，最高得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53DA3E8A">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注：①投标文件中提供业绩合同扫描件，若合同无法体现签订时间、服务内容等关键评审因素的，需另附招标人（合同甲方）证明材料的扫描件。</w:t>
            </w:r>
          </w:p>
          <w:p w14:paraId="164D964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sz w:val="21"/>
                <w:szCs w:val="21"/>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5E5193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14:paraId="092F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5" w:type="pct"/>
            <w:vMerge w:val="continue"/>
            <w:tcBorders>
              <w:left w:val="single" w:color="auto" w:sz="4" w:space="0"/>
              <w:right w:val="single" w:color="auto" w:sz="4" w:space="0"/>
            </w:tcBorders>
            <w:vAlign w:val="center"/>
          </w:tcPr>
          <w:p w14:paraId="5C9977C7">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1"/>
                <w:szCs w:val="21"/>
              </w:rPr>
            </w:pP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14:paraId="79E5DF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信用等级</w:t>
            </w:r>
          </w:p>
          <w:p w14:paraId="727A1EC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1"/>
                <w:szCs w:val="21"/>
                <w:lang w:val="en-US" w:eastAsia="zh-CN" w:bidi="ar-SA"/>
              </w:rPr>
            </w:pPr>
          </w:p>
        </w:tc>
        <w:tc>
          <w:tcPr>
            <w:tcW w:w="3029" w:type="pct"/>
            <w:tcBorders>
              <w:top w:val="single" w:color="auto" w:sz="4" w:space="0"/>
              <w:left w:val="single" w:color="auto" w:sz="4" w:space="0"/>
              <w:bottom w:val="single" w:color="auto" w:sz="4" w:space="0"/>
              <w:right w:val="single" w:color="auto" w:sz="4" w:space="0"/>
            </w:tcBorders>
            <w:shd w:val="clear" w:color="auto" w:fill="auto"/>
            <w:vAlign w:val="center"/>
          </w:tcPr>
          <w:p w14:paraId="4D80FE68">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宋体" w:hAnsi="宋体" w:eastAsia="宋体"/>
                <w:b w:val="0"/>
                <w:bCs w:val="0"/>
                <w:color w:val="auto"/>
                <w:sz w:val="24"/>
                <w:szCs w:val="22"/>
                <w:lang w:val="en-US" w:eastAsia="zh-CN"/>
              </w:rPr>
            </w:pPr>
            <w:r>
              <w:rPr>
                <w:rFonts w:hint="eastAsia" w:ascii="宋体" w:hAnsi="宋体" w:eastAsia="宋体"/>
                <w:b w:val="0"/>
                <w:bCs w:val="0"/>
                <w:color w:val="auto"/>
                <w:sz w:val="24"/>
                <w:szCs w:val="22"/>
              </w:rPr>
              <w:t>投标人物业信用等级被市级及以上物业行政主管部门评为甲级（类）的得3分，被评为乙级（类）的得2分；对连续</w:t>
            </w:r>
            <w:r>
              <w:rPr>
                <w:rFonts w:hint="eastAsia" w:ascii="宋体" w:hAnsi="宋体" w:eastAsia="宋体"/>
                <w:b w:val="0"/>
                <w:bCs w:val="0"/>
                <w:color w:val="auto"/>
                <w:sz w:val="24"/>
                <w:szCs w:val="22"/>
                <w:lang w:val="en-US" w:eastAsia="zh-CN"/>
              </w:rPr>
              <w:t>五</w:t>
            </w:r>
            <w:r>
              <w:rPr>
                <w:rFonts w:hint="eastAsia" w:ascii="宋体" w:hAnsi="宋体" w:eastAsia="宋体"/>
                <w:b w:val="0"/>
                <w:bCs w:val="0"/>
                <w:color w:val="auto"/>
                <w:sz w:val="24"/>
                <w:szCs w:val="22"/>
              </w:rPr>
              <w:t>年评为甲级（类）的，再加</w:t>
            </w:r>
            <w:r>
              <w:rPr>
                <w:rFonts w:hint="eastAsia" w:ascii="宋体" w:hAnsi="宋体" w:eastAsia="宋体"/>
                <w:b w:val="0"/>
                <w:bCs w:val="0"/>
                <w:color w:val="auto"/>
                <w:sz w:val="24"/>
                <w:szCs w:val="22"/>
                <w:lang w:val="en-US" w:eastAsia="zh-CN"/>
              </w:rPr>
              <w:t>3</w:t>
            </w:r>
            <w:r>
              <w:rPr>
                <w:rFonts w:hint="eastAsia" w:ascii="宋体" w:hAnsi="宋体" w:eastAsia="宋体"/>
                <w:b w:val="0"/>
                <w:bCs w:val="0"/>
                <w:color w:val="auto"/>
                <w:sz w:val="24"/>
                <w:szCs w:val="22"/>
              </w:rPr>
              <w:t>分</w:t>
            </w:r>
            <w:r>
              <w:rPr>
                <w:rFonts w:hint="eastAsia" w:ascii="宋体" w:hAnsi="宋体" w:eastAsia="宋体"/>
                <w:b w:val="0"/>
                <w:bCs w:val="0"/>
                <w:color w:val="auto"/>
                <w:sz w:val="24"/>
                <w:szCs w:val="22"/>
                <w:lang w:eastAsia="zh-CN"/>
              </w:rPr>
              <w:t>，</w:t>
            </w:r>
            <w:r>
              <w:rPr>
                <w:rFonts w:hint="eastAsia" w:ascii="宋体" w:hAnsi="宋体" w:eastAsia="宋体"/>
                <w:b w:val="0"/>
                <w:bCs w:val="0"/>
                <w:color w:val="auto"/>
                <w:sz w:val="24"/>
                <w:szCs w:val="22"/>
                <w:lang w:val="en-US" w:eastAsia="zh-CN"/>
              </w:rPr>
              <w:t>满分6分。</w:t>
            </w:r>
          </w:p>
          <w:p w14:paraId="76A4DEA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注：①投标文件中提供物业主管部门颁发的证明文件或官网公示截图等材料扫描件；信用等级命名不同的，还须提供行业行政主管部门划分信用等级的证明材料扫描件。</w:t>
            </w:r>
          </w:p>
          <w:p w14:paraId="35C6E23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②有效时间以物业行政主管部门颁发的证明文件时间为准。</w:t>
            </w:r>
          </w:p>
          <w:p w14:paraId="45A056D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③物业信用等级命名如有不同，性质类似均予以认可。最高等级的以甲级(类)计算，次高等级的按乙级(类)计算。不累计计分，以最高分计算。</w:t>
            </w:r>
          </w:p>
          <w:p w14:paraId="6364A02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sz w:val="21"/>
                <w:szCs w:val="21"/>
              </w:rPr>
              <w:t>④上述评分项最多提供一个信用评定，按照排列顺序从首个评分项开始评审至对应数量，超出部分不进行评审，不累计计分</w:t>
            </w:r>
            <w:r>
              <w:rPr>
                <w:rFonts w:hint="eastAsia" w:ascii="宋体" w:hAnsi="宋体" w:eastAsia="宋体" w:cs="宋体"/>
                <w:b/>
                <w:bCs/>
                <w:sz w:val="21"/>
                <w:szCs w:val="21"/>
                <w:lang w:eastAsia="zh-CN"/>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70170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0-6分</w:t>
            </w:r>
          </w:p>
        </w:tc>
      </w:tr>
      <w:tr w14:paraId="7F28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5" w:type="pct"/>
            <w:vMerge w:val="continue"/>
            <w:tcBorders>
              <w:left w:val="single" w:color="auto" w:sz="4" w:space="0"/>
              <w:bottom w:val="single" w:color="auto" w:sz="4" w:space="0"/>
              <w:right w:val="single" w:color="auto" w:sz="4" w:space="0"/>
            </w:tcBorders>
            <w:vAlign w:val="center"/>
          </w:tcPr>
          <w:p w14:paraId="0FD60DEA">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1"/>
                <w:szCs w:val="21"/>
              </w:rPr>
            </w:pP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14:paraId="1CBD30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团队能力</w:t>
            </w:r>
          </w:p>
        </w:tc>
        <w:tc>
          <w:tcPr>
            <w:tcW w:w="3029" w:type="pct"/>
            <w:tcBorders>
              <w:top w:val="single" w:color="auto" w:sz="4" w:space="0"/>
              <w:left w:val="single" w:color="auto" w:sz="4" w:space="0"/>
              <w:bottom w:val="single" w:color="auto" w:sz="4" w:space="0"/>
              <w:right w:val="single" w:color="auto" w:sz="4" w:space="0"/>
            </w:tcBorders>
            <w:shd w:val="clear" w:color="auto" w:fill="auto"/>
            <w:vAlign w:val="center"/>
          </w:tcPr>
          <w:p w14:paraId="5C2B3F5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本项目配备的项目经理</w:t>
            </w:r>
            <w:r>
              <w:rPr>
                <w:rFonts w:hint="eastAsia" w:ascii="宋体" w:hAnsi="宋体" w:eastAsia="宋体" w:cs="宋体"/>
                <w:color w:val="auto"/>
                <w:sz w:val="21"/>
                <w:szCs w:val="21"/>
                <w:lang w:val="en-US" w:eastAsia="zh-CN"/>
              </w:rPr>
              <w:t>满足下列要求的予以得分</w:t>
            </w:r>
            <w:r>
              <w:rPr>
                <w:rFonts w:hint="eastAsia" w:ascii="宋体" w:hAnsi="宋体" w:eastAsia="宋体" w:cs="宋体"/>
                <w:color w:val="auto"/>
                <w:sz w:val="21"/>
                <w:szCs w:val="21"/>
              </w:rPr>
              <w:t>：</w:t>
            </w:r>
          </w:p>
          <w:p w14:paraId="595D895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1.1具有三级（或以上）物业管理员（师）职业资格（或职业技能等级）证书的得5分；</w:t>
            </w:r>
          </w:p>
          <w:p w14:paraId="23F7AF5F">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1.2具有的二级（或以上）电工职业技能证书的，得5分；</w:t>
            </w:r>
          </w:p>
          <w:p w14:paraId="4D090B1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具有四级及以上消防设施操作员（消防设施监控操作）得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7B00867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2、本项目配备的绿化工满足下列要求的予以得分：</w:t>
            </w:r>
          </w:p>
          <w:p w14:paraId="54FE2A3B">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2.1具有三级（或以上）绿化工职业资格（或职业技能等级）证书得3分；</w:t>
            </w:r>
          </w:p>
          <w:p w14:paraId="21ACF30D">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注：投标文件中同时提供以下证明材料：</w:t>
            </w:r>
          </w:p>
          <w:p w14:paraId="0676391B">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）上述人员有效身份证（含正反页）、相关证书或证明材料扫描件；</w:t>
            </w:r>
          </w:p>
          <w:p w14:paraId="50A8BDF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上述人员须持有社保部门出具的本单位为其缴纳的投标前</w:t>
            </w:r>
            <w:r>
              <w:rPr>
                <w:rFonts w:hint="eastAsia" w:ascii="宋体" w:hAnsi="宋体" w:eastAsia="宋体" w:cs="宋体"/>
                <w:b/>
                <w:bCs/>
                <w:color w:val="auto"/>
                <w:sz w:val="21"/>
                <w:szCs w:val="21"/>
                <w:lang w:val="en-US" w:eastAsia="zh-CN"/>
              </w:rPr>
              <w:t>连续六</w:t>
            </w:r>
            <w:r>
              <w:rPr>
                <w:rFonts w:hint="eastAsia" w:ascii="宋体" w:hAnsi="宋体" w:eastAsia="宋体" w:cs="宋体"/>
                <w:b/>
                <w:bCs/>
                <w:color w:val="auto"/>
                <w:sz w:val="21"/>
                <w:szCs w:val="21"/>
              </w:rPr>
              <w:t>个月的养老保险证明（证明文件两个月内有效）。</w:t>
            </w:r>
            <w:r>
              <w:rPr>
                <w:rFonts w:hint="eastAsia" w:ascii="宋体" w:hAnsi="宋体" w:eastAsia="宋体" w:cs="宋体"/>
                <w:color w:val="auto"/>
                <w:sz w:val="21"/>
                <w:szCs w:val="21"/>
              </w:rPr>
              <w:t xml:space="preserve"> </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3EE034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0-18分</w:t>
            </w:r>
          </w:p>
        </w:tc>
      </w:tr>
      <w:tr w14:paraId="72F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pct"/>
            <w:vMerge w:val="restart"/>
            <w:tcBorders>
              <w:top w:val="single" w:color="auto" w:sz="4" w:space="0"/>
              <w:left w:val="single" w:color="auto" w:sz="4" w:space="0"/>
              <w:right w:val="single" w:color="auto" w:sz="4" w:space="0"/>
            </w:tcBorders>
            <w:vAlign w:val="center"/>
          </w:tcPr>
          <w:p w14:paraId="2B6B8EE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技术分</w:t>
            </w:r>
          </w:p>
          <w:p w14:paraId="0FE6EF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u w:val="none"/>
                <w:lang w:val="en-US" w:eastAsia="zh-CN"/>
              </w:rPr>
              <w:t>60</w:t>
            </w:r>
            <w:r>
              <w:rPr>
                <w:rFonts w:hint="eastAsia" w:ascii="宋体" w:hAnsi="宋体" w:eastAsia="宋体" w:cs="宋体"/>
                <w:sz w:val="21"/>
                <w:szCs w:val="21"/>
              </w:rPr>
              <w:t>分）</w:t>
            </w:r>
          </w:p>
        </w:tc>
        <w:tc>
          <w:tcPr>
            <w:tcW w:w="875" w:type="pct"/>
            <w:tcBorders>
              <w:top w:val="single" w:color="auto" w:sz="4" w:space="0"/>
              <w:left w:val="single" w:color="auto" w:sz="4" w:space="0"/>
              <w:bottom w:val="single" w:color="auto" w:sz="4" w:space="0"/>
              <w:right w:val="single" w:color="auto" w:sz="4" w:space="0"/>
            </w:tcBorders>
            <w:vAlign w:val="center"/>
          </w:tcPr>
          <w:p w14:paraId="36B327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sz w:val="21"/>
                <w:szCs w:val="21"/>
              </w:rPr>
              <w:t>.提高物业管理服务水平的整体设想及策划</w:t>
            </w:r>
          </w:p>
        </w:tc>
        <w:tc>
          <w:tcPr>
            <w:tcW w:w="3029" w:type="pct"/>
            <w:tcBorders>
              <w:top w:val="single" w:color="auto" w:sz="4" w:space="0"/>
              <w:left w:val="single" w:color="auto" w:sz="4" w:space="0"/>
              <w:bottom w:val="single" w:color="auto" w:sz="4" w:space="0"/>
              <w:right w:val="single" w:color="auto" w:sz="4" w:space="0"/>
            </w:tcBorders>
            <w:vAlign w:val="center"/>
          </w:tcPr>
          <w:p w14:paraId="74EDF50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根据有关法规、政策、标准及本项目特点，拟提出整体设想及策划，包括但不限于高标准、高水平管理的措施，管理深度和广度的做法，超前性、创造性、全方位贴心服务的意识，创造优美舒适、安全文明、洁净环境的设想等内容。评标委员会根据投标人提供的以上内容综合评分：</w:t>
            </w:r>
          </w:p>
          <w:p w14:paraId="45A46CFA">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内容详尽，实施措施有针对性的得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3499520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内容完整，有实施措施，符合实际需求的得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2170F89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内容简单、合理的得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1530B2D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内容粗糙，条理不清晰，存在不足的得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5CBEBB0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未提供不得分。</w:t>
            </w:r>
          </w:p>
        </w:tc>
        <w:tc>
          <w:tcPr>
            <w:tcW w:w="509" w:type="pct"/>
            <w:tcBorders>
              <w:top w:val="single" w:color="auto" w:sz="4" w:space="0"/>
              <w:left w:val="single" w:color="auto" w:sz="4" w:space="0"/>
              <w:bottom w:val="single" w:color="auto" w:sz="4" w:space="0"/>
              <w:right w:val="single" w:color="auto" w:sz="4" w:space="0"/>
            </w:tcBorders>
            <w:vAlign w:val="center"/>
          </w:tcPr>
          <w:p w14:paraId="785A8F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r>
      <w:tr w14:paraId="782D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pct"/>
            <w:vMerge w:val="continue"/>
            <w:tcBorders>
              <w:left w:val="single" w:color="auto" w:sz="4" w:space="0"/>
              <w:right w:val="single" w:color="auto" w:sz="4" w:space="0"/>
            </w:tcBorders>
            <w:vAlign w:val="center"/>
          </w:tcPr>
          <w:p w14:paraId="2B588162">
            <w:pPr>
              <w:keepNext w:val="0"/>
              <w:keepLines w:val="0"/>
              <w:pageBreakBefore w:val="0"/>
              <w:kinsoku/>
              <w:wordWrap/>
              <w:overflowPunct/>
              <w:topLinePunct w:val="0"/>
              <w:autoSpaceDE/>
              <w:autoSpaceDN/>
              <w:bidi w:val="0"/>
              <w:adjustRightInd/>
              <w:snapToGrid/>
              <w:spacing w:line="500" w:lineRule="exact"/>
              <w:ind w:firstLine="435"/>
              <w:jc w:val="center"/>
              <w:textAlignment w:val="auto"/>
              <w:rPr>
                <w:rFonts w:hint="eastAsia" w:ascii="宋体" w:hAnsi="宋体" w:eastAsia="宋体" w:cs="宋体"/>
                <w:b/>
                <w:bCs/>
                <w:sz w:val="21"/>
                <w:szCs w:val="21"/>
              </w:rPr>
            </w:pPr>
          </w:p>
        </w:tc>
        <w:tc>
          <w:tcPr>
            <w:tcW w:w="875" w:type="pct"/>
            <w:tcBorders>
              <w:top w:val="single" w:color="auto" w:sz="4" w:space="0"/>
              <w:left w:val="single" w:color="auto" w:sz="4" w:space="0"/>
              <w:bottom w:val="single" w:color="auto" w:sz="4" w:space="0"/>
              <w:right w:val="single" w:color="auto" w:sz="4" w:space="0"/>
            </w:tcBorders>
            <w:vAlign w:val="center"/>
          </w:tcPr>
          <w:p w14:paraId="4847AA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2.管理方式、工作计划及物资装备</w:t>
            </w:r>
          </w:p>
        </w:tc>
        <w:tc>
          <w:tcPr>
            <w:tcW w:w="3029" w:type="pct"/>
            <w:tcBorders>
              <w:top w:val="single" w:color="auto" w:sz="4" w:space="0"/>
              <w:left w:val="single" w:color="auto" w:sz="4" w:space="0"/>
              <w:bottom w:val="single" w:color="auto" w:sz="4" w:space="0"/>
              <w:right w:val="single" w:color="auto" w:sz="4" w:space="0"/>
            </w:tcBorders>
            <w:vAlign w:val="center"/>
          </w:tcPr>
          <w:p w14:paraId="4B0D965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针对本项目提供整体的管理方案，包括管理方式：内部管理架构、激励机制、监督机制、自我约束机制、信息反馈及处理机制等；工作计划合理、有序、具有可操作性；物资装备符合本项目实际情况。由评标委员会根据投标文件以上内容进行综合评审：</w:t>
            </w:r>
          </w:p>
          <w:p w14:paraId="770F254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内容详实完整，准确且合理的得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0CFDDB0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内容完整，贴合项目实际需求，有可行性的得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5AB672E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内容不缺项，有可操作性的得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5D2372CA">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内容粗糙，逻辑不合理，有待提高的得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3F43856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未提供的不得分。</w:t>
            </w:r>
          </w:p>
        </w:tc>
        <w:tc>
          <w:tcPr>
            <w:tcW w:w="509" w:type="pct"/>
            <w:tcBorders>
              <w:top w:val="single" w:color="auto" w:sz="4" w:space="0"/>
              <w:left w:val="single" w:color="auto" w:sz="4" w:space="0"/>
              <w:bottom w:val="single" w:color="auto" w:sz="4" w:space="0"/>
              <w:right w:val="single" w:color="auto" w:sz="4" w:space="0"/>
            </w:tcBorders>
            <w:vAlign w:val="center"/>
          </w:tcPr>
          <w:p w14:paraId="176896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r>
      <w:tr w14:paraId="6CC5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pct"/>
            <w:vMerge w:val="continue"/>
            <w:tcBorders>
              <w:left w:val="single" w:color="auto" w:sz="4" w:space="0"/>
              <w:right w:val="single" w:color="auto" w:sz="4" w:space="0"/>
            </w:tcBorders>
            <w:vAlign w:val="center"/>
          </w:tcPr>
          <w:p w14:paraId="2F45CCAD">
            <w:pPr>
              <w:keepNext w:val="0"/>
              <w:keepLines w:val="0"/>
              <w:pageBreakBefore w:val="0"/>
              <w:kinsoku/>
              <w:wordWrap/>
              <w:overflowPunct/>
              <w:topLinePunct w:val="0"/>
              <w:autoSpaceDE/>
              <w:autoSpaceDN/>
              <w:bidi w:val="0"/>
              <w:adjustRightInd/>
              <w:snapToGrid/>
              <w:spacing w:line="500" w:lineRule="exact"/>
              <w:ind w:firstLine="435"/>
              <w:jc w:val="center"/>
              <w:textAlignment w:val="auto"/>
              <w:rPr>
                <w:rFonts w:hint="eastAsia" w:ascii="宋体" w:hAnsi="宋体" w:eastAsia="宋体" w:cs="宋体"/>
                <w:b/>
                <w:bCs/>
                <w:sz w:val="21"/>
                <w:szCs w:val="21"/>
              </w:rPr>
            </w:pPr>
          </w:p>
        </w:tc>
        <w:tc>
          <w:tcPr>
            <w:tcW w:w="875" w:type="pct"/>
            <w:tcBorders>
              <w:top w:val="single" w:color="auto" w:sz="4" w:space="0"/>
              <w:left w:val="single" w:color="auto" w:sz="4" w:space="0"/>
              <w:bottom w:val="single" w:color="auto" w:sz="4" w:space="0"/>
              <w:right w:val="single" w:color="auto" w:sz="4" w:space="0"/>
            </w:tcBorders>
            <w:vAlign w:val="center"/>
          </w:tcPr>
          <w:p w14:paraId="1195028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人员配备、培训及管理</w:t>
            </w:r>
          </w:p>
        </w:tc>
        <w:tc>
          <w:tcPr>
            <w:tcW w:w="3029" w:type="pct"/>
            <w:tcBorders>
              <w:top w:val="single" w:color="auto" w:sz="4" w:space="0"/>
              <w:left w:val="single" w:color="auto" w:sz="4" w:space="0"/>
              <w:bottom w:val="single" w:color="auto" w:sz="4" w:space="0"/>
              <w:right w:val="single" w:color="auto" w:sz="4" w:space="0"/>
            </w:tcBorders>
            <w:vAlign w:val="center"/>
          </w:tcPr>
          <w:p w14:paraId="04AD113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项目特点提供整体的人员配备、培训方案，包括：人员培训：对各类人员的培训计划、方式、目标及行为规范的培训等；人员的管理：录用与考核、淘汰机制、奖罚、协调关系、服务意识、量化管理及标准运作等；管理规章制度：公众制度、企业内部岗位责任制、管理维护运作制度及标准、管理人员考核制度及标准等。由评标委员会根据投标文件以上内容进行评审：</w:t>
            </w:r>
          </w:p>
          <w:p w14:paraId="6FEE4F5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方案切合实际情况，各部分有深入的表述，解决方案合理、有具体切实可行的保障措施的得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16BC59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方案符合实际情况，内容完整、表述清晰，有保障措施，措施实施内容具体可行的得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8E18EC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方案满足项目要求但有矛盾点、可行性受影响，对各个环节的保障措施、解决方案等缺项或关键点缺失的得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37F2B0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4.合格的得4分；</w:t>
            </w:r>
          </w:p>
          <w:p w14:paraId="67EAFD4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未提供不得分。</w:t>
            </w:r>
          </w:p>
        </w:tc>
        <w:tc>
          <w:tcPr>
            <w:tcW w:w="509" w:type="pct"/>
            <w:tcBorders>
              <w:top w:val="single" w:color="auto" w:sz="4" w:space="0"/>
              <w:left w:val="single" w:color="auto" w:sz="4" w:space="0"/>
              <w:bottom w:val="single" w:color="auto" w:sz="4" w:space="0"/>
              <w:right w:val="single" w:color="auto" w:sz="4" w:space="0"/>
            </w:tcBorders>
            <w:vAlign w:val="center"/>
          </w:tcPr>
          <w:p w14:paraId="2D462E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r>
      <w:tr w14:paraId="0494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85" w:type="pct"/>
            <w:vMerge w:val="continue"/>
            <w:tcBorders>
              <w:left w:val="single" w:color="auto" w:sz="4" w:space="0"/>
              <w:right w:val="single" w:color="auto" w:sz="4" w:space="0"/>
            </w:tcBorders>
            <w:vAlign w:val="center"/>
          </w:tcPr>
          <w:p w14:paraId="21FF7AE0">
            <w:pPr>
              <w:keepNext w:val="0"/>
              <w:keepLines w:val="0"/>
              <w:pageBreakBefore w:val="0"/>
              <w:kinsoku/>
              <w:wordWrap/>
              <w:overflowPunct/>
              <w:topLinePunct w:val="0"/>
              <w:autoSpaceDE/>
              <w:autoSpaceDN/>
              <w:bidi w:val="0"/>
              <w:adjustRightInd/>
              <w:snapToGrid/>
              <w:spacing w:line="500" w:lineRule="exact"/>
              <w:ind w:firstLine="435"/>
              <w:jc w:val="center"/>
              <w:textAlignment w:val="auto"/>
              <w:rPr>
                <w:rFonts w:hint="eastAsia" w:ascii="宋体" w:hAnsi="宋体" w:eastAsia="宋体" w:cs="宋体"/>
                <w:b/>
                <w:bCs/>
                <w:sz w:val="21"/>
                <w:szCs w:val="21"/>
              </w:rPr>
            </w:pPr>
          </w:p>
        </w:tc>
        <w:tc>
          <w:tcPr>
            <w:tcW w:w="875" w:type="pct"/>
            <w:tcBorders>
              <w:top w:val="single" w:color="auto" w:sz="4" w:space="0"/>
              <w:left w:val="single" w:color="auto" w:sz="4" w:space="0"/>
              <w:right w:val="single" w:color="auto" w:sz="4" w:space="0"/>
            </w:tcBorders>
            <w:vAlign w:val="center"/>
          </w:tcPr>
          <w:p w14:paraId="77CFACD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38B8400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1462F14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0F1E672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14812A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4.应急处理预案</w:t>
            </w:r>
          </w:p>
        </w:tc>
        <w:tc>
          <w:tcPr>
            <w:tcW w:w="3029" w:type="pct"/>
            <w:tcBorders>
              <w:top w:val="single" w:color="auto" w:sz="4" w:space="0"/>
              <w:left w:val="single" w:color="auto" w:sz="4" w:space="0"/>
              <w:bottom w:val="single" w:color="auto" w:sz="4" w:space="0"/>
              <w:right w:val="single" w:color="auto" w:sz="4" w:space="0"/>
            </w:tcBorders>
            <w:vAlign w:val="center"/>
          </w:tcPr>
          <w:p w14:paraId="4BDDF02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针对本项目的实际情况制定的应急预案方案，对突发事件如电梯、火灾、地震、停供电、雨雪恶劣天气等事项能安排专人负责，有详细的应急预案及安全秩序维护，评标委员会根据投标人提供的以上内容综合评分：</w:t>
            </w:r>
          </w:p>
          <w:p w14:paraId="3A5088F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方案完善，可行性高，有针对性，应急响应时间安排合理，应急设备及应急服务人员配备充足，突发情况应急处理控制措施完整可行的得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5D97B20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方案合理，应急响应时间安排合理，应急设备及应急服务人员配备可行，可以完成突发情况应急处理得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5563A19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方案简单，应急响应时间、应急设备及应急服务人员配备</w:t>
            </w:r>
            <w:bookmarkStart w:id="65" w:name="OLE_LINK6"/>
            <w:r>
              <w:rPr>
                <w:rFonts w:hint="eastAsia" w:ascii="宋体" w:hAnsi="宋体" w:eastAsia="宋体" w:cs="宋体"/>
                <w:sz w:val="21"/>
                <w:szCs w:val="21"/>
              </w:rPr>
              <w:t>勉强满足项目需求且出现非专门针对本项目特性内容，方案有待改善的得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bookmarkEnd w:id="65"/>
            <w:r>
              <w:rPr>
                <w:rFonts w:hint="eastAsia" w:ascii="宋体" w:hAnsi="宋体" w:eastAsia="宋体" w:cs="宋体"/>
                <w:sz w:val="21"/>
                <w:szCs w:val="21"/>
              </w:rPr>
              <w:t>；</w:t>
            </w:r>
          </w:p>
          <w:p w14:paraId="7A22337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方案、应急响应时间安排不合理，应急设备及应急服务人员实施有矛盾，有逻辑漏洞、常识性错误的情形的得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62ACCC6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未提供不得分。</w:t>
            </w:r>
          </w:p>
        </w:tc>
        <w:tc>
          <w:tcPr>
            <w:tcW w:w="509" w:type="pct"/>
            <w:tcBorders>
              <w:top w:val="single" w:color="auto" w:sz="4" w:space="0"/>
              <w:left w:val="single" w:color="auto" w:sz="4" w:space="0"/>
              <w:right w:val="single" w:color="auto" w:sz="4" w:space="0"/>
            </w:tcBorders>
            <w:vAlign w:val="center"/>
          </w:tcPr>
          <w:p w14:paraId="4DA1D9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17CBBA3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2477E06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1517D8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p w14:paraId="5D21ED2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r>
      <w:tr w14:paraId="2BF3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85" w:type="pct"/>
            <w:vMerge w:val="continue"/>
            <w:tcBorders>
              <w:left w:val="single" w:color="auto" w:sz="4" w:space="0"/>
              <w:right w:val="single" w:color="auto" w:sz="4" w:space="0"/>
            </w:tcBorders>
            <w:vAlign w:val="center"/>
          </w:tcPr>
          <w:p w14:paraId="5EFA6522">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p>
        </w:tc>
        <w:tc>
          <w:tcPr>
            <w:tcW w:w="875" w:type="pct"/>
            <w:tcBorders>
              <w:left w:val="single" w:color="auto" w:sz="4" w:space="0"/>
              <w:right w:val="single" w:color="auto" w:sz="4" w:space="0"/>
            </w:tcBorders>
            <w:vAlign w:val="center"/>
          </w:tcPr>
          <w:p w14:paraId="67186A6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5.人员工资保障方案</w:t>
            </w:r>
          </w:p>
          <w:p w14:paraId="1D260CC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p>
        </w:tc>
        <w:tc>
          <w:tcPr>
            <w:tcW w:w="3029" w:type="pct"/>
            <w:tcBorders>
              <w:top w:val="single" w:color="auto" w:sz="4" w:space="0"/>
              <w:left w:val="single" w:color="auto" w:sz="4" w:space="0"/>
              <w:right w:val="single" w:color="auto" w:sz="4" w:space="0"/>
            </w:tcBorders>
            <w:vAlign w:val="center"/>
          </w:tcPr>
          <w:p w14:paraId="66279EC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根据各投标人提供的针对本项目制定的人员工资保障方案进行评审： </w:t>
            </w:r>
          </w:p>
          <w:p w14:paraId="7D53E95A">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1.方案覆盖全面、要点突出、针对性强，内容完整详实，表述清晰，本项目实际需求适应度相契合，利于项目实施的得</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分。 </w:t>
            </w:r>
          </w:p>
          <w:p w14:paraId="1B39014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2.方案覆盖全面、内容完整详实，表述清晰，符合项目实施要求的得</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分； </w:t>
            </w:r>
          </w:p>
          <w:p w14:paraId="614188BA">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3.方</w:t>
            </w:r>
            <w:bookmarkStart w:id="66" w:name="OLE_LINK5"/>
            <w:r>
              <w:rPr>
                <w:rFonts w:hint="eastAsia" w:ascii="宋体" w:hAnsi="宋体" w:eastAsia="宋体" w:cs="宋体"/>
                <w:sz w:val="21"/>
                <w:szCs w:val="21"/>
              </w:rPr>
              <w:t>案或关键点</w:t>
            </w:r>
            <w:bookmarkEnd w:id="66"/>
            <w:r>
              <w:rPr>
                <w:rFonts w:hint="eastAsia" w:ascii="宋体" w:hAnsi="宋体" w:eastAsia="宋体" w:cs="宋体"/>
                <w:sz w:val="21"/>
                <w:szCs w:val="21"/>
              </w:rPr>
              <w:t>勉强满足项目需求的得</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分； </w:t>
            </w:r>
          </w:p>
          <w:p w14:paraId="50090EA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4.方案或关键点合格的得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3D55B47F">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5.未提供的不得分。 </w:t>
            </w:r>
          </w:p>
        </w:tc>
        <w:tc>
          <w:tcPr>
            <w:tcW w:w="509" w:type="pct"/>
            <w:tcBorders>
              <w:left w:val="single" w:color="auto" w:sz="4" w:space="0"/>
              <w:right w:val="single" w:color="auto" w:sz="4" w:space="0"/>
            </w:tcBorders>
            <w:vAlign w:val="center"/>
          </w:tcPr>
          <w:p w14:paraId="02A6E04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r>
      <w:tr w14:paraId="7257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585" w:type="pct"/>
            <w:vMerge w:val="continue"/>
            <w:tcBorders>
              <w:left w:val="single" w:color="auto" w:sz="4" w:space="0"/>
              <w:right w:val="single" w:color="auto" w:sz="4" w:space="0"/>
            </w:tcBorders>
            <w:vAlign w:val="center"/>
          </w:tcPr>
          <w:p w14:paraId="6243B8A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p>
        </w:tc>
        <w:tc>
          <w:tcPr>
            <w:tcW w:w="875" w:type="pct"/>
            <w:tcBorders>
              <w:left w:val="single" w:color="auto" w:sz="4" w:space="0"/>
              <w:right w:val="single" w:color="auto" w:sz="4" w:space="0"/>
            </w:tcBorders>
            <w:vAlign w:val="center"/>
          </w:tcPr>
          <w:p w14:paraId="749009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.保洁服务方案</w:t>
            </w:r>
          </w:p>
        </w:tc>
        <w:tc>
          <w:tcPr>
            <w:tcW w:w="3029" w:type="pct"/>
            <w:tcBorders>
              <w:left w:val="single" w:color="auto" w:sz="4" w:space="0"/>
              <w:right w:val="single" w:color="auto" w:sz="4" w:space="0"/>
            </w:tcBorders>
            <w:vAlign w:val="center"/>
          </w:tcPr>
          <w:p w14:paraId="43C8D67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针对本项目的工作特点提供日常保洁服务方案内容。由评标委员会根据投标人</w:t>
            </w:r>
            <w:r>
              <w:rPr>
                <w:rFonts w:hint="eastAsia" w:ascii="宋体" w:hAnsi="宋体" w:eastAsia="宋体" w:cs="宋体"/>
                <w:color w:val="auto"/>
                <w:sz w:val="21"/>
                <w:szCs w:val="21"/>
                <w:highlight w:val="none"/>
                <w:lang w:eastAsia="zh-CN"/>
              </w:rPr>
              <w:t>提供的</w:t>
            </w:r>
            <w:r>
              <w:rPr>
                <w:rFonts w:hint="eastAsia" w:ascii="宋体" w:hAnsi="宋体" w:eastAsia="宋体" w:cs="宋体"/>
                <w:color w:val="auto"/>
                <w:sz w:val="21"/>
                <w:szCs w:val="21"/>
                <w:highlight w:val="none"/>
              </w:rPr>
              <w:t>以上内容进行评审：</w:t>
            </w:r>
          </w:p>
          <w:p w14:paraId="30BECC0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保洁</w:t>
            </w:r>
            <w:r>
              <w:rPr>
                <w:rFonts w:hint="eastAsia" w:ascii="宋体" w:hAnsi="宋体" w:eastAsia="宋体" w:cs="宋体"/>
                <w:color w:val="auto"/>
                <w:sz w:val="21"/>
                <w:szCs w:val="21"/>
                <w:highlight w:val="none"/>
              </w:rPr>
              <w:t>服务方案全面、完整、</w:t>
            </w:r>
            <w:r>
              <w:rPr>
                <w:rFonts w:hint="eastAsia" w:ascii="宋体" w:hAnsi="宋体" w:eastAsia="宋体" w:cs="宋体"/>
                <w:color w:val="auto"/>
                <w:sz w:val="21"/>
                <w:szCs w:val="21"/>
                <w:highlight w:val="none"/>
                <w:lang w:eastAsia="zh-CN"/>
              </w:rPr>
              <w:t>人员配备充足、具有</w:t>
            </w:r>
            <w:r>
              <w:rPr>
                <w:rFonts w:hint="eastAsia" w:ascii="宋体" w:hAnsi="宋体" w:eastAsia="宋体" w:cs="宋体"/>
                <w:color w:val="auto"/>
                <w:sz w:val="21"/>
                <w:szCs w:val="21"/>
                <w:highlight w:val="none"/>
              </w:rPr>
              <w:t>完善</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服务措施，工作安排实施可实施性突出，</w:t>
            </w:r>
            <w:r>
              <w:rPr>
                <w:rFonts w:hint="eastAsia" w:ascii="宋体" w:hAnsi="宋体" w:eastAsia="宋体" w:cs="宋体"/>
                <w:color w:val="auto"/>
                <w:sz w:val="21"/>
                <w:szCs w:val="21"/>
                <w:highlight w:val="none"/>
                <w:lang w:eastAsia="zh-CN"/>
              </w:rPr>
              <w:t>可保障项目有效实施</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160EA4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服务方案有各项服务措施，各岗位日常人员配合、工作安排满足项目实施要求，得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A04754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服务方案简单，服务措施及服务安排存在不足，得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25F6E4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4.方案或关键点合格的得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413AEB4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5.未提供的不得分。 </w:t>
            </w:r>
          </w:p>
        </w:tc>
        <w:tc>
          <w:tcPr>
            <w:tcW w:w="509" w:type="pct"/>
            <w:tcBorders>
              <w:left w:val="single" w:color="auto" w:sz="4" w:space="0"/>
              <w:bottom w:val="single" w:color="auto" w:sz="4" w:space="0"/>
              <w:right w:val="single" w:color="auto" w:sz="4" w:space="0"/>
            </w:tcBorders>
            <w:vAlign w:val="center"/>
          </w:tcPr>
          <w:p w14:paraId="69330E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0-10分</w:t>
            </w:r>
          </w:p>
          <w:p w14:paraId="607546B5">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p>
        </w:tc>
      </w:tr>
      <w:tr w14:paraId="557F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pct"/>
            <w:tcBorders>
              <w:left w:val="single" w:color="auto" w:sz="4" w:space="0"/>
              <w:right w:val="single" w:color="auto" w:sz="4" w:space="0"/>
            </w:tcBorders>
            <w:vAlign w:val="center"/>
          </w:tcPr>
          <w:p w14:paraId="2C06BA9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价格分</w:t>
            </w:r>
          </w:p>
          <w:p w14:paraId="4535E79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tc>
        <w:tc>
          <w:tcPr>
            <w:tcW w:w="4414" w:type="pct"/>
            <w:gridSpan w:val="3"/>
            <w:tcBorders>
              <w:top w:val="single" w:color="auto" w:sz="4" w:space="0"/>
              <w:left w:val="single" w:color="auto" w:sz="4" w:space="0"/>
              <w:bottom w:val="single" w:color="auto" w:sz="4" w:space="0"/>
              <w:right w:val="single" w:color="auto" w:sz="4" w:space="0"/>
            </w:tcBorders>
            <w:vAlign w:val="center"/>
          </w:tcPr>
          <w:p w14:paraId="26C5D2B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价格分统一采用低价优先法，即满足招标文件要求且投标价格最低的投标报价为评标基准价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按照一年投标总价计算）</w:t>
            </w:r>
            <w:r>
              <w:rPr>
                <w:rFonts w:hint="eastAsia" w:ascii="宋体" w:hAnsi="宋体" w:eastAsia="宋体" w:cs="宋体"/>
                <w:sz w:val="21"/>
                <w:szCs w:val="21"/>
              </w:rPr>
              <w:t>，其价格分为满分</w:t>
            </w:r>
            <w:r>
              <w:rPr>
                <w:rFonts w:hint="eastAsia" w:ascii="宋体" w:hAnsi="宋体" w:eastAsia="宋体" w:cs="宋体"/>
                <w:sz w:val="21"/>
                <w:szCs w:val="21"/>
                <w:lang w:val="en-US" w:eastAsia="zh-CN"/>
              </w:rPr>
              <w:t>1</w:t>
            </w:r>
            <w:r>
              <w:rPr>
                <w:rFonts w:hint="eastAsia" w:ascii="宋体" w:hAnsi="宋体" w:eastAsia="宋体" w:cs="宋体"/>
                <w:sz w:val="21"/>
                <w:szCs w:val="21"/>
              </w:rPr>
              <w:t>0分。其他投标人的价格分统一按照下列公式计算：</w:t>
            </w:r>
          </w:p>
          <w:p w14:paraId="62B2209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w:t>
            </w:r>
            <w:r>
              <w:rPr>
                <w:rFonts w:hint="eastAsia" w:ascii="宋体" w:hAnsi="宋体" w:eastAsia="宋体" w:cs="宋体"/>
                <w:sz w:val="21"/>
                <w:szCs w:val="21"/>
                <w:lang w:val="en-US" w:eastAsia="zh-CN"/>
              </w:rPr>
              <w:t>1</w:t>
            </w:r>
            <w:r>
              <w:rPr>
                <w:rFonts w:hint="eastAsia" w:ascii="宋体" w:hAnsi="宋体" w:eastAsia="宋体" w:cs="宋体"/>
                <w:sz w:val="21"/>
                <w:szCs w:val="21"/>
              </w:rPr>
              <w:t>0％×100</w:t>
            </w:r>
          </w:p>
          <w:p w14:paraId="17A32F8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注：</w:t>
            </w:r>
            <w:r>
              <w:rPr>
                <w:rFonts w:hint="eastAsia" w:ascii="宋体" w:hAnsi="宋体" w:eastAsia="宋体" w:cs="宋体"/>
                <w:sz w:val="21"/>
                <w:szCs w:val="21"/>
              </w:rPr>
              <w:t>计算商务评分的价格以三年报价为准</w:t>
            </w:r>
            <w:r>
              <w:rPr>
                <w:rFonts w:hint="eastAsia" w:ascii="宋体" w:hAnsi="宋体" w:eastAsia="宋体" w:cs="宋体"/>
                <w:sz w:val="21"/>
                <w:szCs w:val="21"/>
                <w:lang w:eastAsia="zh-CN"/>
              </w:rPr>
              <w:t>。</w:t>
            </w:r>
          </w:p>
        </w:tc>
      </w:tr>
    </w:tbl>
    <w:p w14:paraId="2C390257">
      <w:pPr>
        <w:spacing w:line="440" w:lineRule="exact"/>
        <w:ind w:firstLine="435"/>
        <w:rPr>
          <w:rFonts w:ascii="宋体" w:hAnsi="宋体" w:eastAsia="宋体" w:cs="宋体"/>
          <w:sz w:val="24"/>
        </w:rPr>
      </w:pPr>
      <w:r>
        <w:rPr>
          <w:rFonts w:hint="eastAsia" w:ascii="宋体" w:hAnsi="宋体" w:eastAsia="宋体" w:cs="宋体"/>
          <w:sz w:val="24"/>
        </w:rPr>
        <w:t>2.3.3分值汇总</w:t>
      </w:r>
    </w:p>
    <w:p w14:paraId="55843B8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（1）评标委员会各成员应当独立对每个有效投标人的投标文件进行评分，并汇总每个投标人的得分。取各位评委评分之平均值，四舍五入保留至小数点后两位数，得到该投标人的技术资信分。</w:t>
      </w:r>
    </w:p>
    <w:p w14:paraId="410A47B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（2）将投标人的技术资信分加上根据上述标准计算出的价格分，即为该投标人的综合总得分。</w:t>
      </w:r>
    </w:p>
    <w:p w14:paraId="3FDCC577">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b/>
          <w:bCs/>
          <w:sz w:val="24"/>
        </w:rPr>
      </w:pPr>
      <w:r>
        <w:rPr>
          <w:rFonts w:hint="eastAsia" w:ascii="宋体" w:hAnsi="宋体" w:eastAsia="宋体" w:cs="宋体"/>
          <w:b/>
          <w:bCs/>
          <w:sz w:val="24"/>
        </w:rPr>
        <w:t>三、无效投标条款</w:t>
      </w:r>
    </w:p>
    <w:p w14:paraId="766038B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3.1投标文件有下列情形的,其投标文件拒收:</w:t>
      </w:r>
    </w:p>
    <w:p w14:paraId="1402DF5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 xml:space="preserve"> (1) 未在开标截止时间前通过网上招标投标系统递交有效电子投标文件的，开标系统不予接收，投标将被拒绝。</w:t>
      </w:r>
    </w:p>
    <w:p w14:paraId="33C01C4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30分钟，否则投标文件将被拒绝。</w:t>
      </w:r>
    </w:p>
    <w:p w14:paraId="76AB6E5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3.2投标人有下列情形之一的,资格审查后其投标作无效投标处理：</w:t>
      </w:r>
    </w:p>
    <w:p w14:paraId="67A6BD0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(1)投标人为本项目提供招标代理服务的；</w:t>
      </w:r>
    </w:p>
    <w:p w14:paraId="6A13123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(2)投标人与在本项目代理机构存在相互任职或工作的；</w:t>
      </w:r>
    </w:p>
    <w:p w14:paraId="4A10515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(3)招标公告写明专门面向中小企业采购，投标人提供的货物非中小企业制造的；（本项目不采用）</w:t>
      </w:r>
    </w:p>
    <w:p w14:paraId="55B7FAE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(4)要求供应商以联合体形式参加采购活动，投标人非联合体或者联合协议中中小企业合同金额未达到应当达到的比例；（本项目不采用）</w:t>
      </w:r>
    </w:p>
    <w:p w14:paraId="309F136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(5)要求获得采购合同的供应商向中小企业分包，投标人未提供分包意向协议或者分包意向协议中中小企业合同金额未达到应当达到的比例；（本项目不采用）</w:t>
      </w:r>
    </w:p>
    <w:p w14:paraId="662A635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(6)评标专家无法查看并检验投标文件中相关资料的；</w:t>
      </w:r>
    </w:p>
    <w:p w14:paraId="153C19C7">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(7)联合体投标未提交联合体协议的；（本项目不采用）</w:t>
      </w:r>
    </w:p>
    <w:p w14:paraId="47C329C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(8)责令停产停业的；</w:t>
      </w:r>
    </w:p>
    <w:p w14:paraId="69981DA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(9)暂停或者取消参与政府采购项目资格的；</w:t>
      </w:r>
    </w:p>
    <w:p w14:paraId="7AEC1D0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(10)投标人单位负责人为同一人或者存在（直接）控股、管理关系的不同单位的；</w:t>
      </w:r>
    </w:p>
    <w:p w14:paraId="0B49A17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(11)投标人基本资格条件和特定资格条件中有一项及以上不符合要求的；</w:t>
      </w:r>
    </w:p>
    <w:p w14:paraId="2C846E1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(12)其它情形，经评标委员会委提出按无效投标处理的；</w:t>
      </w:r>
    </w:p>
    <w:p w14:paraId="21ACC59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(13)投标人单方面出现其他投标人材料的；</w:t>
      </w:r>
    </w:p>
    <w:p w14:paraId="08EFDFB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(14)招标文件规定的其它无效投标情形。</w:t>
      </w:r>
    </w:p>
    <w:p w14:paraId="4EBECCE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3.3 投标人有下列情形之一的,符合性审查后其投标按无效投标处理：</w:t>
      </w:r>
    </w:p>
    <w:p w14:paraId="0401D13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(1)投标文件签字、盖章不全，经评标委员会一致认定对开评标内容有实质性影响的；</w:t>
      </w:r>
    </w:p>
    <w:p w14:paraId="7088303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(2)未按规定的格式填写导致实质性内容不全以及实质上不响应，或者关键字迹模糊、无法辨认的；</w:t>
      </w:r>
    </w:p>
    <w:p w14:paraId="40F182A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(3)同一投标人提交两个以上不同的投标文件或者投标报价，但招标文件规定提交备选方案的除外；</w:t>
      </w:r>
    </w:p>
    <w:p w14:paraId="4482FEF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(4)投标文件没有对招标文件的实质性要求和条件作出响应;</w:t>
      </w:r>
    </w:p>
    <w:p w14:paraId="4EEDA7C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(5)投标报价超出规定的投标限价或公布的采购预算的或投标人的投标报价各项单价高于招标文件给定的单价最高限价；</w:t>
      </w:r>
    </w:p>
    <w:p w14:paraId="387162B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(6)不按评标委员会要求澄清、说明或补正的，或者评标委员会根据招标文件的规定对投标文件的计算错误进行修正后，投标人不接受修正的投标报价的。</w:t>
      </w:r>
    </w:p>
    <w:p w14:paraId="2DF78D8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(7)其它情形，经评标委员会委提出按无效投标处理的；</w:t>
      </w:r>
    </w:p>
    <w:p w14:paraId="14E40C8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(8)投标文件含有采购人不能接受的附加条件的；</w:t>
      </w:r>
    </w:p>
    <w:p w14:paraId="4EC2DA5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(9)招标文件规定的其它无效投标情形。</w:t>
      </w:r>
    </w:p>
    <w:p w14:paraId="5E9909C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3.4 投标人有下列情形之一的, 详细评审后其投标按无效投标处理：</w:t>
      </w:r>
    </w:p>
    <w:p w14:paraId="00F7F6E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(1)投标产品不符合必须强制执行的国家标准的；</w:t>
      </w:r>
    </w:p>
    <w:p w14:paraId="2E3D504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(2)投标人有串通投标、弄虚作假、行贿等违法行为；</w:t>
      </w:r>
    </w:p>
    <w:p w14:paraId="51423B6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(3)投标文件含有违反国家法律、法规的内容，或附有采购人不能接受的条件的；</w:t>
      </w:r>
    </w:p>
    <w:p w14:paraId="4D2A479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(4)报价明显低于其他投标人，且不能证明报价合理性的投标无效；</w:t>
      </w:r>
    </w:p>
    <w:p w14:paraId="3D5232E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(5)拒不确认评标委员会评审修正的投标无效；</w:t>
      </w:r>
    </w:p>
    <w:p w14:paraId="32E9208F">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sz w:val="24"/>
        </w:rPr>
      </w:pPr>
      <w:r>
        <w:rPr>
          <w:rFonts w:hint="eastAsia" w:ascii="宋体" w:hAnsi="宋体" w:eastAsia="宋体" w:cs="宋体"/>
          <w:sz w:val="24"/>
        </w:rPr>
        <w:t>(6)其它情形，经评标委员会委提出按无效投标处理的；</w:t>
      </w:r>
    </w:p>
    <w:p w14:paraId="70BC82C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ascii="宋体" w:hAnsi="宋体" w:eastAsia="宋体" w:cs="宋体"/>
          <w:sz w:val="24"/>
        </w:rPr>
      </w:pPr>
      <w:r>
        <w:rPr>
          <w:rFonts w:hint="eastAsia" w:ascii="宋体" w:hAnsi="宋体" w:eastAsia="宋体" w:cs="宋体"/>
          <w:sz w:val="24"/>
        </w:rPr>
        <w:t>(7)招标文件规定的其它无效投标情形。</w:t>
      </w:r>
      <w:r>
        <w:rPr>
          <w:rFonts w:hint="eastAsia" w:ascii="宋体" w:hAnsi="宋体" w:eastAsia="宋体" w:cs="宋体"/>
          <w:sz w:val="24"/>
        </w:rPr>
        <w:br w:type="page"/>
      </w:r>
    </w:p>
    <w:p w14:paraId="20C4A96A">
      <w:pPr>
        <w:spacing w:line="360" w:lineRule="auto"/>
        <w:jc w:val="center"/>
        <w:outlineLvl w:val="0"/>
        <w:rPr>
          <w:rFonts w:ascii="宋体" w:hAnsi="宋体" w:eastAsia="宋体" w:cs="宋体"/>
          <w:b/>
          <w:sz w:val="28"/>
        </w:rPr>
      </w:pPr>
      <w:bookmarkStart w:id="67" w:name="_Toc20405"/>
      <w:r>
        <w:rPr>
          <w:rFonts w:hint="eastAsia" w:ascii="宋体" w:hAnsi="宋体" w:eastAsia="宋体" w:cs="宋体"/>
          <w:b/>
          <w:sz w:val="28"/>
        </w:rPr>
        <w:t>第五章  采购合同</w:t>
      </w:r>
      <w:bookmarkEnd w:id="67"/>
    </w:p>
    <w:p w14:paraId="73B59827">
      <w:pPr>
        <w:spacing w:line="480" w:lineRule="auto"/>
        <w:jc w:val="center"/>
        <w:rPr>
          <w:rFonts w:ascii="宋体" w:hAnsi="宋体" w:eastAsia="宋体" w:cs="宋体"/>
          <w:b/>
          <w:color w:val="000000" w:themeColor="text1"/>
          <w:sz w:val="28"/>
          <w:szCs w:val="28"/>
          <w14:textFill>
            <w14:solidFill>
              <w14:schemeClr w14:val="tx1"/>
            </w14:solidFill>
          </w14:textFill>
        </w:rPr>
      </w:pPr>
      <w:bookmarkStart w:id="68" w:name="_Toc331685784"/>
    </w:p>
    <w:p w14:paraId="68122200">
      <w:pPr>
        <w:spacing w:line="480" w:lineRule="auto"/>
        <w:jc w:val="center"/>
        <w:rPr>
          <w:rFonts w:ascii="宋体" w:hAnsi="宋体" w:eastAsia="宋体" w:cs="宋体"/>
          <w:b/>
          <w:color w:val="000000" w:themeColor="text1"/>
          <w:sz w:val="28"/>
          <w:szCs w:val="28"/>
          <w14:textFill>
            <w14:solidFill>
              <w14:schemeClr w14:val="tx1"/>
            </w14:solidFill>
          </w14:textFill>
        </w:rPr>
      </w:pPr>
    </w:p>
    <w:p w14:paraId="7F368CD5">
      <w:pPr>
        <w:pStyle w:val="9"/>
        <w:rPr>
          <w:rFonts w:ascii="宋体" w:hAnsi="宋体" w:eastAsia="宋体" w:cs="宋体"/>
        </w:rPr>
      </w:pPr>
    </w:p>
    <w:p w14:paraId="1C4FD11D">
      <w:pPr>
        <w:spacing w:line="480" w:lineRule="auto"/>
        <w:jc w:val="center"/>
        <w:outlineLvl w:val="1"/>
        <w:rPr>
          <w:rFonts w:ascii="宋体" w:hAnsi="宋体" w:eastAsia="宋体" w:cs="宋体"/>
          <w:b/>
          <w:color w:val="000000" w:themeColor="text1"/>
          <w:sz w:val="28"/>
          <w:szCs w:val="28"/>
          <w14:textFill>
            <w14:solidFill>
              <w14:schemeClr w14:val="tx1"/>
            </w14:solidFill>
          </w14:textFill>
        </w:rPr>
      </w:pPr>
      <w:bookmarkStart w:id="69" w:name="_Toc3714"/>
      <w:r>
        <w:rPr>
          <w:rFonts w:hint="eastAsia" w:ascii="宋体" w:hAnsi="宋体" w:eastAsia="宋体" w:cs="宋体"/>
          <w:b/>
          <w:color w:val="000000" w:themeColor="text1"/>
          <w:sz w:val="28"/>
          <w:szCs w:val="28"/>
          <w14:textFill>
            <w14:solidFill>
              <w14:schemeClr w14:val="tx1"/>
            </w14:solidFill>
          </w14:textFill>
        </w:rPr>
        <w:t>采购合同参考范本</w:t>
      </w:r>
      <w:bookmarkEnd w:id="69"/>
    </w:p>
    <w:p w14:paraId="0A6AA3DD">
      <w:pPr>
        <w:spacing w:line="480" w:lineRule="auto"/>
        <w:jc w:val="center"/>
        <w:outlineLvl w:val="1"/>
        <w:rPr>
          <w:rFonts w:ascii="宋体" w:hAnsi="宋体" w:eastAsia="宋体" w:cs="宋体"/>
          <w:b/>
          <w:color w:val="000000" w:themeColor="text1"/>
          <w:sz w:val="28"/>
          <w:szCs w:val="28"/>
          <w14:textFill>
            <w14:solidFill>
              <w14:schemeClr w14:val="tx1"/>
            </w14:solidFill>
          </w14:textFill>
        </w:rPr>
      </w:pPr>
      <w:bookmarkStart w:id="70" w:name="_Toc8560"/>
      <w:r>
        <w:rPr>
          <w:rFonts w:hint="eastAsia" w:ascii="宋体" w:hAnsi="宋体" w:eastAsia="宋体" w:cs="宋体"/>
          <w:b/>
          <w:color w:val="000000" w:themeColor="text1"/>
          <w:sz w:val="28"/>
          <w:szCs w:val="28"/>
          <w14:textFill>
            <w14:solidFill>
              <w14:schemeClr w14:val="tx1"/>
            </w14:solidFill>
          </w14:textFill>
        </w:rPr>
        <w:t>（服务类）</w:t>
      </w:r>
      <w:bookmarkEnd w:id="70"/>
    </w:p>
    <w:p w14:paraId="44731040">
      <w:pPr>
        <w:spacing w:line="480" w:lineRule="auto"/>
        <w:jc w:val="center"/>
        <w:rPr>
          <w:rFonts w:ascii="宋体" w:hAnsi="宋体" w:eastAsia="宋体" w:cs="宋体"/>
          <w:b/>
          <w:color w:val="000000" w:themeColor="text1"/>
          <w:sz w:val="24"/>
          <w:szCs w:val="24"/>
          <w14:textFill>
            <w14:solidFill>
              <w14:schemeClr w14:val="tx1"/>
            </w14:solidFill>
          </w14:textFill>
        </w:rPr>
      </w:pPr>
    </w:p>
    <w:p w14:paraId="260E4229">
      <w:pPr>
        <w:spacing w:line="480" w:lineRule="auto"/>
        <w:jc w:val="center"/>
        <w:rPr>
          <w:rFonts w:ascii="宋体" w:hAnsi="宋体" w:eastAsia="宋体" w:cs="宋体"/>
          <w:b/>
          <w:color w:val="000000" w:themeColor="text1"/>
          <w:sz w:val="24"/>
          <w:szCs w:val="24"/>
          <w14:textFill>
            <w14:solidFill>
              <w14:schemeClr w14:val="tx1"/>
            </w14:solidFill>
          </w14:textFill>
        </w:rPr>
      </w:pPr>
    </w:p>
    <w:p w14:paraId="5ABD05B7">
      <w:pPr>
        <w:spacing w:line="480" w:lineRule="auto"/>
        <w:jc w:val="center"/>
        <w:rPr>
          <w:rFonts w:ascii="宋体" w:hAnsi="宋体" w:eastAsia="宋体" w:cs="宋体"/>
          <w:b/>
          <w:color w:val="000000" w:themeColor="text1"/>
          <w:sz w:val="24"/>
          <w:szCs w:val="24"/>
          <w14:textFill>
            <w14:solidFill>
              <w14:schemeClr w14:val="tx1"/>
            </w14:solidFill>
          </w14:textFill>
        </w:rPr>
      </w:pPr>
    </w:p>
    <w:p w14:paraId="1B968D47">
      <w:pPr>
        <w:spacing w:line="360" w:lineRule="auto"/>
        <w:jc w:val="center"/>
        <w:outlineLvl w:val="1"/>
        <w:rPr>
          <w:rFonts w:ascii="宋体" w:hAnsi="宋体" w:eastAsia="宋体" w:cs="宋体"/>
          <w:b/>
          <w:color w:val="000000" w:themeColor="text1"/>
          <w:sz w:val="24"/>
          <w14:textFill>
            <w14:solidFill>
              <w14:schemeClr w14:val="tx1"/>
            </w14:solidFill>
          </w14:textFill>
        </w:rPr>
      </w:pPr>
      <w:bookmarkStart w:id="71" w:name="_Toc2449"/>
      <w:r>
        <w:rPr>
          <w:rFonts w:hint="eastAsia" w:ascii="宋体" w:hAnsi="宋体" w:eastAsia="宋体" w:cs="宋体"/>
          <w:b/>
          <w:color w:val="000000" w:themeColor="text1"/>
          <w:sz w:val="24"/>
          <w14:textFill>
            <w14:solidFill>
              <w14:schemeClr w14:val="tx1"/>
            </w14:solidFill>
          </w14:textFill>
        </w:rPr>
        <w:t>第一部分 合同书</w:t>
      </w:r>
      <w:bookmarkEnd w:id="71"/>
    </w:p>
    <w:p w14:paraId="53789A46">
      <w:pPr>
        <w:spacing w:line="480" w:lineRule="auto"/>
        <w:jc w:val="center"/>
        <w:rPr>
          <w:rFonts w:ascii="宋体" w:hAnsi="宋体" w:eastAsia="宋体" w:cs="宋体"/>
          <w:b/>
          <w:color w:val="000000" w:themeColor="text1"/>
          <w:sz w:val="24"/>
          <w:szCs w:val="24"/>
          <w14:textFill>
            <w14:solidFill>
              <w14:schemeClr w14:val="tx1"/>
            </w14:solidFill>
          </w14:textFill>
        </w:rPr>
      </w:pPr>
    </w:p>
    <w:p w14:paraId="352F6EE9">
      <w:pPr>
        <w:spacing w:line="480" w:lineRule="auto"/>
        <w:jc w:val="center"/>
        <w:rPr>
          <w:rFonts w:ascii="宋体" w:hAnsi="宋体" w:eastAsia="宋体" w:cs="宋体"/>
          <w:b/>
          <w:color w:val="000000" w:themeColor="text1"/>
          <w:sz w:val="24"/>
          <w:szCs w:val="24"/>
          <w14:textFill>
            <w14:solidFill>
              <w14:schemeClr w14:val="tx1"/>
            </w14:solidFill>
          </w14:textFill>
        </w:rPr>
      </w:pPr>
    </w:p>
    <w:p w14:paraId="5487C713">
      <w:pPr>
        <w:pStyle w:val="9"/>
        <w:rPr>
          <w:rFonts w:ascii="宋体" w:hAnsi="宋体" w:eastAsia="宋体" w:cs="宋体"/>
        </w:rPr>
      </w:pPr>
    </w:p>
    <w:p w14:paraId="14E4DD91">
      <w:pPr>
        <w:pStyle w:val="9"/>
        <w:rPr>
          <w:rFonts w:ascii="宋体" w:hAnsi="宋体" w:eastAsia="宋体" w:cs="宋体"/>
        </w:rPr>
      </w:pPr>
    </w:p>
    <w:p w14:paraId="05C743E2">
      <w:pPr>
        <w:spacing w:before="120" w:line="480" w:lineRule="auto"/>
        <w:ind w:left="960"/>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滁州市第二小学物业管理服务项目</w:t>
      </w:r>
    </w:p>
    <w:p w14:paraId="493243E0">
      <w:pPr>
        <w:spacing w:before="120" w:line="480" w:lineRule="auto"/>
        <w:ind w:left="9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A59B8EA">
      <w:pPr>
        <w:spacing w:before="120" w:line="480" w:lineRule="auto"/>
        <w:ind w:left="960"/>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u w:val="single"/>
          <w:lang w:eastAsia="zh-CN"/>
          <w14:textFill>
            <w14:solidFill>
              <w14:schemeClr w14:val="tx1"/>
            </w14:solidFill>
          </w14:textFill>
        </w:rPr>
        <w:t>滁州市第二小学</w:t>
      </w:r>
    </w:p>
    <w:p w14:paraId="1C52331F">
      <w:pPr>
        <w:spacing w:before="120" w:line="480" w:lineRule="auto"/>
        <w:ind w:left="96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60D0774">
      <w:pPr>
        <w:spacing w:before="120" w:line="480" w:lineRule="auto"/>
        <w:ind w:firstLine="960" w:firstLineChars="4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3D6246B">
      <w:pPr>
        <w:spacing w:before="120" w:line="480" w:lineRule="auto"/>
        <w:ind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6FCA5B6C">
      <w:pPr>
        <w:widowControl/>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66C33DD6">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滁州市第二小学物业管理服务项目</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以下简称：甲方</w:t>
      </w:r>
      <w:r>
        <w:rPr>
          <w:rFonts w:hint="eastAsia" w:ascii="宋体" w:hAnsi="宋体" w:eastAsia="宋体" w:cs="宋体"/>
          <w:color w:val="000000" w:themeColor="text1"/>
          <w:sz w:val="24"/>
          <w14:textFill>
            <w14:solidFill>
              <w14:schemeClr w14:val="tx1"/>
            </w14:solidFill>
          </w14:textFill>
        </w:rPr>
        <w:t>）通过</w:t>
      </w:r>
      <w:r>
        <w:rPr>
          <w:rFonts w:hint="eastAsia" w:ascii="宋体" w:hAnsi="宋体" w:eastAsia="宋体" w:cs="宋体"/>
          <w:color w:val="000000" w:themeColor="text1"/>
          <w:sz w:val="24"/>
          <w:u w:val="single"/>
          <w:lang w:eastAsia="zh-CN"/>
          <w14:textFill>
            <w14:solidFill>
              <w14:schemeClr w14:val="tx1"/>
            </w14:solidFill>
          </w14:textFill>
        </w:rPr>
        <w:t>滁州市城投工程咨询管理有限公司</w:t>
      </w:r>
      <w:r>
        <w:rPr>
          <w:rFonts w:hint="eastAsia" w:ascii="宋体" w:hAnsi="宋体" w:eastAsia="宋体" w:cs="宋体"/>
          <w:color w:val="000000" w:themeColor="text1"/>
          <w:sz w:val="24"/>
          <w14:textFill>
            <w14:solidFill>
              <w14:schemeClr w14:val="tx1"/>
            </w14:solidFill>
          </w14:textFill>
        </w:rPr>
        <w:t>组织的</w:t>
      </w:r>
      <w:r>
        <w:rPr>
          <w:rFonts w:hint="eastAsia" w:ascii="宋体" w:hAnsi="宋体" w:eastAsia="宋体" w:cs="宋体"/>
          <w:color w:val="000000" w:themeColor="text1"/>
          <w:sz w:val="24"/>
          <w:u w:val="single"/>
          <w14:textFill>
            <w14:solidFill>
              <w14:schemeClr w14:val="tx1"/>
            </w14:solidFill>
          </w14:textFill>
        </w:rPr>
        <w:t>公开招标</w:t>
      </w:r>
      <w:r>
        <w:rPr>
          <w:rFonts w:hint="eastAsia" w:ascii="宋体" w:hAnsi="宋体" w:eastAsia="宋体" w:cs="宋体"/>
          <w:color w:val="000000" w:themeColor="text1"/>
          <w:sz w:val="24"/>
          <w14:textFill>
            <w14:solidFill>
              <w14:schemeClr w14:val="tx1"/>
            </w14:solidFill>
          </w14:textFill>
        </w:rPr>
        <w:t>方式采购活动，经</w:t>
      </w:r>
      <w:r>
        <w:rPr>
          <w:rFonts w:hint="eastAsia" w:ascii="宋体" w:hAnsi="宋体" w:eastAsia="宋体" w:cs="宋体"/>
          <w:color w:val="000000" w:themeColor="text1"/>
          <w:sz w:val="24"/>
          <w:u w:val="single"/>
          <w14:textFill>
            <w14:solidFill>
              <w14:schemeClr w14:val="tx1"/>
            </w14:solidFill>
          </w14:textFill>
        </w:rPr>
        <w:t>评标委员会</w:t>
      </w:r>
      <w:r>
        <w:rPr>
          <w:rFonts w:hint="eastAsia" w:ascii="宋体" w:hAnsi="宋体" w:eastAsia="宋体" w:cs="宋体"/>
          <w:color w:val="000000" w:themeColor="text1"/>
          <w:sz w:val="24"/>
          <w14:textFill>
            <w14:solidFill>
              <w14:schemeClr w14:val="tx1"/>
            </w14:solidFill>
          </w14:textFill>
        </w:rPr>
        <w:t>评定，</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以下简称：乙方</w:t>
      </w:r>
      <w:r>
        <w:rPr>
          <w:rFonts w:hint="eastAsia" w:ascii="宋体" w:hAnsi="宋体" w:eastAsia="宋体" w:cs="宋体"/>
          <w:color w:val="000000" w:themeColor="text1"/>
          <w:sz w:val="24"/>
          <w14:textFill>
            <w14:solidFill>
              <w14:schemeClr w14:val="tx1"/>
            </w14:solidFill>
          </w14:textFill>
        </w:rPr>
        <w:t>）为本项目中标人，现</w:t>
      </w:r>
      <w:r>
        <w:rPr>
          <w:rFonts w:hint="eastAsia" w:ascii="宋体" w:hAnsi="宋体" w:eastAsia="宋体" w:cs="宋体"/>
          <w:color w:val="000000" w:themeColor="text1"/>
          <w:sz w:val="24"/>
          <w:szCs w:val="24"/>
          <w14:textFill>
            <w14:solidFill>
              <w14:schemeClr w14:val="tx1"/>
            </w14:solidFill>
          </w14:textFill>
        </w:rPr>
        <w:t>按照采购文件确定的事项签订本合同。</w:t>
      </w:r>
    </w:p>
    <w:p w14:paraId="4E1002E2">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53ADC5E6">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72" w:name="_Toc3029"/>
      <w:bookmarkStart w:id="73" w:name="_Toc2232"/>
      <w:bookmarkStart w:id="74" w:name="_Toc24059"/>
      <w:r>
        <w:rPr>
          <w:rFonts w:hint="eastAsia" w:ascii="宋体" w:hAnsi="宋体" w:eastAsia="宋体" w:cs="宋体"/>
          <w:b/>
          <w:bCs/>
          <w:color w:val="000000" w:themeColor="text1"/>
          <w:sz w:val="24"/>
          <w:szCs w:val="24"/>
          <w:lang w:val="zh-CN"/>
          <w14:textFill>
            <w14:solidFill>
              <w14:schemeClr w14:val="tx1"/>
            </w14:solidFill>
          </w14:textFill>
        </w:rPr>
        <w:t>1.1 合同组成部分</w:t>
      </w:r>
      <w:bookmarkEnd w:id="72"/>
      <w:bookmarkEnd w:id="73"/>
      <w:bookmarkEnd w:id="74"/>
    </w:p>
    <w:p w14:paraId="697A11A2">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69FC15EC">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1.1.1本合同及其补充合同、变更协议；</w:t>
      </w:r>
    </w:p>
    <w:p w14:paraId="7912B313">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1.1.2中标通知书；</w:t>
      </w:r>
    </w:p>
    <w:p w14:paraId="3F169695">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1.1.3投标文件（含澄清或者说明文件）；</w:t>
      </w:r>
    </w:p>
    <w:p w14:paraId="40C23A19">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1.1.4招标文件（含澄清或者修改文件）；</w:t>
      </w:r>
    </w:p>
    <w:p w14:paraId="2CFFCE92">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1.1.5其他相关采购文件。</w:t>
      </w:r>
    </w:p>
    <w:p w14:paraId="5A40A750">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75" w:name="_Toc2918"/>
      <w:bookmarkStart w:id="76" w:name="_Toc6773"/>
      <w:bookmarkStart w:id="77" w:name="_Toc18585"/>
      <w:bookmarkStart w:id="78" w:name="_Toc6311"/>
      <w:bookmarkStart w:id="79" w:name="_Toc22185"/>
      <w:r>
        <w:rPr>
          <w:rFonts w:hint="eastAsia" w:ascii="宋体" w:hAnsi="宋体" w:eastAsia="宋体" w:cs="宋体"/>
          <w:b/>
          <w:bCs/>
          <w:color w:val="000000" w:themeColor="text1"/>
          <w:sz w:val="24"/>
          <w:szCs w:val="24"/>
          <w:lang w:val="zh-CN"/>
          <w14:textFill>
            <w14:solidFill>
              <w14:schemeClr w14:val="tx1"/>
            </w14:solidFill>
          </w14:textFill>
        </w:rPr>
        <w:t xml:space="preserve">1.2 </w:t>
      </w:r>
      <w:bookmarkEnd w:id="75"/>
      <w:bookmarkEnd w:id="76"/>
      <w:bookmarkEnd w:id="77"/>
      <w:bookmarkEnd w:id="78"/>
      <w:bookmarkEnd w:id="79"/>
      <w:r>
        <w:rPr>
          <w:rFonts w:hint="eastAsia" w:ascii="宋体" w:hAnsi="宋体" w:eastAsia="宋体" w:cs="宋体"/>
          <w:b/>
          <w:bCs/>
          <w:color w:val="000000" w:themeColor="text1"/>
          <w:sz w:val="24"/>
          <w:szCs w:val="24"/>
          <w:lang w:val="zh-CN"/>
          <w14:textFill>
            <w14:solidFill>
              <w14:schemeClr w14:val="tx1"/>
            </w14:solidFill>
          </w14:textFill>
        </w:rPr>
        <w:t>服务</w:t>
      </w:r>
    </w:p>
    <w:p w14:paraId="37261AD8">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1.2.1服务名称：</w:t>
      </w:r>
      <w:r>
        <w:rPr>
          <w:rFonts w:hint="eastAsia" w:ascii="宋体" w:hAnsi="宋体" w:eastAsia="宋体" w:cs="宋体"/>
          <w:color w:val="000000" w:themeColor="text1"/>
          <w:sz w:val="24"/>
          <w:u w:val="single"/>
          <w:lang w:eastAsia="zh-CN"/>
          <w14:textFill>
            <w14:solidFill>
              <w14:schemeClr w14:val="tx1"/>
            </w14:solidFill>
          </w14:textFill>
        </w:rPr>
        <w:t>滁州市第二小学物业管理服务项目</w:t>
      </w:r>
      <w:r>
        <w:rPr>
          <w:rFonts w:hint="eastAsia" w:ascii="宋体" w:hAnsi="宋体" w:eastAsia="宋体" w:cs="宋体"/>
          <w:color w:val="000000" w:themeColor="text1"/>
          <w:sz w:val="24"/>
          <w:szCs w:val="24"/>
          <w14:textFill>
            <w14:solidFill>
              <w14:schemeClr w14:val="tx1"/>
            </w14:solidFill>
          </w14:textFill>
        </w:rPr>
        <w:t>；</w:t>
      </w:r>
    </w:p>
    <w:p w14:paraId="6065E9E9">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1.2.2服务内容：</w:t>
      </w:r>
      <w:r>
        <w:rPr>
          <w:rFonts w:hint="eastAsia" w:ascii="宋体" w:hAnsi="宋体" w:eastAsia="宋体" w:cs="宋体"/>
          <w:sz w:val="24"/>
          <w:u w:val="single"/>
        </w:rPr>
        <w:t>招标文件第三章采购需求全部内容</w:t>
      </w:r>
      <w:r>
        <w:rPr>
          <w:rFonts w:hint="eastAsia" w:ascii="宋体" w:hAnsi="宋体" w:eastAsia="宋体" w:cs="宋体"/>
          <w:color w:val="000000" w:themeColor="text1"/>
          <w:sz w:val="24"/>
          <w:szCs w:val="24"/>
          <w14:textFill>
            <w14:solidFill>
              <w14:schemeClr w14:val="tx1"/>
            </w14:solidFill>
          </w14:textFill>
        </w:rPr>
        <w:t>；</w:t>
      </w:r>
    </w:p>
    <w:p w14:paraId="11F6CE18">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1.2.3服务质量：</w:t>
      </w:r>
      <w:r>
        <w:rPr>
          <w:rFonts w:hint="eastAsia" w:ascii="宋体" w:hAnsi="宋体" w:eastAsia="宋体" w:cs="宋体"/>
          <w:color w:val="000000" w:themeColor="text1"/>
          <w:sz w:val="24"/>
          <w:szCs w:val="24"/>
          <w:u w:val="single"/>
          <w14:textFill>
            <w14:solidFill>
              <w14:schemeClr w14:val="tx1"/>
            </w14:solidFill>
          </w14:textFill>
        </w:rPr>
        <w:t>满足招标文件要求、满足考核相关要求</w:t>
      </w:r>
      <w:r>
        <w:rPr>
          <w:rFonts w:hint="eastAsia" w:ascii="宋体" w:hAnsi="宋体" w:eastAsia="宋体" w:cs="宋体"/>
          <w:color w:val="000000" w:themeColor="text1"/>
          <w:sz w:val="24"/>
          <w:szCs w:val="24"/>
          <w14:textFill>
            <w14:solidFill>
              <w14:schemeClr w14:val="tx1"/>
            </w14:solidFill>
          </w14:textFill>
        </w:rPr>
        <w:t>。</w:t>
      </w:r>
    </w:p>
    <w:p w14:paraId="6E2972BA">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80" w:name="_Toc21551"/>
      <w:bookmarkStart w:id="81" w:name="_Toc23292"/>
      <w:bookmarkStart w:id="82" w:name="_Toc21631"/>
      <w:r>
        <w:rPr>
          <w:rFonts w:hint="eastAsia" w:ascii="宋体" w:hAnsi="宋体" w:eastAsia="宋体" w:cs="宋体"/>
          <w:b/>
          <w:bCs/>
          <w:color w:val="000000" w:themeColor="text1"/>
          <w:sz w:val="24"/>
          <w:szCs w:val="24"/>
          <w:lang w:val="zh-CN"/>
          <w14:textFill>
            <w14:solidFill>
              <w14:schemeClr w14:val="tx1"/>
            </w14:solidFill>
          </w14:textFill>
        </w:rPr>
        <w:t>1.3 价款</w:t>
      </w:r>
      <w:bookmarkEnd w:id="80"/>
      <w:bookmarkEnd w:id="81"/>
      <w:bookmarkEnd w:id="82"/>
    </w:p>
    <w:p w14:paraId="5C7EC3D9">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本合同总价为：￥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7C656237">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910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53FAD01">
            <w:pPr>
              <w:keepNext w:val="0"/>
              <w:keepLines w:val="0"/>
              <w:pageBreakBefore w:val="0"/>
              <w:kinsoku/>
              <w:wordWrap/>
              <w:overflowPunct/>
              <w:topLinePunct w:val="0"/>
              <w:bidi w:val="0"/>
              <w:snapToGrid/>
              <w:spacing w:line="50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4316" w:type="dxa"/>
            <w:vAlign w:val="center"/>
          </w:tcPr>
          <w:p w14:paraId="461B3A7D">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分项名称</w:t>
            </w:r>
          </w:p>
        </w:tc>
        <w:tc>
          <w:tcPr>
            <w:tcW w:w="3237" w:type="dxa"/>
            <w:gridSpan w:val="2"/>
            <w:vAlign w:val="center"/>
          </w:tcPr>
          <w:p w14:paraId="6267B30A">
            <w:pPr>
              <w:keepNext w:val="0"/>
              <w:keepLines w:val="0"/>
              <w:pageBreakBefore w:val="0"/>
              <w:kinsoku/>
              <w:wordWrap/>
              <w:overflowPunct/>
              <w:topLinePunct w:val="0"/>
              <w:bidi w:val="0"/>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分项价格</w:t>
            </w:r>
          </w:p>
        </w:tc>
      </w:tr>
      <w:tr w14:paraId="709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5F447BF">
            <w:pPr>
              <w:keepNext w:val="0"/>
              <w:keepLines w:val="0"/>
              <w:pageBreakBefore w:val="0"/>
              <w:kinsoku/>
              <w:wordWrap/>
              <w:overflowPunct/>
              <w:topLinePunct w:val="0"/>
              <w:bidi w:val="0"/>
              <w:snapToGrid/>
              <w:spacing w:line="50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4316" w:type="dxa"/>
            <w:vAlign w:val="center"/>
          </w:tcPr>
          <w:p w14:paraId="737868AC">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164DC414">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r>
      <w:tr w14:paraId="7167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F705E8D">
            <w:pPr>
              <w:keepNext w:val="0"/>
              <w:keepLines w:val="0"/>
              <w:pageBreakBefore w:val="0"/>
              <w:kinsoku/>
              <w:wordWrap/>
              <w:overflowPunct/>
              <w:topLinePunct w:val="0"/>
              <w:bidi w:val="0"/>
              <w:snapToGrid/>
              <w:spacing w:line="50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4316" w:type="dxa"/>
            <w:vAlign w:val="center"/>
          </w:tcPr>
          <w:p w14:paraId="13BC961B">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18352570">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r>
      <w:tr w14:paraId="1CC0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CC52881">
            <w:pPr>
              <w:keepNext w:val="0"/>
              <w:keepLines w:val="0"/>
              <w:pageBreakBefore w:val="0"/>
              <w:kinsoku/>
              <w:wordWrap/>
              <w:overflowPunct/>
              <w:topLinePunct w:val="0"/>
              <w:bidi w:val="0"/>
              <w:snapToGrid/>
              <w:spacing w:line="50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4316" w:type="dxa"/>
            <w:vAlign w:val="center"/>
          </w:tcPr>
          <w:p w14:paraId="2D3D54DA">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5ED0395F">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r>
      <w:tr w14:paraId="3D01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B88FCC">
            <w:pPr>
              <w:keepNext w:val="0"/>
              <w:keepLines w:val="0"/>
              <w:pageBreakBefore w:val="0"/>
              <w:kinsoku/>
              <w:wordWrap/>
              <w:overflowPunct/>
              <w:topLinePunct w:val="0"/>
              <w:bidi w:val="0"/>
              <w:snapToGrid/>
              <w:spacing w:line="50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p>
        </w:tc>
        <w:tc>
          <w:tcPr>
            <w:tcW w:w="4316" w:type="dxa"/>
            <w:vAlign w:val="center"/>
          </w:tcPr>
          <w:p w14:paraId="730C7FA0">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7DFDCD85">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r>
      <w:tr w14:paraId="26E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3CE8E80B">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3237" w:type="dxa"/>
            <w:gridSpan w:val="2"/>
            <w:vAlign w:val="center"/>
          </w:tcPr>
          <w:p w14:paraId="1AB3468D">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000000" w:themeColor="text1"/>
                <w:sz w:val="24"/>
                <w:szCs w:val="24"/>
                <w14:textFill>
                  <w14:solidFill>
                    <w14:schemeClr w14:val="tx1"/>
                  </w14:solidFill>
                </w14:textFill>
              </w:rPr>
            </w:pPr>
          </w:p>
        </w:tc>
      </w:tr>
    </w:tbl>
    <w:p w14:paraId="41B39D4B">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83" w:name="_Toc22618"/>
      <w:bookmarkStart w:id="84" w:name="_Toc10340"/>
      <w:bookmarkStart w:id="85" w:name="_Toc1814"/>
      <w:r>
        <w:rPr>
          <w:rFonts w:hint="eastAsia" w:ascii="宋体" w:hAnsi="宋体" w:eastAsia="宋体" w:cs="宋体"/>
          <w:b/>
          <w:bCs/>
          <w:color w:val="000000" w:themeColor="text1"/>
          <w:sz w:val="24"/>
          <w:szCs w:val="24"/>
          <w:lang w:val="zh-CN"/>
          <w14:textFill>
            <w14:solidFill>
              <w14:schemeClr w14:val="tx1"/>
            </w14:solidFill>
          </w14:textFill>
        </w:rPr>
        <w:t>1.4 付款方式和发票开具方式</w:t>
      </w:r>
      <w:bookmarkEnd w:id="83"/>
      <w:bookmarkEnd w:id="84"/>
      <w:bookmarkEnd w:id="85"/>
    </w:p>
    <w:p w14:paraId="5FC619B1">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1.4.1付款方式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无预付款，考核合格后，经批报程序按季度支付费用，支付当年合同总金额的四分之一。</w:t>
      </w:r>
    </w:p>
    <w:p w14:paraId="1247D356">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1.4.2发票开具方式：</w:t>
      </w:r>
      <w:r>
        <w:rPr>
          <w:rFonts w:hint="eastAsia" w:ascii="宋体" w:hAnsi="宋体" w:eastAsia="宋体" w:cs="宋体"/>
          <w:color w:val="000000" w:themeColor="text1"/>
          <w:sz w:val="24"/>
          <w:szCs w:val="24"/>
          <w:u w:val="single"/>
          <w14:textFill>
            <w14:solidFill>
              <w14:schemeClr w14:val="tx1"/>
            </w14:solidFill>
          </w14:textFill>
        </w:rPr>
        <w:t>开具符合要求的发票</w:t>
      </w:r>
      <w:r>
        <w:rPr>
          <w:rFonts w:hint="eastAsia" w:ascii="宋体" w:hAnsi="宋体" w:eastAsia="宋体" w:cs="宋体"/>
          <w:color w:val="000000" w:themeColor="text1"/>
          <w:sz w:val="24"/>
          <w:szCs w:val="24"/>
          <w14:textFill>
            <w14:solidFill>
              <w14:schemeClr w14:val="tx1"/>
            </w14:solidFill>
          </w14:textFill>
        </w:rPr>
        <w:t>。</w:t>
      </w:r>
    </w:p>
    <w:p w14:paraId="07275CA0">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86" w:name="_Toc19304"/>
      <w:bookmarkStart w:id="87" w:name="_Toc32071"/>
      <w:bookmarkStart w:id="88" w:name="_Toc2846"/>
      <w:r>
        <w:rPr>
          <w:rFonts w:hint="eastAsia" w:ascii="宋体" w:hAnsi="宋体" w:eastAsia="宋体" w:cs="宋体"/>
          <w:b/>
          <w:bCs/>
          <w:color w:val="000000" w:themeColor="text1"/>
          <w:sz w:val="24"/>
          <w:szCs w:val="24"/>
          <w:lang w:val="zh-CN"/>
          <w14:textFill>
            <w14:solidFill>
              <w14:schemeClr w14:val="tx1"/>
            </w14:solidFill>
          </w14:textFill>
        </w:rPr>
        <w:t>1.5 服务期限、地点和方式</w:t>
      </w:r>
      <w:bookmarkEnd w:id="86"/>
      <w:bookmarkEnd w:id="87"/>
      <w:bookmarkEnd w:id="88"/>
    </w:p>
    <w:p w14:paraId="260C2900">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1.5.1服务期限：</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0AC665AF">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1.5.2服务地点：</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1115522A">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1.5.3服务方式：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3FE4769E">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89" w:name="_Toc27250"/>
      <w:bookmarkStart w:id="90" w:name="_Toc21423"/>
      <w:bookmarkStart w:id="91" w:name="_Toc19554"/>
      <w:r>
        <w:rPr>
          <w:rFonts w:hint="eastAsia" w:ascii="宋体" w:hAnsi="宋体" w:eastAsia="宋体" w:cs="宋体"/>
          <w:b/>
          <w:bCs/>
          <w:color w:val="000000" w:themeColor="text1"/>
          <w:sz w:val="24"/>
          <w:szCs w:val="24"/>
          <w:lang w:val="zh-CN"/>
          <w14:textFill>
            <w14:solidFill>
              <w14:schemeClr w14:val="tx1"/>
            </w14:solidFill>
          </w14:textFill>
        </w:rPr>
        <w:t>1.6 违约责任</w:t>
      </w:r>
      <w:bookmarkEnd w:id="89"/>
      <w:bookmarkEnd w:id="90"/>
      <w:bookmarkEnd w:id="91"/>
    </w:p>
    <w:p w14:paraId="05CD5F64">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themeColor="text1"/>
          <w:sz w:val="24"/>
          <w:szCs w:val="24"/>
          <w:u w:val="single"/>
          <w14:textFill>
            <w14:solidFill>
              <w14:schemeClr w14:val="tx1"/>
            </w14:solidFill>
          </w14:textFill>
        </w:rPr>
        <w:t xml:space="preserve">0.5 </w:t>
      </w:r>
      <w:r>
        <w:rPr>
          <w:rFonts w:hint="eastAsia" w:ascii="宋体" w:hAnsi="宋体" w:eastAsia="宋体" w:cs="宋体"/>
          <w:color w:val="000000" w:themeColor="text1"/>
          <w:sz w:val="24"/>
          <w:szCs w:val="24"/>
          <w14:textFill>
            <w14:solidFill>
              <w14:schemeClr w14:val="tx1"/>
            </w14:solidFill>
          </w14:textFill>
        </w:rPr>
        <w:t>%计算，最高限额为本合同总价的</w:t>
      </w:r>
      <w:r>
        <w:rPr>
          <w:rFonts w:hint="eastAsia" w:ascii="宋体" w:hAnsi="宋体" w:eastAsia="宋体" w:cs="宋体"/>
          <w:color w:val="000000" w:themeColor="text1"/>
          <w:sz w:val="24"/>
          <w:szCs w:val="24"/>
          <w:u w:val="single"/>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%；迟延履行的违约金计算数额达到前述最高限额之日起，甲方有权在要求乙方支付违约金的同时，书面通知乙方解除本合同；</w:t>
      </w:r>
    </w:p>
    <w:p w14:paraId="107E1F3A">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u w:val="single"/>
          <w14:textFill>
            <w14:solidFill>
              <w14:schemeClr w14:val="tx1"/>
            </w14:solidFill>
          </w14:textFill>
        </w:rPr>
        <w:t>0.5</w:t>
      </w:r>
      <w:r>
        <w:rPr>
          <w:rFonts w:hint="eastAsia" w:ascii="宋体" w:hAnsi="宋体" w:eastAsia="宋体" w:cs="宋体"/>
          <w:color w:val="000000" w:themeColor="text1"/>
          <w:sz w:val="24"/>
          <w:szCs w:val="24"/>
          <w14:textFill>
            <w14:solidFill>
              <w14:schemeClr w14:val="tx1"/>
            </w14:solidFill>
          </w14:textFill>
        </w:rPr>
        <w:t>%计算，最高限额为本合同总价的</w:t>
      </w:r>
      <w:r>
        <w:rPr>
          <w:rFonts w:hint="eastAsia" w:ascii="宋体" w:hAnsi="宋体" w:eastAsia="宋体" w:cs="宋体"/>
          <w:color w:val="000000" w:themeColor="text1"/>
          <w:sz w:val="24"/>
          <w:szCs w:val="24"/>
          <w:u w:val="single"/>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%；迟延付款的违约金计算数额达到前述最高限额之日起，乙方有权在要求甲方支付违约金的同时，书面通知甲方解除本合同；</w:t>
      </w:r>
    </w:p>
    <w:p w14:paraId="7949ABCC">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D21A68">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99BEDA7">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34F3069">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691837DA">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D64CF95">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92" w:name="_Toc16021"/>
      <w:bookmarkStart w:id="93" w:name="_Toc28375"/>
      <w:bookmarkStart w:id="94" w:name="_Toc15583"/>
      <w:r>
        <w:rPr>
          <w:rFonts w:hint="eastAsia" w:ascii="宋体" w:hAnsi="宋体" w:eastAsia="宋体" w:cs="宋体"/>
          <w:b/>
          <w:bCs/>
          <w:color w:val="000000" w:themeColor="text1"/>
          <w:sz w:val="24"/>
          <w:szCs w:val="24"/>
          <w:lang w:val="zh-CN"/>
          <w14:textFill>
            <w14:solidFill>
              <w14:schemeClr w14:val="tx1"/>
            </w14:solidFill>
          </w14:textFill>
        </w:rPr>
        <w:t>1.7 合同争议的解决</w:t>
      </w:r>
      <w:bookmarkEnd w:id="92"/>
      <w:bookmarkEnd w:id="93"/>
      <w:bookmarkEnd w:id="94"/>
    </w:p>
    <w:p w14:paraId="7C6351D7">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sz w:val="24"/>
          <w:szCs w:val="24"/>
          <w:u w:val="single"/>
          <w14:textFill>
            <w14:solidFill>
              <w14:schemeClr w14:val="tx1"/>
            </w14:solidFill>
          </w14:textFill>
        </w:rPr>
        <w:t xml:space="preserve"> 2 </w:t>
      </w:r>
      <w:r>
        <w:rPr>
          <w:rFonts w:hint="eastAsia" w:ascii="宋体" w:hAnsi="宋体" w:eastAsia="宋体" w:cs="宋体"/>
          <w:color w:val="000000" w:themeColor="text1"/>
          <w:sz w:val="24"/>
          <w:szCs w:val="24"/>
          <w14:textFill>
            <w14:solidFill>
              <w14:schemeClr w14:val="tx1"/>
            </w14:solidFill>
          </w14:textFill>
        </w:rPr>
        <w:t>种方式解决：</w:t>
      </w:r>
    </w:p>
    <w:p w14:paraId="581BB126">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1.7.1将争议提交</w:t>
      </w:r>
      <w:r>
        <w:rPr>
          <w:rFonts w:hint="eastAsia" w:ascii="宋体" w:hAnsi="宋体" w:eastAsia="宋体" w:cs="宋体"/>
          <w:color w:val="000000" w:themeColor="text1"/>
          <w:sz w:val="24"/>
          <w:szCs w:val="24"/>
          <w:u w:val="single"/>
          <w14:textFill>
            <w14:solidFill>
              <w14:schemeClr w14:val="tx1"/>
            </w14:solidFill>
          </w14:textFill>
        </w:rPr>
        <w:t>滁州</w:t>
      </w:r>
      <w:r>
        <w:rPr>
          <w:rFonts w:hint="eastAsia" w:ascii="宋体" w:hAnsi="宋体" w:eastAsia="宋体" w:cs="宋体"/>
          <w:color w:val="000000" w:themeColor="text1"/>
          <w:sz w:val="24"/>
          <w:szCs w:val="24"/>
          <w14:textFill>
            <w14:solidFill>
              <w14:schemeClr w14:val="tx1"/>
            </w14:solidFill>
          </w14:textFill>
        </w:rPr>
        <w:t>仲裁委员会依申请仲裁时其现行有效的仲裁规则裁决；</w:t>
      </w:r>
    </w:p>
    <w:p w14:paraId="1EF60A9B">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1.7.2向</w:t>
      </w:r>
      <w:r>
        <w:rPr>
          <w:rFonts w:hint="eastAsia" w:ascii="宋体" w:hAnsi="宋体" w:eastAsia="宋体" w:cs="宋体"/>
          <w:color w:val="000000" w:themeColor="text1"/>
          <w:sz w:val="24"/>
          <w:szCs w:val="24"/>
          <w:u w:val="single"/>
          <w14:textFill>
            <w14:solidFill>
              <w14:schemeClr w14:val="tx1"/>
            </w14:solidFill>
          </w14:textFill>
        </w:rPr>
        <w:t>项目所在地</w:t>
      </w:r>
      <w:r>
        <w:rPr>
          <w:rFonts w:hint="eastAsia" w:ascii="宋体" w:hAnsi="宋体" w:eastAsia="宋体" w:cs="宋体"/>
          <w:color w:val="000000" w:themeColor="text1"/>
          <w:sz w:val="24"/>
          <w:szCs w:val="24"/>
          <w14:textFill>
            <w14:solidFill>
              <w14:schemeClr w14:val="tx1"/>
            </w14:solidFill>
          </w14:textFill>
        </w:rPr>
        <w:t>人民法院起诉。</w:t>
      </w:r>
    </w:p>
    <w:p w14:paraId="2C2DB14B">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95" w:name="_Toc11173"/>
      <w:bookmarkStart w:id="96" w:name="_Toc7245"/>
      <w:bookmarkStart w:id="97" w:name="_Toc15322"/>
      <w:r>
        <w:rPr>
          <w:rFonts w:hint="eastAsia" w:ascii="宋体" w:hAnsi="宋体" w:eastAsia="宋体" w:cs="宋体"/>
          <w:b/>
          <w:bCs/>
          <w:color w:val="000000" w:themeColor="text1"/>
          <w:sz w:val="24"/>
          <w:szCs w:val="24"/>
          <w:lang w:val="zh-CN"/>
          <w14:textFill>
            <w14:solidFill>
              <w14:schemeClr w14:val="tx1"/>
            </w14:solidFill>
          </w14:textFill>
        </w:rPr>
        <w:t>1.8 合同生效</w:t>
      </w:r>
      <w:bookmarkEnd w:id="95"/>
      <w:bookmarkEnd w:id="96"/>
      <w:bookmarkEnd w:id="97"/>
    </w:p>
    <w:p w14:paraId="60CF5C5D">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本合同自双方当事人盖章时生效。</w:t>
      </w:r>
    </w:p>
    <w:p w14:paraId="345A7D67">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000000" w:themeColor="text1"/>
          <w:sz w:val="24"/>
          <w:szCs w:val="24"/>
          <w:lang w:val="zh-CN"/>
          <w14:textFill>
            <w14:solidFill>
              <w14:schemeClr w14:val="tx1"/>
            </w14:solidFill>
          </w14:textFill>
        </w:rPr>
      </w:pPr>
    </w:p>
    <w:p w14:paraId="16E18621">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000000" w:themeColor="text1"/>
          <w:sz w:val="24"/>
          <w:szCs w:val="24"/>
          <w:lang w:val="zh-CN"/>
          <w14:textFill>
            <w14:solidFill>
              <w14:schemeClr w14:val="tx1"/>
            </w14:solidFill>
          </w14:textFill>
        </w:rPr>
      </w:pPr>
    </w:p>
    <w:p w14:paraId="33CDEE39">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000000" w:themeColor="text1"/>
          <w:sz w:val="24"/>
          <w:szCs w:val="24"/>
          <w:lang w:val="zh-CN"/>
          <w14:textFill>
            <w14:solidFill>
              <w14:schemeClr w14:val="tx1"/>
            </w14:solidFill>
          </w14:textFill>
        </w:rPr>
      </w:pPr>
    </w:p>
    <w:p w14:paraId="311B70B8">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甲    方：</w:t>
      </w:r>
      <w:r>
        <w:rPr>
          <w:rFonts w:hint="eastAsia" w:ascii="宋体" w:hAnsi="宋体" w:eastAsia="宋体" w:cs="宋体"/>
          <w:bCs/>
          <w:color w:val="000000" w:themeColor="text1"/>
          <w:sz w:val="24"/>
          <w:szCs w:val="24"/>
          <w:u w:val="single"/>
          <w:lang w:val="zh-CN"/>
          <w14:textFill>
            <w14:solidFill>
              <w14:schemeClr w14:val="tx1"/>
            </w14:solidFill>
          </w14:textFill>
        </w:rPr>
        <w:t xml:space="preserve">    （单位盖章）     </w:t>
      </w:r>
      <w:r>
        <w:rPr>
          <w:rFonts w:hint="eastAsia" w:ascii="宋体" w:hAnsi="宋体" w:eastAsia="宋体" w:cs="宋体"/>
          <w:bCs/>
          <w:color w:val="000000" w:themeColor="text1"/>
          <w:sz w:val="24"/>
          <w:szCs w:val="24"/>
          <w:lang w:val="zh-CN"/>
          <w14:textFill>
            <w14:solidFill>
              <w14:schemeClr w14:val="tx1"/>
            </w14:solidFill>
          </w14:textFill>
        </w:rPr>
        <w:t xml:space="preserve">          乙方：</w:t>
      </w:r>
      <w:r>
        <w:rPr>
          <w:rFonts w:hint="eastAsia" w:ascii="宋体" w:hAnsi="宋体" w:eastAsia="宋体" w:cs="宋体"/>
          <w:bCs/>
          <w:color w:val="000000" w:themeColor="text1"/>
          <w:sz w:val="24"/>
          <w:szCs w:val="24"/>
          <w:u w:val="single"/>
          <w:lang w:val="zh-CN"/>
          <w14:textFill>
            <w14:solidFill>
              <w14:schemeClr w14:val="tx1"/>
            </w14:solidFill>
          </w14:textFill>
        </w:rPr>
        <w:t xml:space="preserve">    （单位盖章）     </w:t>
      </w:r>
    </w:p>
    <w:p w14:paraId="409FCF57">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                               法定代表人</w:t>
      </w:r>
    </w:p>
    <w:p w14:paraId="6DBC2944">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或授权代表（签字）：                      或授权代表（签字）：</w:t>
      </w:r>
    </w:p>
    <w:p w14:paraId="40520AEA">
      <w:pPr>
        <w:keepNext w:val="0"/>
        <w:keepLines w:val="0"/>
        <w:pageBreakBefore w:val="0"/>
        <w:widowControl/>
        <w:kinsoku/>
        <w:wordWrap/>
        <w:overflowPunct/>
        <w:topLinePunct w:val="0"/>
        <w:bidi w:val="0"/>
        <w:snapToGrid/>
        <w:spacing w:line="500" w:lineRule="exact"/>
        <w:jc w:val="left"/>
        <w:textAlignment w:val="auto"/>
        <w:rPr>
          <w:rFonts w:ascii="宋体" w:hAnsi="宋体" w:eastAsia="宋体" w:cs="宋体"/>
          <w:bCs/>
          <w:color w:val="000000" w:themeColor="text1"/>
          <w:sz w:val="24"/>
          <w:szCs w:val="24"/>
          <w14:textFill>
            <w14:solidFill>
              <w14:schemeClr w14:val="tx1"/>
            </w14:solidFill>
          </w14:textFill>
        </w:rPr>
      </w:pPr>
      <w:bookmarkStart w:id="98" w:name="_Toc331685783"/>
      <w:r>
        <w:rPr>
          <w:rFonts w:hint="eastAsia" w:ascii="宋体" w:hAnsi="宋体" w:eastAsia="宋体" w:cs="宋体"/>
          <w:bCs/>
          <w:color w:val="000000" w:themeColor="text1"/>
          <w:sz w:val="24"/>
          <w:szCs w:val="24"/>
          <w14:textFill>
            <w14:solidFill>
              <w14:schemeClr w14:val="tx1"/>
            </w14:solidFill>
          </w14:textFill>
        </w:rPr>
        <w:t>时间：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               时间：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w:t>
      </w:r>
    </w:p>
    <w:p w14:paraId="6FA7F1D5">
      <w:pPr>
        <w:keepNext w:val="0"/>
        <w:keepLines w:val="0"/>
        <w:pageBreakBefore w:val="0"/>
        <w:kinsoku/>
        <w:wordWrap/>
        <w:overflowPunct/>
        <w:topLinePunct w:val="0"/>
        <w:bidi w:val="0"/>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99" w:name="_Hlk110099149"/>
      <w:r>
        <w:rPr>
          <w:rFonts w:hint="eastAsia" w:ascii="宋体" w:hAnsi="宋体" w:eastAsia="宋体" w:cs="宋体"/>
          <w:color w:val="000000" w:themeColor="text1"/>
          <w:sz w:val="24"/>
          <w:szCs w:val="24"/>
          <w14:textFill>
            <w14:solidFill>
              <w14:schemeClr w14:val="tx1"/>
            </w14:solidFill>
          </w14:textFill>
        </w:rPr>
        <w:t>乙方账户信息</w:t>
      </w:r>
    </w:p>
    <w:p w14:paraId="7829CC3D">
      <w:pPr>
        <w:keepNext w:val="0"/>
        <w:keepLines w:val="0"/>
        <w:pageBreakBefore w:val="0"/>
        <w:kinsoku/>
        <w:wordWrap/>
        <w:overflowPunct/>
        <w:topLinePunct w:val="0"/>
        <w:bidi w:val="0"/>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户名：</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8433B90">
      <w:pPr>
        <w:keepNext w:val="0"/>
        <w:keepLines w:val="0"/>
        <w:pageBreakBefore w:val="0"/>
        <w:kinsoku/>
        <w:wordWrap/>
        <w:overflowPunct/>
        <w:topLinePunct w:val="0"/>
        <w:bidi w:val="0"/>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账号：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4AB1B09">
      <w:pPr>
        <w:keepNext w:val="0"/>
        <w:keepLines w:val="0"/>
        <w:pageBreakBefore w:val="0"/>
        <w:kinsoku/>
        <w:wordWrap/>
        <w:overflowPunct/>
        <w:topLinePunct w:val="0"/>
        <w:bidi w:val="0"/>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开户银行：</w:t>
      </w:r>
      <w:r>
        <w:rPr>
          <w:rFonts w:hint="eastAsia" w:ascii="宋体" w:hAnsi="宋体" w:eastAsia="宋体" w:cs="宋体"/>
          <w:color w:val="000000" w:themeColor="text1"/>
          <w:sz w:val="24"/>
          <w:szCs w:val="24"/>
          <w:u w:val="single"/>
          <w14:textFill>
            <w14:solidFill>
              <w14:schemeClr w14:val="tx1"/>
            </w14:solidFill>
          </w14:textFill>
        </w:rPr>
        <w:t xml:space="preserve">        </w:t>
      </w:r>
    </w:p>
    <w:bookmarkEnd w:id="99"/>
    <w:p w14:paraId="6E312666">
      <w:pPr>
        <w:keepNext w:val="0"/>
        <w:keepLines w:val="0"/>
        <w:pageBreakBefore w:val="0"/>
        <w:widowControl/>
        <w:kinsoku/>
        <w:wordWrap/>
        <w:overflowPunct/>
        <w:topLinePunct w:val="0"/>
        <w:bidi w:val="0"/>
        <w:snapToGrid/>
        <w:spacing w:line="500" w:lineRule="exact"/>
        <w:jc w:val="left"/>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057080F9">
      <w:pPr>
        <w:spacing w:line="440" w:lineRule="exact"/>
        <w:jc w:val="center"/>
        <w:outlineLvl w:val="1"/>
        <w:rPr>
          <w:rFonts w:ascii="宋体" w:hAnsi="宋体" w:eastAsia="宋体" w:cs="宋体"/>
          <w:b/>
          <w:color w:val="000000" w:themeColor="text1"/>
          <w:sz w:val="24"/>
          <w14:textFill>
            <w14:solidFill>
              <w14:schemeClr w14:val="tx1"/>
            </w14:solidFill>
          </w14:textFill>
        </w:rPr>
      </w:pPr>
      <w:bookmarkStart w:id="100" w:name="_Toc415"/>
      <w:r>
        <w:rPr>
          <w:rFonts w:hint="eastAsia" w:ascii="宋体" w:hAnsi="宋体" w:eastAsia="宋体" w:cs="宋体"/>
          <w:b/>
          <w:color w:val="000000" w:themeColor="text1"/>
          <w:sz w:val="24"/>
          <w14:textFill>
            <w14:solidFill>
              <w14:schemeClr w14:val="tx1"/>
            </w14:solidFill>
          </w14:textFill>
        </w:rPr>
        <w:t>第二部分 合同一般条款</w:t>
      </w:r>
      <w:bookmarkEnd w:id="98"/>
      <w:bookmarkEnd w:id="100"/>
    </w:p>
    <w:p w14:paraId="66F58B4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01" w:name="_Toc279701240"/>
      <w:bookmarkStart w:id="102" w:name="_Ref467379094"/>
      <w:bookmarkStart w:id="103" w:name="_Ref467379195"/>
      <w:bookmarkStart w:id="104" w:name="_Ref467379101"/>
      <w:bookmarkStart w:id="105" w:name="_Ref467378404"/>
      <w:bookmarkStart w:id="106" w:name="_Toc19614"/>
      <w:bookmarkStart w:id="107" w:name="_Toc487900349"/>
      <w:bookmarkStart w:id="108" w:name="_Toc16917"/>
      <w:bookmarkStart w:id="109" w:name="_Ref467378499"/>
      <w:bookmarkStart w:id="110" w:name="_Toc28763"/>
      <w:bookmarkStart w:id="111" w:name="_Ref467379109"/>
      <w:bookmarkStart w:id="112" w:name="_Ref467378463"/>
      <w:bookmarkStart w:id="113" w:name="_Ref467379214"/>
      <w:bookmarkStart w:id="114" w:name="_Ref467379225"/>
      <w:bookmarkStart w:id="115" w:name="_Toc259093669"/>
      <w:bookmarkStart w:id="116" w:name="_Ref467379205"/>
      <w:r>
        <w:rPr>
          <w:rFonts w:hint="eastAsia" w:ascii="宋体" w:hAnsi="宋体" w:eastAsia="宋体" w:cs="宋体"/>
          <w:b/>
          <w:bCs/>
          <w:color w:val="000000" w:themeColor="text1"/>
          <w:sz w:val="24"/>
          <w:szCs w:val="24"/>
          <w:lang w:val="zh-CN"/>
          <w14:textFill>
            <w14:solidFill>
              <w14:schemeClr w14:val="tx1"/>
            </w14:solidFill>
          </w14:textFill>
        </w:rPr>
        <w:t>2.1 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FF8EBF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本合同中的下列词语应按以下内容进行解释：</w:t>
      </w:r>
    </w:p>
    <w:p w14:paraId="6CE7B2B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2.1.1“合同”系指采购人和中标人签订的载明双方当事人所达成的协议，并包括所有的附件、附录和构成合同的其他文件。</w:t>
      </w:r>
    </w:p>
    <w:p w14:paraId="41007CF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2.1.2“合同价”系指根据合同约定，中标人在完全履行合同义务后，采购人应支付给中标人的价格。</w:t>
      </w:r>
    </w:p>
    <w:p w14:paraId="64E7FF3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2.1.3“服务”系指中标人根据合同约定应向采购人履行的除货物和工程以外的其他政府采购对象，包括采购人自身需要的服务和向社会公众提供的公共服务。</w:t>
      </w:r>
    </w:p>
    <w:p w14:paraId="1D4B2AD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bookmarkStart w:id="117" w:name="_Ref467378840"/>
      <w:r>
        <w:rPr>
          <w:rFonts w:hint="eastAsia" w:ascii="宋体" w:hAnsi="宋体" w:eastAsia="宋体" w:cs="宋体"/>
          <w:color w:val="000000" w:themeColor="text1"/>
          <w:sz w:val="24"/>
          <w:szCs w:val="24"/>
          <w14:textFill>
            <w14:solidFill>
              <w14:schemeClr w14:val="tx1"/>
            </w14:solidFill>
          </w14:textFill>
        </w:rPr>
        <w:t>2.1.4“甲方”系指与中标人签署合同的采购人</w:t>
      </w:r>
      <w:bookmarkEnd w:id="117"/>
      <w:r>
        <w:rPr>
          <w:rFonts w:hint="eastAsia" w:ascii="宋体" w:hAnsi="宋体" w:eastAsia="宋体" w:cs="宋体"/>
          <w:color w:val="000000" w:themeColor="text1"/>
          <w:sz w:val="24"/>
          <w:szCs w:val="24"/>
          <w14:textFill>
            <w14:solidFill>
              <w14:schemeClr w14:val="tx1"/>
            </w14:solidFill>
          </w14:textFill>
        </w:rPr>
        <w:t>；采购人委托采购代理机构代表其与乙方签订合同的，采购人的授权委托书作为合同附件。</w:t>
      </w:r>
    </w:p>
    <w:p w14:paraId="20F1790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bookmarkStart w:id="118" w:name="_Ref467379400"/>
      <w:r>
        <w:rPr>
          <w:rFonts w:hint="eastAsia" w:ascii="宋体" w:hAnsi="宋体" w:eastAsia="宋体" w:cs="宋体"/>
          <w:color w:val="000000" w:themeColor="text1"/>
          <w:sz w:val="24"/>
          <w:szCs w:val="24"/>
          <w14:textFill>
            <w14:solidFill>
              <w14:schemeClr w14:val="tx1"/>
            </w14:solidFill>
          </w14:textFill>
        </w:rPr>
        <w:t>2.1.5“乙方”系指根据合同约定提供服务的中标人</w:t>
      </w:r>
      <w:bookmarkEnd w:id="118"/>
      <w:r>
        <w:rPr>
          <w:rFonts w:hint="eastAsia" w:ascii="宋体" w:hAnsi="宋体" w:eastAsia="宋体" w:cs="宋体"/>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8EC001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bookmarkStart w:id="119" w:name="_Ref467379436"/>
      <w:r>
        <w:rPr>
          <w:rFonts w:hint="eastAsia" w:ascii="宋体" w:hAnsi="宋体" w:eastAsia="宋体" w:cs="宋体"/>
          <w:color w:val="000000" w:themeColor="text1"/>
          <w:sz w:val="24"/>
          <w:szCs w:val="24"/>
          <w14:textFill>
            <w14:solidFill>
              <w14:schemeClr w14:val="tx1"/>
            </w14:solidFill>
          </w14:textFill>
        </w:rPr>
        <w:t>2.1.6“现场”系指合同约定提供服务的地点。</w:t>
      </w:r>
      <w:bookmarkEnd w:id="119"/>
    </w:p>
    <w:p w14:paraId="64AB3F8C">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20" w:name="_Toc259093670"/>
      <w:bookmarkStart w:id="121" w:name="_Toc27635"/>
      <w:bookmarkStart w:id="122" w:name="_Toc32504"/>
      <w:bookmarkStart w:id="123" w:name="_Toc13336"/>
      <w:bookmarkStart w:id="124" w:name="_Toc279701241"/>
      <w:bookmarkStart w:id="125" w:name="_Toc487900350"/>
      <w:r>
        <w:rPr>
          <w:rFonts w:hint="eastAsia" w:ascii="宋体" w:hAnsi="宋体" w:eastAsia="宋体" w:cs="宋体"/>
          <w:b/>
          <w:bCs/>
          <w:color w:val="000000" w:themeColor="text1"/>
          <w:sz w:val="24"/>
          <w:szCs w:val="24"/>
          <w:lang w:val="zh-CN"/>
          <w14:textFill>
            <w14:solidFill>
              <w14:schemeClr w14:val="tx1"/>
            </w14:solidFill>
          </w14:textFill>
        </w:rPr>
        <w:t>2.2 技术规范</w:t>
      </w:r>
      <w:bookmarkEnd w:id="120"/>
      <w:bookmarkEnd w:id="121"/>
      <w:bookmarkEnd w:id="122"/>
      <w:bookmarkEnd w:id="123"/>
      <w:bookmarkEnd w:id="124"/>
      <w:bookmarkEnd w:id="125"/>
    </w:p>
    <w:p w14:paraId="2E9AEA9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1B1CC8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26" w:name="_Toc487900351"/>
      <w:bookmarkStart w:id="127" w:name="_Toc27853"/>
      <w:bookmarkStart w:id="128" w:name="_Toc9829"/>
      <w:bookmarkStart w:id="129" w:name="_Toc279701242"/>
      <w:bookmarkStart w:id="130" w:name="_Toc31634"/>
      <w:bookmarkStart w:id="131" w:name="_Toc259093671"/>
      <w:r>
        <w:rPr>
          <w:rFonts w:hint="eastAsia" w:ascii="宋体" w:hAnsi="宋体" w:eastAsia="宋体" w:cs="宋体"/>
          <w:b/>
          <w:bCs/>
          <w:color w:val="000000" w:themeColor="text1"/>
          <w:sz w:val="24"/>
          <w:szCs w:val="24"/>
          <w:lang w:val="zh-CN"/>
          <w14:textFill>
            <w14:solidFill>
              <w14:schemeClr w14:val="tx1"/>
            </w14:solidFill>
          </w14:textFill>
        </w:rPr>
        <w:t>2.3 知识产权</w:t>
      </w:r>
      <w:bookmarkEnd w:id="126"/>
      <w:bookmarkEnd w:id="127"/>
      <w:bookmarkEnd w:id="128"/>
      <w:bookmarkEnd w:id="129"/>
      <w:bookmarkEnd w:id="130"/>
      <w:bookmarkEnd w:id="131"/>
    </w:p>
    <w:p w14:paraId="2A6F0C3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DCC9A9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2.3.2具有知识产权的计算机软件等货物的知识产权归属，详见</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w:t>
      </w:r>
    </w:p>
    <w:p w14:paraId="5682B48E">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32" w:name="_Ref467379542"/>
      <w:bookmarkStart w:id="133" w:name="_Toc279701245"/>
      <w:bookmarkStart w:id="134" w:name="_Toc259093674"/>
      <w:bookmarkStart w:id="135" w:name="_Toc487900354"/>
      <w:bookmarkStart w:id="136" w:name="_Ref467379527"/>
      <w:bookmarkStart w:id="137" w:name="_Ref467378541"/>
      <w:bookmarkStart w:id="138" w:name="_Ref467379536"/>
      <w:bookmarkStart w:id="139" w:name="_Ref467378591"/>
      <w:bookmarkStart w:id="140" w:name="_Toc30272"/>
      <w:bookmarkStart w:id="141" w:name="_Toc19074"/>
      <w:bookmarkStart w:id="142" w:name="_Toc26182"/>
      <w:r>
        <w:rPr>
          <w:rFonts w:hint="eastAsia" w:ascii="宋体" w:hAnsi="宋体" w:eastAsia="宋体" w:cs="宋体"/>
          <w:b/>
          <w:bCs/>
          <w:color w:val="000000" w:themeColor="text1"/>
          <w:sz w:val="24"/>
          <w:szCs w:val="24"/>
          <w:lang w:val="zh-CN"/>
          <w14:textFill>
            <w14:solidFill>
              <w14:schemeClr w14:val="tx1"/>
            </w14:solidFill>
          </w14:textFill>
        </w:rPr>
        <w:t>2.</w:t>
      </w:r>
      <w:bookmarkEnd w:id="132"/>
      <w:bookmarkEnd w:id="133"/>
      <w:bookmarkEnd w:id="134"/>
      <w:bookmarkEnd w:id="135"/>
      <w:bookmarkEnd w:id="136"/>
      <w:bookmarkEnd w:id="137"/>
      <w:bookmarkEnd w:id="138"/>
      <w:bookmarkEnd w:id="139"/>
      <w:r>
        <w:rPr>
          <w:rFonts w:hint="eastAsia" w:ascii="宋体" w:hAnsi="宋体" w:eastAsia="宋体" w:cs="宋体"/>
          <w:b/>
          <w:bCs/>
          <w:color w:val="000000" w:themeColor="text1"/>
          <w:sz w:val="24"/>
          <w:szCs w:val="24"/>
          <w:lang w:val="zh-CN"/>
          <w14:textFill>
            <w14:solidFill>
              <w14:schemeClr w14:val="tx1"/>
            </w14:solidFill>
          </w14:textFill>
        </w:rPr>
        <w:t>4 履约检查和问题反馈</w:t>
      </w:r>
      <w:bookmarkEnd w:id="140"/>
      <w:bookmarkEnd w:id="141"/>
      <w:bookmarkEnd w:id="142"/>
    </w:p>
    <w:p w14:paraId="62C594C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bookmarkStart w:id="143" w:name="_Toc186431854"/>
      <w:bookmarkStart w:id="144" w:name="_Toc487900357"/>
      <w:bookmarkStart w:id="145" w:name="_Ref467379793"/>
      <w:bookmarkStart w:id="146" w:name="_Toc259093676"/>
      <w:bookmarkStart w:id="147" w:name="_Toc279701247"/>
      <w:bookmarkStart w:id="148" w:name="_Ref467379807"/>
      <w:r>
        <w:rPr>
          <w:rFonts w:hint="eastAsia" w:ascii="宋体" w:hAnsi="宋体" w:eastAsia="宋体" w:cs="宋体"/>
          <w:color w:val="000000" w:themeColor="text1"/>
          <w:sz w:val="24"/>
          <w:szCs w:val="24"/>
          <w14:textFill>
            <w14:solidFill>
              <w14:schemeClr w14:val="tx1"/>
            </w14:solidFill>
          </w14:textFill>
        </w:rPr>
        <w:t>2.4.1甲方有权在其认为必要时，对乙方是否能够按照合同约定提供服务进行履约检查，以确保乙方所提供的服务能够依约满足甲方项目需求，但不得因履约检查妨碍乙方的正常工作，乙方应予积极配合；</w:t>
      </w:r>
    </w:p>
    <w:p w14:paraId="412F452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2.4.2合同履行期间，甲方有权将履行过程中出现的问题反馈给乙方，双方当事人应以书面形式约定需要完善和改进的内容</w:t>
      </w:r>
      <w:bookmarkEnd w:id="143"/>
      <w:bookmarkStart w:id="149" w:name="_Toc186431855"/>
      <w:r>
        <w:rPr>
          <w:rFonts w:hint="eastAsia" w:ascii="宋体" w:hAnsi="宋体" w:eastAsia="宋体" w:cs="宋体"/>
          <w:color w:val="000000" w:themeColor="text1"/>
          <w:sz w:val="24"/>
          <w:szCs w:val="24"/>
          <w14:textFill>
            <w14:solidFill>
              <w14:schemeClr w14:val="tx1"/>
            </w14:solidFill>
          </w14:textFill>
        </w:rPr>
        <w:t>。</w:t>
      </w:r>
    </w:p>
    <w:bookmarkEnd w:id="149"/>
    <w:p w14:paraId="17601EE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50" w:name="_Toc19219"/>
      <w:bookmarkStart w:id="151" w:name="_Toc28451"/>
      <w:bookmarkStart w:id="152" w:name="_Toc7836"/>
      <w:r>
        <w:rPr>
          <w:rFonts w:hint="eastAsia" w:ascii="宋体" w:hAnsi="宋体" w:eastAsia="宋体" w:cs="宋体"/>
          <w:b/>
          <w:bCs/>
          <w:color w:val="000000" w:themeColor="text1"/>
          <w:sz w:val="24"/>
          <w:szCs w:val="24"/>
          <w:lang w:val="zh-CN"/>
          <w14:textFill>
            <w14:solidFill>
              <w14:schemeClr w14:val="tx1"/>
            </w14:solidFill>
          </w14:textFill>
        </w:rPr>
        <w:t>2.5 结算方式和付款条件</w:t>
      </w:r>
      <w:bookmarkEnd w:id="144"/>
      <w:bookmarkEnd w:id="145"/>
      <w:bookmarkEnd w:id="146"/>
      <w:bookmarkEnd w:id="147"/>
      <w:bookmarkEnd w:id="148"/>
      <w:bookmarkEnd w:id="150"/>
      <w:bookmarkEnd w:id="151"/>
      <w:bookmarkEnd w:id="152"/>
    </w:p>
    <w:p w14:paraId="30C7C46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w:t>
      </w:r>
    </w:p>
    <w:p w14:paraId="2ACEFB1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53" w:name="_Toc259093677"/>
      <w:bookmarkStart w:id="154" w:name="_Ref467379852"/>
      <w:bookmarkStart w:id="155" w:name="_Ref467379863"/>
      <w:bookmarkStart w:id="156" w:name="_Toc487900358"/>
      <w:bookmarkStart w:id="157" w:name="_Toc279701248"/>
      <w:bookmarkStart w:id="158" w:name="_Ref467379923"/>
      <w:bookmarkStart w:id="159" w:name="_Toc774"/>
      <w:bookmarkStart w:id="160" w:name="_Toc3225"/>
      <w:bookmarkStart w:id="161" w:name="_Toc16110"/>
      <w:r>
        <w:rPr>
          <w:rFonts w:hint="eastAsia" w:ascii="宋体" w:hAnsi="宋体" w:eastAsia="宋体" w:cs="宋体"/>
          <w:b/>
          <w:bCs/>
          <w:color w:val="000000" w:themeColor="text1"/>
          <w:sz w:val="24"/>
          <w:szCs w:val="24"/>
          <w:lang w:val="zh-CN"/>
          <w14:textFill>
            <w14:solidFill>
              <w14:schemeClr w14:val="tx1"/>
            </w14:solidFill>
          </w14:textFill>
        </w:rPr>
        <w:t>2.6 技术资料</w:t>
      </w:r>
      <w:bookmarkEnd w:id="153"/>
      <w:bookmarkEnd w:id="154"/>
      <w:bookmarkEnd w:id="155"/>
      <w:bookmarkEnd w:id="156"/>
      <w:bookmarkEnd w:id="157"/>
      <w:bookmarkEnd w:id="158"/>
      <w:r>
        <w:rPr>
          <w:rFonts w:hint="eastAsia" w:ascii="宋体" w:hAnsi="宋体" w:eastAsia="宋体" w:cs="宋体"/>
          <w:b/>
          <w:bCs/>
          <w:color w:val="000000" w:themeColor="text1"/>
          <w:sz w:val="24"/>
          <w:szCs w:val="24"/>
          <w:lang w:val="zh-CN"/>
          <w14:textFill>
            <w14:solidFill>
              <w14:schemeClr w14:val="tx1"/>
            </w14:solidFill>
          </w14:textFill>
        </w:rPr>
        <w:t>和保密义务</w:t>
      </w:r>
      <w:bookmarkEnd w:id="159"/>
      <w:bookmarkEnd w:id="160"/>
      <w:bookmarkEnd w:id="161"/>
    </w:p>
    <w:p w14:paraId="2B5FFD1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2.6.1乙方有权依据合同约定和项目需要，向甲方了解有关情况，调阅有关资料等，甲方应予积极配合；</w:t>
      </w:r>
    </w:p>
    <w:p w14:paraId="439CD93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2.6.2乙方有义务妥善保管和保护由甲方提供的前款信息和资料等；</w:t>
      </w:r>
    </w:p>
    <w:p w14:paraId="7C541D6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BCB91D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62" w:name="_Toc7860"/>
      <w:r>
        <w:rPr>
          <w:rFonts w:hint="eastAsia" w:ascii="宋体" w:hAnsi="宋体" w:eastAsia="宋体" w:cs="宋体"/>
          <w:b/>
          <w:bCs/>
          <w:color w:val="000000" w:themeColor="text1"/>
          <w:sz w:val="24"/>
          <w:szCs w:val="24"/>
          <w:lang w:val="zh-CN"/>
          <w14:textFill>
            <w14:solidFill>
              <w14:schemeClr w14:val="tx1"/>
            </w14:solidFill>
          </w14:textFill>
        </w:rPr>
        <w:t>2.7 质量保证</w:t>
      </w:r>
      <w:bookmarkEnd w:id="162"/>
    </w:p>
    <w:p w14:paraId="7A12310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2.7.1乙方应建立和完善履行合同的内部质量保证体系，并提供相关内部规章制度给甲方，以便甲方进行监督检查；</w:t>
      </w:r>
    </w:p>
    <w:p w14:paraId="5D5E39D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2.7.2乙方应保证履行合同的人员数量和素质、软件和硬件设备的配置、场地、环境和设施等满足全面履行合同的要求，并应接受甲方的监督检查。</w:t>
      </w:r>
    </w:p>
    <w:p w14:paraId="3DD14E2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000000" w:themeColor="text1"/>
          <w:sz w:val="24"/>
          <w:szCs w:val="24"/>
          <w14:textFill>
            <w14:solidFill>
              <w14:schemeClr w14:val="tx1"/>
            </w14:solidFill>
          </w14:textFill>
        </w:rPr>
      </w:pPr>
      <w:bookmarkStart w:id="163" w:name="_Toc22267"/>
      <w:r>
        <w:rPr>
          <w:rFonts w:hint="eastAsia" w:ascii="宋体" w:hAnsi="宋体" w:eastAsia="宋体" w:cs="宋体"/>
          <w:b/>
          <w:color w:val="000000" w:themeColor="text1"/>
          <w:sz w:val="24"/>
          <w:szCs w:val="24"/>
          <w14:textFill>
            <w14:solidFill>
              <w14:schemeClr w14:val="tx1"/>
            </w14:solidFill>
          </w14:textFill>
        </w:rPr>
        <w:t>2.8 延迟履行</w:t>
      </w:r>
      <w:bookmarkEnd w:id="163"/>
    </w:p>
    <w:p w14:paraId="0E65758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D2A249B">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64" w:name="_Toc7502"/>
      <w:bookmarkStart w:id="165" w:name="_Toc279701254"/>
      <w:bookmarkStart w:id="166" w:name="_Ref467378121"/>
      <w:bookmarkStart w:id="167" w:name="_Toc487900364"/>
      <w:bookmarkStart w:id="168" w:name="_Toc259093683"/>
      <w:r>
        <w:rPr>
          <w:rFonts w:hint="eastAsia" w:ascii="宋体" w:hAnsi="宋体" w:eastAsia="宋体" w:cs="宋体"/>
          <w:b/>
          <w:bCs/>
          <w:color w:val="000000" w:themeColor="text1"/>
          <w:sz w:val="24"/>
          <w:szCs w:val="24"/>
          <w:lang w:val="zh-CN"/>
          <w14:textFill>
            <w14:solidFill>
              <w14:schemeClr w14:val="tx1"/>
            </w14:solidFill>
          </w14:textFill>
        </w:rPr>
        <w:t>2.9 合同变更</w:t>
      </w:r>
      <w:bookmarkEnd w:id="164"/>
    </w:p>
    <w:p w14:paraId="642E71E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2.9.1双方当事人协商一致，可以签订书面补充合同的形式变更合同，但不得违背采购文件确定的事项；</w:t>
      </w:r>
    </w:p>
    <w:p w14:paraId="083BCF8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2.9.2合同继续履行将损害国家利益和社会公共利益的，双方当事人应当以书面形式变更合同。有过错的一方应当承担赔偿责任，双方当事人都有过错的，各自承担相应的责任。</w:t>
      </w:r>
      <w:bookmarkStart w:id="169" w:name="_Toc279701259"/>
      <w:bookmarkStart w:id="170" w:name="_Toc259093688"/>
      <w:bookmarkStart w:id="171" w:name="_Toc487900369"/>
    </w:p>
    <w:p w14:paraId="6A6C1F4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72" w:name="_Toc15237"/>
      <w:bookmarkStart w:id="173" w:name="_Toc22955"/>
      <w:bookmarkStart w:id="174" w:name="_Toc10366"/>
      <w:r>
        <w:rPr>
          <w:rFonts w:hint="eastAsia" w:ascii="宋体" w:hAnsi="宋体" w:eastAsia="宋体" w:cs="宋体"/>
          <w:b/>
          <w:bCs/>
          <w:color w:val="000000" w:themeColor="text1"/>
          <w:sz w:val="24"/>
          <w:szCs w:val="24"/>
          <w:lang w:val="zh-CN"/>
          <w14:textFill>
            <w14:solidFill>
              <w14:schemeClr w14:val="tx1"/>
            </w14:solidFill>
          </w14:textFill>
        </w:rPr>
        <w:t>2.10 合同转让</w:t>
      </w:r>
      <w:bookmarkEnd w:id="169"/>
      <w:bookmarkEnd w:id="170"/>
      <w:bookmarkEnd w:id="171"/>
      <w:r>
        <w:rPr>
          <w:rFonts w:hint="eastAsia" w:ascii="宋体" w:hAnsi="宋体" w:eastAsia="宋体" w:cs="宋体"/>
          <w:b/>
          <w:bCs/>
          <w:color w:val="000000" w:themeColor="text1"/>
          <w:sz w:val="24"/>
          <w:szCs w:val="24"/>
          <w:lang w:val="zh-CN"/>
          <w14:textFill>
            <w14:solidFill>
              <w14:schemeClr w14:val="tx1"/>
            </w14:solidFill>
          </w14:textFill>
        </w:rPr>
        <w:t>和分包</w:t>
      </w:r>
      <w:bookmarkEnd w:id="172"/>
      <w:bookmarkEnd w:id="173"/>
      <w:bookmarkEnd w:id="174"/>
    </w:p>
    <w:p w14:paraId="509E30A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合同的权利义务依法不得转让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不得分包。</w:t>
      </w:r>
    </w:p>
    <w:p w14:paraId="781B503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75" w:name="_Toc16508"/>
      <w:bookmarkStart w:id="176" w:name="_Toc14066"/>
      <w:bookmarkStart w:id="177" w:name="_Toc13566"/>
      <w:r>
        <w:rPr>
          <w:rFonts w:hint="eastAsia" w:ascii="宋体" w:hAnsi="宋体" w:eastAsia="宋体" w:cs="宋体"/>
          <w:b/>
          <w:bCs/>
          <w:color w:val="000000" w:themeColor="text1"/>
          <w:sz w:val="24"/>
          <w:szCs w:val="24"/>
          <w:lang w:val="zh-CN"/>
          <w14:textFill>
            <w14:solidFill>
              <w14:schemeClr w14:val="tx1"/>
            </w14:solidFill>
          </w14:textFill>
        </w:rPr>
        <w:t>2.11 不可抗力</w:t>
      </w:r>
      <w:bookmarkEnd w:id="175"/>
      <w:bookmarkEnd w:id="176"/>
      <w:bookmarkEnd w:id="177"/>
    </w:p>
    <w:p w14:paraId="7956EAC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2.11.1如果任何一方遭遇法律规定的不可抗力，致使合同履行受阻时，履行合同的期限应予延长，延长的期限应相当于不可抗力所影响的时间；</w:t>
      </w:r>
    </w:p>
    <w:p w14:paraId="186D748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2.11.2因不可抗力致使不能实现合同目的的，当事人可以解除合同；</w:t>
      </w:r>
    </w:p>
    <w:p w14:paraId="679C281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2.11.3因不可抗力致使合同有变更必要的，双方当事人应在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约定时间内以书面形式变更合同；</w:t>
      </w:r>
    </w:p>
    <w:p w14:paraId="4DF554C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2.11.4受不可抗力影响的一方在不可抗力发生后，应在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约定时间内以书面形式通知对方当事人，并在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约定时间内，将有关部门出具的证明文件送达对方当事人。</w:t>
      </w:r>
    </w:p>
    <w:p w14:paraId="451B062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78" w:name="_Toc279701255"/>
      <w:bookmarkStart w:id="179" w:name="_Toc689"/>
      <w:bookmarkStart w:id="180" w:name="_Toc259093684"/>
      <w:bookmarkStart w:id="181" w:name="_Toc30676"/>
      <w:bookmarkStart w:id="182" w:name="_Toc487900365"/>
      <w:bookmarkStart w:id="183" w:name="_Toc6969"/>
      <w:r>
        <w:rPr>
          <w:rFonts w:hint="eastAsia" w:ascii="宋体" w:hAnsi="宋体" w:eastAsia="宋体" w:cs="宋体"/>
          <w:b/>
          <w:bCs/>
          <w:color w:val="000000" w:themeColor="text1"/>
          <w:sz w:val="24"/>
          <w:szCs w:val="24"/>
          <w:lang w:val="zh-CN"/>
          <w14:textFill>
            <w14:solidFill>
              <w14:schemeClr w14:val="tx1"/>
            </w14:solidFill>
          </w14:textFill>
        </w:rPr>
        <w:t>2.12 税费</w:t>
      </w:r>
      <w:bookmarkEnd w:id="178"/>
      <w:bookmarkEnd w:id="179"/>
      <w:bookmarkEnd w:id="180"/>
      <w:bookmarkEnd w:id="181"/>
      <w:bookmarkEnd w:id="182"/>
      <w:bookmarkEnd w:id="183"/>
    </w:p>
    <w:p w14:paraId="01CCB30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与合同有关的一切税费，均按照中华人民共和国法律的相关规定缴纳。</w:t>
      </w:r>
    </w:p>
    <w:p w14:paraId="6CAA9D0E">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84" w:name="_Toc279701258"/>
      <w:bookmarkStart w:id="185" w:name="_Toc8298"/>
      <w:bookmarkStart w:id="186" w:name="_Toc7102"/>
      <w:bookmarkStart w:id="187" w:name="_Toc259093687"/>
      <w:bookmarkStart w:id="188" w:name="_Toc16959"/>
      <w:bookmarkStart w:id="189" w:name="_Toc487900368"/>
      <w:r>
        <w:rPr>
          <w:rFonts w:hint="eastAsia" w:ascii="宋体" w:hAnsi="宋体" w:eastAsia="宋体" w:cs="宋体"/>
          <w:b/>
          <w:bCs/>
          <w:color w:val="000000" w:themeColor="text1"/>
          <w:sz w:val="24"/>
          <w:szCs w:val="24"/>
          <w:lang w:val="zh-CN"/>
          <w14:textFill>
            <w14:solidFill>
              <w14:schemeClr w14:val="tx1"/>
            </w14:solidFill>
          </w14:textFill>
        </w:rPr>
        <w:t>2.13 乙方破产</w:t>
      </w:r>
      <w:bookmarkEnd w:id="184"/>
      <w:bookmarkEnd w:id="185"/>
      <w:bookmarkEnd w:id="186"/>
      <w:bookmarkEnd w:id="187"/>
      <w:bookmarkEnd w:id="188"/>
      <w:bookmarkEnd w:id="189"/>
    </w:p>
    <w:p w14:paraId="3B9FA44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10127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000000" w:themeColor="text1"/>
          <w:sz w:val="24"/>
          <w:szCs w:val="24"/>
          <w14:textFill>
            <w14:solidFill>
              <w14:schemeClr w14:val="tx1"/>
            </w14:solidFill>
          </w14:textFill>
        </w:rPr>
      </w:pPr>
      <w:bookmarkStart w:id="190" w:name="_Toc29333"/>
      <w:bookmarkStart w:id="191" w:name="_Toc15387"/>
      <w:bookmarkStart w:id="192" w:name="_Toc6134"/>
      <w:r>
        <w:rPr>
          <w:rFonts w:hint="eastAsia" w:ascii="宋体" w:hAnsi="宋体" w:eastAsia="宋体" w:cs="宋体"/>
          <w:b/>
          <w:bCs/>
          <w:color w:val="000000" w:themeColor="text1"/>
          <w:sz w:val="24"/>
          <w:szCs w:val="24"/>
          <w:lang w:val="zh-CN"/>
          <w14:textFill>
            <w14:solidFill>
              <w14:schemeClr w14:val="tx1"/>
            </w14:solidFill>
          </w14:textFill>
        </w:rPr>
        <w:t>2.14 合同中止、终止</w:t>
      </w:r>
      <w:bookmarkEnd w:id="190"/>
      <w:bookmarkEnd w:id="191"/>
      <w:bookmarkEnd w:id="192"/>
    </w:p>
    <w:p w14:paraId="24B1C04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2.14.1双方当事人不得擅自中止或者终止合同；</w:t>
      </w:r>
    </w:p>
    <w:p w14:paraId="72DFFEB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33A24399">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lang w:val="zh-CN"/>
          <w14:textFill>
            <w14:solidFill>
              <w14:schemeClr w14:val="tx1"/>
            </w14:solidFill>
          </w14:textFill>
        </w:rPr>
      </w:pPr>
      <w:bookmarkStart w:id="193" w:name="_Toc14563"/>
      <w:bookmarkStart w:id="194" w:name="_Toc1125"/>
      <w:bookmarkStart w:id="195" w:name="_Toc6596"/>
      <w:r>
        <w:rPr>
          <w:rFonts w:hint="eastAsia" w:ascii="宋体" w:hAnsi="宋体" w:eastAsia="宋体" w:cs="宋体"/>
          <w:b/>
          <w:bCs/>
          <w:color w:val="000000" w:themeColor="text1"/>
          <w:sz w:val="24"/>
          <w:szCs w:val="24"/>
          <w:lang w:val="zh-CN"/>
          <w14:textFill>
            <w14:solidFill>
              <w14:schemeClr w14:val="tx1"/>
            </w14:solidFill>
          </w14:textFill>
        </w:rPr>
        <w:t>2.15 检验和验收</w:t>
      </w:r>
      <w:bookmarkEnd w:id="193"/>
      <w:bookmarkEnd w:id="194"/>
      <w:bookmarkEnd w:id="195"/>
    </w:p>
    <w:p w14:paraId="1233A04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2.15.1乙方按照</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的约定，定期提交服务报告，甲方按照</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的约定进行定期验收；</w:t>
      </w:r>
    </w:p>
    <w:p w14:paraId="6397DE6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3BA68B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2.15.3检验和验收标准、程序等具体内容以及前述验收书的效力详见</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i/>
          <w:color w:val="000000" w:themeColor="text1"/>
          <w:sz w:val="24"/>
          <w:szCs w:val="24"/>
          <w14:textFill>
            <w14:solidFill>
              <w14:schemeClr w14:val="tx1"/>
            </w14:solidFill>
          </w14:textFill>
        </w:rPr>
        <w:t>。</w:t>
      </w:r>
    </w:p>
    <w:bookmarkEnd w:id="165"/>
    <w:bookmarkEnd w:id="166"/>
    <w:bookmarkEnd w:id="167"/>
    <w:bookmarkEnd w:id="168"/>
    <w:p w14:paraId="0B4B585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000000" w:themeColor="text1"/>
          <w:sz w:val="24"/>
          <w:szCs w:val="24"/>
          <w14:textFill>
            <w14:solidFill>
              <w14:schemeClr w14:val="tx1"/>
            </w14:solidFill>
          </w14:textFill>
        </w:rPr>
      </w:pPr>
      <w:bookmarkStart w:id="196" w:name="_Toc12773"/>
      <w:bookmarkStart w:id="197" w:name="_Toc10330"/>
      <w:bookmarkStart w:id="198" w:name="_Toc18567"/>
      <w:bookmarkStart w:id="199" w:name="_Toc279701263"/>
      <w:bookmarkStart w:id="200" w:name="_Toc487900373"/>
      <w:bookmarkStart w:id="201" w:name="_Toc259093692"/>
      <w:r>
        <w:rPr>
          <w:rFonts w:hint="eastAsia" w:ascii="宋体" w:hAnsi="宋体" w:eastAsia="宋体" w:cs="宋体"/>
          <w:b/>
          <w:bCs/>
          <w:color w:val="000000" w:themeColor="text1"/>
          <w:sz w:val="24"/>
          <w:szCs w:val="24"/>
          <w14:textFill>
            <w14:solidFill>
              <w14:schemeClr w14:val="tx1"/>
            </w14:solidFill>
          </w14:textFill>
        </w:rPr>
        <w:t xml:space="preserve">2.16 </w:t>
      </w:r>
      <w:r>
        <w:rPr>
          <w:rFonts w:hint="eastAsia" w:ascii="宋体" w:hAnsi="宋体" w:eastAsia="宋体" w:cs="宋体"/>
          <w:b/>
          <w:bCs/>
          <w:color w:val="000000" w:themeColor="text1"/>
          <w:sz w:val="24"/>
          <w:szCs w:val="24"/>
          <w:lang w:val="zh-CN"/>
          <w14:textFill>
            <w14:solidFill>
              <w14:schemeClr w14:val="tx1"/>
            </w14:solidFill>
          </w14:textFill>
        </w:rPr>
        <w:t>合同使用的文字和适用的法律</w:t>
      </w:r>
      <w:bookmarkEnd w:id="196"/>
      <w:bookmarkEnd w:id="197"/>
      <w:bookmarkEnd w:id="198"/>
      <w:bookmarkEnd w:id="199"/>
      <w:bookmarkEnd w:id="200"/>
      <w:bookmarkEnd w:id="201"/>
    </w:p>
    <w:p w14:paraId="11F0412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2.16.1合同使用汉语书就、变更和解释；</w:t>
      </w:r>
    </w:p>
    <w:p w14:paraId="28231AD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2.16.2合同适用中华人民共和国法律。</w:t>
      </w:r>
    </w:p>
    <w:p w14:paraId="5F377EA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000000" w:themeColor="text1"/>
          <w:sz w:val="24"/>
          <w:szCs w:val="24"/>
          <w14:textFill>
            <w14:solidFill>
              <w14:schemeClr w14:val="tx1"/>
            </w14:solidFill>
          </w14:textFill>
        </w:rPr>
      </w:pPr>
      <w:bookmarkStart w:id="202" w:name="_Toc279701264"/>
      <w:bookmarkStart w:id="203" w:name="_Toc16673"/>
      <w:bookmarkStart w:id="204" w:name="_Toc3148"/>
      <w:bookmarkStart w:id="205" w:name="_Toc259093693"/>
      <w:bookmarkStart w:id="206" w:name="_Toc12004"/>
      <w:bookmarkStart w:id="207" w:name="_Toc487900374"/>
      <w:r>
        <w:rPr>
          <w:rFonts w:hint="eastAsia" w:ascii="宋体" w:hAnsi="宋体" w:eastAsia="宋体" w:cs="宋体"/>
          <w:b/>
          <w:bCs/>
          <w:color w:val="000000" w:themeColor="text1"/>
          <w:sz w:val="24"/>
          <w:szCs w:val="24"/>
          <w:lang w:val="zh-CN"/>
          <w14:textFill>
            <w14:solidFill>
              <w14:schemeClr w14:val="tx1"/>
            </w14:solidFill>
          </w14:textFill>
        </w:rPr>
        <w:t>2.17 履约保证金</w:t>
      </w:r>
      <w:bookmarkEnd w:id="202"/>
      <w:bookmarkEnd w:id="203"/>
      <w:bookmarkEnd w:id="204"/>
      <w:bookmarkEnd w:id="205"/>
      <w:bookmarkEnd w:id="206"/>
    </w:p>
    <w:p w14:paraId="66808EE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2.17.1采购文件要求乙方提交履约保证金的，乙方应按</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约定的方式，以支票、汇票、本票或者金融机构、担保机构出具的保函等非现金形式提交；</w:t>
      </w:r>
    </w:p>
    <w:p w14:paraId="66E54D2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2.17.2履约保证金在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约定期间内不予退还或者应完全有效，前述约定期间届满之日起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个工作日内，甲方应将履约保证金退还乙方，甲方逾期退还履约保证金应承担违约责任。</w:t>
      </w:r>
    </w:p>
    <w:p w14:paraId="3FC0CE1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7"/>
    <w:p w14:paraId="4E274E0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000000" w:themeColor="text1"/>
          <w:sz w:val="24"/>
          <w:szCs w:val="24"/>
          <w14:textFill>
            <w14:solidFill>
              <w14:schemeClr w14:val="tx1"/>
            </w14:solidFill>
          </w14:textFill>
        </w:rPr>
      </w:pPr>
      <w:bookmarkStart w:id="208" w:name="_Toc6885"/>
      <w:bookmarkStart w:id="209" w:name="_Toc14001"/>
      <w:bookmarkStart w:id="210" w:name="_Toc19890"/>
      <w:r>
        <w:rPr>
          <w:rFonts w:hint="eastAsia" w:ascii="宋体" w:hAnsi="宋体" w:eastAsia="宋体" w:cs="宋体"/>
          <w:b/>
          <w:bCs/>
          <w:color w:val="000000" w:themeColor="text1"/>
          <w:sz w:val="24"/>
          <w:szCs w:val="24"/>
          <w:lang w:val="zh-CN"/>
          <w14:textFill>
            <w14:solidFill>
              <w14:schemeClr w14:val="tx1"/>
            </w14:solidFill>
          </w14:textFill>
        </w:rPr>
        <w:t>2.18 合同份数</w:t>
      </w:r>
      <w:bookmarkEnd w:id="208"/>
      <w:bookmarkEnd w:id="209"/>
      <w:bookmarkEnd w:id="210"/>
    </w:p>
    <w:p w14:paraId="5E5019C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合同份数按</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规定，每份均具有同等法律效力。</w:t>
      </w:r>
    </w:p>
    <w:p w14:paraId="1A15871D">
      <w:pPr>
        <w:spacing w:line="440" w:lineRule="exact"/>
        <w:jc w:val="center"/>
        <w:outlineLvl w:val="1"/>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bookmarkStart w:id="211" w:name="_Toc3736"/>
      <w:r>
        <w:rPr>
          <w:rFonts w:hint="eastAsia" w:ascii="宋体" w:hAnsi="宋体" w:eastAsia="宋体" w:cs="宋体"/>
          <w:b/>
          <w:color w:val="000000" w:themeColor="text1"/>
          <w:sz w:val="24"/>
          <w14:textFill>
            <w14:solidFill>
              <w14:schemeClr w14:val="tx1"/>
            </w14:solidFill>
          </w14:textFill>
        </w:rPr>
        <w:t>第三部分 合同专用条款</w:t>
      </w:r>
      <w:bookmarkEnd w:id="211"/>
    </w:p>
    <w:p w14:paraId="1FDADA8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1EC3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FC71A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7568" w:type="dxa"/>
            <w:vAlign w:val="center"/>
          </w:tcPr>
          <w:p w14:paraId="760D1F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约定内容</w:t>
            </w:r>
          </w:p>
        </w:tc>
      </w:tr>
      <w:tr w14:paraId="700F1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10283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2.11.3</w:t>
            </w:r>
          </w:p>
        </w:tc>
        <w:tc>
          <w:tcPr>
            <w:tcW w:w="7568" w:type="dxa"/>
            <w:vAlign w:val="center"/>
          </w:tcPr>
          <w:p w14:paraId="0509BB4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因不可抗力致使合同有变更必要的，双方当事人应在不可抗力发生的3个工作日内以书面形式变更合同</w:t>
            </w:r>
          </w:p>
        </w:tc>
      </w:tr>
      <w:tr w14:paraId="07166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A552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2.11.4</w:t>
            </w:r>
          </w:p>
        </w:tc>
        <w:tc>
          <w:tcPr>
            <w:tcW w:w="7568" w:type="dxa"/>
            <w:vAlign w:val="center"/>
          </w:tcPr>
          <w:p w14:paraId="0454CCF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受不可抗力影响的一方在不可抗力发生后，应在不可抗力发生的1个工作日内以书面形式通知对方当事人，并在1个工作日内，将有关部门出具的证明文件送达对方当事人</w:t>
            </w:r>
          </w:p>
        </w:tc>
      </w:tr>
      <w:tr w14:paraId="15F84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AD4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w:t>
            </w:r>
          </w:p>
        </w:tc>
        <w:tc>
          <w:tcPr>
            <w:tcW w:w="7568" w:type="dxa"/>
            <w:vAlign w:val="center"/>
          </w:tcPr>
          <w:p w14:paraId="648CB432">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2.15.1乙方按照月定期提交服务报告，甲方按照在收到报告后，结合当月考核情况定期验收予以支付服务费用；</w:t>
            </w:r>
          </w:p>
          <w:p w14:paraId="5120F30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2.15.3检验和验收标准、程序等具体内容以及前述验收书的效力：验收书的内容以检验和验收标准、程序结合项目具体内容出具，以验收书作为结算依据</w:t>
            </w:r>
          </w:p>
        </w:tc>
      </w:tr>
      <w:tr w14:paraId="684F9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21037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2.18</w:t>
            </w:r>
          </w:p>
        </w:tc>
        <w:tc>
          <w:tcPr>
            <w:tcW w:w="7568" w:type="dxa"/>
            <w:vAlign w:val="center"/>
          </w:tcPr>
          <w:p w14:paraId="59C8A68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合同一式捌份，甲乙双方各执四份。</w:t>
            </w:r>
          </w:p>
        </w:tc>
      </w:tr>
      <w:tr w14:paraId="6098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362" w:type="dxa"/>
            <w:gridSpan w:val="2"/>
            <w:tcBorders>
              <w:left w:val="single" w:color="auto" w:sz="4" w:space="0"/>
            </w:tcBorders>
            <w:vAlign w:val="center"/>
          </w:tcPr>
          <w:p w14:paraId="1D24213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乙方须在签订合同后完成与原物业单位的工作对接，以及投入工作的前期与甲方相关对接，做到全员上岗投入使用，不得出现缺岗或岗位缺人等现象，如出现，甲方不予支付任何费用，产生的损失由乙方自负。</w:t>
            </w:r>
          </w:p>
        </w:tc>
      </w:tr>
      <w:tr w14:paraId="645FD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5AF71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7568" w:type="dxa"/>
            <w:vAlign w:val="center"/>
          </w:tcPr>
          <w:p w14:paraId="09903D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（签订合同时可补充）</w:t>
            </w:r>
          </w:p>
        </w:tc>
      </w:tr>
      <w:tr w14:paraId="30418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164C0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7568" w:type="dxa"/>
            <w:vAlign w:val="center"/>
          </w:tcPr>
          <w:p w14:paraId="00095D0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u w:val="single"/>
                <w14:textFill>
                  <w14:solidFill>
                    <w14:schemeClr w14:val="tx1"/>
                  </w14:solidFill>
                </w14:textFill>
              </w:rPr>
            </w:pPr>
          </w:p>
        </w:tc>
      </w:tr>
      <w:tr w14:paraId="174EE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93CE1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7568" w:type="dxa"/>
            <w:vAlign w:val="center"/>
          </w:tcPr>
          <w:p w14:paraId="7E0F84C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p>
        </w:tc>
      </w:tr>
      <w:tr w14:paraId="40D32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9971A0">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p>
        </w:tc>
        <w:tc>
          <w:tcPr>
            <w:tcW w:w="7568" w:type="dxa"/>
            <w:vAlign w:val="center"/>
          </w:tcPr>
          <w:p w14:paraId="23772A2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p>
        </w:tc>
      </w:tr>
      <w:tr w14:paraId="4EB9C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0D4AFE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p>
        </w:tc>
        <w:tc>
          <w:tcPr>
            <w:tcW w:w="7568" w:type="dxa"/>
            <w:vAlign w:val="center"/>
          </w:tcPr>
          <w:p w14:paraId="584D355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000000" w:themeColor="text1"/>
                <w:sz w:val="24"/>
                <w:szCs w:val="24"/>
                <w14:textFill>
                  <w14:solidFill>
                    <w14:schemeClr w14:val="tx1"/>
                  </w14:solidFill>
                </w14:textFill>
              </w:rPr>
            </w:pPr>
          </w:p>
        </w:tc>
      </w:tr>
    </w:tbl>
    <w:p w14:paraId="24EA52EE">
      <w:pPr>
        <w:spacing w:line="360" w:lineRule="auto"/>
        <w:rPr>
          <w:rFonts w:ascii="宋体" w:hAnsi="宋体" w:eastAsia="宋体" w:cs="宋体"/>
          <w:color w:val="000000" w:themeColor="text1"/>
          <w:sz w:val="24"/>
          <w14:textFill>
            <w14:solidFill>
              <w14:schemeClr w14:val="tx1"/>
            </w14:solidFill>
          </w14:textFill>
        </w:rPr>
      </w:pPr>
    </w:p>
    <w:p w14:paraId="0B9165C5">
      <w:pPr>
        <w:widowControl/>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bookmarkEnd w:id="68"/>
    <w:p w14:paraId="1C0EA756">
      <w:pPr>
        <w:spacing w:line="360" w:lineRule="auto"/>
        <w:jc w:val="center"/>
        <w:outlineLvl w:val="0"/>
        <w:rPr>
          <w:rFonts w:ascii="宋体" w:hAnsi="宋体" w:eastAsia="宋体" w:cs="宋体"/>
          <w:b/>
          <w:sz w:val="28"/>
        </w:rPr>
      </w:pPr>
      <w:bookmarkStart w:id="212" w:name="_Toc13555"/>
      <w:r>
        <w:rPr>
          <w:rFonts w:hint="eastAsia" w:ascii="宋体" w:hAnsi="宋体" w:eastAsia="宋体" w:cs="宋体"/>
          <w:b/>
          <w:sz w:val="28"/>
        </w:rPr>
        <w:t>第六章  投标文件格式</w:t>
      </w:r>
      <w:bookmarkEnd w:id="212"/>
    </w:p>
    <w:p w14:paraId="547CEF8F">
      <w:pPr>
        <w:spacing w:line="900" w:lineRule="exact"/>
        <w:jc w:val="center"/>
        <w:rPr>
          <w:rFonts w:ascii="宋体" w:hAnsi="宋体" w:eastAsia="宋体" w:cs="宋体"/>
          <w:b/>
          <w:sz w:val="72"/>
        </w:rPr>
      </w:pPr>
    </w:p>
    <w:p w14:paraId="3DC18E1E">
      <w:pPr>
        <w:rPr>
          <w:rFonts w:ascii="宋体" w:hAnsi="宋体" w:eastAsia="宋体" w:cs="宋体"/>
          <w:b/>
          <w:sz w:val="28"/>
          <w:szCs w:val="28"/>
          <w:bdr w:val="single" w:color="000000" w:sz="4" w:space="0"/>
        </w:rPr>
      </w:pPr>
      <w:bookmarkStart w:id="213" w:name="_Toc28960"/>
      <w:bookmarkStart w:id="214" w:name="_Toc17986"/>
      <w:r>
        <w:rPr>
          <w:rFonts w:hint="eastAsia" w:ascii="宋体" w:hAnsi="宋体" w:eastAsia="宋体" w:cs="宋体"/>
          <w:b/>
          <w:sz w:val="28"/>
          <w:szCs w:val="28"/>
        </w:rPr>
        <w:t>一、资信证明格式文件</w:t>
      </w:r>
    </w:p>
    <w:p w14:paraId="23A3F54B">
      <w:pPr>
        <w:jc w:val="center"/>
        <w:rPr>
          <w:rFonts w:ascii="宋体" w:hAnsi="宋体" w:eastAsia="宋体" w:cs="宋体"/>
          <w:sz w:val="20"/>
        </w:rPr>
      </w:pPr>
    </w:p>
    <w:p w14:paraId="7B01B8E9">
      <w:pPr>
        <w:rPr>
          <w:rFonts w:ascii="宋体" w:hAnsi="宋体" w:eastAsia="宋体" w:cs="宋体"/>
          <w:sz w:val="20"/>
        </w:rPr>
      </w:pPr>
    </w:p>
    <w:p w14:paraId="22E59C93">
      <w:pPr>
        <w:jc w:val="center"/>
        <w:rPr>
          <w:rFonts w:ascii="宋体" w:hAnsi="宋体" w:eastAsia="宋体" w:cs="宋体"/>
          <w:b/>
          <w:sz w:val="44"/>
          <w:szCs w:val="44"/>
        </w:rPr>
      </w:pPr>
      <w:bookmarkStart w:id="215" w:name="_Toc449028949"/>
      <w:bookmarkStart w:id="216" w:name="_Toc350698753"/>
      <w:r>
        <w:rPr>
          <w:rFonts w:hint="eastAsia" w:ascii="宋体" w:hAnsi="宋体" w:eastAsia="宋体" w:cs="宋体"/>
          <w:b/>
          <w:sz w:val="44"/>
          <w:szCs w:val="44"/>
        </w:rPr>
        <w:t>资信证明文件</w:t>
      </w:r>
      <w:bookmarkEnd w:id="215"/>
      <w:bookmarkEnd w:id="216"/>
    </w:p>
    <w:p w14:paraId="0EE3E61C">
      <w:pPr>
        <w:jc w:val="center"/>
        <w:rPr>
          <w:rFonts w:ascii="宋体" w:hAnsi="宋体" w:eastAsia="宋体" w:cs="宋体"/>
          <w:sz w:val="32"/>
          <w:szCs w:val="32"/>
        </w:rPr>
      </w:pPr>
      <w:r>
        <w:rPr>
          <w:rFonts w:hint="eastAsia" w:ascii="宋体" w:hAnsi="宋体" w:eastAsia="宋体" w:cs="宋体"/>
          <w:sz w:val="32"/>
          <w:szCs w:val="32"/>
        </w:rPr>
        <w:t>（投标文件一）</w:t>
      </w:r>
    </w:p>
    <w:p w14:paraId="7633D349">
      <w:pPr>
        <w:jc w:val="center"/>
        <w:rPr>
          <w:rFonts w:ascii="宋体" w:hAnsi="宋体" w:eastAsia="宋体" w:cs="宋体"/>
          <w:sz w:val="44"/>
          <w:szCs w:val="44"/>
        </w:rPr>
      </w:pPr>
    </w:p>
    <w:p w14:paraId="798A22DB">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p>
    <w:p w14:paraId="5F821DC3">
      <w:pPr>
        <w:rPr>
          <w:rFonts w:ascii="宋体" w:hAnsi="宋体" w:eastAsia="宋体" w:cs="宋体"/>
          <w:sz w:val="28"/>
          <w:szCs w:val="28"/>
        </w:rPr>
      </w:pPr>
    </w:p>
    <w:p w14:paraId="56E25941">
      <w:pPr>
        <w:rPr>
          <w:rFonts w:ascii="宋体" w:hAnsi="宋体" w:eastAsia="宋体" w:cs="宋体"/>
          <w:sz w:val="28"/>
          <w:szCs w:val="28"/>
        </w:rPr>
      </w:pPr>
    </w:p>
    <w:p w14:paraId="052B05FC">
      <w:pPr>
        <w:rPr>
          <w:rFonts w:ascii="宋体" w:hAnsi="宋体" w:eastAsia="宋体" w:cs="宋体"/>
          <w:sz w:val="28"/>
          <w:szCs w:val="28"/>
        </w:rPr>
      </w:pPr>
    </w:p>
    <w:p w14:paraId="2A4EDAED">
      <w:pPr>
        <w:rPr>
          <w:rFonts w:ascii="宋体" w:hAnsi="宋体" w:eastAsia="宋体" w:cs="宋体"/>
          <w:sz w:val="28"/>
          <w:szCs w:val="28"/>
        </w:rPr>
      </w:pPr>
    </w:p>
    <w:p w14:paraId="291ECC5B">
      <w:pPr>
        <w:rPr>
          <w:rFonts w:ascii="宋体" w:hAnsi="宋体" w:eastAsia="宋体" w:cs="宋体"/>
          <w:sz w:val="28"/>
          <w:szCs w:val="28"/>
        </w:rPr>
      </w:pPr>
    </w:p>
    <w:p w14:paraId="169C11D4">
      <w:pPr>
        <w:rPr>
          <w:rFonts w:ascii="宋体" w:hAnsi="宋体" w:eastAsia="宋体" w:cs="宋体"/>
          <w:sz w:val="28"/>
          <w:szCs w:val="28"/>
        </w:rPr>
      </w:pPr>
    </w:p>
    <w:p w14:paraId="739AB5A0">
      <w:pPr>
        <w:rPr>
          <w:rFonts w:ascii="宋体" w:hAnsi="宋体" w:eastAsia="宋体" w:cs="宋体"/>
          <w:sz w:val="28"/>
          <w:szCs w:val="28"/>
        </w:rPr>
      </w:pPr>
    </w:p>
    <w:p w14:paraId="38D22F7B">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14:paraId="40D6C125">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4E6509AA">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CB2BEAF">
      <w:pPr>
        <w:spacing w:line="720" w:lineRule="auto"/>
        <w:jc w:val="center"/>
        <w:rPr>
          <w:rFonts w:ascii="宋体" w:hAnsi="宋体" w:eastAsia="宋体" w:cs="宋体"/>
          <w:b/>
          <w:sz w:val="36"/>
          <w:szCs w:val="36"/>
        </w:rPr>
      </w:pPr>
    </w:p>
    <w:p w14:paraId="18EDD222">
      <w:pPr>
        <w:spacing w:line="400" w:lineRule="exact"/>
        <w:ind w:firstLine="4130" w:firstLineChars="935"/>
        <w:rPr>
          <w:rFonts w:ascii="宋体" w:hAnsi="宋体" w:eastAsia="宋体" w:cs="宋体"/>
          <w:b/>
          <w:sz w:val="44"/>
          <w:szCs w:val="44"/>
        </w:rPr>
      </w:pPr>
    </w:p>
    <w:p w14:paraId="7017ED94">
      <w:pPr>
        <w:spacing w:line="400" w:lineRule="exact"/>
        <w:ind w:firstLine="4130" w:firstLineChars="935"/>
        <w:rPr>
          <w:rFonts w:ascii="宋体" w:hAnsi="宋体" w:eastAsia="宋体" w:cs="宋体"/>
          <w:b/>
          <w:sz w:val="44"/>
          <w:szCs w:val="44"/>
        </w:rPr>
      </w:pPr>
    </w:p>
    <w:p w14:paraId="3BDC36CD">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73B3E267">
      <w:pPr>
        <w:spacing w:line="440" w:lineRule="exact"/>
        <w:rPr>
          <w:rFonts w:ascii="宋体" w:hAnsi="宋体" w:eastAsia="宋体" w:cs="宋体"/>
          <w:color w:val="000000" w:themeColor="text1"/>
          <w:sz w:val="24"/>
          <w:szCs w:val="24"/>
          <w14:textFill>
            <w14:solidFill>
              <w14:schemeClr w14:val="tx1"/>
            </w14:solidFill>
          </w14:textFill>
        </w:rPr>
      </w:pPr>
    </w:p>
    <w:p w14:paraId="2BA75154">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（1）投标人资格声明书（格式见附件）；</w:t>
      </w:r>
    </w:p>
    <w:p w14:paraId="7AB19316">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（2）授权书（格式见附件）；   </w:t>
      </w:r>
    </w:p>
    <w:p w14:paraId="49C1204E">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（3）投标人为企业（包括合伙企业）的，应提供有效的“营业执照”；</w:t>
      </w:r>
    </w:p>
    <w:p w14:paraId="363DE690">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投标人为事业单位的，应提供有效的“事业单位法人证书”；</w:t>
      </w:r>
    </w:p>
    <w:p w14:paraId="1183191A">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投标人是非企业机构的，应提供有效的“执业许可证”、“登记证书”等证明文件；</w:t>
      </w:r>
    </w:p>
    <w:p w14:paraId="040B4942">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投标人是个体工商户的，应提供有效的“个体工商户营业执照”；</w:t>
      </w:r>
    </w:p>
    <w:p w14:paraId="696B6860">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投标人是自然人的，应提供有效的自然人身份证明；</w:t>
      </w:r>
    </w:p>
    <w:p w14:paraId="1DDB00C6">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（4）诚信投标承诺书（格式见附件）；</w:t>
      </w:r>
    </w:p>
    <w:p w14:paraId="270A10EB">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）招标文件中要求的资信评审和资信评分的支持资料；</w:t>
      </w:r>
    </w:p>
    <w:p w14:paraId="65737030">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）投标人认为需要提供的其他资信证明材料。</w:t>
      </w:r>
    </w:p>
    <w:p w14:paraId="327F6900">
      <w:pPr>
        <w:pageBreakBefore/>
        <w:spacing w:line="440" w:lineRule="exact"/>
        <w:jc w:val="center"/>
        <w:outlineLvl w:val="1"/>
        <w:rPr>
          <w:rFonts w:ascii="宋体" w:hAnsi="宋体" w:eastAsia="宋体" w:cs="宋体"/>
          <w:b/>
          <w:sz w:val="24"/>
        </w:rPr>
      </w:pPr>
      <w:bookmarkStart w:id="217" w:name="_Toc18881"/>
      <w:r>
        <w:rPr>
          <w:rFonts w:hint="eastAsia" w:ascii="宋体" w:hAnsi="宋体" w:eastAsia="宋体" w:cs="宋体"/>
          <w:b/>
          <w:sz w:val="24"/>
        </w:rPr>
        <w:t>（1）投标人资格声明书</w:t>
      </w:r>
      <w:bookmarkEnd w:id="217"/>
      <w:r>
        <w:rPr>
          <w:rFonts w:hint="eastAsia" w:ascii="宋体" w:hAnsi="宋体" w:eastAsia="宋体" w:cs="宋体"/>
          <w:b/>
          <w:sz w:val="24"/>
        </w:rPr>
        <w:t xml:space="preserve"> </w:t>
      </w:r>
    </w:p>
    <w:p w14:paraId="609B86BF">
      <w:pPr>
        <w:pStyle w:val="10"/>
        <w:spacing w:line="440" w:lineRule="exact"/>
        <w:rPr>
          <w:rFonts w:ascii="宋体" w:hAnsi="宋体" w:cs="宋体"/>
          <w:sz w:val="24"/>
          <w:szCs w:val="24"/>
        </w:rPr>
      </w:pPr>
      <w:r>
        <w:rPr>
          <w:rFonts w:hint="eastAsia" w:ascii="宋体" w:hAnsi="宋体" w:cs="宋体"/>
          <w:sz w:val="24"/>
        </w:rPr>
        <w:t>致：</w:t>
      </w:r>
      <w:r>
        <w:rPr>
          <w:rFonts w:hint="eastAsia" w:ascii="宋体" w:hAnsi="宋体" w:cs="宋体"/>
          <w:sz w:val="24"/>
          <w:u w:val="single"/>
        </w:rPr>
        <w:t>采购人</w:t>
      </w:r>
    </w:p>
    <w:p w14:paraId="0301DBD9">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lang w:bidi="ar"/>
        </w:rPr>
        <w:t>在参与本次项目投标中，我单位承诺：</w:t>
      </w:r>
    </w:p>
    <w:p w14:paraId="61C0B076">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lang w:bidi="ar"/>
        </w:rPr>
        <w:t>（一）具有良好的商业信誉和健全的财务会计制度；</w:t>
      </w:r>
    </w:p>
    <w:p w14:paraId="61AC4416">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lang w:bidi="ar"/>
        </w:rPr>
        <w:t>（二）具有履行合同所必需的设备和专业技术能力；</w:t>
      </w:r>
    </w:p>
    <w:p w14:paraId="26D53BD1">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lang w:bidi="ar"/>
        </w:rPr>
        <w:t>（三）有依法缴纳税收和社会保障资金的良好记录；</w:t>
      </w:r>
    </w:p>
    <w:p w14:paraId="08F745DA">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4D4221">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（五）我单位不属于政府采购法律、行政法规规定的公益一类事业单位、或使用事业编制且由财政拨款保障的群团组织（仅适用于政府购买服务项目）； </w:t>
      </w:r>
    </w:p>
    <w:p w14:paraId="3ECCE86B">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lang w:bidi="ar"/>
        </w:rPr>
        <w:t>（六）我单位不存在为采购项目提供整体设计、规范编制或者项目管理、监理、检测等服务后，再参加该采购项目的其他采购活动的情形（单一来源采购项目除外）；</w:t>
      </w:r>
    </w:p>
    <w:p w14:paraId="028B507E">
      <w:pPr>
        <w:widowControl/>
        <w:spacing w:line="440" w:lineRule="exact"/>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540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9465FB">
            <w:pPr>
              <w:widowControl/>
              <w:spacing w:before="156" w:beforeLines="50" w:after="10" w:line="440" w:lineRule="exact"/>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2841" w:type="dxa"/>
          </w:tcPr>
          <w:p w14:paraId="7815D69E">
            <w:pPr>
              <w:pStyle w:val="9"/>
              <w:spacing w:before="156" w:beforeLines="50" w:after="10" w:line="440" w:lineRule="exact"/>
              <w:jc w:val="center"/>
              <w:rPr>
                <w:rFonts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单位名称</w:t>
            </w:r>
          </w:p>
        </w:tc>
        <w:tc>
          <w:tcPr>
            <w:tcW w:w="2841" w:type="dxa"/>
          </w:tcPr>
          <w:p w14:paraId="423EFE96">
            <w:pPr>
              <w:pStyle w:val="9"/>
              <w:spacing w:before="156" w:beforeLines="50" w:after="10" w:line="440" w:lineRule="exact"/>
              <w:jc w:val="center"/>
              <w:rPr>
                <w:rFonts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相互关系</w:t>
            </w:r>
          </w:p>
        </w:tc>
      </w:tr>
      <w:tr w14:paraId="086B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9E1235">
            <w:pPr>
              <w:pStyle w:val="9"/>
              <w:spacing w:before="156" w:beforeLines="50" w:after="10" w:line="440" w:lineRule="exact"/>
              <w:jc w:val="center"/>
              <w:rPr>
                <w:rFonts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1</w:t>
            </w:r>
          </w:p>
        </w:tc>
        <w:tc>
          <w:tcPr>
            <w:tcW w:w="2841" w:type="dxa"/>
          </w:tcPr>
          <w:p w14:paraId="331EDB91">
            <w:pPr>
              <w:pStyle w:val="9"/>
              <w:spacing w:before="156" w:beforeLines="50" w:after="10" w:line="440" w:lineRule="exact"/>
              <w:jc w:val="center"/>
              <w:rPr>
                <w:rFonts w:ascii="宋体" w:hAnsi="宋体" w:eastAsia="宋体" w:cs="宋体"/>
                <w:color w:val="000000"/>
                <w:kern w:val="0"/>
                <w:sz w:val="24"/>
                <w:lang w:val="en-US" w:bidi="ar"/>
              </w:rPr>
            </w:pPr>
          </w:p>
        </w:tc>
        <w:tc>
          <w:tcPr>
            <w:tcW w:w="2841" w:type="dxa"/>
          </w:tcPr>
          <w:p w14:paraId="05F3450A">
            <w:pPr>
              <w:pStyle w:val="9"/>
              <w:spacing w:before="156" w:beforeLines="50" w:after="10" w:line="440" w:lineRule="exact"/>
              <w:jc w:val="center"/>
              <w:rPr>
                <w:rFonts w:ascii="宋体" w:hAnsi="宋体" w:eastAsia="宋体" w:cs="宋体"/>
                <w:color w:val="000000"/>
                <w:kern w:val="0"/>
                <w:sz w:val="24"/>
                <w:lang w:val="en-US" w:bidi="ar"/>
              </w:rPr>
            </w:pPr>
          </w:p>
        </w:tc>
      </w:tr>
      <w:tr w14:paraId="363B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7827D7">
            <w:pPr>
              <w:pStyle w:val="9"/>
              <w:spacing w:before="156" w:beforeLines="50" w:after="10" w:line="440" w:lineRule="exact"/>
              <w:jc w:val="center"/>
              <w:rPr>
                <w:rFonts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2</w:t>
            </w:r>
          </w:p>
        </w:tc>
        <w:tc>
          <w:tcPr>
            <w:tcW w:w="2841" w:type="dxa"/>
          </w:tcPr>
          <w:p w14:paraId="45EC5597">
            <w:pPr>
              <w:pStyle w:val="9"/>
              <w:spacing w:before="156" w:beforeLines="50" w:after="10" w:line="440" w:lineRule="exact"/>
              <w:jc w:val="center"/>
              <w:rPr>
                <w:rFonts w:ascii="宋体" w:hAnsi="宋体" w:eastAsia="宋体" w:cs="宋体"/>
                <w:color w:val="000000"/>
                <w:kern w:val="0"/>
                <w:sz w:val="24"/>
                <w:lang w:val="en-US" w:bidi="ar"/>
              </w:rPr>
            </w:pPr>
          </w:p>
        </w:tc>
        <w:tc>
          <w:tcPr>
            <w:tcW w:w="2841" w:type="dxa"/>
          </w:tcPr>
          <w:p w14:paraId="4767C897">
            <w:pPr>
              <w:pStyle w:val="9"/>
              <w:spacing w:before="156" w:beforeLines="50" w:after="10" w:line="440" w:lineRule="exact"/>
              <w:jc w:val="center"/>
              <w:rPr>
                <w:rFonts w:ascii="宋体" w:hAnsi="宋体" w:eastAsia="宋体" w:cs="宋体"/>
                <w:color w:val="000000"/>
                <w:kern w:val="0"/>
                <w:sz w:val="24"/>
                <w:lang w:val="en-US" w:bidi="ar"/>
              </w:rPr>
            </w:pPr>
          </w:p>
        </w:tc>
      </w:tr>
    </w:tbl>
    <w:p w14:paraId="67C2C668">
      <w:pPr>
        <w:spacing w:line="440" w:lineRule="exact"/>
        <w:ind w:firstLine="435"/>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31A1F4BA">
      <w:pPr>
        <w:spacing w:line="440" w:lineRule="exact"/>
        <w:ind w:firstLine="4800" w:firstLineChars="2000"/>
        <w:rPr>
          <w:rFonts w:hint="eastAsia" w:ascii="宋体" w:hAnsi="宋体" w:eastAsia="宋体" w:cs="宋体"/>
          <w:sz w:val="24"/>
        </w:rPr>
      </w:pPr>
    </w:p>
    <w:p w14:paraId="64AF5579">
      <w:pPr>
        <w:spacing w:line="440" w:lineRule="exact"/>
        <w:ind w:firstLine="4800" w:firstLineChars="2000"/>
        <w:rPr>
          <w:rFonts w:hint="eastAsia" w:ascii="宋体" w:hAnsi="宋体" w:eastAsia="宋体" w:cs="宋体"/>
          <w:sz w:val="24"/>
        </w:rPr>
      </w:pPr>
    </w:p>
    <w:p w14:paraId="15985775">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xml:space="preserve">             </w:t>
      </w:r>
    </w:p>
    <w:p w14:paraId="1388E5D4">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1724177D">
      <w:pPr>
        <w:spacing w:line="440" w:lineRule="exact"/>
        <w:rPr>
          <w:rFonts w:ascii="宋体" w:hAnsi="宋体" w:eastAsia="宋体" w:cs="宋体"/>
          <w:b/>
          <w:sz w:val="24"/>
        </w:rPr>
      </w:pPr>
      <w:bookmarkStart w:id="218" w:name="_Toc11607"/>
      <w:r>
        <w:rPr>
          <w:rFonts w:hint="eastAsia" w:ascii="宋体" w:hAnsi="宋体" w:eastAsia="宋体" w:cs="宋体"/>
          <w:b/>
          <w:sz w:val="24"/>
        </w:rPr>
        <w:br w:type="page"/>
      </w:r>
    </w:p>
    <w:p w14:paraId="79B04C54">
      <w:pPr>
        <w:spacing w:line="440" w:lineRule="exact"/>
        <w:jc w:val="center"/>
        <w:outlineLvl w:val="1"/>
        <w:rPr>
          <w:rFonts w:ascii="宋体" w:hAnsi="宋体" w:eastAsia="宋体" w:cs="宋体"/>
          <w:b/>
          <w:sz w:val="24"/>
        </w:rPr>
      </w:pPr>
      <w:bookmarkStart w:id="219" w:name="_Toc24583"/>
      <w:r>
        <w:rPr>
          <w:rFonts w:hint="eastAsia" w:ascii="宋体" w:hAnsi="宋体" w:eastAsia="宋体" w:cs="宋体"/>
          <w:b/>
          <w:sz w:val="24"/>
        </w:rPr>
        <w:t>（2）授权书</w:t>
      </w:r>
      <w:bookmarkEnd w:id="218"/>
      <w:bookmarkEnd w:id="219"/>
    </w:p>
    <w:p w14:paraId="6E7BDE32">
      <w:pPr>
        <w:pStyle w:val="14"/>
        <w:snapToGrid w:val="0"/>
        <w:spacing w:line="440" w:lineRule="exact"/>
        <w:ind w:firstLine="480" w:firstLineChars="200"/>
        <w:jc w:val="left"/>
        <w:rPr>
          <w:rFonts w:hAnsi="宋体" w:eastAsia="宋体" w:cs="宋体"/>
          <w:sz w:val="24"/>
          <w:szCs w:val="28"/>
        </w:rPr>
      </w:pPr>
    </w:p>
    <w:p w14:paraId="5845C6C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宋体" w:hAnsi="宋体" w:eastAsia="宋体" w:cs="宋体"/>
          <w:sz w:val="24"/>
          <w:szCs w:val="28"/>
        </w:rPr>
      </w:pPr>
      <w:r>
        <w:rPr>
          <w:rFonts w:hint="eastAsia" w:ascii="宋体" w:hAnsi="宋体" w:eastAsia="宋体" w:cs="宋体"/>
          <w:sz w:val="24"/>
          <w:szCs w:val="28"/>
        </w:rPr>
        <w:t>本</w:t>
      </w:r>
      <w:r>
        <w:rPr>
          <w:rFonts w:hint="eastAsia" w:ascii="宋体" w:hAnsi="宋体" w:eastAsia="宋体" w:cs="宋体"/>
          <w:sz w:val="24"/>
        </w:rPr>
        <w:t>授权</w:t>
      </w:r>
      <w:r>
        <w:rPr>
          <w:rFonts w:hint="eastAsia" w:ascii="宋体" w:hAnsi="宋体" w:eastAsia="宋体" w:cs="宋体"/>
          <w:sz w:val="24"/>
          <w:szCs w:val="28"/>
        </w:rPr>
        <w:t>书声明：</w:t>
      </w: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（投标人授权代表姓名）代表我方参加本项目</w:t>
      </w:r>
      <w:r>
        <w:rPr>
          <w:rFonts w:hint="eastAsia" w:ascii="宋体" w:hAnsi="宋体" w:eastAsia="宋体" w:cs="宋体"/>
          <w:bCs/>
          <w:sz w:val="24"/>
          <w:szCs w:val="28"/>
        </w:rPr>
        <w:t>采购活动</w:t>
      </w:r>
      <w:r>
        <w:rPr>
          <w:rFonts w:hint="eastAsia" w:ascii="宋体" w:hAnsi="宋体" w:eastAsia="宋体" w:cs="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E3B838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宋体" w:hAnsi="宋体" w:eastAsia="宋体" w:cs="宋体"/>
          <w:sz w:val="24"/>
          <w:szCs w:val="28"/>
        </w:rPr>
      </w:pPr>
      <w:r>
        <w:rPr>
          <w:rFonts w:hint="eastAsia" w:ascii="宋体" w:hAnsi="宋体" w:eastAsia="宋体" w:cs="宋体"/>
          <w:sz w:val="24"/>
          <w:szCs w:val="28"/>
        </w:rPr>
        <w:t>本授权书自出具之日起生效。</w:t>
      </w:r>
    </w:p>
    <w:p w14:paraId="4D5D632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宋体" w:hAnsi="宋体" w:eastAsia="宋体" w:cs="宋体"/>
          <w:sz w:val="24"/>
        </w:rPr>
      </w:pPr>
      <w:r>
        <w:rPr>
          <w:rFonts w:hint="eastAsia" w:ascii="宋体" w:hAnsi="宋体" w:eastAsia="宋体" w:cs="宋体"/>
          <w:sz w:val="24"/>
          <w:szCs w:val="28"/>
        </w:rPr>
        <w:t>授权</w:t>
      </w:r>
      <w:r>
        <w:rPr>
          <w:rFonts w:hint="eastAsia" w:ascii="宋体" w:hAnsi="宋体" w:eastAsia="宋体" w:cs="宋体"/>
          <w:sz w:val="24"/>
        </w:rPr>
        <w:t>代表身份证明</w:t>
      </w:r>
      <w:r>
        <w:rPr>
          <w:rFonts w:hint="eastAsia" w:ascii="宋体" w:hAnsi="宋体" w:eastAsia="宋体" w:cs="宋体"/>
          <w:sz w:val="24"/>
          <w:lang w:val="en-US" w:eastAsia="zh-CN"/>
        </w:rPr>
        <w:t>扫描件</w:t>
      </w:r>
      <w:r>
        <w:rPr>
          <w:rFonts w:hint="eastAsia" w:ascii="宋体" w:hAnsi="宋体" w:eastAsia="宋体" w:cs="宋体"/>
          <w:sz w:val="24"/>
        </w:rPr>
        <w:t>：</w:t>
      </w:r>
    </w:p>
    <w:p w14:paraId="44BFF158">
      <w:pPr>
        <w:spacing w:line="440" w:lineRule="exact"/>
        <w:ind w:firstLine="435"/>
        <w:rPr>
          <w:rFonts w:ascii="宋体" w:hAnsi="宋体" w:eastAsia="宋体" w:cs="宋体"/>
          <w:sz w:val="24"/>
        </w:rPr>
      </w:pPr>
    </w:p>
    <w:p w14:paraId="290CC0E5">
      <w:pPr>
        <w:spacing w:line="440" w:lineRule="exact"/>
        <w:ind w:firstLine="435"/>
        <w:rPr>
          <w:rFonts w:ascii="宋体" w:hAnsi="宋体" w:eastAsia="宋体" w:cs="宋体"/>
          <w:sz w:val="24"/>
        </w:rPr>
      </w:pPr>
    </w:p>
    <w:p w14:paraId="4ABA7129">
      <w:pPr>
        <w:spacing w:line="440" w:lineRule="exact"/>
        <w:ind w:firstLine="435"/>
        <w:rPr>
          <w:rFonts w:ascii="宋体" w:hAnsi="宋体" w:eastAsia="宋体" w:cs="宋体"/>
          <w:sz w:val="24"/>
        </w:rPr>
      </w:pPr>
    </w:p>
    <w:p w14:paraId="52C5E2A4">
      <w:pPr>
        <w:spacing w:line="440" w:lineRule="exact"/>
        <w:ind w:firstLine="435"/>
        <w:rPr>
          <w:rFonts w:ascii="宋体" w:hAnsi="宋体" w:eastAsia="宋体" w:cs="宋体"/>
          <w:sz w:val="24"/>
          <w:szCs w:val="28"/>
          <w:u w:val="single"/>
          <w:lang w:val="zh-CN"/>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13240BED">
      <w:pPr>
        <w:spacing w:line="440" w:lineRule="exact"/>
        <w:ind w:firstLine="435"/>
        <w:rPr>
          <w:rFonts w:ascii="宋体" w:hAnsi="宋体" w:eastAsia="宋体" w:cs="宋体"/>
          <w:sz w:val="24"/>
          <w:szCs w:val="28"/>
          <w:lang w:val="zh-CN"/>
        </w:rPr>
      </w:pPr>
    </w:p>
    <w:p w14:paraId="5AA4A57D">
      <w:pPr>
        <w:spacing w:line="440" w:lineRule="exact"/>
        <w:ind w:firstLine="435"/>
        <w:rPr>
          <w:rFonts w:ascii="宋体" w:hAnsi="宋体" w:eastAsia="宋体" w:cs="宋体"/>
          <w:sz w:val="24"/>
          <w:szCs w:val="28"/>
        </w:rPr>
      </w:pPr>
      <w:r>
        <w:rPr>
          <w:rFonts w:hint="eastAsia" w:ascii="宋体" w:hAnsi="宋体" w:eastAsia="宋体" w:cs="宋体"/>
          <w:sz w:val="24"/>
        </w:rPr>
        <w:t>特此</w:t>
      </w:r>
      <w:r>
        <w:rPr>
          <w:rFonts w:hint="eastAsia" w:ascii="宋体" w:hAnsi="宋体" w:eastAsia="宋体" w:cs="宋体"/>
          <w:sz w:val="24"/>
          <w:szCs w:val="28"/>
        </w:rPr>
        <w:t>声明。</w:t>
      </w:r>
    </w:p>
    <w:p w14:paraId="15FB0D7D">
      <w:pPr>
        <w:spacing w:line="440" w:lineRule="exact"/>
        <w:rPr>
          <w:rFonts w:ascii="宋体" w:hAnsi="宋体" w:eastAsia="宋体" w:cs="宋体"/>
          <w:sz w:val="24"/>
          <w:szCs w:val="28"/>
        </w:rPr>
      </w:pPr>
    </w:p>
    <w:p w14:paraId="280CB8E8">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xml:space="preserve">             </w:t>
      </w:r>
    </w:p>
    <w:p w14:paraId="518107CC">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0873676D">
      <w:pPr>
        <w:spacing w:line="440" w:lineRule="exact"/>
        <w:rPr>
          <w:rFonts w:ascii="宋体" w:hAnsi="宋体" w:eastAsia="宋体" w:cs="宋体"/>
          <w:sz w:val="24"/>
        </w:rPr>
      </w:pPr>
      <w:r>
        <w:rPr>
          <w:rFonts w:hint="eastAsia" w:ascii="宋体" w:hAnsi="宋体" w:eastAsia="宋体" w:cs="宋体"/>
          <w:sz w:val="24"/>
        </w:rPr>
        <w:t>注：</w:t>
      </w:r>
    </w:p>
    <w:p w14:paraId="5195B10F">
      <w:pPr>
        <w:spacing w:line="440" w:lineRule="exact"/>
        <w:ind w:firstLine="435"/>
        <w:rPr>
          <w:rFonts w:ascii="宋体" w:hAnsi="宋体" w:eastAsia="宋体" w:cs="宋体"/>
          <w:sz w:val="24"/>
        </w:rPr>
      </w:pPr>
      <w:r>
        <w:rPr>
          <w:rFonts w:hint="eastAsia" w:ascii="宋体" w:hAnsi="宋体" w:eastAsia="宋体" w:cs="宋体"/>
          <w:sz w:val="24"/>
        </w:rPr>
        <w:t>1.本项目只允许有唯一的投标人授权代表，提供身份证明复印件；</w:t>
      </w:r>
    </w:p>
    <w:p w14:paraId="1727543D">
      <w:pPr>
        <w:spacing w:line="440" w:lineRule="exact"/>
        <w:ind w:firstLine="435"/>
        <w:rPr>
          <w:rFonts w:ascii="宋体" w:hAnsi="宋体" w:eastAsia="宋体" w:cs="宋体"/>
          <w:sz w:val="24"/>
        </w:rPr>
      </w:pPr>
      <w:r>
        <w:rPr>
          <w:rFonts w:hint="eastAsia" w:ascii="宋体" w:hAnsi="宋体" w:eastAsia="宋体" w:cs="宋体"/>
          <w:sz w:val="24"/>
        </w:rPr>
        <w:t>2.法定代表人参加投标的无需提供授权书，提供身份证明复印件。</w:t>
      </w:r>
    </w:p>
    <w:p w14:paraId="659BC9C4">
      <w:pPr>
        <w:spacing w:line="360" w:lineRule="auto"/>
        <w:jc w:val="center"/>
        <w:outlineLvl w:val="1"/>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（3）诚信投标承诺书</w:t>
      </w:r>
    </w:p>
    <w:p w14:paraId="60569A3F">
      <w:pPr>
        <w:spacing w:line="500" w:lineRule="exact"/>
        <w:rPr>
          <w:rFonts w:ascii="宋体" w:hAnsi="宋体" w:eastAsia="宋体" w:cs="宋体"/>
          <w:color w:val="auto"/>
          <w:szCs w:val="21"/>
          <w:highlight w:val="none"/>
        </w:rPr>
      </w:pPr>
      <w:bookmarkStart w:id="220" w:name="_Toc23068"/>
      <w:r>
        <w:rPr>
          <w:rFonts w:hint="eastAsia" w:ascii="宋体" w:hAnsi="宋体" w:eastAsia="宋体" w:cs="宋体"/>
          <w:color w:val="auto"/>
          <w:szCs w:val="21"/>
          <w:highlight w:val="none"/>
        </w:rPr>
        <w:t>本人以企业法定代表人的身份郑重承诺：</w:t>
      </w:r>
    </w:p>
    <w:p w14:paraId="63CC8B6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57ECD89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150602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463990B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6233BA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143F1DC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B6C006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54B54BA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2C0F681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5E171E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1913E9F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98F7EA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77F20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A69825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B6381F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4B689E6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AD5136E">
      <w:pPr>
        <w:widowControl/>
        <w:ind w:firstLine="210" w:firstLineChars="100"/>
        <w:jc w:val="left"/>
        <w:rPr>
          <w:rFonts w:ascii="宋体" w:hAnsi="宋体" w:eastAsia="宋体"/>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bookmarkEnd w:id="220"/>
    <w:p w14:paraId="03CF97B9">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二、技术标格式文件</w:t>
      </w:r>
    </w:p>
    <w:p w14:paraId="22EFCE6D">
      <w:pPr>
        <w:jc w:val="center"/>
        <w:rPr>
          <w:rFonts w:ascii="宋体" w:hAnsi="宋体" w:eastAsia="宋体" w:cs="宋体"/>
          <w:sz w:val="20"/>
        </w:rPr>
      </w:pPr>
    </w:p>
    <w:p w14:paraId="34C89AA2">
      <w:pPr>
        <w:rPr>
          <w:rFonts w:ascii="宋体" w:hAnsi="宋体" w:eastAsia="宋体" w:cs="宋体"/>
          <w:sz w:val="20"/>
        </w:rPr>
      </w:pPr>
    </w:p>
    <w:p w14:paraId="54363CA6">
      <w:pPr>
        <w:jc w:val="center"/>
        <w:rPr>
          <w:rFonts w:ascii="宋体" w:hAnsi="宋体" w:eastAsia="宋体" w:cs="宋体"/>
          <w:b/>
          <w:sz w:val="44"/>
          <w:szCs w:val="44"/>
        </w:rPr>
      </w:pPr>
      <w:r>
        <w:rPr>
          <w:rFonts w:hint="eastAsia" w:ascii="宋体" w:hAnsi="宋体" w:eastAsia="宋体" w:cs="宋体"/>
          <w:b/>
          <w:sz w:val="44"/>
          <w:szCs w:val="44"/>
        </w:rPr>
        <w:t>技术标</w:t>
      </w:r>
    </w:p>
    <w:p w14:paraId="2BF85DF3">
      <w:pPr>
        <w:jc w:val="center"/>
        <w:rPr>
          <w:rFonts w:ascii="宋体" w:hAnsi="宋体" w:eastAsia="宋体" w:cs="宋体"/>
          <w:sz w:val="32"/>
          <w:szCs w:val="32"/>
        </w:rPr>
      </w:pPr>
      <w:r>
        <w:rPr>
          <w:rFonts w:hint="eastAsia" w:ascii="宋体" w:hAnsi="宋体" w:eastAsia="宋体" w:cs="宋体"/>
          <w:sz w:val="32"/>
          <w:szCs w:val="32"/>
        </w:rPr>
        <w:t>（投标文件二）</w:t>
      </w:r>
    </w:p>
    <w:p w14:paraId="208542F3">
      <w:pPr>
        <w:jc w:val="center"/>
        <w:rPr>
          <w:rFonts w:ascii="宋体" w:hAnsi="宋体" w:eastAsia="宋体" w:cs="宋体"/>
          <w:sz w:val="44"/>
          <w:szCs w:val="44"/>
        </w:rPr>
      </w:pPr>
    </w:p>
    <w:p w14:paraId="52AC0BD8">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p>
    <w:p w14:paraId="40DB5445">
      <w:pPr>
        <w:rPr>
          <w:rFonts w:ascii="宋体" w:hAnsi="宋体" w:eastAsia="宋体" w:cs="宋体"/>
          <w:sz w:val="28"/>
          <w:szCs w:val="28"/>
        </w:rPr>
      </w:pPr>
    </w:p>
    <w:p w14:paraId="2D22BED6">
      <w:pPr>
        <w:rPr>
          <w:rFonts w:ascii="宋体" w:hAnsi="宋体" w:eastAsia="宋体" w:cs="宋体"/>
          <w:sz w:val="28"/>
          <w:szCs w:val="28"/>
        </w:rPr>
      </w:pPr>
    </w:p>
    <w:p w14:paraId="1677EAC4">
      <w:pPr>
        <w:rPr>
          <w:rFonts w:ascii="宋体" w:hAnsi="宋体" w:eastAsia="宋体" w:cs="宋体"/>
          <w:sz w:val="28"/>
          <w:szCs w:val="28"/>
        </w:rPr>
      </w:pPr>
    </w:p>
    <w:p w14:paraId="15657C5A">
      <w:pPr>
        <w:rPr>
          <w:rFonts w:ascii="宋体" w:hAnsi="宋体" w:eastAsia="宋体" w:cs="宋体"/>
          <w:sz w:val="28"/>
          <w:szCs w:val="28"/>
        </w:rPr>
      </w:pPr>
    </w:p>
    <w:p w14:paraId="4F28C0C6">
      <w:pPr>
        <w:rPr>
          <w:rFonts w:ascii="宋体" w:hAnsi="宋体" w:eastAsia="宋体" w:cs="宋体"/>
          <w:sz w:val="28"/>
          <w:szCs w:val="28"/>
        </w:rPr>
      </w:pPr>
    </w:p>
    <w:p w14:paraId="3D6A038F">
      <w:pPr>
        <w:rPr>
          <w:rFonts w:ascii="宋体" w:hAnsi="宋体" w:eastAsia="宋体" w:cs="宋体"/>
          <w:sz w:val="28"/>
          <w:szCs w:val="28"/>
        </w:rPr>
      </w:pPr>
    </w:p>
    <w:p w14:paraId="0732CF3F">
      <w:pPr>
        <w:rPr>
          <w:rFonts w:ascii="宋体" w:hAnsi="宋体" w:eastAsia="宋体" w:cs="宋体"/>
          <w:sz w:val="28"/>
          <w:szCs w:val="28"/>
        </w:rPr>
      </w:pPr>
    </w:p>
    <w:p w14:paraId="6E076485">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14:paraId="00F74D9B">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05E4CCA4">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D2168CE">
      <w:pPr>
        <w:spacing w:line="720" w:lineRule="auto"/>
        <w:jc w:val="center"/>
        <w:rPr>
          <w:rFonts w:ascii="宋体" w:hAnsi="宋体" w:eastAsia="宋体" w:cs="宋体"/>
          <w:b/>
          <w:sz w:val="36"/>
          <w:szCs w:val="36"/>
        </w:rPr>
      </w:pPr>
    </w:p>
    <w:p w14:paraId="001270CE">
      <w:pPr>
        <w:spacing w:line="400" w:lineRule="exact"/>
        <w:ind w:firstLine="4130" w:firstLineChars="935"/>
        <w:rPr>
          <w:rFonts w:ascii="宋体" w:hAnsi="宋体" w:eastAsia="宋体" w:cs="宋体"/>
          <w:b/>
          <w:sz w:val="44"/>
          <w:szCs w:val="44"/>
        </w:rPr>
      </w:pPr>
    </w:p>
    <w:p w14:paraId="71578DAD">
      <w:pPr>
        <w:spacing w:line="400" w:lineRule="exact"/>
        <w:ind w:firstLine="4130" w:firstLineChars="935"/>
        <w:rPr>
          <w:rFonts w:ascii="宋体" w:hAnsi="宋体" w:eastAsia="宋体" w:cs="宋体"/>
          <w:b/>
          <w:sz w:val="44"/>
          <w:szCs w:val="44"/>
        </w:rPr>
      </w:pPr>
    </w:p>
    <w:p w14:paraId="4495B3D1">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53110A48">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（1）投标响应表（格式见附件）；</w:t>
      </w:r>
    </w:p>
    <w:p w14:paraId="24CF9C70">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（2）诚信履约承诺函（格式见附件）；</w:t>
      </w:r>
    </w:p>
    <w:p w14:paraId="38B1055B">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（3）招标文件中要求的技术标评审及技术标评分的支持资料；</w:t>
      </w:r>
    </w:p>
    <w:p w14:paraId="6BF38E0B">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（4）投标人认为需要提供的其他技术证明材料（如有）。</w:t>
      </w:r>
    </w:p>
    <w:p w14:paraId="69E36535">
      <w:pPr>
        <w:pageBreakBefore/>
        <w:spacing w:line="440" w:lineRule="exact"/>
        <w:jc w:val="center"/>
        <w:outlineLvl w:val="1"/>
        <w:rPr>
          <w:rFonts w:ascii="宋体" w:hAnsi="宋体" w:eastAsia="宋体" w:cs="宋体"/>
          <w:b/>
          <w:sz w:val="24"/>
        </w:rPr>
      </w:pPr>
      <w:bookmarkStart w:id="221" w:name="_Toc15209"/>
      <w:r>
        <w:rPr>
          <w:rFonts w:hint="eastAsia" w:ascii="宋体" w:hAnsi="宋体" w:eastAsia="宋体" w:cs="宋体"/>
          <w:b/>
          <w:sz w:val="24"/>
        </w:rPr>
        <w:t>（1）投标响应表</w:t>
      </w:r>
      <w:bookmarkEnd w:id="221"/>
    </w:p>
    <w:p w14:paraId="79C321A7">
      <w:pPr>
        <w:spacing w:line="440" w:lineRule="exact"/>
        <w:ind w:firstLine="435"/>
        <w:outlineLvl w:val="2"/>
        <w:rPr>
          <w:rFonts w:ascii="宋体" w:hAnsi="宋体" w:eastAsia="宋体" w:cs="宋体"/>
          <w:b/>
          <w:sz w:val="24"/>
        </w:rPr>
      </w:pPr>
      <w:r>
        <w:rPr>
          <w:rFonts w:hint="eastAsia" w:ascii="宋体" w:hAnsi="宋体" w:eastAsia="宋体" w:cs="宋体"/>
          <w:b/>
          <w:sz w:val="24"/>
        </w:rPr>
        <w:t>1.1商务响应表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152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2AB456B">
            <w:pPr>
              <w:pStyle w:val="14"/>
              <w:spacing w:line="440" w:lineRule="exact"/>
              <w:jc w:val="center"/>
              <w:rPr>
                <w:rFonts w:hAnsi="宋体" w:eastAsia="宋体" w:cs="宋体"/>
                <w:b/>
                <w:sz w:val="24"/>
              </w:rPr>
            </w:pPr>
            <w:r>
              <w:rPr>
                <w:rFonts w:hint="eastAsia" w:hAnsi="宋体" w:eastAsia="宋体" w:cs="宋体"/>
                <w:b/>
                <w:sz w:val="24"/>
              </w:rPr>
              <w:t>序号</w:t>
            </w:r>
          </w:p>
        </w:tc>
        <w:tc>
          <w:tcPr>
            <w:tcW w:w="1124" w:type="pct"/>
            <w:vAlign w:val="center"/>
          </w:tcPr>
          <w:p w14:paraId="3F213012">
            <w:pPr>
              <w:pStyle w:val="14"/>
              <w:spacing w:line="440" w:lineRule="exact"/>
              <w:jc w:val="center"/>
              <w:rPr>
                <w:rFonts w:hAnsi="宋体" w:eastAsia="宋体" w:cs="宋体"/>
                <w:b/>
                <w:sz w:val="24"/>
              </w:rPr>
            </w:pPr>
            <w:r>
              <w:rPr>
                <w:rFonts w:hint="eastAsia" w:hAnsi="宋体" w:eastAsia="宋体" w:cs="宋体"/>
                <w:b/>
                <w:bCs/>
                <w:sz w:val="24"/>
                <w:szCs w:val="24"/>
              </w:rPr>
              <w:t>商务条款</w:t>
            </w:r>
          </w:p>
        </w:tc>
        <w:tc>
          <w:tcPr>
            <w:tcW w:w="1465" w:type="pct"/>
            <w:vAlign w:val="center"/>
          </w:tcPr>
          <w:p w14:paraId="5FD3589A">
            <w:pPr>
              <w:pStyle w:val="14"/>
              <w:spacing w:line="440" w:lineRule="exact"/>
              <w:jc w:val="center"/>
              <w:rPr>
                <w:rFonts w:hAnsi="宋体" w:eastAsia="宋体" w:cs="宋体"/>
                <w:b/>
                <w:sz w:val="24"/>
              </w:rPr>
            </w:pPr>
            <w:r>
              <w:rPr>
                <w:rFonts w:hint="eastAsia" w:hAnsi="宋体" w:eastAsia="宋体" w:cs="宋体"/>
                <w:b/>
                <w:sz w:val="24"/>
              </w:rPr>
              <w:t>招标文件要求</w:t>
            </w:r>
          </w:p>
        </w:tc>
        <w:tc>
          <w:tcPr>
            <w:tcW w:w="1510" w:type="pct"/>
            <w:vAlign w:val="center"/>
          </w:tcPr>
          <w:p w14:paraId="6028EDC8">
            <w:pPr>
              <w:pStyle w:val="14"/>
              <w:spacing w:line="440" w:lineRule="exact"/>
              <w:jc w:val="center"/>
              <w:rPr>
                <w:rFonts w:hAnsi="宋体" w:eastAsia="宋体" w:cs="宋体"/>
                <w:b/>
                <w:sz w:val="24"/>
              </w:rPr>
            </w:pPr>
            <w:r>
              <w:rPr>
                <w:rFonts w:hint="eastAsia" w:hAnsi="宋体" w:eastAsia="宋体" w:cs="宋体"/>
                <w:b/>
                <w:sz w:val="24"/>
              </w:rPr>
              <w:t>投标人承诺</w:t>
            </w:r>
          </w:p>
        </w:tc>
        <w:tc>
          <w:tcPr>
            <w:tcW w:w="475" w:type="pct"/>
            <w:vAlign w:val="center"/>
          </w:tcPr>
          <w:p w14:paraId="1B164EAB">
            <w:pPr>
              <w:pStyle w:val="14"/>
              <w:spacing w:line="440" w:lineRule="exact"/>
              <w:jc w:val="center"/>
              <w:rPr>
                <w:rFonts w:hAnsi="宋体" w:eastAsia="宋体" w:cs="宋体"/>
                <w:b/>
                <w:sz w:val="24"/>
              </w:rPr>
            </w:pPr>
            <w:r>
              <w:rPr>
                <w:rFonts w:hint="eastAsia" w:hAnsi="宋体" w:eastAsia="宋体" w:cs="宋体"/>
                <w:b/>
                <w:sz w:val="24"/>
              </w:rPr>
              <w:t>偏离说明</w:t>
            </w:r>
          </w:p>
        </w:tc>
      </w:tr>
      <w:tr w14:paraId="0B43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5CDBD2">
            <w:pPr>
              <w:spacing w:line="440" w:lineRule="exact"/>
              <w:jc w:val="center"/>
              <w:rPr>
                <w:rFonts w:ascii="宋体" w:hAnsi="宋体" w:eastAsia="宋体" w:cs="宋体"/>
                <w:sz w:val="24"/>
              </w:rPr>
            </w:pPr>
            <w:r>
              <w:rPr>
                <w:rFonts w:hint="eastAsia" w:ascii="宋体" w:hAnsi="宋体" w:eastAsia="宋体" w:cs="宋体"/>
                <w:sz w:val="24"/>
              </w:rPr>
              <w:t>1</w:t>
            </w:r>
          </w:p>
        </w:tc>
        <w:tc>
          <w:tcPr>
            <w:tcW w:w="1124" w:type="pct"/>
            <w:vAlign w:val="center"/>
          </w:tcPr>
          <w:p w14:paraId="44C19E75">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1465" w:type="pct"/>
            <w:vAlign w:val="center"/>
          </w:tcPr>
          <w:p w14:paraId="0A48D749">
            <w:pPr>
              <w:spacing w:line="440" w:lineRule="exact"/>
              <w:jc w:val="center"/>
              <w:rPr>
                <w:rFonts w:ascii="宋体" w:hAnsi="宋体" w:eastAsia="宋体" w:cs="宋体"/>
                <w:sz w:val="24"/>
              </w:rPr>
            </w:pPr>
          </w:p>
        </w:tc>
        <w:tc>
          <w:tcPr>
            <w:tcW w:w="1510" w:type="pct"/>
            <w:vAlign w:val="center"/>
          </w:tcPr>
          <w:p w14:paraId="5C063C95">
            <w:pPr>
              <w:spacing w:line="440" w:lineRule="exact"/>
              <w:jc w:val="center"/>
              <w:rPr>
                <w:rFonts w:ascii="宋体" w:hAnsi="宋体" w:eastAsia="宋体" w:cs="宋体"/>
                <w:sz w:val="24"/>
              </w:rPr>
            </w:pPr>
          </w:p>
        </w:tc>
        <w:tc>
          <w:tcPr>
            <w:tcW w:w="475" w:type="pct"/>
            <w:vAlign w:val="center"/>
          </w:tcPr>
          <w:p w14:paraId="2DD35B1C">
            <w:pPr>
              <w:spacing w:line="440" w:lineRule="exact"/>
              <w:jc w:val="center"/>
              <w:rPr>
                <w:rFonts w:ascii="宋体" w:hAnsi="宋体" w:eastAsia="宋体" w:cs="宋体"/>
                <w:sz w:val="24"/>
              </w:rPr>
            </w:pPr>
          </w:p>
        </w:tc>
      </w:tr>
      <w:tr w14:paraId="2A5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9B975D">
            <w:pPr>
              <w:spacing w:line="440" w:lineRule="exact"/>
              <w:jc w:val="center"/>
              <w:rPr>
                <w:rFonts w:ascii="宋体" w:hAnsi="宋体" w:eastAsia="宋体" w:cs="宋体"/>
                <w:sz w:val="24"/>
              </w:rPr>
            </w:pPr>
            <w:r>
              <w:rPr>
                <w:rFonts w:hint="eastAsia" w:ascii="宋体" w:hAnsi="宋体" w:eastAsia="宋体" w:cs="宋体"/>
                <w:sz w:val="24"/>
              </w:rPr>
              <w:t>2</w:t>
            </w:r>
          </w:p>
        </w:tc>
        <w:tc>
          <w:tcPr>
            <w:tcW w:w="1124" w:type="pct"/>
            <w:vAlign w:val="center"/>
          </w:tcPr>
          <w:p w14:paraId="0AEECA30">
            <w:pPr>
              <w:spacing w:line="440" w:lineRule="exact"/>
              <w:jc w:val="center"/>
              <w:rPr>
                <w:rFonts w:ascii="宋体" w:hAnsi="宋体" w:eastAsia="宋体" w:cs="宋体"/>
                <w:sz w:val="24"/>
              </w:rPr>
            </w:pPr>
            <w:r>
              <w:rPr>
                <w:rFonts w:hint="eastAsia" w:ascii="宋体" w:hAnsi="宋体" w:eastAsia="宋体" w:cs="宋体"/>
                <w:sz w:val="24"/>
              </w:rPr>
              <w:t>服务地点</w:t>
            </w:r>
          </w:p>
        </w:tc>
        <w:tc>
          <w:tcPr>
            <w:tcW w:w="1465" w:type="pct"/>
            <w:vAlign w:val="center"/>
          </w:tcPr>
          <w:p w14:paraId="1A49F901">
            <w:pPr>
              <w:spacing w:line="440" w:lineRule="exact"/>
              <w:jc w:val="center"/>
              <w:rPr>
                <w:rFonts w:ascii="宋体" w:hAnsi="宋体" w:eastAsia="宋体" w:cs="宋体"/>
                <w:sz w:val="24"/>
              </w:rPr>
            </w:pPr>
          </w:p>
        </w:tc>
        <w:tc>
          <w:tcPr>
            <w:tcW w:w="1510" w:type="pct"/>
            <w:vAlign w:val="center"/>
          </w:tcPr>
          <w:p w14:paraId="3B33B2B0">
            <w:pPr>
              <w:spacing w:line="440" w:lineRule="exact"/>
              <w:jc w:val="center"/>
              <w:rPr>
                <w:rFonts w:ascii="宋体" w:hAnsi="宋体" w:eastAsia="宋体" w:cs="宋体"/>
                <w:sz w:val="24"/>
              </w:rPr>
            </w:pPr>
          </w:p>
        </w:tc>
        <w:tc>
          <w:tcPr>
            <w:tcW w:w="475" w:type="pct"/>
            <w:vAlign w:val="center"/>
          </w:tcPr>
          <w:p w14:paraId="6BD2FF92">
            <w:pPr>
              <w:spacing w:line="440" w:lineRule="exact"/>
              <w:jc w:val="center"/>
              <w:rPr>
                <w:rFonts w:ascii="宋体" w:hAnsi="宋体" w:eastAsia="宋体" w:cs="宋体"/>
                <w:sz w:val="24"/>
              </w:rPr>
            </w:pPr>
          </w:p>
        </w:tc>
      </w:tr>
      <w:tr w14:paraId="426B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3EB7CE">
            <w:pPr>
              <w:spacing w:line="440" w:lineRule="exact"/>
              <w:jc w:val="center"/>
              <w:rPr>
                <w:rFonts w:ascii="宋体" w:hAnsi="宋体" w:eastAsia="宋体" w:cs="宋体"/>
                <w:sz w:val="24"/>
              </w:rPr>
            </w:pPr>
            <w:r>
              <w:rPr>
                <w:rFonts w:hint="eastAsia" w:ascii="宋体" w:hAnsi="宋体" w:eastAsia="宋体" w:cs="宋体"/>
                <w:sz w:val="24"/>
              </w:rPr>
              <w:t>3</w:t>
            </w:r>
          </w:p>
        </w:tc>
        <w:tc>
          <w:tcPr>
            <w:tcW w:w="1124" w:type="pct"/>
            <w:vAlign w:val="center"/>
          </w:tcPr>
          <w:p w14:paraId="61161657">
            <w:pPr>
              <w:spacing w:line="440" w:lineRule="exact"/>
              <w:jc w:val="center"/>
              <w:rPr>
                <w:rFonts w:ascii="宋体" w:hAnsi="宋体" w:eastAsia="宋体" w:cs="宋体"/>
                <w:sz w:val="24"/>
              </w:rPr>
            </w:pPr>
            <w:r>
              <w:rPr>
                <w:rFonts w:hint="eastAsia" w:ascii="宋体" w:hAnsi="宋体" w:eastAsia="宋体" w:cs="宋体"/>
                <w:sz w:val="24"/>
              </w:rPr>
              <w:t>服务期限</w:t>
            </w:r>
          </w:p>
        </w:tc>
        <w:tc>
          <w:tcPr>
            <w:tcW w:w="1465" w:type="pct"/>
            <w:vAlign w:val="center"/>
          </w:tcPr>
          <w:p w14:paraId="6B5765FA">
            <w:pPr>
              <w:spacing w:line="440" w:lineRule="exact"/>
              <w:jc w:val="center"/>
              <w:rPr>
                <w:rFonts w:ascii="宋体" w:hAnsi="宋体" w:eastAsia="宋体" w:cs="宋体"/>
                <w:sz w:val="24"/>
              </w:rPr>
            </w:pPr>
          </w:p>
        </w:tc>
        <w:tc>
          <w:tcPr>
            <w:tcW w:w="1510" w:type="pct"/>
            <w:vAlign w:val="center"/>
          </w:tcPr>
          <w:p w14:paraId="37CCAC21">
            <w:pPr>
              <w:pStyle w:val="54"/>
              <w:spacing w:line="440" w:lineRule="exact"/>
              <w:jc w:val="center"/>
              <w:rPr>
                <w:rFonts w:ascii="宋体" w:hAnsi="宋体" w:cs="宋体"/>
              </w:rPr>
            </w:pPr>
          </w:p>
        </w:tc>
        <w:tc>
          <w:tcPr>
            <w:tcW w:w="475" w:type="pct"/>
            <w:vAlign w:val="center"/>
          </w:tcPr>
          <w:p w14:paraId="5F3DD9DC">
            <w:pPr>
              <w:spacing w:line="440" w:lineRule="exact"/>
              <w:jc w:val="center"/>
              <w:rPr>
                <w:rFonts w:ascii="宋体" w:hAnsi="宋体" w:eastAsia="宋体" w:cs="宋体"/>
                <w:sz w:val="24"/>
              </w:rPr>
            </w:pPr>
          </w:p>
        </w:tc>
      </w:tr>
      <w:tr w14:paraId="508B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0DCDDB">
            <w:pPr>
              <w:spacing w:line="440" w:lineRule="exact"/>
              <w:jc w:val="center"/>
              <w:rPr>
                <w:rFonts w:ascii="宋体" w:hAnsi="宋体" w:eastAsia="宋体" w:cs="宋体"/>
                <w:sz w:val="24"/>
              </w:rPr>
            </w:pPr>
            <w:r>
              <w:rPr>
                <w:rFonts w:hint="eastAsia" w:ascii="宋体" w:hAnsi="宋体" w:eastAsia="宋体" w:cs="宋体"/>
                <w:sz w:val="24"/>
              </w:rPr>
              <w:t>…</w:t>
            </w:r>
          </w:p>
        </w:tc>
        <w:tc>
          <w:tcPr>
            <w:tcW w:w="1124" w:type="pct"/>
            <w:vAlign w:val="center"/>
          </w:tcPr>
          <w:p w14:paraId="19323601">
            <w:pPr>
              <w:spacing w:line="440" w:lineRule="exact"/>
              <w:jc w:val="center"/>
              <w:rPr>
                <w:rFonts w:ascii="宋体" w:hAnsi="宋体" w:eastAsia="宋体" w:cs="宋体"/>
                <w:sz w:val="24"/>
              </w:rPr>
            </w:pPr>
          </w:p>
        </w:tc>
        <w:tc>
          <w:tcPr>
            <w:tcW w:w="1465" w:type="pct"/>
            <w:vAlign w:val="center"/>
          </w:tcPr>
          <w:p w14:paraId="3CCEEEDB">
            <w:pPr>
              <w:spacing w:line="440" w:lineRule="exact"/>
              <w:jc w:val="center"/>
              <w:rPr>
                <w:rFonts w:ascii="宋体" w:hAnsi="宋体" w:eastAsia="宋体" w:cs="宋体"/>
                <w:sz w:val="24"/>
              </w:rPr>
            </w:pPr>
          </w:p>
        </w:tc>
        <w:tc>
          <w:tcPr>
            <w:tcW w:w="1510" w:type="pct"/>
            <w:vAlign w:val="center"/>
          </w:tcPr>
          <w:p w14:paraId="47150D57">
            <w:pPr>
              <w:spacing w:line="440" w:lineRule="exact"/>
              <w:jc w:val="center"/>
              <w:rPr>
                <w:rFonts w:ascii="宋体" w:hAnsi="宋体" w:eastAsia="宋体" w:cs="宋体"/>
                <w:sz w:val="24"/>
              </w:rPr>
            </w:pPr>
          </w:p>
        </w:tc>
        <w:tc>
          <w:tcPr>
            <w:tcW w:w="475" w:type="pct"/>
            <w:vAlign w:val="center"/>
          </w:tcPr>
          <w:p w14:paraId="70A058B7">
            <w:pPr>
              <w:spacing w:line="440" w:lineRule="exact"/>
              <w:jc w:val="center"/>
              <w:rPr>
                <w:rFonts w:ascii="宋体" w:hAnsi="宋体" w:eastAsia="宋体" w:cs="宋体"/>
                <w:sz w:val="24"/>
              </w:rPr>
            </w:pPr>
          </w:p>
        </w:tc>
      </w:tr>
    </w:tbl>
    <w:p w14:paraId="59908E46">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xml:space="preserve">             </w:t>
      </w:r>
    </w:p>
    <w:p w14:paraId="5D381BA7">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57C4F93D">
      <w:pPr>
        <w:pStyle w:val="10"/>
        <w:spacing w:line="440" w:lineRule="exact"/>
        <w:jc w:val="center"/>
        <w:rPr>
          <w:rFonts w:ascii="宋体" w:hAnsi="宋体" w:cs="宋体"/>
          <w:sz w:val="24"/>
        </w:rPr>
      </w:pPr>
      <w:r>
        <w:rPr>
          <w:rFonts w:hint="eastAsia" w:ascii="宋体" w:hAnsi="宋体" w:cs="宋体"/>
          <w:b w:val="0"/>
          <w:sz w:val="24"/>
        </w:rPr>
        <w:br w:type="page"/>
      </w:r>
      <w:bookmarkStart w:id="222" w:name="_Toc23860"/>
      <w:bookmarkStart w:id="223" w:name="_Toc26536"/>
      <w:bookmarkStart w:id="224" w:name="_Hlk11701496"/>
      <w:r>
        <w:rPr>
          <w:rFonts w:hint="eastAsia" w:ascii="宋体" w:hAnsi="宋体" w:cs="宋体"/>
          <w:sz w:val="24"/>
        </w:rPr>
        <w:t>（2）诚信履约承诺函</w:t>
      </w:r>
      <w:bookmarkEnd w:id="222"/>
      <w:bookmarkEnd w:id="223"/>
    </w:p>
    <w:p w14:paraId="3B7E113E">
      <w:pPr>
        <w:spacing w:line="440" w:lineRule="exact"/>
        <w:rPr>
          <w:rFonts w:ascii="宋体" w:hAnsi="宋体" w:eastAsia="宋体" w:cs="宋体"/>
          <w:b/>
          <w:bCs/>
          <w:sz w:val="24"/>
        </w:rPr>
      </w:pPr>
    </w:p>
    <w:p w14:paraId="5B17E004">
      <w:pPr>
        <w:spacing w:line="440" w:lineRule="exact"/>
        <w:rPr>
          <w:rFonts w:ascii="宋体" w:hAnsi="宋体" w:eastAsia="宋体" w:cs="宋体"/>
          <w:b/>
          <w:bCs/>
          <w:sz w:val="24"/>
          <w:u w:val="single"/>
        </w:rPr>
      </w:pPr>
      <w:r>
        <w:rPr>
          <w:rFonts w:hint="eastAsia" w:ascii="宋体" w:hAnsi="宋体" w:eastAsia="宋体" w:cs="宋体"/>
          <w:b/>
          <w:bCs/>
          <w:sz w:val="24"/>
        </w:rPr>
        <w:t>致：采购人</w:t>
      </w:r>
    </w:p>
    <w:p w14:paraId="1065697E">
      <w:pPr>
        <w:spacing w:line="440" w:lineRule="exact"/>
        <w:ind w:firstLine="480" w:firstLineChars="200"/>
        <w:rPr>
          <w:rFonts w:ascii="宋体" w:hAnsi="宋体" w:eastAsia="宋体" w:cs="宋体"/>
          <w:bCs/>
          <w:sz w:val="24"/>
        </w:rPr>
      </w:pPr>
      <w:r>
        <w:rPr>
          <w:rFonts w:hint="eastAsia" w:ascii="宋体" w:hAnsi="宋体" w:eastAsia="宋体" w:cs="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EDD1182">
      <w:pPr>
        <w:spacing w:line="440" w:lineRule="exact"/>
        <w:ind w:firstLine="480" w:firstLineChars="200"/>
        <w:rPr>
          <w:rFonts w:ascii="宋体" w:hAnsi="宋体" w:eastAsia="宋体" w:cs="宋体"/>
          <w:bCs/>
          <w:sz w:val="24"/>
        </w:rPr>
      </w:pPr>
      <w:r>
        <w:rPr>
          <w:rFonts w:hint="eastAsia" w:ascii="宋体" w:hAnsi="宋体" w:eastAsia="宋体" w:cs="宋体"/>
          <w:bCs/>
          <w:sz w:val="24"/>
        </w:rPr>
        <w:t>（1）中标或者成交后无正当理由拒不与采购人签订政府采购合同；</w:t>
      </w:r>
    </w:p>
    <w:p w14:paraId="7D1F1E55">
      <w:pPr>
        <w:spacing w:line="440" w:lineRule="exact"/>
        <w:ind w:firstLine="480" w:firstLineChars="200"/>
        <w:rPr>
          <w:rFonts w:ascii="宋体" w:hAnsi="宋体" w:eastAsia="宋体" w:cs="宋体"/>
          <w:bCs/>
          <w:sz w:val="24"/>
        </w:rPr>
      </w:pPr>
      <w:r>
        <w:rPr>
          <w:rFonts w:hint="eastAsia" w:ascii="宋体" w:hAnsi="宋体" w:eastAsia="宋体" w:cs="宋体"/>
          <w:bCs/>
          <w:sz w:val="24"/>
        </w:rPr>
        <w:t>（2）未按照采购文件确定的事项签订政府采购合同；</w:t>
      </w:r>
    </w:p>
    <w:p w14:paraId="660292A9">
      <w:pPr>
        <w:spacing w:line="440" w:lineRule="exact"/>
        <w:ind w:firstLine="480" w:firstLineChars="200"/>
        <w:rPr>
          <w:rFonts w:ascii="宋体" w:hAnsi="宋体" w:eastAsia="宋体" w:cs="宋体"/>
          <w:bCs/>
          <w:sz w:val="24"/>
        </w:rPr>
      </w:pPr>
      <w:r>
        <w:rPr>
          <w:rFonts w:hint="eastAsia" w:ascii="宋体" w:hAnsi="宋体" w:eastAsia="宋体" w:cs="宋体"/>
          <w:bCs/>
          <w:sz w:val="24"/>
        </w:rPr>
        <w:t>（3）将政府采购合同转包；</w:t>
      </w:r>
    </w:p>
    <w:p w14:paraId="2E8179AA">
      <w:pPr>
        <w:spacing w:line="440" w:lineRule="exact"/>
        <w:ind w:firstLine="480" w:firstLineChars="200"/>
        <w:rPr>
          <w:rFonts w:ascii="宋体" w:hAnsi="宋体" w:eastAsia="宋体" w:cs="宋体"/>
          <w:bCs/>
          <w:sz w:val="24"/>
        </w:rPr>
      </w:pPr>
      <w:r>
        <w:rPr>
          <w:rFonts w:hint="eastAsia" w:ascii="宋体" w:hAnsi="宋体" w:eastAsia="宋体" w:cs="宋体"/>
          <w:bCs/>
          <w:sz w:val="24"/>
        </w:rPr>
        <w:t>（4）提供假冒伪劣产品；</w:t>
      </w:r>
    </w:p>
    <w:p w14:paraId="571D63E8">
      <w:pPr>
        <w:spacing w:line="440" w:lineRule="exact"/>
        <w:ind w:firstLine="480" w:firstLineChars="200"/>
        <w:rPr>
          <w:rFonts w:ascii="宋体" w:hAnsi="宋体" w:eastAsia="宋体" w:cs="宋体"/>
          <w:bCs/>
          <w:sz w:val="24"/>
        </w:rPr>
      </w:pPr>
      <w:r>
        <w:rPr>
          <w:rFonts w:hint="eastAsia" w:ascii="宋体" w:hAnsi="宋体" w:eastAsia="宋体" w:cs="宋体"/>
          <w:bCs/>
          <w:sz w:val="24"/>
        </w:rPr>
        <w:t>（5）擅自变更、中止或者终止政府采购合同。</w:t>
      </w:r>
    </w:p>
    <w:p w14:paraId="07135454">
      <w:pPr>
        <w:spacing w:line="440" w:lineRule="exact"/>
        <w:ind w:firstLine="480" w:firstLineChars="200"/>
        <w:rPr>
          <w:rFonts w:ascii="宋体" w:hAnsi="宋体" w:eastAsia="宋体" w:cs="宋体"/>
          <w:bCs/>
          <w:sz w:val="24"/>
        </w:rPr>
      </w:pPr>
      <w:r>
        <w:rPr>
          <w:rFonts w:hint="eastAsia" w:ascii="宋体" w:hAnsi="宋体" w:eastAsia="宋体" w:cs="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E10C74">
      <w:pPr>
        <w:spacing w:line="440" w:lineRule="exact"/>
        <w:ind w:firstLine="480" w:firstLineChars="200"/>
        <w:rPr>
          <w:rFonts w:ascii="宋体" w:hAnsi="宋体" w:eastAsia="宋体" w:cs="宋体"/>
          <w:bCs/>
          <w:sz w:val="24"/>
        </w:rPr>
      </w:pPr>
      <w:r>
        <w:rPr>
          <w:rFonts w:hint="eastAsia" w:ascii="宋体" w:hAnsi="宋体" w:eastAsia="宋体" w:cs="宋体"/>
          <w:bCs/>
          <w:sz w:val="24"/>
        </w:rPr>
        <w:t>本承诺声明：</w:t>
      </w:r>
      <w:r>
        <w:rPr>
          <w:rFonts w:hint="eastAsia" w:ascii="宋体" w:hAnsi="宋体" w:eastAsia="宋体" w:cs="宋体"/>
          <w:bCs/>
          <w:sz w:val="24"/>
          <w:u w:val="single"/>
        </w:rPr>
        <w:t xml:space="preserve">                   （投标人名称）</w:t>
      </w:r>
      <w:r>
        <w:rPr>
          <w:rFonts w:hint="eastAsia" w:ascii="宋体" w:hAnsi="宋体" w:eastAsia="宋体" w:cs="宋体"/>
          <w:bCs/>
          <w:sz w:val="24"/>
        </w:rPr>
        <w:t>对本招标文件的相关要求完全响应，配备人员数量和要求不低于采购需求的要求。若有幸中标将严格按照以上承诺进行供货和服务。</w:t>
      </w:r>
    </w:p>
    <w:p w14:paraId="29B7CE44">
      <w:pPr>
        <w:spacing w:line="440" w:lineRule="exact"/>
        <w:rPr>
          <w:rFonts w:ascii="宋体" w:hAnsi="宋体" w:eastAsia="宋体" w:cs="宋体"/>
          <w:bCs/>
          <w:sz w:val="24"/>
        </w:rPr>
      </w:pPr>
    </w:p>
    <w:p w14:paraId="3244605B">
      <w:pPr>
        <w:spacing w:line="440" w:lineRule="exact"/>
        <w:rPr>
          <w:rFonts w:ascii="宋体" w:hAnsi="宋体" w:eastAsia="宋体" w:cs="宋体"/>
          <w:bCs/>
          <w:sz w:val="24"/>
        </w:rPr>
      </w:pPr>
    </w:p>
    <w:p w14:paraId="63C78868">
      <w:pPr>
        <w:spacing w:line="440" w:lineRule="exact"/>
        <w:ind w:firstLine="4320" w:firstLineChars="1800"/>
        <w:rPr>
          <w:rFonts w:ascii="宋体" w:hAnsi="宋体" w:eastAsia="宋体" w:cs="宋体"/>
          <w:bCs/>
          <w:sz w:val="24"/>
          <w:u w:val="single"/>
        </w:rPr>
      </w:pPr>
      <w:r>
        <w:rPr>
          <w:rFonts w:hint="eastAsia" w:ascii="宋体" w:hAnsi="宋体" w:eastAsia="宋体" w:cs="宋体"/>
          <w:bCs/>
          <w:sz w:val="24"/>
        </w:rPr>
        <w:t>投标人盖章：</w:t>
      </w:r>
      <w:r>
        <w:rPr>
          <w:rFonts w:hint="eastAsia" w:ascii="宋体" w:hAnsi="宋体" w:eastAsia="宋体" w:cs="宋体"/>
          <w:bCs/>
          <w:sz w:val="24"/>
          <w:u w:val="single"/>
        </w:rPr>
        <w:t xml:space="preserve">             </w:t>
      </w:r>
    </w:p>
    <w:p w14:paraId="72CFEEB5">
      <w:pPr>
        <w:spacing w:line="440" w:lineRule="exact"/>
        <w:ind w:firstLine="4320" w:firstLineChars="1800"/>
        <w:rPr>
          <w:rFonts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bCs/>
          <w:sz w:val="24"/>
          <w:u w:val="single"/>
        </w:rPr>
        <w:t xml:space="preserve">             </w:t>
      </w:r>
    </w:p>
    <w:p w14:paraId="372CED17">
      <w:pPr>
        <w:widowControl/>
        <w:spacing w:line="440" w:lineRule="exact"/>
        <w:jc w:val="left"/>
        <w:rPr>
          <w:rFonts w:ascii="宋体" w:hAnsi="宋体" w:eastAsia="宋体" w:cs="宋体"/>
          <w:sz w:val="24"/>
        </w:rPr>
      </w:pPr>
      <w:r>
        <w:rPr>
          <w:rFonts w:hint="eastAsia" w:ascii="宋体" w:hAnsi="宋体" w:eastAsia="宋体" w:cs="宋体"/>
          <w:sz w:val="24"/>
        </w:rPr>
        <w:br w:type="page"/>
      </w:r>
    </w:p>
    <w:bookmarkEnd w:id="224"/>
    <w:p w14:paraId="6A4F26A9">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三、商务标格式文件</w:t>
      </w:r>
    </w:p>
    <w:p w14:paraId="38F2D5D3">
      <w:pPr>
        <w:jc w:val="center"/>
        <w:rPr>
          <w:rFonts w:ascii="宋体" w:hAnsi="宋体" w:eastAsia="宋体" w:cs="宋体"/>
          <w:sz w:val="20"/>
        </w:rPr>
      </w:pPr>
    </w:p>
    <w:p w14:paraId="799E5E50">
      <w:pPr>
        <w:rPr>
          <w:rFonts w:ascii="宋体" w:hAnsi="宋体" w:eastAsia="宋体" w:cs="宋体"/>
          <w:sz w:val="20"/>
        </w:rPr>
      </w:pPr>
    </w:p>
    <w:p w14:paraId="00B88F06">
      <w:pPr>
        <w:jc w:val="center"/>
        <w:rPr>
          <w:rFonts w:ascii="宋体" w:hAnsi="宋体" w:eastAsia="宋体" w:cs="宋体"/>
          <w:b/>
          <w:sz w:val="44"/>
          <w:szCs w:val="44"/>
        </w:rPr>
      </w:pPr>
      <w:r>
        <w:rPr>
          <w:rFonts w:hint="eastAsia" w:ascii="宋体" w:hAnsi="宋体" w:eastAsia="宋体" w:cs="宋体"/>
          <w:b/>
          <w:sz w:val="44"/>
          <w:szCs w:val="44"/>
        </w:rPr>
        <w:t>商务标</w:t>
      </w:r>
    </w:p>
    <w:p w14:paraId="6C86B46B">
      <w:pPr>
        <w:jc w:val="center"/>
        <w:rPr>
          <w:rFonts w:ascii="宋体" w:hAnsi="宋体" w:eastAsia="宋体" w:cs="宋体"/>
          <w:sz w:val="32"/>
          <w:szCs w:val="32"/>
        </w:rPr>
      </w:pPr>
      <w:r>
        <w:rPr>
          <w:rFonts w:hint="eastAsia" w:ascii="宋体" w:hAnsi="宋体" w:eastAsia="宋体" w:cs="宋体"/>
          <w:sz w:val="32"/>
          <w:szCs w:val="32"/>
        </w:rPr>
        <w:t>（投标文件三）</w:t>
      </w:r>
    </w:p>
    <w:p w14:paraId="6170E28C">
      <w:pPr>
        <w:jc w:val="center"/>
        <w:rPr>
          <w:rFonts w:ascii="宋体" w:hAnsi="宋体" w:eastAsia="宋体" w:cs="宋体"/>
          <w:sz w:val="44"/>
          <w:szCs w:val="44"/>
        </w:rPr>
      </w:pPr>
    </w:p>
    <w:p w14:paraId="48975211">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p>
    <w:p w14:paraId="4277EA32">
      <w:pPr>
        <w:rPr>
          <w:rFonts w:ascii="宋体" w:hAnsi="宋体" w:eastAsia="宋体" w:cs="宋体"/>
          <w:sz w:val="28"/>
          <w:szCs w:val="28"/>
        </w:rPr>
      </w:pPr>
    </w:p>
    <w:p w14:paraId="08FB9A82">
      <w:pPr>
        <w:rPr>
          <w:rFonts w:ascii="宋体" w:hAnsi="宋体" w:eastAsia="宋体" w:cs="宋体"/>
          <w:sz w:val="28"/>
          <w:szCs w:val="28"/>
        </w:rPr>
      </w:pPr>
    </w:p>
    <w:p w14:paraId="531CB77A">
      <w:pPr>
        <w:rPr>
          <w:rFonts w:ascii="宋体" w:hAnsi="宋体" w:eastAsia="宋体" w:cs="宋体"/>
          <w:sz w:val="28"/>
          <w:szCs w:val="28"/>
        </w:rPr>
      </w:pPr>
    </w:p>
    <w:p w14:paraId="6BA1BC77">
      <w:pPr>
        <w:rPr>
          <w:rFonts w:ascii="宋体" w:hAnsi="宋体" w:eastAsia="宋体" w:cs="宋体"/>
          <w:sz w:val="28"/>
          <w:szCs w:val="28"/>
        </w:rPr>
      </w:pPr>
    </w:p>
    <w:p w14:paraId="2F848359">
      <w:pPr>
        <w:rPr>
          <w:rFonts w:ascii="宋体" w:hAnsi="宋体" w:eastAsia="宋体" w:cs="宋体"/>
          <w:sz w:val="28"/>
          <w:szCs w:val="28"/>
        </w:rPr>
      </w:pPr>
    </w:p>
    <w:p w14:paraId="68F5BDA0">
      <w:pPr>
        <w:rPr>
          <w:rFonts w:ascii="宋体" w:hAnsi="宋体" w:eastAsia="宋体" w:cs="宋体"/>
          <w:sz w:val="28"/>
          <w:szCs w:val="28"/>
        </w:rPr>
      </w:pPr>
    </w:p>
    <w:p w14:paraId="6D7CAFC4">
      <w:pPr>
        <w:rPr>
          <w:rFonts w:ascii="宋体" w:hAnsi="宋体" w:eastAsia="宋体" w:cs="宋体"/>
          <w:sz w:val="28"/>
          <w:szCs w:val="28"/>
        </w:rPr>
      </w:pPr>
    </w:p>
    <w:p w14:paraId="3634E7EC">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14:paraId="30892EC0">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11969470">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7C489AF">
      <w:pPr>
        <w:spacing w:line="720" w:lineRule="auto"/>
        <w:jc w:val="center"/>
        <w:rPr>
          <w:rFonts w:ascii="宋体" w:hAnsi="宋体" w:eastAsia="宋体" w:cs="宋体"/>
          <w:b/>
          <w:sz w:val="36"/>
          <w:szCs w:val="36"/>
        </w:rPr>
      </w:pPr>
    </w:p>
    <w:p w14:paraId="1F0DBCF3">
      <w:pPr>
        <w:spacing w:line="400" w:lineRule="exact"/>
        <w:ind w:firstLine="4130" w:firstLineChars="935"/>
        <w:rPr>
          <w:rFonts w:ascii="宋体" w:hAnsi="宋体" w:eastAsia="宋体" w:cs="宋体"/>
          <w:b/>
          <w:sz w:val="44"/>
          <w:szCs w:val="44"/>
        </w:rPr>
      </w:pPr>
    </w:p>
    <w:p w14:paraId="23443FDC">
      <w:pPr>
        <w:spacing w:line="400" w:lineRule="exact"/>
        <w:ind w:firstLine="4130" w:firstLineChars="935"/>
        <w:rPr>
          <w:rFonts w:ascii="宋体" w:hAnsi="宋体" w:eastAsia="宋体" w:cs="宋体"/>
          <w:b/>
          <w:sz w:val="44"/>
          <w:szCs w:val="44"/>
        </w:rPr>
      </w:pPr>
    </w:p>
    <w:p w14:paraId="397963CF">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5092E015">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（1）开标一览表（格式见附件）；</w:t>
      </w:r>
    </w:p>
    <w:p w14:paraId="49E4BC9C">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（2）投标函（格式见附件）；</w:t>
      </w:r>
    </w:p>
    <w:p w14:paraId="2554135D">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（3）投标分项报价表（格式见附件）；</w:t>
      </w:r>
    </w:p>
    <w:p w14:paraId="02AFB22C">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（4）招标文件商务评审中要求提供的其他相关资料；</w:t>
      </w:r>
    </w:p>
    <w:p w14:paraId="6FABDFC8">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（5）投标人认为需要提供的其他材料。</w:t>
      </w:r>
    </w:p>
    <w:p w14:paraId="4B9D6F27">
      <w:pPr>
        <w:spacing w:line="440" w:lineRule="exact"/>
        <w:rPr>
          <w:rFonts w:ascii="宋体" w:hAnsi="宋体" w:eastAsia="宋体" w:cs="宋体"/>
          <w:color w:val="000000" w:themeColor="text1"/>
          <w:sz w:val="24"/>
          <w:szCs w:val="24"/>
          <w14:textFill>
            <w14:solidFill>
              <w14:schemeClr w14:val="tx1"/>
            </w14:solidFill>
          </w14:textFill>
        </w:rPr>
      </w:pPr>
    </w:p>
    <w:p w14:paraId="6D0FDFE4">
      <w:pPr>
        <w:pageBreakBefore/>
        <w:spacing w:line="440" w:lineRule="exact"/>
        <w:jc w:val="center"/>
        <w:outlineLvl w:val="1"/>
        <w:rPr>
          <w:rFonts w:ascii="宋体" w:hAnsi="宋体" w:eastAsia="宋体" w:cs="宋体"/>
          <w:b/>
          <w:sz w:val="24"/>
        </w:rPr>
      </w:pPr>
      <w:r>
        <w:rPr>
          <w:rFonts w:hint="eastAsia" w:ascii="宋体" w:hAnsi="宋体" w:eastAsia="宋体" w:cs="宋体"/>
          <w:b/>
          <w:sz w:val="24"/>
        </w:rPr>
        <w:t>（1）开标一览表</w:t>
      </w:r>
      <w:bookmarkEnd w:id="213"/>
      <w:bookmarkEnd w:id="214"/>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26E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6A637722">
            <w:pPr>
              <w:widowControl/>
              <w:spacing w:line="440" w:lineRule="exact"/>
              <w:jc w:val="center"/>
              <w:rPr>
                <w:rFonts w:ascii="宋体" w:hAnsi="宋体" w:eastAsia="宋体" w:cs="宋体"/>
                <w:b/>
                <w:sz w:val="24"/>
              </w:rPr>
            </w:pPr>
            <w:r>
              <w:rPr>
                <w:rFonts w:hint="eastAsia" w:ascii="宋体" w:hAnsi="宋体" w:eastAsia="宋体" w:cs="宋体"/>
                <w:b/>
                <w:sz w:val="24"/>
              </w:rPr>
              <w:t>项目名称</w:t>
            </w:r>
          </w:p>
        </w:tc>
        <w:tc>
          <w:tcPr>
            <w:tcW w:w="3648" w:type="pct"/>
            <w:tcBorders>
              <w:top w:val="single" w:color="auto" w:sz="4" w:space="0"/>
              <w:bottom w:val="single" w:color="auto" w:sz="4" w:space="0"/>
              <w:right w:val="single" w:color="auto" w:sz="4" w:space="0"/>
            </w:tcBorders>
            <w:vAlign w:val="center"/>
          </w:tcPr>
          <w:p w14:paraId="253353E0">
            <w:pPr>
              <w:spacing w:line="440" w:lineRule="exact"/>
              <w:jc w:val="center"/>
              <w:rPr>
                <w:rFonts w:ascii="宋体" w:hAnsi="宋体" w:eastAsia="宋体" w:cs="宋体"/>
                <w:bCs/>
                <w:sz w:val="24"/>
                <w:u w:val="single"/>
              </w:rPr>
            </w:pPr>
          </w:p>
        </w:tc>
      </w:tr>
      <w:tr w14:paraId="2C15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F9AC502">
            <w:pPr>
              <w:spacing w:line="440" w:lineRule="exact"/>
              <w:jc w:val="center"/>
              <w:rPr>
                <w:rFonts w:ascii="宋体" w:hAnsi="宋体" w:eastAsia="宋体" w:cs="宋体"/>
                <w:b/>
                <w:sz w:val="24"/>
              </w:rPr>
            </w:pPr>
            <w:r>
              <w:rPr>
                <w:rFonts w:hint="eastAsia" w:ascii="宋体" w:hAnsi="宋体" w:eastAsia="宋体" w:cs="宋体"/>
                <w:b/>
                <w:sz w:val="24"/>
              </w:rPr>
              <w:t>投标人全称</w:t>
            </w:r>
          </w:p>
        </w:tc>
        <w:tc>
          <w:tcPr>
            <w:tcW w:w="3648" w:type="pct"/>
            <w:tcBorders>
              <w:top w:val="nil"/>
            </w:tcBorders>
            <w:vAlign w:val="center"/>
          </w:tcPr>
          <w:p w14:paraId="4D4525E5">
            <w:pPr>
              <w:spacing w:line="440" w:lineRule="exact"/>
              <w:rPr>
                <w:rFonts w:ascii="宋体" w:hAnsi="宋体" w:eastAsia="宋体" w:cs="宋体"/>
                <w:sz w:val="24"/>
              </w:rPr>
            </w:pPr>
          </w:p>
        </w:tc>
      </w:tr>
      <w:tr w14:paraId="2EBB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37D341C">
            <w:pPr>
              <w:spacing w:line="440" w:lineRule="exact"/>
              <w:jc w:val="center"/>
              <w:rPr>
                <w:rFonts w:ascii="宋体" w:hAnsi="宋体" w:eastAsia="宋体" w:cs="宋体"/>
                <w:b/>
                <w:sz w:val="24"/>
              </w:rPr>
            </w:pPr>
            <w:r>
              <w:rPr>
                <w:rFonts w:hint="eastAsia" w:ascii="宋体" w:hAnsi="宋体" w:eastAsia="宋体" w:cs="宋体"/>
                <w:b/>
                <w:sz w:val="24"/>
              </w:rPr>
              <w:t>投标范围</w:t>
            </w:r>
          </w:p>
        </w:tc>
        <w:tc>
          <w:tcPr>
            <w:tcW w:w="3648" w:type="pct"/>
            <w:tcBorders>
              <w:top w:val="nil"/>
            </w:tcBorders>
            <w:vAlign w:val="center"/>
          </w:tcPr>
          <w:p w14:paraId="4A5607A0">
            <w:pPr>
              <w:widowControl/>
              <w:spacing w:line="440" w:lineRule="exact"/>
              <w:rPr>
                <w:rFonts w:ascii="宋体" w:hAnsi="宋体" w:eastAsia="宋体" w:cs="宋体"/>
                <w:sz w:val="24"/>
              </w:rPr>
            </w:pPr>
            <w:r>
              <w:rPr>
                <w:rFonts w:hint="eastAsia" w:ascii="宋体" w:hAnsi="宋体" w:eastAsia="宋体" w:cs="宋体"/>
                <w:sz w:val="24"/>
                <w:szCs w:val="28"/>
              </w:rPr>
              <w:t>全部</w:t>
            </w:r>
          </w:p>
        </w:tc>
      </w:tr>
      <w:tr w14:paraId="6178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131214">
            <w:pPr>
              <w:spacing w:line="440" w:lineRule="exact"/>
              <w:jc w:val="center"/>
              <w:rPr>
                <w:rFonts w:ascii="宋体" w:hAnsi="宋体" w:eastAsia="宋体" w:cs="宋体"/>
                <w:b/>
                <w:sz w:val="24"/>
              </w:rPr>
            </w:pPr>
            <w:r>
              <w:rPr>
                <w:rFonts w:hint="eastAsia" w:ascii="宋体" w:hAnsi="宋体" w:eastAsia="宋体" w:cs="宋体"/>
                <w:b/>
                <w:sz w:val="24"/>
              </w:rPr>
              <w:t>投标报价</w:t>
            </w:r>
          </w:p>
        </w:tc>
        <w:tc>
          <w:tcPr>
            <w:tcW w:w="3648" w:type="pct"/>
            <w:tcBorders>
              <w:top w:val="nil"/>
            </w:tcBorders>
            <w:vAlign w:val="center"/>
          </w:tcPr>
          <w:p w14:paraId="7AF93F49">
            <w:pPr>
              <w:snapToGrid w:val="0"/>
              <w:spacing w:line="440" w:lineRule="exact"/>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p>
          <w:p w14:paraId="1A3E9147">
            <w:pPr>
              <w:spacing w:line="440" w:lineRule="exact"/>
              <w:ind w:right="-670"/>
              <w:rPr>
                <w:rFonts w:ascii="宋体" w:hAnsi="宋体" w:eastAsia="宋体" w:cs="宋体"/>
                <w:sz w:val="24"/>
              </w:rPr>
            </w:pPr>
            <w:r>
              <w:rPr>
                <w:rFonts w:hint="eastAsia" w:ascii="宋体" w:hAnsi="宋体" w:eastAsia="宋体" w:cs="宋体"/>
                <w:bCs/>
                <w:sz w:val="24"/>
                <w:szCs w:val="24"/>
              </w:rPr>
              <w:t>小写（</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tc>
      </w:tr>
      <w:tr w14:paraId="6A1E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8D4B990">
            <w:pPr>
              <w:spacing w:line="440" w:lineRule="exact"/>
              <w:jc w:val="center"/>
              <w:rPr>
                <w:rFonts w:ascii="宋体" w:hAnsi="宋体" w:eastAsia="宋体" w:cs="宋体"/>
                <w:b/>
                <w:sz w:val="24"/>
              </w:rPr>
            </w:pPr>
            <w:r>
              <w:rPr>
                <w:rFonts w:hint="eastAsia" w:ascii="宋体" w:hAnsi="宋体" w:eastAsia="宋体" w:cs="宋体"/>
                <w:b/>
                <w:sz w:val="24"/>
              </w:rPr>
              <w:t>其他</w:t>
            </w:r>
          </w:p>
        </w:tc>
        <w:tc>
          <w:tcPr>
            <w:tcW w:w="3648" w:type="pct"/>
            <w:tcBorders>
              <w:top w:val="nil"/>
            </w:tcBorders>
            <w:vAlign w:val="center"/>
          </w:tcPr>
          <w:p w14:paraId="6CA36C68">
            <w:pPr>
              <w:spacing w:line="440" w:lineRule="exact"/>
              <w:jc w:val="left"/>
              <w:rPr>
                <w:rFonts w:ascii="宋体" w:hAnsi="宋体" w:eastAsia="宋体" w:cs="宋体"/>
                <w:sz w:val="24"/>
                <w:szCs w:val="28"/>
              </w:rPr>
            </w:pPr>
          </w:p>
        </w:tc>
      </w:tr>
    </w:tbl>
    <w:p w14:paraId="794F1CF5">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xml:space="preserve">             </w:t>
      </w:r>
    </w:p>
    <w:p w14:paraId="58290AB5">
      <w:pPr>
        <w:tabs>
          <w:tab w:val="left" w:pos="630"/>
        </w:tabs>
        <w:spacing w:line="440" w:lineRule="exact"/>
        <w:ind w:firstLine="4800" w:firstLineChars="20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655F2B66">
      <w:pPr>
        <w:spacing w:line="440" w:lineRule="exact"/>
        <w:rPr>
          <w:rFonts w:ascii="宋体" w:hAnsi="宋体" w:eastAsia="宋体" w:cs="宋体"/>
          <w:b/>
          <w:sz w:val="24"/>
        </w:rPr>
      </w:pPr>
      <w:r>
        <w:rPr>
          <w:rFonts w:hint="eastAsia" w:ascii="宋体" w:hAnsi="宋体" w:eastAsia="宋体" w:cs="宋体"/>
          <w:b/>
          <w:sz w:val="24"/>
        </w:rPr>
        <w:t>注：</w:t>
      </w:r>
    </w:p>
    <w:p w14:paraId="4AC9C344">
      <w:pPr>
        <w:spacing w:line="440" w:lineRule="exact"/>
        <w:ind w:firstLine="435"/>
        <w:rPr>
          <w:rFonts w:ascii="宋体" w:hAnsi="宋体" w:eastAsia="宋体" w:cs="宋体"/>
          <w:sz w:val="24"/>
        </w:rPr>
      </w:pPr>
      <w:r>
        <w:rPr>
          <w:rFonts w:hint="eastAsia" w:ascii="宋体" w:hAnsi="宋体" w:eastAsia="宋体" w:cs="宋体"/>
          <w:sz w:val="24"/>
        </w:rPr>
        <w:t>1.此表用于开标唱标之用。</w:t>
      </w:r>
    </w:p>
    <w:p w14:paraId="1FB3D71A">
      <w:pPr>
        <w:spacing w:line="440" w:lineRule="exact"/>
        <w:ind w:firstLine="435"/>
        <w:rPr>
          <w:rFonts w:ascii="宋体" w:hAnsi="宋体" w:eastAsia="宋体" w:cs="宋体"/>
          <w:sz w:val="24"/>
        </w:rPr>
      </w:pPr>
      <w:r>
        <w:rPr>
          <w:rFonts w:hint="eastAsia" w:ascii="宋体" w:hAnsi="宋体" w:eastAsia="宋体" w:cs="宋体"/>
          <w:sz w:val="24"/>
        </w:rPr>
        <w:t>2.表中投标报价即为优惠后报价，并作为评审及定标依据。任何有选择或有条件的投标报价，或者表中某一包别填写多个报价，均为无效报价。</w:t>
      </w:r>
    </w:p>
    <w:p w14:paraId="7F465432">
      <w:pPr>
        <w:spacing w:line="440" w:lineRule="exact"/>
        <w:ind w:firstLine="435"/>
        <w:rPr>
          <w:rFonts w:ascii="宋体" w:hAnsi="宋体" w:eastAsia="宋体" w:cs="宋体"/>
          <w:sz w:val="24"/>
        </w:rPr>
      </w:pPr>
      <w:r>
        <w:rPr>
          <w:rFonts w:hint="eastAsia" w:ascii="宋体" w:hAnsi="宋体" w:eastAsia="宋体" w:cs="宋体"/>
          <w:sz w:val="24"/>
        </w:rPr>
        <w:t>3.表中大写金额与小写金额不一致的，以大写金额为准。</w:t>
      </w:r>
      <w:r>
        <w:rPr>
          <w:rFonts w:hint="eastAsia" w:ascii="宋体" w:hAnsi="宋体" w:eastAsia="宋体" w:cs="宋体"/>
          <w:sz w:val="24"/>
        </w:rPr>
        <w:br w:type="page"/>
      </w:r>
    </w:p>
    <w:p w14:paraId="4EA33781">
      <w:pPr>
        <w:spacing w:line="440" w:lineRule="exact"/>
        <w:jc w:val="center"/>
        <w:outlineLvl w:val="1"/>
        <w:rPr>
          <w:rFonts w:ascii="宋体" w:hAnsi="宋体" w:eastAsia="宋体" w:cs="宋体"/>
          <w:b/>
          <w:sz w:val="24"/>
        </w:rPr>
      </w:pPr>
      <w:bookmarkStart w:id="225" w:name="_Toc6441"/>
      <w:bookmarkStart w:id="226" w:name="_Toc6120"/>
      <w:r>
        <w:rPr>
          <w:rFonts w:hint="eastAsia" w:ascii="宋体" w:hAnsi="宋体" w:eastAsia="宋体" w:cs="宋体"/>
          <w:b/>
          <w:sz w:val="24"/>
        </w:rPr>
        <w:t>（2）投标函</w:t>
      </w:r>
      <w:bookmarkEnd w:id="225"/>
      <w:bookmarkEnd w:id="226"/>
    </w:p>
    <w:p w14:paraId="3555A2B3">
      <w:pPr>
        <w:pStyle w:val="10"/>
        <w:spacing w:line="44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采购人</w:t>
      </w:r>
    </w:p>
    <w:p w14:paraId="6BE0DA13">
      <w:pPr>
        <w:spacing w:line="440" w:lineRule="exact"/>
        <w:ind w:firstLine="435"/>
        <w:rPr>
          <w:rFonts w:ascii="宋体" w:hAnsi="宋体" w:eastAsia="宋体" w:cs="宋体"/>
          <w:sz w:val="24"/>
        </w:rPr>
      </w:pPr>
      <w:r>
        <w:rPr>
          <w:rFonts w:hint="eastAsia" w:ascii="宋体" w:hAnsi="宋体" w:eastAsia="宋体" w:cs="宋体"/>
          <w:sz w:val="24"/>
        </w:rPr>
        <w:t>根据贵方的招标公告和投标邀请，我方兹宣布同意如下：</w:t>
      </w:r>
    </w:p>
    <w:p w14:paraId="3DA2B95D">
      <w:pPr>
        <w:spacing w:line="44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08CAE3FB">
      <w:pPr>
        <w:spacing w:line="440" w:lineRule="exact"/>
        <w:ind w:firstLine="435"/>
        <w:rPr>
          <w:rFonts w:ascii="宋体" w:hAnsi="宋体" w:eastAsia="宋体" w:cs="宋体"/>
          <w:sz w:val="24"/>
        </w:rPr>
      </w:pPr>
      <w:r>
        <w:rPr>
          <w:rFonts w:hint="eastAsia" w:ascii="宋体" w:hAnsi="宋体" w:eastAsia="宋体" w:cs="宋体"/>
          <w:sz w:val="24"/>
        </w:rPr>
        <w:t>2.我方已详细审核全部招标文件，包括招标文件附件及更正公告（如有），我方正式认可并遵守本次招标文件，并对招标文件各项条款、规定及要求均无异议。</w:t>
      </w:r>
    </w:p>
    <w:p w14:paraId="14696C75">
      <w:pPr>
        <w:spacing w:line="440" w:lineRule="exact"/>
        <w:ind w:firstLine="435"/>
        <w:rPr>
          <w:rFonts w:ascii="宋体" w:hAnsi="宋体" w:eastAsia="宋体" w:cs="宋体"/>
          <w:sz w:val="24"/>
        </w:rPr>
      </w:pPr>
      <w:r>
        <w:rPr>
          <w:rFonts w:hint="eastAsia" w:ascii="宋体" w:hAnsi="宋体" w:eastAsia="宋体" w:cs="宋体"/>
          <w:sz w:val="24"/>
        </w:rPr>
        <w:t>3.我方同意从招标文件规定的开标日期起遵循本招标文件，并在招标文件规定的投标有效期之前均具有约束力。</w:t>
      </w:r>
    </w:p>
    <w:p w14:paraId="7D387D78">
      <w:pPr>
        <w:spacing w:line="440" w:lineRule="exact"/>
        <w:ind w:firstLine="435"/>
        <w:rPr>
          <w:rFonts w:ascii="宋体" w:hAnsi="宋体" w:eastAsia="宋体" w:cs="宋体"/>
          <w:sz w:val="24"/>
        </w:rPr>
      </w:pPr>
      <w:r>
        <w:rPr>
          <w:rFonts w:hint="eastAsia" w:ascii="宋体" w:hAnsi="宋体" w:eastAsia="宋体" w:cs="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D3588A5">
      <w:pPr>
        <w:spacing w:line="440" w:lineRule="exact"/>
        <w:ind w:firstLine="4800" w:firstLineChars="2000"/>
        <w:rPr>
          <w:rFonts w:ascii="宋体" w:hAnsi="宋体" w:eastAsia="宋体" w:cs="宋体"/>
          <w:sz w:val="24"/>
        </w:rPr>
      </w:pPr>
    </w:p>
    <w:p w14:paraId="23ECCC5F">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xml:space="preserve">             </w:t>
      </w:r>
    </w:p>
    <w:p w14:paraId="50A9AD3E">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36DBDAB">
      <w:pPr>
        <w:widowControl/>
        <w:spacing w:line="440" w:lineRule="exact"/>
        <w:jc w:val="left"/>
        <w:rPr>
          <w:rFonts w:ascii="宋体" w:hAnsi="宋体" w:eastAsia="宋体" w:cs="宋体"/>
          <w:sz w:val="24"/>
          <w:u w:val="single"/>
        </w:rPr>
      </w:pPr>
      <w:r>
        <w:rPr>
          <w:rFonts w:hint="eastAsia" w:ascii="宋体" w:hAnsi="宋体" w:eastAsia="宋体" w:cs="宋体"/>
          <w:sz w:val="24"/>
          <w:u w:val="single"/>
        </w:rPr>
        <w:br w:type="page"/>
      </w:r>
    </w:p>
    <w:p w14:paraId="45E678FC">
      <w:pPr>
        <w:spacing w:line="440" w:lineRule="exact"/>
        <w:jc w:val="center"/>
        <w:outlineLvl w:val="1"/>
        <w:rPr>
          <w:rFonts w:ascii="宋体" w:hAnsi="宋体" w:eastAsia="宋体" w:cs="宋体"/>
          <w:b/>
          <w:sz w:val="24"/>
        </w:rPr>
      </w:pPr>
      <w:bookmarkStart w:id="227" w:name="_Toc31027"/>
      <w:bookmarkStart w:id="228" w:name="_Toc32226"/>
      <w:r>
        <w:rPr>
          <w:rFonts w:hint="eastAsia" w:ascii="宋体" w:hAnsi="宋体" w:eastAsia="宋体" w:cs="宋体"/>
          <w:b/>
          <w:sz w:val="24"/>
        </w:rPr>
        <w:t>（3）投标分项报价表</w:t>
      </w:r>
      <w:bookmarkEnd w:id="227"/>
      <w:bookmarkEnd w:id="228"/>
    </w:p>
    <w:p w14:paraId="6A93902C">
      <w:pPr>
        <w:spacing w:line="440" w:lineRule="exact"/>
        <w:ind w:firstLine="435"/>
        <w:jc w:val="center"/>
        <w:rPr>
          <w:rFonts w:ascii="宋体" w:hAnsi="宋体" w:eastAsia="宋体" w:cs="宋体"/>
          <w:b/>
          <w:sz w:val="24"/>
        </w:rPr>
      </w:pPr>
      <w:r>
        <w:rPr>
          <w:rFonts w:hint="eastAsia" w:ascii="宋体" w:hAnsi="宋体" w:eastAsia="宋体" w:cs="宋体"/>
          <w:i/>
          <w:sz w:val="24"/>
        </w:rPr>
        <w:t>（仅供参考，投标人可自行制作格式）</w:t>
      </w:r>
    </w:p>
    <w:tbl>
      <w:tblPr>
        <w:tblStyle w:val="28"/>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143"/>
        <w:gridCol w:w="1274"/>
        <w:gridCol w:w="1202"/>
        <w:gridCol w:w="2000"/>
        <w:gridCol w:w="2018"/>
      </w:tblGrid>
      <w:tr w14:paraId="411E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58" w:type="dxa"/>
            <w:vAlign w:val="center"/>
          </w:tcPr>
          <w:p w14:paraId="76256B24">
            <w:pPr>
              <w:spacing w:line="360" w:lineRule="exact"/>
              <w:jc w:val="center"/>
              <w:rPr>
                <w:rFonts w:ascii="宋体" w:hAnsi="宋体" w:eastAsia="宋体" w:cs="宋体"/>
                <w:b/>
                <w:bCs/>
                <w:szCs w:val="21"/>
              </w:rPr>
            </w:pPr>
            <w:r>
              <w:rPr>
                <w:rFonts w:hint="eastAsia" w:ascii="宋体" w:hAnsi="宋体" w:eastAsia="宋体" w:cs="宋体"/>
                <w:b/>
                <w:bCs/>
                <w:szCs w:val="21"/>
              </w:rPr>
              <w:t>序号</w:t>
            </w:r>
          </w:p>
        </w:tc>
        <w:tc>
          <w:tcPr>
            <w:tcW w:w="2143" w:type="dxa"/>
            <w:vAlign w:val="center"/>
          </w:tcPr>
          <w:p w14:paraId="3E252877">
            <w:pPr>
              <w:spacing w:line="360" w:lineRule="exact"/>
              <w:jc w:val="center"/>
              <w:rPr>
                <w:rFonts w:ascii="宋体" w:hAnsi="宋体" w:eastAsia="宋体" w:cs="宋体"/>
                <w:b/>
                <w:bCs/>
                <w:szCs w:val="21"/>
              </w:rPr>
            </w:pPr>
            <w:r>
              <w:rPr>
                <w:rFonts w:hint="eastAsia" w:ascii="宋体" w:hAnsi="宋体" w:eastAsia="宋体" w:cs="宋体"/>
                <w:b/>
                <w:bCs/>
                <w:szCs w:val="21"/>
              </w:rPr>
              <w:t>名称</w:t>
            </w:r>
          </w:p>
        </w:tc>
        <w:tc>
          <w:tcPr>
            <w:tcW w:w="1274" w:type="dxa"/>
            <w:vAlign w:val="center"/>
          </w:tcPr>
          <w:p w14:paraId="4EF648E6">
            <w:pPr>
              <w:spacing w:line="360" w:lineRule="exact"/>
              <w:jc w:val="center"/>
              <w:rPr>
                <w:rFonts w:ascii="宋体" w:hAnsi="宋体" w:eastAsia="宋体" w:cs="宋体"/>
                <w:b/>
                <w:bCs/>
                <w:szCs w:val="21"/>
              </w:rPr>
            </w:pPr>
            <w:r>
              <w:rPr>
                <w:rFonts w:hint="eastAsia" w:ascii="宋体" w:hAnsi="宋体" w:eastAsia="宋体" w:cs="宋体"/>
                <w:b/>
                <w:bCs/>
                <w:szCs w:val="21"/>
              </w:rPr>
              <w:t>数量</w:t>
            </w:r>
          </w:p>
        </w:tc>
        <w:tc>
          <w:tcPr>
            <w:tcW w:w="1202" w:type="dxa"/>
            <w:vAlign w:val="center"/>
          </w:tcPr>
          <w:p w14:paraId="3CD4ADCF">
            <w:pPr>
              <w:spacing w:line="360" w:lineRule="exact"/>
              <w:jc w:val="center"/>
              <w:rPr>
                <w:rFonts w:ascii="宋体" w:hAnsi="宋体" w:eastAsia="宋体" w:cs="宋体"/>
                <w:b/>
                <w:bCs/>
                <w:szCs w:val="21"/>
              </w:rPr>
            </w:pPr>
            <w:r>
              <w:rPr>
                <w:rFonts w:hint="eastAsia" w:ascii="宋体" w:hAnsi="宋体" w:eastAsia="宋体" w:cs="宋体"/>
                <w:b/>
                <w:bCs/>
                <w:szCs w:val="21"/>
              </w:rPr>
              <w:t>单价</w:t>
            </w:r>
          </w:p>
          <w:p w14:paraId="5CF423C6">
            <w:pPr>
              <w:spacing w:line="360" w:lineRule="exact"/>
              <w:jc w:val="center"/>
              <w:rPr>
                <w:rFonts w:ascii="宋体" w:hAnsi="宋体" w:eastAsia="宋体" w:cs="宋体"/>
                <w:b/>
                <w:bCs/>
                <w:szCs w:val="21"/>
              </w:rPr>
            </w:pPr>
            <w:r>
              <w:rPr>
                <w:rFonts w:hint="eastAsia" w:ascii="宋体" w:hAnsi="宋体" w:eastAsia="宋体" w:cs="宋体"/>
                <w:b/>
                <w:bCs/>
                <w:szCs w:val="21"/>
              </w:rPr>
              <w:t>（元/月）</w:t>
            </w:r>
          </w:p>
        </w:tc>
        <w:tc>
          <w:tcPr>
            <w:tcW w:w="2000" w:type="dxa"/>
            <w:vAlign w:val="center"/>
          </w:tcPr>
          <w:p w14:paraId="268B5563">
            <w:pPr>
              <w:spacing w:line="360" w:lineRule="exact"/>
              <w:jc w:val="center"/>
              <w:rPr>
                <w:rFonts w:ascii="宋体" w:hAnsi="宋体" w:eastAsia="宋体" w:cs="宋体"/>
                <w:b/>
                <w:bCs/>
                <w:szCs w:val="21"/>
              </w:rPr>
            </w:pPr>
            <w:r>
              <w:rPr>
                <w:rFonts w:hint="eastAsia" w:ascii="宋体" w:hAnsi="宋体" w:eastAsia="宋体" w:cs="宋体"/>
                <w:b/>
                <w:bCs/>
                <w:szCs w:val="21"/>
              </w:rPr>
              <w:t>合价（12个月）</w:t>
            </w:r>
          </w:p>
          <w:p w14:paraId="5B15D723">
            <w:pPr>
              <w:spacing w:line="360" w:lineRule="exact"/>
              <w:jc w:val="center"/>
              <w:rPr>
                <w:rFonts w:ascii="宋体" w:hAnsi="宋体" w:eastAsia="宋体" w:cs="宋体"/>
                <w:b/>
                <w:bCs/>
                <w:szCs w:val="21"/>
              </w:rPr>
            </w:pPr>
            <w:r>
              <w:rPr>
                <w:rFonts w:hint="eastAsia" w:ascii="宋体" w:hAnsi="宋体" w:eastAsia="宋体" w:cs="宋体"/>
                <w:b/>
                <w:bCs/>
                <w:szCs w:val="21"/>
              </w:rPr>
              <w:t>（元）</w:t>
            </w:r>
          </w:p>
        </w:tc>
        <w:tc>
          <w:tcPr>
            <w:tcW w:w="2018" w:type="dxa"/>
            <w:vAlign w:val="center"/>
          </w:tcPr>
          <w:p w14:paraId="4580166F">
            <w:pPr>
              <w:spacing w:line="360" w:lineRule="exact"/>
              <w:jc w:val="center"/>
              <w:rPr>
                <w:rFonts w:ascii="宋体" w:hAnsi="宋体" w:eastAsia="宋体" w:cs="宋体"/>
                <w:b/>
                <w:bCs/>
                <w:szCs w:val="21"/>
              </w:rPr>
            </w:pPr>
            <w:r>
              <w:rPr>
                <w:rFonts w:hint="eastAsia" w:ascii="宋体" w:hAnsi="宋体" w:eastAsia="宋体" w:cs="宋体"/>
                <w:b/>
                <w:bCs/>
                <w:szCs w:val="21"/>
              </w:rPr>
              <w:t>备注</w:t>
            </w:r>
          </w:p>
        </w:tc>
      </w:tr>
      <w:tr w14:paraId="3B1E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8" w:type="dxa"/>
            <w:vAlign w:val="center"/>
          </w:tcPr>
          <w:p w14:paraId="0F1450BC">
            <w:pPr>
              <w:spacing w:line="360" w:lineRule="exact"/>
              <w:jc w:val="center"/>
              <w:rPr>
                <w:rFonts w:ascii="宋体" w:hAnsi="宋体" w:eastAsia="宋体" w:cs="宋体"/>
                <w:szCs w:val="21"/>
              </w:rPr>
            </w:pPr>
            <w:r>
              <w:rPr>
                <w:rFonts w:hint="eastAsia" w:ascii="宋体" w:hAnsi="宋体" w:eastAsia="宋体" w:cs="宋体"/>
                <w:szCs w:val="21"/>
              </w:rPr>
              <w:t>1</w:t>
            </w:r>
          </w:p>
        </w:tc>
        <w:tc>
          <w:tcPr>
            <w:tcW w:w="2143" w:type="dxa"/>
            <w:vAlign w:val="center"/>
          </w:tcPr>
          <w:p w14:paraId="7FEB1DAB">
            <w:pPr>
              <w:spacing w:line="360" w:lineRule="exact"/>
              <w:jc w:val="center"/>
              <w:rPr>
                <w:rFonts w:ascii="宋体" w:hAnsi="宋体" w:eastAsia="宋体" w:cs="宋体"/>
                <w:szCs w:val="21"/>
              </w:rPr>
            </w:pPr>
          </w:p>
        </w:tc>
        <w:tc>
          <w:tcPr>
            <w:tcW w:w="1274" w:type="dxa"/>
            <w:vAlign w:val="center"/>
          </w:tcPr>
          <w:p w14:paraId="772B3D09">
            <w:pPr>
              <w:spacing w:line="360" w:lineRule="exact"/>
              <w:jc w:val="center"/>
              <w:rPr>
                <w:rFonts w:ascii="宋体" w:hAnsi="宋体" w:eastAsia="宋体" w:cs="宋体"/>
                <w:szCs w:val="21"/>
              </w:rPr>
            </w:pPr>
          </w:p>
        </w:tc>
        <w:tc>
          <w:tcPr>
            <w:tcW w:w="1202" w:type="dxa"/>
            <w:vAlign w:val="center"/>
          </w:tcPr>
          <w:p w14:paraId="409CC533">
            <w:pPr>
              <w:spacing w:line="360" w:lineRule="exact"/>
              <w:jc w:val="center"/>
              <w:rPr>
                <w:rFonts w:ascii="宋体" w:hAnsi="宋体" w:eastAsia="宋体" w:cs="宋体"/>
                <w:szCs w:val="21"/>
              </w:rPr>
            </w:pPr>
          </w:p>
        </w:tc>
        <w:tc>
          <w:tcPr>
            <w:tcW w:w="2000" w:type="dxa"/>
            <w:vAlign w:val="center"/>
          </w:tcPr>
          <w:p w14:paraId="055720EC">
            <w:pPr>
              <w:spacing w:line="360" w:lineRule="exact"/>
              <w:jc w:val="center"/>
              <w:rPr>
                <w:rFonts w:ascii="宋体" w:hAnsi="宋体" w:eastAsia="宋体" w:cs="宋体"/>
                <w:szCs w:val="21"/>
              </w:rPr>
            </w:pPr>
          </w:p>
        </w:tc>
        <w:tc>
          <w:tcPr>
            <w:tcW w:w="2018" w:type="dxa"/>
            <w:vAlign w:val="center"/>
          </w:tcPr>
          <w:p w14:paraId="759C9B7F">
            <w:pPr>
              <w:spacing w:line="360" w:lineRule="exact"/>
              <w:jc w:val="center"/>
              <w:rPr>
                <w:rFonts w:ascii="宋体" w:hAnsi="宋体" w:eastAsia="宋体" w:cs="宋体"/>
                <w:szCs w:val="21"/>
              </w:rPr>
            </w:pPr>
          </w:p>
        </w:tc>
      </w:tr>
      <w:tr w14:paraId="00F7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8" w:type="dxa"/>
            <w:vAlign w:val="center"/>
          </w:tcPr>
          <w:p w14:paraId="5D0D603B">
            <w:pPr>
              <w:spacing w:line="360" w:lineRule="exact"/>
              <w:jc w:val="center"/>
              <w:rPr>
                <w:rFonts w:ascii="宋体" w:hAnsi="宋体" w:eastAsia="宋体" w:cs="宋体"/>
                <w:szCs w:val="21"/>
              </w:rPr>
            </w:pPr>
            <w:r>
              <w:rPr>
                <w:rFonts w:hint="eastAsia" w:ascii="宋体" w:hAnsi="宋体" w:eastAsia="宋体" w:cs="宋体"/>
                <w:szCs w:val="21"/>
              </w:rPr>
              <w:t>2</w:t>
            </w:r>
          </w:p>
        </w:tc>
        <w:tc>
          <w:tcPr>
            <w:tcW w:w="2143" w:type="dxa"/>
            <w:vAlign w:val="center"/>
          </w:tcPr>
          <w:p w14:paraId="7023F8A2">
            <w:pPr>
              <w:spacing w:line="360" w:lineRule="exact"/>
              <w:jc w:val="center"/>
              <w:rPr>
                <w:rFonts w:ascii="宋体" w:hAnsi="宋体" w:eastAsia="宋体" w:cs="宋体"/>
                <w:szCs w:val="21"/>
              </w:rPr>
            </w:pPr>
          </w:p>
        </w:tc>
        <w:tc>
          <w:tcPr>
            <w:tcW w:w="1274" w:type="dxa"/>
            <w:vAlign w:val="center"/>
          </w:tcPr>
          <w:p w14:paraId="4A526B38">
            <w:pPr>
              <w:spacing w:line="360" w:lineRule="exact"/>
              <w:jc w:val="center"/>
              <w:rPr>
                <w:rFonts w:ascii="宋体" w:hAnsi="宋体" w:eastAsia="宋体" w:cs="宋体"/>
                <w:szCs w:val="21"/>
              </w:rPr>
            </w:pPr>
          </w:p>
        </w:tc>
        <w:tc>
          <w:tcPr>
            <w:tcW w:w="1202" w:type="dxa"/>
            <w:vAlign w:val="center"/>
          </w:tcPr>
          <w:p w14:paraId="6D523832">
            <w:pPr>
              <w:spacing w:line="360" w:lineRule="exact"/>
              <w:jc w:val="center"/>
              <w:rPr>
                <w:rFonts w:ascii="宋体" w:hAnsi="宋体" w:eastAsia="宋体" w:cs="宋体"/>
                <w:szCs w:val="21"/>
              </w:rPr>
            </w:pPr>
          </w:p>
        </w:tc>
        <w:tc>
          <w:tcPr>
            <w:tcW w:w="2000" w:type="dxa"/>
            <w:vAlign w:val="center"/>
          </w:tcPr>
          <w:p w14:paraId="00B80C96">
            <w:pPr>
              <w:spacing w:line="360" w:lineRule="exact"/>
              <w:jc w:val="center"/>
              <w:rPr>
                <w:rFonts w:ascii="宋体" w:hAnsi="宋体" w:eastAsia="宋体" w:cs="宋体"/>
                <w:szCs w:val="21"/>
              </w:rPr>
            </w:pPr>
          </w:p>
        </w:tc>
        <w:tc>
          <w:tcPr>
            <w:tcW w:w="2018" w:type="dxa"/>
            <w:vAlign w:val="center"/>
          </w:tcPr>
          <w:p w14:paraId="342751B1">
            <w:pPr>
              <w:spacing w:line="360" w:lineRule="exact"/>
              <w:jc w:val="center"/>
              <w:rPr>
                <w:rFonts w:ascii="宋体" w:hAnsi="宋体" w:eastAsia="宋体" w:cs="宋体"/>
                <w:szCs w:val="21"/>
              </w:rPr>
            </w:pPr>
          </w:p>
        </w:tc>
      </w:tr>
      <w:tr w14:paraId="491B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8" w:type="dxa"/>
            <w:vAlign w:val="center"/>
          </w:tcPr>
          <w:p w14:paraId="35D6B00B">
            <w:pPr>
              <w:spacing w:line="360" w:lineRule="exact"/>
              <w:jc w:val="center"/>
              <w:rPr>
                <w:rFonts w:ascii="宋体" w:hAnsi="宋体" w:eastAsia="宋体" w:cs="宋体"/>
                <w:szCs w:val="21"/>
              </w:rPr>
            </w:pPr>
            <w:r>
              <w:rPr>
                <w:rFonts w:hint="eastAsia" w:ascii="宋体" w:hAnsi="宋体" w:eastAsia="宋体" w:cs="宋体"/>
                <w:szCs w:val="21"/>
              </w:rPr>
              <w:t>3</w:t>
            </w:r>
          </w:p>
        </w:tc>
        <w:tc>
          <w:tcPr>
            <w:tcW w:w="2143" w:type="dxa"/>
            <w:vAlign w:val="center"/>
          </w:tcPr>
          <w:p w14:paraId="440E0AB3">
            <w:pPr>
              <w:spacing w:line="360" w:lineRule="exact"/>
              <w:jc w:val="center"/>
              <w:rPr>
                <w:rFonts w:ascii="宋体" w:hAnsi="宋体" w:eastAsia="宋体" w:cs="宋体"/>
                <w:szCs w:val="21"/>
              </w:rPr>
            </w:pPr>
          </w:p>
        </w:tc>
        <w:tc>
          <w:tcPr>
            <w:tcW w:w="1274" w:type="dxa"/>
            <w:vAlign w:val="center"/>
          </w:tcPr>
          <w:p w14:paraId="4A1B1289">
            <w:pPr>
              <w:spacing w:line="360" w:lineRule="exact"/>
              <w:jc w:val="center"/>
              <w:rPr>
                <w:rFonts w:ascii="宋体" w:hAnsi="宋体" w:eastAsia="宋体" w:cs="宋体"/>
                <w:szCs w:val="21"/>
              </w:rPr>
            </w:pPr>
          </w:p>
        </w:tc>
        <w:tc>
          <w:tcPr>
            <w:tcW w:w="1202" w:type="dxa"/>
            <w:vAlign w:val="center"/>
          </w:tcPr>
          <w:p w14:paraId="3F1125E9">
            <w:pPr>
              <w:spacing w:line="360" w:lineRule="exact"/>
              <w:jc w:val="center"/>
              <w:rPr>
                <w:rFonts w:ascii="宋体" w:hAnsi="宋体" w:eastAsia="宋体" w:cs="宋体"/>
                <w:szCs w:val="21"/>
              </w:rPr>
            </w:pPr>
          </w:p>
        </w:tc>
        <w:tc>
          <w:tcPr>
            <w:tcW w:w="2000" w:type="dxa"/>
            <w:vAlign w:val="center"/>
          </w:tcPr>
          <w:p w14:paraId="0A1701E7">
            <w:pPr>
              <w:spacing w:line="360" w:lineRule="exact"/>
              <w:jc w:val="center"/>
              <w:rPr>
                <w:rFonts w:ascii="宋体" w:hAnsi="宋体" w:eastAsia="宋体" w:cs="宋体"/>
                <w:szCs w:val="21"/>
              </w:rPr>
            </w:pPr>
          </w:p>
        </w:tc>
        <w:tc>
          <w:tcPr>
            <w:tcW w:w="2018" w:type="dxa"/>
            <w:vAlign w:val="center"/>
          </w:tcPr>
          <w:p w14:paraId="0EB0E1A2">
            <w:pPr>
              <w:spacing w:line="360" w:lineRule="exact"/>
              <w:jc w:val="center"/>
              <w:rPr>
                <w:rFonts w:ascii="宋体" w:hAnsi="宋体" w:eastAsia="宋体" w:cs="宋体"/>
                <w:szCs w:val="21"/>
              </w:rPr>
            </w:pPr>
          </w:p>
        </w:tc>
      </w:tr>
      <w:tr w14:paraId="40B2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8" w:type="dxa"/>
            <w:vAlign w:val="center"/>
          </w:tcPr>
          <w:p w14:paraId="721F70AE">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2143" w:type="dxa"/>
            <w:vAlign w:val="center"/>
          </w:tcPr>
          <w:p w14:paraId="38516998">
            <w:pPr>
              <w:spacing w:line="360" w:lineRule="exact"/>
              <w:jc w:val="center"/>
              <w:rPr>
                <w:rFonts w:ascii="宋体" w:hAnsi="宋体" w:eastAsia="宋体" w:cs="宋体"/>
                <w:szCs w:val="21"/>
              </w:rPr>
            </w:pPr>
          </w:p>
        </w:tc>
        <w:tc>
          <w:tcPr>
            <w:tcW w:w="1274" w:type="dxa"/>
            <w:vAlign w:val="center"/>
          </w:tcPr>
          <w:p w14:paraId="566B12C0">
            <w:pPr>
              <w:spacing w:line="360" w:lineRule="exact"/>
              <w:jc w:val="center"/>
              <w:rPr>
                <w:rFonts w:ascii="宋体" w:hAnsi="宋体" w:eastAsia="宋体" w:cs="宋体"/>
                <w:szCs w:val="21"/>
              </w:rPr>
            </w:pPr>
          </w:p>
        </w:tc>
        <w:tc>
          <w:tcPr>
            <w:tcW w:w="1202" w:type="dxa"/>
            <w:vAlign w:val="center"/>
          </w:tcPr>
          <w:p w14:paraId="50A13055">
            <w:pPr>
              <w:spacing w:line="360" w:lineRule="exact"/>
              <w:jc w:val="center"/>
              <w:rPr>
                <w:rFonts w:ascii="宋体" w:hAnsi="宋体" w:eastAsia="宋体" w:cs="宋体"/>
                <w:szCs w:val="21"/>
              </w:rPr>
            </w:pPr>
          </w:p>
        </w:tc>
        <w:tc>
          <w:tcPr>
            <w:tcW w:w="2000" w:type="dxa"/>
            <w:vAlign w:val="center"/>
          </w:tcPr>
          <w:p w14:paraId="15EC7B0C">
            <w:pPr>
              <w:spacing w:line="360" w:lineRule="exact"/>
              <w:jc w:val="center"/>
              <w:rPr>
                <w:rFonts w:ascii="宋体" w:hAnsi="宋体" w:eastAsia="宋体" w:cs="宋体"/>
                <w:szCs w:val="21"/>
              </w:rPr>
            </w:pPr>
          </w:p>
        </w:tc>
        <w:tc>
          <w:tcPr>
            <w:tcW w:w="2018" w:type="dxa"/>
            <w:vAlign w:val="center"/>
          </w:tcPr>
          <w:p w14:paraId="15CDCBAE">
            <w:pPr>
              <w:spacing w:line="360" w:lineRule="exact"/>
              <w:jc w:val="center"/>
              <w:rPr>
                <w:rFonts w:ascii="宋体" w:hAnsi="宋体" w:eastAsia="宋体" w:cs="宋体"/>
                <w:szCs w:val="21"/>
              </w:rPr>
            </w:pPr>
          </w:p>
        </w:tc>
      </w:tr>
      <w:tr w14:paraId="1331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58" w:type="dxa"/>
            <w:vAlign w:val="center"/>
          </w:tcPr>
          <w:p w14:paraId="1C0325F3">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2143" w:type="dxa"/>
            <w:vAlign w:val="center"/>
          </w:tcPr>
          <w:p w14:paraId="6CE62322">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税金</w:t>
            </w:r>
          </w:p>
        </w:tc>
        <w:tc>
          <w:tcPr>
            <w:tcW w:w="1274" w:type="dxa"/>
            <w:vAlign w:val="center"/>
          </w:tcPr>
          <w:p w14:paraId="69A9DAE0">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1项</w:t>
            </w:r>
          </w:p>
        </w:tc>
        <w:tc>
          <w:tcPr>
            <w:tcW w:w="1202" w:type="dxa"/>
            <w:vAlign w:val="center"/>
          </w:tcPr>
          <w:p w14:paraId="02F0D719">
            <w:pPr>
              <w:spacing w:line="360" w:lineRule="exact"/>
              <w:jc w:val="center"/>
              <w:rPr>
                <w:rFonts w:ascii="宋体" w:hAnsi="宋体" w:eastAsia="宋体" w:cs="宋体"/>
                <w:szCs w:val="21"/>
              </w:rPr>
            </w:pPr>
          </w:p>
        </w:tc>
        <w:tc>
          <w:tcPr>
            <w:tcW w:w="2000" w:type="dxa"/>
            <w:vAlign w:val="center"/>
          </w:tcPr>
          <w:p w14:paraId="44506DD5">
            <w:pPr>
              <w:spacing w:line="360" w:lineRule="exact"/>
              <w:jc w:val="center"/>
              <w:rPr>
                <w:rFonts w:ascii="宋体" w:hAnsi="宋体" w:eastAsia="宋体" w:cs="宋体"/>
                <w:szCs w:val="21"/>
              </w:rPr>
            </w:pPr>
          </w:p>
        </w:tc>
        <w:tc>
          <w:tcPr>
            <w:tcW w:w="2018" w:type="dxa"/>
            <w:vAlign w:val="center"/>
          </w:tcPr>
          <w:p w14:paraId="506957B3">
            <w:pPr>
              <w:spacing w:line="360" w:lineRule="exact"/>
              <w:jc w:val="center"/>
              <w:rPr>
                <w:rFonts w:ascii="宋体" w:hAnsi="宋体" w:eastAsia="宋体" w:cs="宋体"/>
                <w:szCs w:val="21"/>
              </w:rPr>
            </w:pPr>
          </w:p>
        </w:tc>
      </w:tr>
      <w:tr w14:paraId="37FE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877" w:type="dxa"/>
            <w:gridSpan w:val="4"/>
            <w:vAlign w:val="center"/>
          </w:tcPr>
          <w:p w14:paraId="0699D188">
            <w:pPr>
              <w:spacing w:line="360" w:lineRule="exact"/>
              <w:jc w:val="center"/>
              <w:rPr>
                <w:rFonts w:hint="eastAsia" w:ascii="宋体" w:hAnsi="宋体" w:eastAsia="宋体" w:cs="宋体"/>
                <w:szCs w:val="21"/>
              </w:rPr>
            </w:pPr>
            <w:bookmarkStart w:id="229" w:name="OLE_LINK1"/>
            <w:r>
              <w:rPr>
                <w:rFonts w:hint="eastAsia" w:ascii="宋体" w:hAnsi="宋体" w:eastAsia="宋体" w:cs="宋体"/>
                <w:szCs w:val="21"/>
              </w:rPr>
              <w:t>一年投标报价</w:t>
            </w:r>
            <w:bookmarkEnd w:id="229"/>
            <w:r>
              <w:rPr>
                <w:rFonts w:hint="eastAsia" w:ascii="宋体" w:hAnsi="宋体" w:eastAsia="宋体" w:cs="宋体"/>
                <w:szCs w:val="21"/>
              </w:rPr>
              <w:t>：：物业服务费用合计（1 至（...+1）项）</w:t>
            </w:r>
          </w:p>
          <w:p w14:paraId="7929AF2F">
            <w:pPr>
              <w:spacing w:line="360" w:lineRule="exact"/>
              <w:jc w:val="center"/>
              <w:rPr>
                <w:rFonts w:hint="eastAsia" w:ascii="宋体" w:hAnsi="宋体" w:eastAsia="宋体" w:cs="宋体"/>
                <w:szCs w:val="21"/>
              </w:rPr>
            </w:pPr>
            <w:r>
              <w:rPr>
                <w:rFonts w:hint="eastAsia" w:ascii="宋体" w:hAnsi="宋体" w:eastAsia="宋体" w:cs="宋体"/>
                <w:szCs w:val="21"/>
              </w:rPr>
              <w:t>（元）</w:t>
            </w:r>
          </w:p>
          <w:p w14:paraId="21F38B79">
            <w:pPr>
              <w:spacing w:line="360" w:lineRule="exact"/>
              <w:jc w:val="center"/>
              <w:rPr>
                <w:rFonts w:ascii="宋体" w:hAnsi="宋体" w:eastAsia="宋体" w:cs="宋体"/>
                <w:szCs w:val="21"/>
              </w:rPr>
            </w:pPr>
          </w:p>
        </w:tc>
        <w:tc>
          <w:tcPr>
            <w:tcW w:w="4018" w:type="dxa"/>
            <w:gridSpan w:val="2"/>
            <w:vAlign w:val="center"/>
          </w:tcPr>
          <w:p w14:paraId="352A3BE1">
            <w:pPr>
              <w:spacing w:line="360" w:lineRule="exact"/>
              <w:jc w:val="center"/>
              <w:rPr>
                <w:rFonts w:ascii="宋体" w:hAnsi="宋体" w:eastAsia="宋体" w:cs="宋体"/>
                <w:szCs w:val="21"/>
              </w:rPr>
            </w:pPr>
          </w:p>
        </w:tc>
      </w:tr>
      <w:tr w14:paraId="47AF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877" w:type="dxa"/>
            <w:gridSpan w:val="4"/>
            <w:vAlign w:val="center"/>
          </w:tcPr>
          <w:p w14:paraId="63AFF706">
            <w:pPr>
              <w:spacing w:line="360" w:lineRule="exact"/>
              <w:jc w:val="center"/>
              <w:rPr>
                <w:rFonts w:hint="eastAsia" w:ascii="宋体" w:hAnsi="宋体" w:eastAsia="宋体" w:cs="宋体"/>
                <w:szCs w:val="21"/>
              </w:rPr>
            </w:pPr>
            <w:r>
              <w:rPr>
                <w:rFonts w:hint="eastAsia" w:ascii="宋体" w:hAnsi="宋体" w:eastAsia="宋体" w:cs="宋体"/>
                <w:szCs w:val="21"/>
              </w:rPr>
              <w:t>三年投标报价：物业服务费用合计（1 至（...+1）项）</w:t>
            </w:r>
          </w:p>
          <w:p w14:paraId="577E4699">
            <w:pPr>
              <w:spacing w:line="360" w:lineRule="exact"/>
              <w:jc w:val="center"/>
              <w:rPr>
                <w:rFonts w:ascii="宋体" w:hAnsi="宋体" w:eastAsia="宋体" w:cs="宋体"/>
                <w:szCs w:val="21"/>
              </w:rPr>
            </w:pPr>
            <w:r>
              <w:rPr>
                <w:rFonts w:hint="eastAsia" w:ascii="宋体" w:hAnsi="宋体" w:eastAsia="宋体" w:cs="宋体"/>
                <w:szCs w:val="21"/>
              </w:rPr>
              <w:t>×3 年（元）</w:t>
            </w:r>
          </w:p>
        </w:tc>
        <w:tc>
          <w:tcPr>
            <w:tcW w:w="4018" w:type="dxa"/>
            <w:gridSpan w:val="2"/>
            <w:vAlign w:val="center"/>
          </w:tcPr>
          <w:p w14:paraId="506958D4">
            <w:pPr>
              <w:spacing w:line="360" w:lineRule="exact"/>
              <w:jc w:val="center"/>
              <w:rPr>
                <w:rFonts w:ascii="宋体" w:hAnsi="宋体" w:eastAsia="宋体" w:cs="宋体"/>
                <w:szCs w:val="21"/>
              </w:rPr>
            </w:pPr>
          </w:p>
        </w:tc>
      </w:tr>
    </w:tbl>
    <w:p w14:paraId="1B109576">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xml:space="preserve">             </w:t>
      </w:r>
    </w:p>
    <w:p w14:paraId="3EA313F2">
      <w:pPr>
        <w:tabs>
          <w:tab w:val="left" w:pos="630"/>
        </w:tabs>
        <w:spacing w:line="440" w:lineRule="exact"/>
        <w:ind w:firstLine="4800" w:firstLineChars="2000"/>
        <w:rPr>
          <w:rFonts w:ascii="宋体" w:hAnsi="宋体" w:eastAsia="宋体" w:cs="宋体"/>
          <w:b/>
          <w:bCs/>
          <w:sz w:val="24"/>
          <w:szCs w:val="28"/>
        </w:rPr>
      </w:pPr>
      <w:r>
        <w:rPr>
          <w:rFonts w:hint="eastAsia" w:ascii="宋体" w:hAnsi="宋体" w:eastAsia="宋体" w:cs="宋体"/>
          <w:sz w:val="24"/>
        </w:rPr>
        <w:t>日      期：</w:t>
      </w:r>
      <w:r>
        <w:rPr>
          <w:rFonts w:hint="eastAsia" w:ascii="宋体" w:hAnsi="宋体" w:eastAsia="宋体" w:cs="宋体"/>
          <w:sz w:val="24"/>
          <w:u w:val="single"/>
        </w:rPr>
        <w:t xml:space="preserve">             </w:t>
      </w:r>
    </w:p>
    <w:p w14:paraId="71AF39E0">
      <w:pPr>
        <w:adjustRightInd w:val="0"/>
        <w:snapToGrid w:val="0"/>
        <w:spacing w:line="360" w:lineRule="exact"/>
        <w:rPr>
          <w:rFonts w:ascii="宋体" w:hAnsi="宋体" w:eastAsia="宋体" w:cs="宋体"/>
          <w:b/>
          <w:bCs/>
          <w:sz w:val="24"/>
          <w:szCs w:val="28"/>
        </w:rPr>
      </w:pPr>
    </w:p>
    <w:p w14:paraId="68E18A58">
      <w:pPr>
        <w:widowControl/>
        <w:jc w:val="left"/>
      </w:pPr>
      <w:r>
        <w:rPr>
          <w:rFonts w:hint="eastAsia" w:ascii="宋体" w:hAnsi="宋体" w:eastAsia="宋体" w:cs="宋体"/>
          <w:b/>
          <w:bCs/>
          <w:sz w:val="24"/>
          <w:szCs w:val="28"/>
        </w:rPr>
        <w:t>注：</w:t>
      </w:r>
      <w:bookmarkStart w:id="230" w:name="_Toc20329"/>
      <w:r>
        <w:rPr>
          <w:rFonts w:hint="eastAsia" w:ascii="宋体" w:hAnsi="宋体" w:eastAsia="宋体" w:cs="宋体"/>
          <w:b/>
          <w:bCs/>
          <w:color w:val="000000"/>
          <w:kern w:val="0"/>
          <w:sz w:val="24"/>
          <w:szCs w:val="24"/>
          <w:lang w:bidi="ar"/>
        </w:rPr>
        <w:t>1.</w:t>
      </w:r>
      <w:r>
        <w:rPr>
          <w:rFonts w:hint="eastAsia" w:ascii="宋体" w:hAnsi="宋体" w:eastAsia="宋体" w:cs="宋体"/>
          <w:color w:val="000000"/>
          <w:kern w:val="0"/>
          <w:sz w:val="24"/>
          <w:szCs w:val="24"/>
          <w:lang w:bidi="ar"/>
        </w:rPr>
        <w:t xml:space="preserve">所列服务为对应本项目需求的全部服务内容。如有漏项或缺项，投标人承 </w:t>
      </w:r>
    </w:p>
    <w:p w14:paraId="60FB958A">
      <w:pPr>
        <w:widowControl/>
        <w:jc w:val="left"/>
      </w:pPr>
      <w:r>
        <w:rPr>
          <w:rFonts w:hint="eastAsia" w:ascii="宋体" w:hAnsi="宋体" w:eastAsia="宋体" w:cs="宋体"/>
          <w:color w:val="000000"/>
          <w:kern w:val="0"/>
          <w:sz w:val="24"/>
          <w:szCs w:val="24"/>
          <w:lang w:bidi="ar"/>
        </w:rPr>
        <w:t>担全部责任。</w:t>
      </w:r>
      <w:r>
        <w:rPr>
          <w:rFonts w:hint="eastAsia" w:ascii="宋体" w:hAnsi="宋体" w:eastAsia="宋体" w:cs="宋体"/>
          <w:b/>
          <w:bCs/>
          <w:color w:val="000000"/>
          <w:kern w:val="0"/>
          <w:sz w:val="24"/>
          <w:szCs w:val="24"/>
          <w:lang w:bidi="ar"/>
        </w:rPr>
        <w:t xml:space="preserve">表中计算数字均以元为单位，四舍五入最多保留两位小数。 </w:t>
      </w:r>
    </w:p>
    <w:bookmarkEnd w:id="230"/>
    <w:p w14:paraId="54043E74">
      <w:pPr>
        <w:spacing w:line="440" w:lineRule="exact"/>
        <w:jc w:val="center"/>
        <w:outlineLvl w:val="0"/>
        <w:rPr>
          <w:rFonts w:hint="eastAsia" w:ascii="宋体" w:hAnsi="宋体" w:eastAsia="宋体" w:cs="宋体"/>
          <w:b/>
          <w:sz w:val="28"/>
        </w:rPr>
      </w:pPr>
      <w:bookmarkStart w:id="231" w:name="_Toc20819"/>
      <w:bookmarkStart w:id="232" w:name="_Toc6435"/>
    </w:p>
    <w:p w14:paraId="340DB694">
      <w:pPr>
        <w:spacing w:line="440" w:lineRule="exact"/>
        <w:jc w:val="center"/>
        <w:outlineLvl w:val="0"/>
        <w:rPr>
          <w:rFonts w:hint="eastAsia" w:ascii="宋体" w:hAnsi="宋体" w:eastAsia="宋体" w:cs="宋体"/>
          <w:b/>
          <w:sz w:val="28"/>
        </w:rPr>
      </w:pPr>
    </w:p>
    <w:p w14:paraId="0D5A40FE">
      <w:pPr>
        <w:spacing w:line="440" w:lineRule="exact"/>
        <w:jc w:val="center"/>
        <w:outlineLvl w:val="0"/>
        <w:rPr>
          <w:rFonts w:hint="eastAsia" w:ascii="宋体" w:hAnsi="宋体" w:eastAsia="宋体" w:cs="宋体"/>
          <w:b/>
          <w:sz w:val="28"/>
        </w:rPr>
      </w:pPr>
    </w:p>
    <w:p w14:paraId="784003F3">
      <w:pPr>
        <w:spacing w:line="440" w:lineRule="exact"/>
        <w:jc w:val="center"/>
        <w:outlineLvl w:val="0"/>
        <w:rPr>
          <w:rFonts w:hint="eastAsia" w:ascii="宋体" w:hAnsi="宋体" w:eastAsia="宋体" w:cs="宋体"/>
          <w:b/>
          <w:sz w:val="28"/>
        </w:rPr>
      </w:pPr>
    </w:p>
    <w:p w14:paraId="5F0907FD">
      <w:pPr>
        <w:spacing w:line="440" w:lineRule="exact"/>
        <w:jc w:val="center"/>
        <w:outlineLvl w:val="0"/>
        <w:rPr>
          <w:rFonts w:hint="eastAsia" w:ascii="宋体" w:hAnsi="宋体" w:eastAsia="宋体" w:cs="宋体"/>
          <w:b/>
          <w:sz w:val="28"/>
        </w:rPr>
      </w:pPr>
    </w:p>
    <w:p w14:paraId="79FC1E7A">
      <w:pPr>
        <w:spacing w:line="440" w:lineRule="exact"/>
        <w:jc w:val="center"/>
        <w:outlineLvl w:val="0"/>
        <w:rPr>
          <w:rFonts w:hint="eastAsia" w:ascii="宋体" w:hAnsi="宋体" w:eastAsia="宋体" w:cs="宋体"/>
          <w:b/>
          <w:sz w:val="28"/>
        </w:rPr>
      </w:pPr>
    </w:p>
    <w:p w14:paraId="609FF7CA">
      <w:pPr>
        <w:spacing w:line="440" w:lineRule="exact"/>
        <w:jc w:val="center"/>
        <w:outlineLvl w:val="0"/>
        <w:rPr>
          <w:rFonts w:hint="eastAsia" w:ascii="宋体" w:hAnsi="宋体" w:eastAsia="宋体" w:cs="宋体"/>
          <w:b/>
          <w:sz w:val="28"/>
        </w:rPr>
      </w:pPr>
    </w:p>
    <w:p w14:paraId="4CDE923E">
      <w:pPr>
        <w:spacing w:line="440" w:lineRule="exact"/>
        <w:jc w:val="center"/>
        <w:outlineLvl w:val="0"/>
        <w:rPr>
          <w:rFonts w:hint="eastAsia" w:ascii="宋体" w:hAnsi="宋体" w:eastAsia="宋体" w:cs="宋体"/>
          <w:b/>
          <w:sz w:val="28"/>
        </w:rPr>
      </w:pPr>
    </w:p>
    <w:p w14:paraId="080451FA">
      <w:pPr>
        <w:spacing w:line="440" w:lineRule="exact"/>
        <w:jc w:val="center"/>
        <w:outlineLvl w:val="0"/>
        <w:rPr>
          <w:rFonts w:hint="eastAsia" w:ascii="宋体" w:hAnsi="宋体" w:eastAsia="宋体" w:cs="宋体"/>
          <w:b/>
          <w:sz w:val="28"/>
        </w:rPr>
      </w:pPr>
    </w:p>
    <w:p w14:paraId="642C805B">
      <w:pPr>
        <w:spacing w:line="440" w:lineRule="exact"/>
        <w:jc w:val="center"/>
        <w:outlineLvl w:val="0"/>
        <w:rPr>
          <w:rFonts w:hint="eastAsia" w:ascii="宋体" w:hAnsi="宋体" w:eastAsia="宋体" w:cs="宋体"/>
          <w:b/>
          <w:sz w:val="28"/>
        </w:rPr>
      </w:pPr>
    </w:p>
    <w:p w14:paraId="66F3C6C7">
      <w:pPr>
        <w:spacing w:line="440" w:lineRule="exact"/>
        <w:jc w:val="center"/>
        <w:outlineLvl w:val="0"/>
        <w:rPr>
          <w:rFonts w:hint="eastAsia" w:ascii="宋体" w:hAnsi="宋体" w:eastAsia="宋体" w:cs="宋体"/>
          <w:b/>
          <w:sz w:val="28"/>
        </w:rPr>
      </w:pPr>
    </w:p>
    <w:p w14:paraId="44AE4129">
      <w:pPr>
        <w:spacing w:line="440" w:lineRule="exact"/>
        <w:jc w:val="center"/>
        <w:outlineLvl w:val="0"/>
        <w:rPr>
          <w:rFonts w:hint="eastAsia" w:ascii="宋体" w:hAnsi="宋体" w:eastAsia="宋体" w:cs="宋体"/>
          <w:b/>
          <w:sz w:val="28"/>
        </w:rPr>
      </w:pPr>
    </w:p>
    <w:p w14:paraId="785FEB12">
      <w:pPr>
        <w:spacing w:line="440" w:lineRule="exact"/>
        <w:jc w:val="center"/>
        <w:outlineLvl w:val="0"/>
        <w:rPr>
          <w:rFonts w:hint="eastAsia" w:ascii="宋体" w:hAnsi="宋体" w:eastAsia="宋体" w:cs="宋体"/>
          <w:b/>
          <w:sz w:val="28"/>
        </w:rPr>
      </w:pPr>
    </w:p>
    <w:p w14:paraId="38F1E25E">
      <w:pPr>
        <w:spacing w:line="440" w:lineRule="exact"/>
        <w:jc w:val="center"/>
        <w:outlineLvl w:val="0"/>
        <w:rPr>
          <w:rFonts w:ascii="宋体" w:hAnsi="宋体" w:eastAsia="宋体" w:cs="宋体"/>
          <w:b/>
          <w:bCs/>
          <w:sz w:val="28"/>
        </w:rPr>
      </w:pPr>
      <w:r>
        <w:rPr>
          <w:rFonts w:hint="eastAsia" w:ascii="宋体" w:hAnsi="宋体" w:eastAsia="宋体" w:cs="宋体"/>
          <w:b/>
          <w:sz w:val="28"/>
        </w:rPr>
        <w:t>第七章</w:t>
      </w:r>
      <w:r>
        <w:rPr>
          <w:rFonts w:hint="eastAsia" w:ascii="宋体" w:hAnsi="宋体" w:eastAsia="宋体" w:cs="宋体"/>
          <w:b/>
          <w:bCs/>
          <w:sz w:val="28"/>
        </w:rPr>
        <w:t xml:space="preserve">  政府采购</w:t>
      </w:r>
      <w:r>
        <w:rPr>
          <w:rFonts w:hint="eastAsia" w:ascii="宋体" w:hAnsi="宋体" w:eastAsia="宋体" w:cs="宋体"/>
          <w:b/>
          <w:sz w:val="28"/>
        </w:rPr>
        <w:t>供应</w:t>
      </w:r>
      <w:r>
        <w:rPr>
          <w:rFonts w:hint="eastAsia" w:ascii="宋体" w:hAnsi="宋体" w:eastAsia="宋体" w:cs="宋体"/>
          <w:b/>
          <w:bCs/>
          <w:sz w:val="28"/>
        </w:rPr>
        <w:t>商询问函和质疑函范本</w:t>
      </w:r>
      <w:bookmarkEnd w:id="231"/>
      <w:bookmarkEnd w:id="232"/>
    </w:p>
    <w:p w14:paraId="28402DC8">
      <w:pPr>
        <w:spacing w:line="440" w:lineRule="exact"/>
        <w:jc w:val="center"/>
        <w:outlineLvl w:val="1"/>
        <w:rPr>
          <w:rFonts w:ascii="宋体" w:hAnsi="宋体" w:eastAsia="宋体" w:cs="宋体"/>
          <w:b/>
          <w:bCs/>
          <w:sz w:val="32"/>
          <w:szCs w:val="44"/>
        </w:rPr>
      </w:pPr>
      <w:bookmarkStart w:id="233" w:name="_Toc27159"/>
      <w:bookmarkStart w:id="234" w:name="_Toc6955"/>
      <w:r>
        <w:rPr>
          <w:rFonts w:hint="eastAsia" w:ascii="宋体" w:hAnsi="宋体" w:eastAsia="宋体" w:cs="宋体"/>
          <w:b/>
          <w:bCs/>
          <w:sz w:val="32"/>
          <w:szCs w:val="44"/>
        </w:rPr>
        <w:t>询问函范本</w:t>
      </w:r>
      <w:bookmarkEnd w:id="233"/>
      <w:bookmarkEnd w:id="234"/>
    </w:p>
    <w:p w14:paraId="32FE3ED0">
      <w:pPr>
        <w:adjustRightInd w:val="0"/>
        <w:snapToGrid w:val="0"/>
        <w:spacing w:line="440" w:lineRule="exact"/>
        <w:ind w:firstLine="480" w:firstLineChars="200"/>
        <w:jc w:val="center"/>
        <w:rPr>
          <w:rFonts w:ascii="宋体" w:hAnsi="宋体" w:eastAsia="宋体" w:cs="宋体"/>
          <w:b/>
          <w:bCs/>
          <w:sz w:val="32"/>
          <w:szCs w:val="44"/>
        </w:rPr>
      </w:pPr>
      <w:r>
        <w:rPr>
          <w:rFonts w:hint="eastAsia" w:ascii="宋体" w:hAnsi="宋体" w:eastAsia="宋体" w:cs="宋体"/>
          <w:i/>
          <w:iCs/>
          <w:sz w:val="24"/>
          <w:szCs w:val="24"/>
        </w:rPr>
        <w:t>（如为对采购文件或采购程序的询问或疑问，请按询问函范本中询问格式附件进行递交）</w:t>
      </w:r>
    </w:p>
    <w:p w14:paraId="0331E70D">
      <w:pPr>
        <w:adjustRightInd w:val="0"/>
        <w:snapToGrid w:val="0"/>
        <w:spacing w:line="440" w:lineRule="exact"/>
        <w:rPr>
          <w:rFonts w:ascii="宋体" w:hAnsi="宋体" w:eastAsia="宋体" w:cs="宋体"/>
          <w:b/>
          <w:bCs/>
          <w:sz w:val="24"/>
          <w:szCs w:val="24"/>
          <w:u w:val="single"/>
        </w:rPr>
      </w:pPr>
      <w:r>
        <w:rPr>
          <w:rFonts w:hint="eastAsia" w:ascii="宋体" w:hAnsi="宋体" w:eastAsia="宋体" w:cs="宋体"/>
          <w:b/>
          <w:bCs/>
          <w:sz w:val="24"/>
          <w:szCs w:val="24"/>
        </w:rPr>
        <w:t>致：采购人</w:t>
      </w:r>
    </w:p>
    <w:p w14:paraId="0346060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我单位拟参与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i/>
          <w:iCs/>
          <w:sz w:val="24"/>
          <w:szCs w:val="24"/>
        </w:rPr>
        <w:t>项目名称、编号</w:t>
      </w:r>
      <w:r>
        <w:rPr>
          <w:rFonts w:hint="eastAsia" w:ascii="宋体" w:hAnsi="宋体" w:eastAsia="宋体" w:cs="宋体"/>
          <w:sz w:val="24"/>
          <w:szCs w:val="24"/>
        </w:rPr>
        <w:t>）的采购活动，现有以下内容(或条款)存在疑问(或无法理解)，特提出询问。</w:t>
      </w:r>
    </w:p>
    <w:p w14:paraId="633790AF">
      <w:pPr>
        <w:adjustRightInd w:val="0"/>
        <w:snapToGrid w:val="0"/>
        <w:spacing w:line="440" w:lineRule="exact"/>
        <w:ind w:firstLine="480" w:firstLineChars="200"/>
        <w:rPr>
          <w:rFonts w:ascii="宋体" w:hAnsi="宋体" w:eastAsia="宋体" w:cs="宋体"/>
          <w:sz w:val="24"/>
          <w:szCs w:val="24"/>
        </w:rPr>
      </w:pPr>
      <w:bookmarkStart w:id="235" w:name="_Toc13899"/>
      <w:r>
        <w:rPr>
          <w:rFonts w:hint="eastAsia" w:ascii="宋体" w:hAnsi="宋体" w:eastAsia="宋体" w:cs="宋体"/>
          <w:sz w:val="24"/>
          <w:szCs w:val="24"/>
        </w:rPr>
        <w:t>一、(事项一)</w:t>
      </w:r>
      <w:bookmarkEnd w:id="235"/>
    </w:p>
    <w:p w14:paraId="42E1FF5F">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1、(内容或条款)</w:t>
      </w:r>
    </w:p>
    <w:p w14:paraId="3748BAC6">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2、(说明疑问或无法理解原因)</w:t>
      </w:r>
    </w:p>
    <w:p w14:paraId="6F408A9B">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3、(建议)</w:t>
      </w:r>
    </w:p>
    <w:p w14:paraId="256C8E7A">
      <w:pPr>
        <w:adjustRightInd w:val="0"/>
        <w:snapToGrid w:val="0"/>
        <w:spacing w:line="440" w:lineRule="exact"/>
        <w:ind w:firstLine="480" w:firstLineChars="200"/>
        <w:rPr>
          <w:rFonts w:ascii="宋体" w:hAnsi="宋体" w:eastAsia="宋体" w:cs="宋体"/>
          <w:sz w:val="24"/>
          <w:szCs w:val="24"/>
        </w:rPr>
      </w:pPr>
      <w:bookmarkStart w:id="236" w:name="_Toc3352"/>
      <w:r>
        <w:rPr>
          <w:rFonts w:hint="eastAsia" w:ascii="宋体" w:hAnsi="宋体" w:eastAsia="宋体" w:cs="宋体"/>
          <w:sz w:val="24"/>
          <w:szCs w:val="24"/>
        </w:rPr>
        <w:t>二、(事项二)</w:t>
      </w:r>
      <w:bookmarkEnd w:id="236"/>
    </w:p>
    <w:p w14:paraId="7248178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14:paraId="0341398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随附相关证明材料如下： </w:t>
      </w:r>
    </w:p>
    <w:p w14:paraId="00A9D36C">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 系 人：</w:t>
      </w:r>
      <w:r>
        <w:rPr>
          <w:rFonts w:hint="eastAsia" w:ascii="宋体" w:hAnsi="宋体" w:eastAsia="宋体" w:cs="宋体"/>
          <w:sz w:val="24"/>
          <w:u w:val="single"/>
        </w:rPr>
        <w:t xml:space="preserve">              </w:t>
      </w:r>
    </w:p>
    <w:p w14:paraId="62C8816C">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3CE66A29">
      <w:pPr>
        <w:tabs>
          <w:tab w:val="left" w:pos="630"/>
        </w:tabs>
        <w:spacing w:line="440" w:lineRule="exact"/>
        <w:ind w:firstLine="4228" w:firstLineChars="1762"/>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3A7775E7">
      <w:pPr>
        <w:spacing w:line="440" w:lineRule="exact"/>
        <w:rPr>
          <w:rFonts w:ascii="宋体" w:hAnsi="宋体" w:eastAsia="宋体" w:cs="宋体"/>
          <w:b/>
          <w:bCs/>
          <w:sz w:val="32"/>
          <w:szCs w:val="44"/>
        </w:rPr>
      </w:pPr>
      <w:r>
        <w:rPr>
          <w:rFonts w:hint="eastAsia" w:ascii="宋体" w:hAnsi="宋体" w:eastAsia="宋体" w:cs="宋体"/>
          <w:b/>
          <w:bCs/>
          <w:sz w:val="32"/>
          <w:szCs w:val="44"/>
        </w:rPr>
        <w:br w:type="page"/>
      </w:r>
    </w:p>
    <w:p w14:paraId="2A5AA1E1">
      <w:pPr>
        <w:spacing w:line="440" w:lineRule="exact"/>
        <w:jc w:val="center"/>
        <w:outlineLvl w:val="1"/>
        <w:rPr>
          <w:rFonts w:ascii="宋体" w:hAnsi="宋体" w:eastAsia="宋体" w:cs="宋体"/>
          <w:b/>
          <w:bCs/>
          <w:sz w:val="32"/>
          <w:szCs w:val="44"/>
        </w:rPr>
      </w:pPr>
      <w:bookmarkStart w:id="237" w:name="_Toc1575"/>
      <w:bookmarkStart w:id="238" w:name="_Toc857"/>
      <w:r>
        <w:rPr>
          <w:rFonts w:hint="eastAsia" w:ascii="宋体" w:hAnsi="宋体" w:eastAsia="宋体" w:cs="宋体"/>
          <w:b/>
          <w:bCs/>
          <w:sz w:val="32"/>
          <w:szCs w:val="44"/>
        </w:rPr>
        <w:t>质疑函范本</w:t>
      </w:r>
      <w:bookmarkEnd w:id="237"/>
      <w:bookmarkEnd w:id="238"/>
    </w:p>
    <w:p w14:paraId="18F1ACA2">
      <w:pPr>
        <w:adjustRightInd w:val="0"/>
        <w:snapToGrid w:val="0"/>
        <w:spacing w:before="312" w:beforeLines="100" w:line="440" w:lineRule="exact"/>
        <w:rPr>
          <w:rFonts w:ascii="宋体" w:hAnsi="宋体" w:eastAsia="宋体" w:cs="宋体"/>
          <w:b/>
          <w:bCs/>
          <w:sz w:val="24"/>
          <w:szCs w:val="24"/>
        </w:rPr>
      </w:pPr>
      <w:bookmarkStart w:id="239" w:name="_Toc21381"/>
      <w:r>
        <w:rPr>
          <w:rFonts w:hint="eastAsia" w:ascii="宋体" w:hAnsi="宋体" w:eastAsia="宋体" w:cs="宋体"/>
          <w:b/>
          <w:bCs/>
          <w:sz w:val="24"/>
          <w:szCs w:val="24"/>
        </w:rPr>
        <w:t>一、质疑供应商基本信息</w:t>
      </w:r>
      <w:bookmarkEnd w:id="239"/>
    </w:p>
    <w:p w14:paraId="3D5A8145">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48F655D4">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1FE1C63D">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276BF1C2">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494DA637">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047B50FC">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84DEA65">
      <w:pPr>
        <w:adjustRightInd w:val="0"/>
        <w:snapToGrid w:val="0"/>
        <w:spacing w:line="440" w:lineRule="exact"/>
        <w:rPr>
          <w:rFonts w:ascii="宋体" w:hAnsi="宋体" w:eastAsia="宋体" w:cs="宋体"/>
          <w:b/>
          <w:bCs/>
          <w:sz w:val="24"/>
          <w:szCs w:val="24"/>
        </w:rPr>
      </w:pPr>
      <w:bookmarkStart w:id="240" w:name="_Toc28415"/>
      <w:r>
        <w:rPr>
          <w:rFonts w:hint="eastAsia" w:ascii="宋体" w:hAnsi="宋体" w:eastAsia="宋体" w:cs="宋体"/>
          <w:b/>
          <w:bCs/>
          <w:sz w:val="24"/>
          <w:szCs w:val="24"/>
        </w:rPr>
        <w:t>二、质疑项目基本情况</w:t>
      </w:r>
      <w:bookmarkEnd w:id="240"/>
    </w:p>
    <w:p w14:paraId="2BE8B2E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14:paraId="36D5DFD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5C4E49E0">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14:paraId="139DC44A">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14:paraId="48F659C0">
      <w:pPr>
        <w:adjustRightInd w:val="0"/>
        <w:snapToGrid w:val="0"/>
        <w:spacing w:line="440" w:lineRule="exact"/>
        <w:rPr>
          <w:rFonts w:ascii="宋体" w:hAnsi="宋体" w:eastAsia="宋体" w:cs="宋体"/>
          <w:b/>
          <w:bCs/>
          <w:sz w:val="24"/>
          <w:szCs w:val="24"/>
        </w:rPr>
      </w:pPr>
      <w:bookmarkStart w:id="241" w:name="_Toc19014"/>
      <w:r>
        <w:rPr>
          <w:rFonts w:hint="eastAsia" w:ascii="宋体" w:hAnsi="宋体" w:eastAsia="宋体" w:cs="宋体"/>
          <w:b/>
          <w:bCs/>
          <w:sz w:val="24"/>
          <w:szCs w:val="24"/>
        </w:rPr>
        <w:t>三、质疑事项具体内容</w:t>
      </w:r>
      <w:bookmarkEnd w:id="241"/>
    </w:p>
    <w:p w14:paraId="459A2BF1">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67E19191">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015CDE6A">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u w:val="dotted"/>
        </w:rPr>
        <w:t xml:space="preserve">                                                       </w:t>
      </w:r>
    </w:p>
    <w:p w14:paraId="60218D25">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4488807D">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u w:val="dotted"/>
        </w:rPr>
        <w:t xml:space="preserve">                                                     </w:t>
      </w:r>
    </w:p>
    <w:p w14:paraId="57AA419D">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质疑事项2</w:t>
      </w:r>
    </w:p>
    <w:p w14:paraId="67C72ACB">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w:t>
      </w:r>
    </w:p>
    <w:p w14:paraId="7C5946FC">
      <w:pPr>
        <w:adjustRightInd w:val="0"/>
        <w:snapToGrid w:val="0"/>
        <w:spacing w:line="440" w:lineRule="exact"/>
        <w:rPr>
          <w:rFonts w:ascii="宋体" w:hAnsi="宋体" w:eastAsia="宋体" w:cs="宋体"/>
          <w:b/>
          <w:bCs/>
          <w:sz w:val="24"/>
          <w:szCs w:val="24"/>
        </w:rPr>
      </w:pPr>
      <w:bookmarkStart w:id="242" w:name="_Toc17919"/>
      <w:r>
        <w:rPr>
          <w:rFonts w:hint="eastAsia" w:ascii="宋体" w:hAnsi="宋体" w:eastAsia="宋体" w:cs="宋体"/>
          <w:b/>
          <w:bCs/>
          <w:sz w:val="24"/>
          <w:szCs w:val="24"/>
        </w:rPr>
        <w:t>四、与质疑事项相关的质疑请求</w:t>
      </w:r>
      <w:bookmarkEnd w:id="242"/>
    </w:p>
    <w:p w14:paraId="5EC03199">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20A7A617">
      <w:pPr>
        <w:spacing w:line="440" w:lineRule="exact"/>
        <w:rPr>
          <w:rFonts w:ascii="宋体" w:hAnsi="宋体" w:eastAsia="宋体" w:cs="宋体"/>
          <w:sz w:val="24"/>
          <w:szCs w:val="24"/>
        </w:rPr>
      </w:pPr>
      <w:r>
        <w:rPr>
          <w:rFonts w:hint="eastAsia" w:ascii="宋体" w:hAnsi="宋体" w:eastAsia="宋体" w:cs="宋体"/>
          <w:sz w:val="24"/>
          <w:szCs w:val="24"/>
        </w:rPr>
        <w:t xml:space="preserve">签字(签章)：                   公章：                      </w:t>
      </w:r>
    </w:p>
    <w:p w14:paraId="39B2937E">
      <w:pPr>
        <w:spacing w:line="440" w:lineRule="exact"/>
        <w:rPr>
          <w:rFonts w:ascii="宋体" w:hAnsi="宋体" w:eastAsia="宋体" w:cs="宋体"/>
          <w:sz w:val="24"/>
          <w:szCs w:val="24"/>
        </w:rPr>
      </w:pPr>
      <w:r>
        <w:rPr>
          <w:rFonts w:hint="eastAsia" w:ascii="宋体" w:hAnsi="宋体" w:eastAsia="宋体" w:cs="宋体"/>
          <w:sz w:val="24"/>
          <w:szCs w:val="24"/>
        </w:rPr>
        <w:t xml:space="preserve">日期：    </w:t>
      </w:r>
    </w:p>
    <w:p w14:paraId="0505BC4D">
      <w:pPr>
        <w:widowControl/>
        <w:spacing w:line="440" w:lineRule="exact"/>
        <w:jc w:val="left"/>
        <w:rPr>
          <w:rFonts w:ascii="宋体" w:hAnsi="宋体" w:eastAsia="宋体" w:cs="宋体"/>
          <w:sz w:val="32"/>
          <w:szCs w:val="32"/>
        </w:rPr>
      </w:pPr>
      <w:r>
        <w:rPr>
          <w:rFonts w:hint="eastAsia" w:ascii="宋体" w:hAnsi="宋体" w:eastAsia="宋体" w:cs="宋体"/>
          <w:sz w:val="32"/>
          <w:szCs w:val="32"/>
        </w:rPr>
        <w:br w:type="page"/>
      </w:r>
    </w:p>
    <w:p w14:paraId="2DADEB76">
      <w:pPr>
        <w:spacing w:line="440" w:lineRule="exact"/>
        <w:outlineLvl w:val="0"/>
        <w:rPr>
          <w:rFonts w:ascii="宋体" w:hAnsi="宋体" w:eastAsia="宋体" w:cs="宋体"/>
          <w:b/>
          <w:sz w:val="28"/>
          <w:szCs w:val="32"/>
        </w:rPr>
      </w:pPr>
      <w:bookmarkStart w:id="243" w:name="_Toc22239"/>
      <w:bookmarkStart w:id="244" w:name="_Toc9754"/>
      <w:r>
        <w:rPr>
          <w:rFonts w:hint="eastAsia" w:ascii="宋体" w:hAnsi="宋体" w:eastAsia="宋体" w:cs="宋体"/>
          <w:b/>
          <w:sz w:val="28"/>
          <w:szCs w:val="32"/>
        </w:rPr>
        <w:t>质疑函制作说明：</w:t>
      </w:r>
      <w:bookmarkEnd w:id="243"/>
      <w:bookmarkEnd w:id="244"/>
    </w:p>
    <w:p w14:paraId="7679C33C">
      <w:pPr>
        <w:spacing w:line="440" w:lineRule="exact"/>
        <w:ind w:firstLine="435"/>
        <w:rPr>
          <w:rFonts w:ascii="宋体" w:hAnsi="宋体" w:eastAsia="宋体" w:cs="宋体"/>
          <w:sz w:val="24"/>
        </w:rPr>
      </w:pPr>
      <w:r>
        <w:rPr>
          <w:rFonts w:hint="eastAsia" w:ascii="宋体" w:hAnsi="宋体" w:eastAsia="宋体" w:cs="宋体"/>
          <w:sz w:val="24"/>
        </w:rPr>
        <w:t>1.供应商提出质疑时，应提交质疑函和必要的证明材料。</w:t>
      </w:r>
    </w:p>
    <w:p w14:paraId="19419B40">
      <w:pPr>
        <w:spacing w:line="440" w:lineRule="exact"/>
        <w:ind w:firstLine="435"/>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F599FC">
      <w:pPr>
        <w:spacing w:line="440" w:lineRule="exact"/>
        <w:ind w:firstLine="435"/>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3420AAE8">
      <w:pPr>
        <w:spacing w:line="440" w:lineRule="exact"/>
        <w:ind w:firstLine="435"/>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7360CB5C">
      <w:pPr>
        <w:spacing w:line="440" w:lineRule="exact"/>
        <w:ind w:firstLine="435"/>
        <w:rPr>
          <w:rFonts w:ascii="宋体" w:hAnsi="宋体" w:eastAsia="宋体" w:cs="宋体"/>
          <w:sz w:val="24"/>
        </w:rPr>
      </w:pPr>
      <w:r>
        <w:rPr>
          <w:rFonts w:hint="eastAsia" w:ascii="宋体" w:hAnsi="宋体" w:eastAsia="宋体" w:cs="宋体"/>
          <w:sz w:val="24"/>
        </w:rPr>
        <w:t>5.质疑函的质疑请求应与质疑事项相关。</w:t>
      </w:r>
    </w:p>
    <w:p w14:paraId="64B4D457">
      <w:pPr>
        <w:spacing w:line="440" w:lineRule="exact"/>
        <w:ind w:firstLine="435"/>
        <w:rPr>
          <w:rFonts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57CC0C08">
      <w:pPr>
        <w:keepNext/>
        <w:keepLines/>
        <w:spacing w:before="200" w:after="200" w:line="600" w:lineRule="exact"/>
        <w:outlineLvl w:val="0"/>
        <w:rPr>
          <w:rFonts w:ascii="黑体" w:hAnsi="黑体" w:eastAsia="黑体" w:cs="Times New Roman"/>
          <w:b/>
          <w:bCs/>
          <w:color w:val="auto"/>
          <w:kern w:val="44"/>
          <w:sz w:val="28"/>
          <w:szCs w:val="28"/>
          <w:highlight w:val="none"/>
        </w:rPr>
      </w:pPr>
      <w:bookmarkStart w:id="245" w:name="OLE_LINK7"/>
      <w:bookmarkStart w:id="246" w:name="OLE_LINK24"/>
      <w:bookmarkStart w:id="247" w:name="OLE_LINK25"/>
      <w:r>
        <w:rPr>
          <w:rFonts w:hint="eastAsia" w:ascii="黑体" w:hAnsi="黑体" w:eastAsia="黑体" w:cs="Times New Roman"/>
          <w:b/>
          <w:bCs/>
          <w:color w:val="auto"/>
          <w:kern w:val="44"/>
          <w:sz w:val="36"/>
          <w:szCs w:val="28"/>
          <w:highlight w:val="none"/>
        </w:rPr>
        <w:t>附件1 关于联合惩戒失信行为加强信用查询管理的通知</w:t>
      </w:r>
    </w:p>
    <w:bookmarkEnd w:id="245"/>
    <w:p w14:paraId="155B01D6">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5A603D3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1E61AD7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46"/>
    <w:bookmarkEnd w:id="247"/>
    <w:p w14:paraId="7D09BE6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48" w:name="OLE_LINK103"/>
      <w:bookmarkStart w:id="249" w:name="OLE_LINK91"/>
      <w:bookmarkStart w:id="250" w:name="OLE_LINK93"/>
      <w:bookmarkStart w:id="251" w:name="OLE_LINK92"/>
      <w:r>
        <w:rPr>
          <w:rFonts w:hint="eastAsia" w:ascii="仿宋_GB2312" w:hAnsi="宋体" w:eastAsia="仿宋_GB2312" w:cs="Times New Roman"/>
          <w:color w:val="auto"/>
          <w:sz w:val="28"/>
          <w:szCs w:val="28"/>
          <w:highlight w:val="none"/>
        </w:rPr>
        <w:t>投标人、法定代表人及其项目经理(建造师)</w:t>
      </w:r>
      <w:bookmarkEnd w:id="248"/>
      <w:bookmarkEnd w:id="249"/>
      <w:bookmarkEnd w:id="250"/>
      <w:bookmarkEnd w:id="251"/>
      <w:r>
        <w:rPr>
          <w:rFonts w:hint="eastAsia" w:ascii="仿宋_GB2312" w:hAnsi="宋体" w:eastAsia="仿宋_GB2312" w:cs="Times New Roman"/>
          <w:color w:val="auto"/>
          <w:sz w:val="28"/>
          <w:szCs w:val="28"/>
          <w:highlight w:val="none"/>
        </w:rPr>
        <w:t>以下失信行为：</w:t>
      </w:r>
    </w:p>
    <w:p w14:paraId="14D8CAFA">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52" w:name="OLE_LINK87"/>
      <w:bookmarkStart w:id="253" w:name="OLE_LINK119"/>
      <w:bookmarkStart w:id="254" w:name="OLE_LINK86"/>
      <w:bookmarkStart w:id="255" w:name="OLE_LINK3"/>
      <w:bookmarkStart w:id="256" w:name="OLE_LINK94"/>
      <w:r>
        <w:rPr>
          <w:rFonts w:hint="eastAsia" w:ascii="仿宋_GB2312" w:hAnsi="宋体" w:eastAsia="仿宋_GB2312" w:cs="Times New Roman"/>
          <w:color w:val="auto"/>
          <w:sz w:val="28"/>
          <w:szCs w:val="28"/>
          <w:highlight w:val="none"/>
        </w:rPr>
        <w:t>①被列入“失信被执行人”的;</w:t>
      </w:r>
    </w:p>
    <w:p w14:paraId="29EAC45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57" w:name="OLE_LINK118"/>
      <w:bookmarkStart w:id="258" w:name="OLE_LINK117"/>
      <w:bookmarkStart w:id="259" w:name="OLE_LINK116"/>
      <w:bookmarkStart w:id="260" w:name="OLE_LINK115"/>
      <w:r>
        <w:rPr>
          <w:rFonts w:hint="eastAsia" w:ascii="仿宋_GB2312" w:hAnsi="宋体" w:eastAsia="仿宋_GB2312" w:cs="Times New Roman"/>
          <w:color w:val="auto"/>
          <w:sz w:val="28"/>
          <w:szCs w:val="28"/>
          <w:highlight w:val="none"/>
        </w:rPr>
        <w:t>“重大税收违法失信主体”</w:t>
      </w:r>
      <w:bookmarkEnd w:id="257"/>
      <w:bookmarkEnd w:id="258"/>
      <w:bookmarkEnd w:id="259"/>
      <w:bookmarkEnd w:id="260"/>
      <w:r>
        <w:rPr>
          <w:rFonts w:hint="eastAsia" w:ascii="仿宋_GB2312" w:hAnsi="宋体" w:eastAsia="仿宋_GB2312" w:cs="Times New Roman"/>
          <w:color w:val="auto"/>
          <w:sz w:val="28"/>
          <w:szCs w:val="28"/>
          <w:highlight w:val="none"/>
        </w:rPr>
        <w:t>的；</w:t>
      </w:r>
    </w:p>
    <w:p w14:paraId="3BF625C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61" w:name="OLE_LINK84"/>
      <w:bookmarkStart w:id="262" w:name="OLE_LINK85"/>
      <w:r>
        <w:rPr>
          <w:rFonts w:hint="eastAsia" w:ascii="仿宋_GB2312" w:hAnsi="宋体" w:eastAsia="仿宋_GB2312" w:cs="Times New Roman"/>
          <w:color w:val="auto"/>
          <w:sz w:val="28"/>
          <w:szCs w:val="28"/>
          <w:highlight w:val="none"/>
        </w:rPr>
        <w:t>农民工工资失信联合惩戒对象</w:t>
      </w:r>
      <w:bookmarkEnd w:id="261"/>
      <w:bookmarkEnd w:id="262"/>
      <w:r>
        <w:rPr>
          <w:rFonts w:hint="eastAsia" w:ascii="仿宋_GB2312" w:hAnsi="宋体" w:eastAsia="仿宋_GB2312" w:cs="Times New Roman"/>
          <w:color w:val="auto"/>
          <w:sz w:val="28"/>
          <w:szCs w:val="28"/>
          <w:highlight w:val="none"/>
        </w:rPr>
        <w:t>名单”的；</w:t>
      </w:r>
    </w:p>
    <w:p w14:paraId="0AA2AC3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27ED777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52"/>
    <w:bookmarkEnd w:id="253"/>
    <w:bookmarkEnd w:id="254"/>
    <w:bookmarkEnd w:id="255"/>
    <w:bookmarkEnd w:id="256"/>
    <w:p w14:paraId="14223D3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63" w:name="OLE_LINK130"/>
      <w:r>
        <w:rPr>
          <w:rFonts w:hint="eastAsia" w:ascii="仿宋_GB2312" w:hAnsi="宋体" w:eastAsia="仿宋_GB2312" w:cs="Times New Roman"/>
          <w:color w:val="auto"/>
          <w:sz w:val="28"/>
          <w:szCs w:val="28"/>
          <w:highlight w:val="none"/>
        </w:rPr>
        <w:t>国家企业信用信息公示系统网站</w:t>
      </w:r>
      <w:bookmarkEnd w:id="263"/>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64" w:name="OLE_LINK89"/>
      <w:bookmarkStart w:id="265" w:name="OLE_LINK90"/>
      <w:r>
        <w:rPr>
          <w:rStyle w:val="38"/>
          <w:rFonts w:hint="eastAsia" w:ascii="仿宋_GB2312" w:hAnsi="宋体" w:eastAsia="仿宋_GB2312" w:cs="Times New Roman"/>
          <w:color w:val="auto"/>
          <w:sz w:val="28"/>
          <w:szCs w:val="28"/>
          <w:highlight w:val="none"/>
        </w:rPr>
        <w:t>www.gsxt.gov.cn</w:t>
      </w:r>
      <w:bookmarkEnd w:id="264"/>
      <w:bookmarkEnd w:id="265"/>
      <w:r>
        <w:rPr>
          <w:rStyle w:val="38"/>
          <w:rFonts w:hint="eastAsia" w:ascii="仿宋_GB2312" w:hAnsi="宋体" w:eastAsia="仿宋_GB2312" w:cs="Times New Roman"/>
          <w:color w:val="auto"/>
          <w:sz w:val="28"/>
          <w:szCs w:val="28"/>
          <w:highlight w:val="none"/>
        </w:rPr>
        <w:t>）</w:t>
      </w:r>
      <w:r>
        <w:rPr>
          <w:rStyle w:val="38"/>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44FD285">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66" w:name="OLE_LINK121"/>
      <w:bookmarkStart w:id="267" w:name="OLE_LINK120"/>
      <w:bookmarkStart w:id="268" w:name="OLE_LINK122"/>
      <w:r>
        <w:rPr>
          <w:rFonts w:hint="eastAsia" w:ascii="仿宋_GB2312" w:hAnsi="宋体" w:eastAsia="仿宋_GB2312" w:cs="Times New Roman"/>
          <w:color w:val="auto"/>
          <w:sz w:val="28"/>
          <w:szCs w:val="28"/>
          <w:highlight w:val="none"/>
        </w:rPr>
        <w:t>①被列入“经营异常名录”或者“严重违法失信名单”的。</w:t>
      </w:r>
      <w:bookmarkEnd w:id="266"/>
      <w:bookmarkEnd w:id="267"/>
      <w:bookmarkEnd w:id="268"/>
    </w:p>
    <w:p w14:paraId="60546F7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B21D527">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69" w:name="OLE_LINK124"/>
      <w:bookmarkStart w:id="270"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5DC2043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6A05F56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587F44E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71" w:name="OLE_LINK107"/>
      <w:bookmarkStart w:id="272"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71"/>
      <w:bookmarkEnd w:id="272"/>
      <w:r>
        <w:rPr>
          <w:rFonts w:hint="eastAsia" w:ascii="仿宋_GB2312" w:hAnsi="宋体" w:eastAsia="仿宋_GB2312" w:cs="Times New Roman"/>
          <w:color w:val="auto"/>
          <w:sz w:val="28"/>
          <w:szCs w:val="28"/>
          <w:highlight w:val="none"/>
        </w:rPr>
        <w:t>；</w:t>
      </w:r>
    </w:p>
    <w:p w14:paraId="2158017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9"/>
    <w:bookmarkEnd w:id="270"/>
    <w:p w14:paraId="451055FC">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7F8A187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8"/>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3119D13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0C3BF16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32170B9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007F88F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779BF97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07EE4DB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73" w:name="OLE_LINK101"/>
      <w:bookmarkStart w:id="274" w:name="OLE_LINK100"/>
      <w:bookmarkStart w:id="275" w:name="OLE_LINK102"/>
      <w:r>
        <w:rPr>
          <w:rFonts w:hint="eastAsia" w:ascii="仿宋_GB2312" w:hAnsi="宋体" w:eastAsia="仿宋_GB2312" w:cs="Times New Roman"/>
          <w:color w:val="auto"/>
          <w:sz w:val="28"/>
          <w:szCs w:val="28"/>
          <w:highlight w:val="none"/>
        </w:rPr>
        <w:t>被列入“经营异常名录”或者“严重违法失信名单”的</w:t>
      </w:r>
      <w:bookmarkEnd w:id="273"/>
      <w:bookmarkEnd w:id="274"/>
      <w:bookmarkEnd w:id="275"/>
      <w:r>
        <w:rPr>
          <w:rFonts w:hint="eastAsia" w:ascii="仿宋_GB2312" w:hAnsi="宋体" w:eastAsia="仿宋_GB2312" w:cs="Times New Roman"/>
          <w:color w:val="auto"/>
          <w:sz w:val="28"/>
          <w:szCs w:val="28"/>
          <w:highlight w:val="none"/>
        </w:rPr>
        <w:t>。</w:t>
      </w:r>
    </w:p>
    <w:p w14:paraId="471C3E9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76" w:name="OLE_LINK95"/>
      <w:bookmarkStart w:id="277"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76"/>
      <w:bookmarkEnd w:id="277"/>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2ECF2962">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78" w:name="OLE_LINK105"/>
      <w:bookmarkStart w:id="279" w:name="OLE_LINK104"/>
      <w:bookmarkStart w:id="280" w:name="OLE_LINK106"/>
      <w:r>
        <w:rPr>
          <w:rFonts w:hint="eastAsia" w:ascii="仿宋_GB2312" w:hAnsi="宋体" w:eastAsia="仿宋_GB2312" w:cs="Times New Roman"/>
          <w:color w:val="auto"/>
          <w:sz w:val="28"/>
          <w:szCs w:val="28"/>
          <w:highlight w:val="none"/>
        </w:rPr>
        <w:t>被列入“政府采购严重违法失信行为信息记录”的</w:t>
      </w:r>
      <w:bookmarkEnd w:id="278"/>
      <w:bookmarkEnd w:id="279"/>
      <w:bookmarkEnd w:id="280"/>
      <w:r>
        <w:rPr>
          <w:rFonts w:hint="eastAsia" w:ascii="仿宋_GB2312" w:hAnsi="宋体" w:eastAsia="仿宋_GB2312" w:cs="楷体"/>
          <w:color w:val="auto"/>
          <w:sz w:val="28"/>
          <w:szCs w:val="28"/>
          <w:highlight w:val="none"/>
        </w:rPr>
        <w:t>。</w:t>
      </w:r>
    </w:p>
    <w:p w14:paraId="6F4CDE8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47D1DE3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1F65D25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1A7C3B2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51583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86562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4DB0E4A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53D556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BF15F6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4270A0B">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8D79BF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7D46243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77C2DDCF">
      <w:pPr>
        <w:ind w:right="960"/>
        <w:rPr>
          <w:rFonts w:ascii="仿宋" w:hAnsi="仿宋" w:eastAsia="仿宋"/>
          <w:color w:val="auto"/>
          <w:sz w:val="32"/>
          <w:szCs w:val="32"/>
          <w:highlight w:val="none"/>
        </w:rPr>
      </w:pPr>
    </w:p>
    <w:p w14:paraId="3692DFAD">
      <w:pPr>
        <w:ind w:right="960"/>
        <w:rPr>
          <w:rFonts w:ascii="仿宋" w:hAnsi="仿宋" w:eastAsia="仿宋"/>
          <w:color w:val="auto"/>
          <w:sz w:val="32"/>
          <w:szCs w:val="32"/>
          <w:highlight w:val="none"/>
        </w:rPr>
      </w:pPr>
    </w:p>
    <w:p w14:paraId="649442A1">
      <w:pPr>
        <w:ind w:right="960"/>
        <w:rPr>
          <w:rFonts w:ascii="仿宋" w:hAnsi="仿宋" w:eastAsia="仿宋"/>
          <w:color w:val="auto"/>
          <w:sz w:val="32"/>
          <w:szCs w:val="32"/>
          <w:highlight w:val="none"/>
        </w:rPr>
      </w:pPr>
    </w:p>
    <w:p w14:paraId="3854949C">
      <w:pPr>
        <w:ind w:right="960"/>
        <w:rPr>
          <w:rFonts w:ascii="仿宋" w:hAnsi="仿宋" w:eastAsia="仿宋"/>
          <w:color w:val="auto"/>
          <w:sz w:val="32"/>
          <w:szCs w:val="32"/>
          <w:highlight w:val="none"/>
        </w:rPr>
      </w:pPr>
    </w:p>
    <w:p w14:paraId="15C38999">
      <w:pPr>
        <w:ind w:right="960"/>
        <w:rPr>
          <w:rFonts w:ascii="仿宋" w:hAnsi="仿宋" w:eastAsia="仿宋"/>
          <w:color w:val="auto"/>
          <w:sz w:val="32"/>
          <w:szCs w:val="32"/>
          <w:highlight w:val="none"/>
        </w:rPr>
      </w:pPr>
    </w:p>
    <w:p w14:paraId="62BADA9F">
      <w:pPr>
        <w:ind w:right="960"/>
        <w:rPr>
          <w:rFonts w:ascii="仿宋" w:hAnsi="仿宋" w:eastAsia="仿宋"/>
          <w:color w:val="auto"/>
          <w:sz w:val="32"/>
          <w:szCs w:val="32"/>
          <w:highlight w:val="none"/>
        </w:rPr>
      </w:pPr>
    </w:p>
    <w:p w14:paraId="453D9193">
      <w:pPr>
        <w:ind w:right="960"/>
        <w:rPr>
          <w:rFonts w:ascii="仿宋" w:hAnsi="仿宋" w:eastAsia="仿宋"/>
          <w:color w:val="auto"/>
          <w:sz w:val="32"/>
          <w:szCs w:val="32"/>
          <w:highlight w:val="none"/>
        </w:rPr>
      </w:pPr>
    </w:p>
    <w:p w14:paraId="6385CFE2">
      <w:pPr>
        <w:ind w:right="960"/>
        <w:rPr>
          <w:rFonts w:ascii="仿宋" w:hAnsi="仿宋" w:eastAsia="仿宋"/>
          <w:color w:val="auto"/>
          <w:sz w:val="32"/>
          <w:szCs w:val="32"/>
          <w:highlight w:val="none"/>
        </w:rPr>
      </w:pPr>
    </w:p>
    <w:p w14:paraId="6D555817">
      <w:pPr>
        <w:ind w:right="960"/>
        <w:rPr>
          <w:rFonts w:ascii="仿宋" w:hAnsi="仿宋" w:eastAsia="仿宋"/>
          <w:color w:val="auto"/>
          <w:sz w:val="32"/>
          <w:szCs w:val="32"/>
          <w:highlight w:val="none"/>
        </w:rPr>
      </w:pPr>
    </w:p>
    <w:p w14:paraId="50C70B45">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81" w:name="_Toc95223549"/>
      <w:bookmarkStart w:id="282" w:name="OLE_LINK41"/>
      <w:bookmarkStart w:id="283" w:name="OLE_LINK32"/>
      <w:bookmarkStart w:id="284" w:name="OLE_LINK31"/>
      <w:r>
        <w:rPr>
          <w:rFonts w:hint="eastAsia" w:ascii="黑体" w:hAnsi="黑体" w:eastAsia="黑体" w:cs="Times New Roman"/>
          <w:b/>
          <w:bCs/>
          <w:color w:val="auto"/>
          <w:kern w:val="44"/>
          <w:sz w:val="36"/>
          <w:szCs w:val="28"/>
          <w:highlight w:val="none"/>
        </w:rPr>
        <w:br w:type="page"/>
      </w:r>
      <w:r>
        <w:rPr>
          <w:rFonts w:hint="eastAsia" w:ascii="黑体" w:hAnsi="黑体" w:eastAsia="黑体" w:cs="Times New Roman"/>
          <w:b/>
          <w:bCs/>
          <w:color w:val="auto"/>
          <w:kern w:val="44"/>
          <w:sz w:val="36"/>
          <w:szCs w:val="28"/>
          <w:highlight w:val="none"/>
        </w:rPr>
        <w:t xml:space="preserve">附件2 </w:t>
      </w:r>
      <w:bookmarkStart w:id="285" w:name="OLE_LINK74"/>
      <w:bookmarkStart w:id="286" w:name="OLE_LINK75"/>
      <w:r>
        <w:rPr>
          <w:rFonts w:hint="eastAsia" w:ascii="黑体" w:hAnsi="黑体" w:eastAsia="黑体" w:cs="Times New Roman"/>
          <w:b/>
          <w:bCs/>
          <w:color w:val="auto"/>
          <w:kern w:val="44"/>
          <w:sz w:val="36"/>
          <w:szCs w:val="28"/>
          <w:highlight w:val="none"/>
        </w:rPr>
        <w:t>“信用中国”查询的严重失信行为</w:t>
      </w:r>
      <w:bookmarkStart w:id="287" w:name="OLE_LINK39"/>
      <w:bookmarkStart w:id="288" w:name="OLE_LINK40"/>
      <w:bookmarkStart w:id="289" w:name="OLE_LINK76"/>
      <w:bookmarkStart w:id="290" w:name="OLE_LINK38"/>
      <w:r>
        <w:rPr>
          <w:rFonts w:hint="eastAsia" w:ascii="黑体" w:hAnsi="黑体" w:eastAsia="黑体" w:cs="Times New Roman"/>
          <w:b/>
          <w:bCs/>
          <w:color w:val="auto"/>
          <w:kern w:val="44"/>
          <w:sz w:val="36"/>
          <w:szCs w:val="28"/>
          <w:highlight w:val="none"/>
        </w:rPr>
        <w:t>类别及判定依据</w:t>
      </w:r>
      <w:bookmarkEnd w:id="281"/>
      <w:bookmarkEnd w:id="285"/>
      <w:bookmarkEnd w:id="286"/>
      <w:bookmarkEnd w:id="287"/>
      <w:bookmarkEnd w:id="288"/>
      <w:bookmarkEnd w:id="289"/>
      <w:bookmarkEnd w:id="290"/>
    </w:p>
    <w:bookmarkEnd w:id="282"/>
    <w:bookmarkEnd w:id="283"/>
    <w:bookmarkEnd w:id="284"/>
    <w:p w14:paraId="21BFF4B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68A52B66">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754C960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4414615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51DDFF2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06C230B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D418EF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03B56E6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1E040CF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7DF710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7EE7098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1E8C022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61A4F68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355DFC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07919C2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6E212E57">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015C684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370A22F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586583D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408804D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4D7E71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02B3F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77D44D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B15737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A7D95C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7556AB7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243EF7F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FFB827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0294CCE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446DECA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DF48A5B">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91" w:name="OLE_LINK10"/>
      <w:bookmarkStart w:id="292" w:name="OLE_LINK9"/>
      <w:bookmarkStart w:id="293"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91"/>
      <w:bookmarkEnd w:id="292"/>
      <w:bookmarkEnd w:id="293"/>
      <w:r>
        <w:rPr>
          <w:rFonts w:hint="eastAsia" w:ascii="仿宋_GB2312" w:hAnsi="宋体" w:eastAsia="仿宋_GB2312" w:cs="Times New Roman"/>
          <w:b/>
          <w:color w:val="auto"/>
          <w:sz w:val="28"/>
          <w:szCs w:val="28"/>
          <w:highlight w:val="none"/>
        </w:rPr>
        <w:t>》、《</w:t>
      </w:r>
      <w:bookmarkStart w:id="294" w:name="OLE_LINK12"/>
      <w:bookmarkStart w:id="295" w:name="OLE_LINK11"/>
      <w:r>
        <w:rPr>
          <w:rFonts w:hint="eastAsia" w:ascii="仿宋_GB2312" w:hAnsi="宋体" w:eastAsia="仿宋_GB2312" w:cs="Times New Roman"/>
          <w:b/>
          <w:color w:val="auto"/>
          <w:sz w:val="28"/>
          <w:szCs w:val="28"/>
          <w:highlight w:val="none"/>
        </w:rPr>
        <w:t>企业环境信用评价办法（试行）</w:t>
      </w:r>
      <w:bookmarkEnd w:id="294"/>
      <w:bookmarkEnd w:id="295"/>
      <w:r>
        <w:rPr>
          <w:rFonts w:hint="eastAsia" w:ascii="仿宋_GB2312" w:hAnsi="宋体" w:eastAsia="仿宋_GB2312" w:cs="Times New Roman"/>
          <w:b/>
          <w:color w:val="auto"/>
          <w:sz w:val="28"/>
          <w:szCs w:val="28"/>
          <w:highlight w:val="none"/>
        </w:rPr>
        <w:t>》（环发〔2013〕150号）</w:t>
      </w:r>
    </w:p>
    <w:p w14:paraId="6DF3D38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627433E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49DED0F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1F1E05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E3340F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430321B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66542A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3A3AD22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CA3A27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0AE3E40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BCB886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3573B16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DF6BF8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4C79A4B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566A158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4727D9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755A898">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2845BD7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0E33199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3ADB3A2">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68AC2D00">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6E1E41D1">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96" w:name="OLE_LINK14"/>
      <w:bookmarkStart w:id="297" w:name="OLE_LINK13"/>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96"/>
      <w:bookmarkEnd w:id="297"/>
      <w:r>
        <w:rPr>
          <w:rFonts w:hint="eastAsia" w:ascii="仿宋_GB2312" w:hAnsi="宋体" w:eastAsia="仿宋_GB2312" w:cs="Times New Roman"/>
          <w:b/>
          <w:color w:val="auto"/>
          <w:sz w:val="28"/>
          <w:szCs w:val="28"/>
          <w:highlight w:val="none"/>
        </w:rPr>
        <w:t>》（发改法规〔2018〕457号）</w:t>
      </w:r>
    </w:p>
    <w:p w14:paraId="75F163E1">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71EFC8C7">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495EE62">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105F109C">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3F0D2A1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34B62BE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2235CF0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075A68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9EAA6F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68E531E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4A8B8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0F68661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8" w:name="OLE_LINK16"/>
      <w:bookmarkStart w:id="299"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98"/>
      <w:bookmarkEnd w:id="299"/>
      <w:r>
        <w:rPr>
          <w:rFonts w:hint="eastAsia" w:ascii="仿宋_GB2312" w:hAnsi="Calibri" w:eastAsia="仿宋_GB2312" w:cs="Times New Roman"/>
          <w:b/>
          <w:color w:val="auto"/>
          <w:sz w:val="28"/>
          <w:szCs w:val="28"/>
          <w:highlight w:val="none"/>
        </w:rPr>
        <w:t>》（发改财金〔2018〕1704号）</w:t>
      </w:r>
    </w:p>
    <w:p w14:paraId="646A197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1F5F8837">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3A77998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63BB121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2D9561B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5CEA1EB">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7F0EE51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DB007D3">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300" w:name="OLE_LINK17"/>
      <w:bookmarkStart w:id="301" w:name="OLE_LINK18"/>
      <w:r>
        <w:rPr>
          <w:rFonts w:hint="eastAsia" w:ascii="仿宋_GB2312" w:hAnsi="Calibri" w:eastAsia="仿宋_GB2312" w:cs="Times New Roman"/>
          <w:b/>
          <w:color w:val="auto"/>
          <w:sz w:val="28"/>
          <w:szCs w:val="28"/>
          <w:highlight w:val="none"/>
        </w:rPr>
        <w:t>建筑市场信用管理暂行办法</w:t>
      </w:r>
      <w:bookmarkEnd w:id="300"/>
      <w:bookmarkEnd w:id="301"/>
      <w:r>
        <w:rPr>
          <w:rFonts w:hint="eastAsia" w:ascii="仿宋_GB2312" w:hAnsi="Calibri" w:eastAsia="仿宋_GB2312" w:cs="Times New Roman"/>
          <w:b/>
          <w:color w:val="auto"/>
          <w:sz w:val="28"/>
          <w:szCs w:val="28"/>
          <w:highlight w:val="none"/>
        </w:rPr>
        <w:t>》（建市〔2017〕241号）</w:t>
      </w:r>
    </w:p>
    <w:p w14:paraId="35B32FEB">
      <w:pPr>
        <w:adjustRightInd w:val="0"/>
        <w:snapToGrid w:val="0"/>
        <w:spacing w:line="560" w:lineRule="exact"/>
        <w:rPr>
          <w:rFonts w:ascii="仿宋_GB2312" w:hAnsi="宋体" w:eastAsia="仿宋_GB2312" w:cs="Times New Roman"/>
          <w:b/>
          <w:color w:val="auto"/>
          <w:sz w:val="28"/>
          <w:szCs w:val="28"/>
          <w:highlight w:val="none"/>
        </w:rPr>
      </w:pPr>
    </w:p>
    <w:p w14:paraId="3FD277A1">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302" w:name="OLE_LINK19"/>
      <w:bookmarkStart w:id="303" w:name="OLE_LINK20"/>
      <w:r>
        <w:rPr>
          <w:rFonts w:hint="eastAsia" w:ascii="仿宋_GB2312" w:hAnsi="宋体" w:eastAsia="仿宋_GB2312" w:cs="Times New Roman"/>
          <w:b/>
          <w:color w:val="auto"/>
          <w:sz w:val="28"/>
          <w:szCs w:val="28"/>
          <w:highlight w:val="none"/>
        </w:rPr>
        <w:t>政府采购严重失信行为</w:t>
      </w:r>
      <w:bookmarkEnd w:id="302"/>
      <w:bookmarkEnd w:id="303"/>
    </w:p>
    <w:p w14:paraId="58EC873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11388DA4">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4FD3802C">
      <w:pPr>
        <w:adjustRightInd w:val="0"/>
        <w:snapToGrid w:val="0"/>
        <w:spacing w:line="560" w:lineRule="exact"/>
        <w:rPr>
          <w:rFonts w:ascii="仿宋_GB2312" w:hAnsi="宋体" w:eastAsia="仿宋_GB2312" w:cs="Times New Roman"/>
          <w:b/>
          <w:color w:val="auto"/>
          <w:sz w:val="28"/>
          <w:szCs w:val="28"/>
          <w:highlight w:val="none"/>
        </w:rPr>
      </w:pPr>
    </w:p>
    <w:p w14:paraId="071D07DF">
      <w:pPr>
        <w:pStyle w:val="9"/>
        <w:rPr>
          <w:rFonts w:ascii="宋体" w:hAnsi="宋体" w:eastAsia="宋体" w:cs="宋体"/>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cs="Times New Roman"/>
          <w:b/>
          <w:color w:val="auto"/>
          <w:sz w:val="32"/>
          <w:szCs w:val="32"/>
          <w:highlight w:val="none"/>
        </w:rPr>
        <w:t>断。</w:t>
      </w:r>
    </w:p>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C197">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5DE4">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E984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EE984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D259">
    <w:pPr>
      <w:pStyle w:val="18"/>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DF2F">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4"/>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2M2Y2JhYzUxZDQwOGI5OWNiODQyNTYwMmFhYzg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87590"/>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140B0"/>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125C"/>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0527"/>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52BD"/>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4B34"/>
    <w:rsid w:val="00CB5797"/>
    <w:rsid w:val="00CB6050"/>
    <w:rsid w:val="00CC1202"/>
    <w:rsid w:val="00CC4099"/>
    <w:rsid w:val="00CC45C1"/>
    <w:rsid w:val="00CD09E1"/>
    <w:rsid w:val="00CD5078"/>
    <w:rsid w:val="00CD595E"/>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214602E"/>
    <w:rsid w:val="02BA3F8E"/>
    <w:rsid w:val="03486B27"/>
    <w:rsid w:val="03CD109D"/>
    <w:rsid w:val="03D609D8"/>
    <w:rsid w:val="040A094E"/>
    <w:rsid w:val="04763EE5"/>
    <w:rsid w:val="04E36C96"/>
    <w:rsid w:val="053814D9"/>
    <w:rsid w:val="055F2BCB"/>
    <w:rsid w:val="056800F4"/>
    <w:rsid w:val="056F201D"/>
    <w:rsid w:val="05B11678"/>
    <w:rsid w:val="05B664D4"/>
    <w:rsid w:val="062D3EC0"/>
    <w:rsid w:val="065C2940"/>
    <w:rsid w:val="068943A3"/>
    <w:rsid w:val="068F128E"/>
    <w:rsid w:val="06C23BE1"/>
    <w:rsid w:val="07076C01"/>
    <w:rsid w:val="071C12AC"/>
    <w:rsid w:val="074E231E"/>
    <w:rsid w:val="07A934B3"/>
    <w:rsid w:val="08B15E54"/>
    <w:rsid w:val="09523172"/>
    <w:rsid w:val="0980799C"/>
    <w:rsid w:val="0A0F6376"/>
    <w:rsid w:val="0A353CEA"/>
    <w:rsid w:val="0A6A18DB"/>
    <w:rsid w:val="0A79472F"/>
    <w:rsid w:val="0AEF3828"/>
    <w:rsid w:val="0BBB665B"/>
    <w:rsid w:val="0C4B5C57"/>
    <w:rsid w:val="0CB7664E"/>
    <w:rsid w:val="0CBB2DDD"/>
    <w:rsid w:val="0D7C7BA9"/>
    <w:rsid w:val="0DCB34F3"/>
    <w:rsid w:val="0E4D3F08"/>
    <w:rsid w:val="0E816EC5"/>
    <w:rsid w:val="0E910299"/>
    <w:rsid w:val="0EEA6FC1"/>
    <w:rsid w:val="0EF97BEC"/>
    <w:rsid w:val="0F452E31"/>
    <w:rsid w:val="0F5117D6"/>
    <w:rsid w:val="0F954485"/>
    <w:rsid w:val="0FB63A2F"/>
    <w:rsid w:val="0FBF344F"/>
    <w:rsid w:val="104D3FBF"/>
    <w:rsid w:val="10505F32"/>
    <w:rsid w:val="105A27E6"/>
    <w:rsid w:val="1072728E"/>
    <w:rsid w:val="107514F4"/>
    <w:rsid w:val="10CA5CE4"/>
    <w:rsid w:val="10DC1574"/>
    <w:rsid w:val="115D26B4"/>
    <w:rsid w:val="117278DA"/>
    <w:rsid w:val="11755C50"/>
    <w:rsid w:val="119B0711"/>
    <w:rsid w:val="12197477"/>
    <w:rsid w:val="121E62E8"/>
    <w:rsid w:val="12BE27B4"/>
    <w:rsid w:val="130C65B6"/>
    <w:rsid w:val="131F0DB1"/>
    <w:rsid w:val="132E0DA8"/>
    <w:rsid w:val="13516249"/>
    <w:rsid w:val="13587E2C"/>
    <w:rsid w:val="1466407E"/>
    <w:rsid w:val="14834E28"/>
    <w:rsid w:val="148E7D65"/>
    <w:rsid w:val="151D4243"/>
    <w:rsid w:val="15231BF9"/>
    <w:rsid w:val="154E24EE"/>
    <w:rsid w:val="15674AE4"/>
    <w:rsid w:val="1590464C"/>
    <w:rsid w:val="179F5278"/>
    <w:rsid w:val="180712E0"/>
    <w:rsid w:val="19E46234"/>
    <w:rsid w:val="1A3B68AA"/>
    <w:rsid w:val="1A3E1C1E"/>
    <w:rsid w:val="1AC63078"/>
    <w:rsid w:val="1B880F59"/>
    <w:rsid w:val="1BCA6B98"/>
    <w:rsid w:val="1BD367AA"/>
    <w:rsid w:val="1C074BB1"/>
    <w:rsid w:val="1C141836"/>
    <w:rsid w:val="1C220782"/>
    <w:rsid w:val="1C2A7AF4"/>
    <w:rsid w:val="1CD300FF"/>
    <w:rsid w:val="1E35491E"/>
    <w:rsid w:val="1E370C78"/>
    <w:rsid w:val="1E6B6A14"/>
    <w:rsid w:val="1E74728F"/>
    <w:rsid w:val="1EB21086"/>
    <w:rsid w:val="1F170346"/>
    <w:rsid w:val="1FDD2549"/>
    <w:rsid w:val="1FDE0E64"/>
    <w:rsid w:val="20097204"/>
    <w:rsid w:val="20550D9A"/>
    <w:rsid w:val="20720F5F"/>
    <w:rsid w:val="20C44DD2"/>
    <w:rsid w:val="20C52024"/>
    <w:rsid w:val="21714B53"/>
    <w:rsid w:val="218E2416"/>
    <w:rsid w:val="22231E49"/>
    <w:rsid w:val="22574D18"/>
    <w:rsid w:val="226915FE"/>
    <w:rsid w:val="22E14C32"/>
    <w:rsid w:val="237044C9"/>
    <w:rsid w:val="24B97929"/>
    <w:rsid w:val="2520252D"/>
    <w:rsid w:val="26163BC1"/>
    <w:rsid w:val="269427E9"/>
    <w:rsid w:val="26C1503C"/>
    <w:rsid w:val="274B78D7"/>
    <w:rsid w:val="27960276"/>
    <w:rsid w:val="285F40CA"/>
    <w:rsid w:val="289E73E3"/>
    <w:rsid w:val="28C01ECB"/>
    <w:rsid w:val="28EC3ECC"/>
    <w:rsid w:val="29BF71E3"/>
    <w:rsid w:val="2A127B63"/>
    <w:rsid w:val="2A3D2278"/>
    <w:rsid w:val="2AAA4765"/>
    <w:rsid w:val="2AC21606"/>
    <w:rsid w:val="2AE17A5A"/>
    <w:rsid w:val="2AF63C5E"/>
    <w:rsid w:val="2B7E7608"/>
    <w:rsid w:val="2B7F04E9"/>
    <w:rsid w:val="2BA74800"/>
    <w:rsid w:val="2C305555"/>
    <w:rsid w:val="2C9A21B9"/>
    <w:rsid w:val="2CB610A8"/>
    <w:rsid w:val="2CE20523"/>
    <w:rsid w:val="2D496D68"/>
    <w:rsid w:val="2DD4533E"/>
    <w:rsid w:val="2DEB34C2"/>
    <w:rsid w:val="2E426A62"/>
    <w:rsid w:val="2E6672CB"/>
    <w:rsid w:val="2E7A48DE"/>
    <w:rsid w:val="2EDC3ED8"/>
    <w:rsid w:val="2EDE218F"/>
    <w:rsid w:val="2F2D046C"/>
    <w:rsid w:val="2F6351B4"/>
    <w:rsid w:val="2F6D2A2C"/>
    <w:rsid w:val="2FA86D99"/>
    <w:rsid w:val="2FCF199E"/>
    <w:rsid w:val="30297EDA"/>
    <w:rsid w:val="30483E83"/>
    <w:rsid w:val="30AA0E97"/>
    <w:rsid w:val="30F33B8C"/>
    <w:rsid w:val="313308E4"/>
    <w:rsid w:val="31744EBD"/>
    <w:rsid w:val="323E39E4"/>
    <w:rsid w:val="32AC7216"/>
    <w:rsid w:val="334E4CD8"/>
    <w:rsid w:val="33C85C5B"/>
    <w:rsid w:val="343C0775"/>
    <w:rsid w:val="348A7F93"/>
    <w:rsid w:val="34AA76A9"/>
    <w:rsid w:val="356C50EC"/>
    <w:rsid w:val="35A85D44"/>
    <w:rsid w:val="35D52DD5"/>
    <w:rsid w:val="361108CD"/>
    <w:rsid w:val="362D7FF8"/>
    <w:rsid w:val="3700166C"/>
    <w:rsid w:val="3727617F"/>
    <w:rsid w:val="375969FE"/>
    <w:rsid w:val="37F012DD"/>
    <w:rsid w:val="38694EE9"/>
    <w:rsid w:val="38EF5091"/>
    <w:rsid w:val="3A281202"/>
    <w:rsid w:val="3B365CC9"/>
    <w:rsid w:val="3B75549C"/>
    <w:rsid w:val="3B7D732B"/>
    <w:rsid w:val="3B9A7B88"/>
    <w:rsid w:val="3BC114FF"/>
    <w:rsid w:val="3C23796D"/>
    <w:rsid w:val="3C2660C6"/>
    <w:rsid w:val="3C8666B4"/>
    <w:rsid w:val="3CE358B4"/>
    <w:rsid w:val="3D2C7AC8"/>
    <w:rsid w:val="3D421EF3"/>
    <w:rsid w:val="3D855D12"/>
    <w:rsid w:val="3D8B42FF"/>
    <w:rsid w:val="3D8C02DD"/>
    <w:rsid w:val="3DA23079"/>
    <w:rsid w:val="3DBFD775"/>
    <w:rsid w:val="3DC20089"/>
    <w:rsid w:val="3DF36A6E"/>
    <w:rsid w:val="3E686071"/>
    <w:rsid w:val="3F1138E1"/>
    <w:rsid w:val="3F792F1E"/>
    <w:rsid w:val="3F8A64BB"/>
    <w:rsid w:val="40824826"/>
    <w:rsid w:val="40E63923"/>
    <w:rsid w:val="4134048C"/>
    <w:rsid w:val="418453B6"/>
    <w:rsid w:val="41CF4659"/>
    <w:rsid w:val="41DB2FFE"/>
    <w:rsid w:val="420E0E2C"/>
    <w:rsid w:val="42912F09"/>
    <w:rsid w:val="42B443F4"/>
    <w:rsid w:val="42F43FD4"/>
    <w:rsid w:val="43A91E5B"/>
    <w:rsid w:val="44323612"/>
    <w:rsid w:val="44BC3308"/>
    <w:rsid w:val="44DC50C3"/>
    <w:rsid w:val="44FE144E"/>
    <w:rsid w:val="45BA48DB"/>
    <w:rsid w:val="462C207A"/>
    <w:rsid w:val="463A3650"/>
    <w:rsid w:val="469F0116"/>
    <w:rsid w:val="475259B7"/>
    <w:rsid w:val="48174664"/>
    <w:rsid w:val="48831CF9"/>
    <w:rsid w:val="491A6083"/>
    <w:rsid w:val="49296D45"/>
    <w:rsid w:val="49A165B8"/>
    <w:rsid w:val="49B1408D"/>
    <w:rsid w:val="4A7D4FD2"/>
    <w:rsid w:val="4A913C9A"/>
    <w:rsid w:val="4A995804"/>
    <w:rsid w:val="4AE22D2F"/>
    <w:rsid w:val="4B1F70AC"/>
    <w:rsid w:val="4B240F94"/>
    <w:rsid w:val="4B386AE5"/>
    <w:rsid w:val="4B550CFB"/>
    <w:rsid w:val="4BA75287"/>
    <w:rsid w:val="4BE030B0"/>
    <w:rsid w:val="4BED70D6"/>
    <w:rsid w:val="4C3C565C"/>
    <w:rsid w:val="4C43618A"/>
    <w:rsid w:val="4C6C1422"/>
    <w:rsid w:val="4C800A2A"/>
    <w:rsid w:val="4CCC79C7"/>
    <w:rsid w:val="4CE76CFB"/>
    <w:rsid w:val="4D6C5E8D"/>
    <w:rsid w:val="4D73771A"/>
    <w:rsid w:val="4D7555C7"/>
    <w:rsid w:val="4E8D54F0"/>
    <w:rsid w:val="4EAE6DA0"/>
    <w:rsid w:val="4F950C90"/>
    <w:rsid w:val="4FBB0051"/>
    <w:rsid w:val="4FD037EF"/>
    <w:rsid w:val="5016514B"/>
    <w:rsid w:val="502857C7"/>
    <w:rsid w:val="50476D3D"/>
    <w:rsid w:val="505446A7"/>
    <w:rsid w:val="511659A4"/>
    <w:rsid w:val="5187285A"/>
    <w:rsid w:val="51B578E5"/>
    <w:rsid w:val="51CB1C78"/>
    <w:rsid w:val="51EB4B97"/>
    <w:rsid w:val="51FD6A51"/>
    <w:rsid w:val="524B763E"/>
    <w:rsid w:val="526B680A"/>
    <w:rsid w:val="52A86F2C"/>
    <w:rsid w:val="52CA2BBE"/>
    <w:rsid w:val="53150D15"/>
    <w:rsid w:val="534722A1"/>
    <w:rsid w:val="5352083E"/>
    <w:rsid w:val="53F05F28"/>
    <w:rsid w:val="541A5D30"/>
    <w:rsid w:val="553E632F"/>
    <w:rsid w:val="55E02539"/>
    <w:rsid w:val="55F068CD"/>
    <w:rsid w:val="56020701"/>
    <w:rsid w:val="566C3136"/>
    <w:rsid w:val="568D04F2"/>
    <w:rsid w:val="57014E5D"/>
    <w:rsid w:val="582F100E"/>
    <w:rsid w:val="58555460"/>
    <w:rsid w:val="588D6DD7"/>
    <w:rsid w:val="591250FF"/>
    <w:rsid w:val="59971F55"/>
    <w:rsid w:val="59A1303F"/>
    <w:rsid w:val="59C363FA"/>
    <w:rsid w:val="59D0530A"/>
    <w:rsid w:val="59DF66A0"/>
    <w:rsid w:val="5A526582"/>
    <w:rsid w:val="5A5F5C77"/>
    <w:rsid w:val="5A7D6D1C"/>
    <w:rsid w:val="5B524131"/>
    <w:rsid w:val="5BBE39CD"/>
    <w:rsid w:val="5BC11A60"/>
    <w:rsid w:val="5C256839"/>
    <w:rsid w:val="5C7A4D54"/>
    <w:rsid w:val="5CC2508E"/>
    <w:rsid w:val="5CD23B73"/>
    <w:rsid w:val="5E371164"/>
    <w:rsid w:val="5E723A11"/>
    <w:rsid w:val="5EF158F1"/>
    <w:rsid w:val="5F127819"/>
    <w:rsid w:val="5F63752A"/>
    <w:rsid w:val="60F1503F"/>
    <w:rsid w:val="61025188"/>
    <w:rsid w:val="61057D5F"/>
    <w:rsid w:val="614D4977"/>
    <w:rsid w:val="61502C69"/>
    <w:rsid w:val="619F599E"/>
    <w:rsid w:val="63C60FC0"/>
    <w:rsid w:val="63D01E3F"/>
    <w:rsid w:val="641A2BDD"/>
    <w:rsid w:val="64525EBD"/>
    <w:rsid w:val="64652537"/>
    <w:rsid w:val="649317EA"/>
    <w:rsid w:val="64BA3D7A"/>
    <w:rsid w:val="64F179BC"/>
    <w:rsid w:val="658A01B0"/>
    <w:rsid w:val="65C94C55"/>
    <w:rsid w:val="665704D3"/>
    <w:rsid w:val="66CF767E"/>
    <w:rsid w:val="673148E2"/>
    <w:rsid w:val="675445CD"/>
    <w:rsid w:val="6773145F"/>
    <w:rsid w:val="67C065A4"/>
    <w:rsid w:val="67CE2B39"/>
    <w:rsid w:val="67D359C9"/>
    <w:rsid w:val="67DD0FCE"/>
    <w:rsid w:val="68295FC1"/>
    <w:rsid w:val="687E00BB"/>
    <w:rsid w:val="68C44A33"/>
    <w:rsid w:val="68F20AA9"/>
    <w:rsid w:val="68FE36DD"/>
    <w:rsid w:val="694E60FC"/>
    <w:rsid w:val="69A97B3C"/>
    <w:rsid w:val="69EF4042"/>
    <w:rsid w:val="6A361E25"/>
    <w:rsid w:val="6AA3205B"/>
    <w:rsid w:val="6ABE3E91"/>
    <w:rsid w:val="6AD353A7"/>
    <w:rsid w:val="6AE65B91"/>
    <w:rsid w:val="6B1B4E0E"/>
    <w:rsid w:val="6BDB2C84"/>
    <w:rsid w:val="6BE97F42"/>
    <w:rsid w:val="6C304B0A"/>
    <w:rsid w:val="6C376EFF"/>
    <w:rsid w:val="6C410A63"/>
    <w:rsid w:val="6C5F3EC7"/>
    <w:rsid w:val="6C675CE6"/>
    <w:rsid w:val="6C88775B"/>
    <w:rsid w:val="6CEF35AF"/>
    <w:rsid w:val="6D4F4321"/>
    <w:rsid w:val="6DBD1686"/>
    <w:rsid w:val="6DD74EF3"/>
    <w:rsid w:val="6DD9424C"/>
    <w:rsid w:val="6DF42BCE"/>
    <w:rsid w:val="6DFF7360"/>
    <w:rsid w:val="6E7A5F73"/>
    <w:rsid w:val="6F2E3798"/>
    <w:rsid w:val="6F327E52"/>
    <w:rsid w:val="6FD74228"/>
    <w:rsid w:val="70FE5EDF"/>
    <w:rsid w:val="71633091"/>
    <w:rsid w:val="72084E9A"/>
    <w:rsid w:val="727D5888"/>
    <w:rsid w:val="72B56DCF"/>
    <w:rsid w:val="73081CA5"/>
    <w:rsid w:val="73DB2131"/>
    <w:rsid w:val="74545B7C"/>
    <w:rsid w:val="746FDD49"/>
    <w:rsid w:val="7487762D"/>
    <w:rsid w:val="749B3DA3"/>
    <w:rsid w:val="749F2380"/>
    <w:rsid w:val="74CD7F2C"/>
    <w:rsid w:val="75385498"/>
    <w:rsid w:val="755328D0"/>
    <w:rsid w:val="75ED7F88"/>
    <w:rsid w:val="769962BD"/>
    <w:rsid w:val="76BC207F"/>
    <w:rsid w:val="76EB4904"/>
    <w:rsid w:val="77163BB5"/>
    <w:rsid w:val="773A30D1"/>
    <w:rsid w:val="777378F5"/>
    <w:rsid w:val="777A2D3C"/>
    <w:rsid w:val="77C849CE"/>
    <w:rsid w:val="77DC78C2"/>
    <w:rsid w:val="78153E6C"/>
    <w:rsid w:val="78537BEA"/>
    <w:rsid w:val="78BB4A14"/>
    <w:rsid w:val="79074B81"/>
    <w:rsid w:val="794A5D98"/>
    <w:rsid w:val="794F0939"/>
    <w:rsid w:val="797F1EE5"/>
    <w:rsid w:val="79AF0FCA"/>
    <w:rsid w:val="79EF2560"/>
    <w:rsid w:val="79F44681"/>
    <w:rsid w:val="7A666C01"/>
    <w:rsid w:val="7AF9279C"/>
    <w:rsid w:val="7B1A0118"/>
    <w:rsid w:val="7B7B97EE"/>
    <w:rsid w:val="7B8F3F36"/>
    <w:rsid w:val="7C072E2B"/>
    <w:rsid w:val="7C5807CC"/>
    <w:rsid w:val="7C8F68E3"/>
    <w:rsid w:val="7CC51958"/>
    <w:rsid w:val="7CEC40B6"/>
    <w:rsid w:val="7D1B3CD3"/>
    <w:rsid w:val="7D276B1C"/>
    <w:rsid w:val="7D6A07B6"/>
    <w:rsid w:val="7D9F66B2"/>
    <w:rsid w:val="7DB80E2E"/>
    <w:rsid w:val="7DF6029C"/>
    <w:rsid w:val="7E222935"/>
    <w:rsid w:val="7E2552FF"/>
    <w:rsid w:val="7E2936C3"/>
    <w:rsid w:val="7E2E365C"/>
    <w:rsid w:val="7E5356EF"/>
    <w:rsid w:val="7E610E09"/>
    <w:rsid w:val="7E6411B9"/>
    <w:rsid w:val="7EA60899"/>
    <w:rsid w:val="7F315A30"/>
    <w:rsid w:val="7F8A6847"/>
    <w:rsid w:val="7F9164CE"/>
    <w:rsid w:val="7F9B734D"/>
    <w:rsid w:val="7FDB3BED"/>
    <w:rsid w:val="7FEE2BD7"/>
    <w:rsid w:val="92EB4AE9"/>
    <w:rsid w:val="AEE65C00"/>
    <w:rsid w:val="AFB6F077"/>
    <w:rsid w:val="CDFD0547"/>
    <w:rsid w:val="D7FFFC1E"/>
    <w:rsid w:val="EF7F6113"/>
    <w:rsid w:val="F6BF791C"/>
    <w:rsid w:val="FD6AEC12"/>
    <w:rsid w:val="FF7BF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8"/>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0"/>
    <w:qFormat/>
    <w:uiPriority w:val="0"/>
    <w:pPr>
      <w:jc w:val="left"/>
    </w:pPr>
    <w:rPr>
      <w:rFonts w:ascii="Arial" w:hAnsi="Arial" w:eastAsia="黑体" w:cs="Arial"/>
    </w:rPr>
  </w:style>
  <w:style w:type="paragraph" w:styleId="9">
    <w:name w:val="Body Text"/>
    <w:basedOn w:val="1"/>
    <w:next w:val="10"/>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7"/>
    <w:qFormat/>
    <w:uiPriority w:val="0"/>
    <w:rPr>
      <w:rFonts w:ascii="Arial" w:hAnsi="Arial" w:eastAsia="宋体" w:cs="Arial"/>
      <w:b/>
      <w:sz w:val="28"/>
    </w:rPr>
  </w:style>
  <w:style w:type="paragraph" w:styleId="11">
    <w:name w:val="Body Text Indent"/>
    <w:basedOn w:val="1"/>
    <w:next w:val="12"/>
    <w:qFormat/>
    <w:uiPriority w:val="0"/>
    <w:pPr>
      <w:spacing w:after="120"/>
      <w:ind w:left="420" w:leftChars="200"/>
    </w:pPr>
    <w:rPr>
      <w:szCs w:val="24"/>
    </w:rPr>
  </w:style>
  <w:style w:type="paragraph" w:styleId="12">
    <w:name w:val="envelope return"/>
    <w:basedOn w:val="1"/>
    <w:next w:val="6"/>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50"/>
    <w:qFormat/>
    <w:uiPriority w:val="99"/>
    <w:rPr>
      <w:rFonts w:ascii="宋体" w:hAnsi="Courier New" w:eastAsiaTheme="minorEastAsia" w:cstheme="minorBidi"/>
      <w:szCs w:val="22"/>
    </w:rPr>
  </w:style>
  <w:style w:type="paragraph" w:styleId="15">
    <w:name w:val="Body Text Indent 2"/>
    <w:basedOn w:val="1"/>
    <w:next w:val="1"/>
    <w:qFormat/>
    <w:uiPriority w:val="0"/>
    <w:pPr>
      <w:spacing w:after="120" w:line="480" w:lineRule="auto"/>
      <w:ind w:left="420" w:leftChars="200"/>
    </w:pPr>
  </w:style>
  <w:style w:type="paragraph" w:styleId="16">
    <w:name w:val="Balloon Text"/>
    <w:basedOn w:val="1"/>
    <w:link w:val="44"/>
    <w:semiHidden/>
    <w:unhideWhenUsed/>
    <w:qFormat/>
    <w:uiPriority w:val="99"/>
    <w:rPr>
      <w:sz w:val="18"/>
      <w:szCs w:val="18"/>
    </w:rPr>
  </w:style>
  <w:style w:type="paragraph" w:styleId="17">
    <w:name w:val="footer"/>
    <w:basedOn w:val="1"/>
    <w:link w:val="49"/>
    <w:unhideWhenUsed/>
    <w:qFormat/>
    <w:uiPriority w:val="99"/>
    <w:pPr>
      <w:tabs>
        <w:tab w:val="center" w:pos="4153"/>
        <w:tab w:val="right" w:pos="8306"/>
      </w:tabs>
      <w:snapToGrid w:val="0"/>
      <w:jc w:val="left"/>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5">
    <w:name w:val="annotation subject"/>
    <w:basedOn w:val="8"/>
    <w:next w:val="8"/>
    <w:link w:val="71"/>
    <w:semiHidden/>
    <w:unhideWhenUsed/>
    <w:qFormat/>
    <w:uiPriority w:val="99"/>
    <w:rPr>
      <w:rFonts w:ascii="@仿宋_GB2312" w:hAnsi="@仿宋_GB2312" w:eastAsia="@仿宋_GB2312" w:cs="@仿宋_GB2312"/>
      <w:b/>
      <w:bCs/>
    </w:rPr>
  </w:style>
  <w:style w:type="paragraph" w:styleId="26">
    <w:name w:val="Body Text First Indent"/>
    <w:basedOn w:val="9"/>
    <w:unhideWhenUsed/>
    <w:qFormat/>
    <w:uiPriority w:val="99"/>
    <w:pPr>
      <w:ind w:firstLine="420" w:firstLineChars="100"/>
    </w:pPr>
  </w:style>
  <w:style w:type="paragraph" w:styleId="27">
    <w:name w:val="Body Text First Indent 2"/>
    <w:basedOn w:val="11"/>
    <w:next w:val="1"/>
    <w:qFormat/>
    <w:uiPriority w:val="0"/>
    <w:pPr>
      <w:ind w:firstLine="420" w:firstLineChars="200"/>
    </w:pPr>
    <w:rPr>
      <w:rFonts w:ascii="Times New Roman" w:hAnsi="Times New Roman" w:cs="Times New Roman"/>
      <w:szCs w:val="21"/>
    </w:rPr>
  </w:style>
  <w:style w:type="table" w:styleId="29">
    <w:name w:val="Table Grid"/>
    <w:basedOn w:val="2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basedOn w:val="30"/>
    <w:semiHidden/>
    <w:unhideWhenUsed/>
    <w:qFormat/>
    <w:uiPriority w:val="99"/>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character" w:customStyle="1" w:styleId="44">
    <w:name w:val="批注框文本 字符"/>
    <w:basedOn w:val="30"/>
    <w:link w:val="16"/>
    <w:semiHidden/>
    <w:qFormat/>
    <w:uiPriority w:val="99"/>
    <w:rPr>
      <w:rFonts w:ascii="@仿宋_GB2312" w:hAnsi="@仿宋_GB2312" w:eastAsia="@仿宋_GB2312" w:cs="@仿宋_GB2312"/>
      <w:sz w:val="18"/>
      <w:szCs w:val="18"/>
    </w:rPr>
  </w:style>
  <w:style w:type="paragraph" w:customStyle="1" w:styleId="45">
    <w:name w:val="正文（缩进）"/>
    <w:basedOn w:val="1"/>
    <w:qFormat/>
    <w:uiPriority w:val="0"/>
    <w:pPr>
      <w:widowControl/>
      <w:spacing w:before="156" w:after="156"/>
      <w:ind w:firstLine="480" w:firstLineChars="200"/>
      <w:jc w:val="left"/>
    </w:pPr>
    <w:rPr>
      <w:kern w:val="0"/>
      <w:sz w:val="24"/>
      <w:szCs w:val="24"/>
    </w:rPr>
  </w:style>
  <w:style w:type="paragraph" w:customStyle="1" w:styleId="46">
    <w:name w:val="xl31"/>
    <w:basedOn w:val="1"/>
    <w:qFormat/>
    <w:uiPriority w:val="0"/>
    <w:pPr>
      <w:widowControl/>
      <w:spacing w:before="100" w:beforeAutospacing="1" w:after="100" w:afterAutospacing="1"/>
      <w:jc w:val="center"/>
    </w:pPr>
    <w:rPr>
      <w:b/>
      <w:bCs/>
      <w:kern w:val="0"/>
      <w:sz w:val="28"/>
      <w:szCs w:val="28"/>
    </w:rPr>
  </w:style>
  <w:style w:type="paragraph" w:customStyle="1" w:styleId="47">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字符"/>
    <w:basedOn w:val="30"/>
    <w:link w:val="18"/>
    <w:qFormat/>
    <w:uiPriority w:val="99"/>
    <w:rPr>
      <w:rFonts w:ascii="@仿宋_GB2312" w:hAnsi="@仿宋_GB2312" w:eastAsia="@仿宋_GB2312" w:cs="@仿宋_GB2312"/>
      <w:sz w:val="18"/>
      <w:szCs w:val="18"/>
    </w:rPr>
  </w:style>
  <w:style w:type="character" w:customStyle="1" w:styleId="49">
    <w:name w:val="页脚 字符"/>
    <w:basedOn w:val="30"/>
    <w:link w:val="17"/>
    <w:qFormat/>
    <w:uiPriority w:val="99"/>
    <w:rPr>
      <w:rFonts w:ascii="@仿宋_GB2312" w:hAnsi="@仿宋_GB2312" w:eastAsia="@仿宋_GB2312" w:cs="@仿宋_GB2312"/>
      <w:sz w:val="18"/>
      <w:szCs w:val="18"/>
    </w:rPr>
  </w:style>
  <w:style w:type="character" w:customStyle="1" w:styleId="50">
    <w:name w:val="纯文本 字符"/>
    <w:link w:val="14"/>
    <w:qFormat/>
    <w:uiPriority w:val="0"/>
    <w:rPr>
      <w:rFonts w:ascii="宋体" w:hAnsi="Courier New"/>
    </w:rPr>
  </w:style>
  <w:style w:type="character" w:customStyle="1" w:styleId="51">
    <w:name w:val="纯文本 字符1"/>
    <w:basedOn w:val="30"/>
    <w:semiHidden/>
    <w:qFormat/>
    <w:uiPriority w:val="99"/>
    <w:rPr>
      <w:rFonts w:hAnsi="Courier New" w:cs="Courier New" w:asciiTheme="minorEastAsia"/>
      <w:szCs w:val="20"/>
    </w:rPr>
  </w:style>
  <w:style w:type="character" w:customStyle="1" w:styleId="52">
    <w:name w:val="未处理的提及1"/>
    <w:basedOn w:val="30"/>
    <w:semiHidden/>
    <w:unhideWhenUsed/>
    <w:qFormat/>
    <w:uiPriority w:val="99"/>
    <w:rPr>
      <w:color w:val="605E5C"/>
      <w:shd w:val="clear" w:color="auto" w:fill="E1DFDD"/>
    </w:rPr>
  </w:style>
  <w:style w:type="paragraph" w:styleId="53">
    <w:name w:val="List Paragraph"/>
    <w:basedOn w:val="1"/>
    <w:next w:val="1"/>
    <w:qFormat/>
    <w:uiPriority w:val="34"/>
    <w:pPr>
      <w:ind w:firstLine="420" w:firstLineChars="200"/>
    </w:pPr>
  </w:style>
  <w:style w:type="paragraph" w:customStyle="1" w:styleId="54">
    <w:name w:val="Char Char Char Char Char Char Char1 Char"/>
    <w:basedOn w:val="1"/>
    <w:qFormat/>
    <w:uiPriority w:val="0"/>
    <w:rPr>
      <w:rFonts w:ascii="Arial" w:hAnsi="Arial" w:eastAsia="宋体" w:cs="Arial"/>
      <w:sz w:val="24"/>
    </w:rPr>
  </w:style>
  <w:style w:type="table" w:customStyle="1" w:styleId="55">
    <w:name w:val="网格表 1 浅色1"/>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0"/>
    <w:semiHidden/>
    <w:qFormat/>
    <w:uiPriority w:val="99"/>
    <w:rPr>
      <w:rFonts w:ascii="@仿宋_GB2312" w:hAnsi="@仿宋_GB2312" w:eastAsia="@仿宋_GB2312" w:cs="@仿宋_GB2312"/>
      <w:szCs w:val="20"/>
    </w:rPr>
  </w:style>
  <w:style w:type="character" w:customStyle="1" w:styleId="57">
    <w:name w:val="日期 字符1"/>
    <w:link w:val="10"/>
    <w:qFormat/>
    <w:uiPriority w:val="0"/>
    <w:rPr>
      <w:rFonts w:ascii="Arial" w:hAnsi="Arial" w:eastAsia="宋体" w:cs="Arial"/>
      <w:b/>
      <w:sz w:val="28"/>
      <w:szCs w:val="20"/>
    </w:rPr>
  </w:style>
  <w:style w:type="character" w:customStyle="1" w:styleId="58">
    <w:name w:val="纯文本 Char1"/>
    <w:qFormat/>
    <w:locked/>
    <w:uiPriority w:val="99"/>
    <w:rPr>
      <w:rFonts w:ascii="Arial" w:hAnsi="Arial" w:eastAsia="Arial"/>
      <w:kern w:val="2"/>
      <w:sz w:val="21"/>
      <w:lang w:val="en-US" w:eastAsia="zh-CN" w:bidi="ar-SA"/>
    </w:rPr>
  </w:style>
  <w:style w:type="character" w:customStyle="1" w:styleId="59">
    <w:name w:val="批注文字 Char"/>
    <w:basedOn w:val="30"/>
    <w:semiHidden/>
    <w:qFormat/>
    <w:uiPriority w:val="99"/>
    <w:rPr>
      <w:rFonts w:ascii="@仿宋_GB2312" w:hAnsi="@仿宋_GB2312" w:eastAsia="@仿宋_GB2312" w:cs="@仿宋_GB2312"/>
      <w:szCs w:val="20"/>
    </w:rPr>
  </w:style>
  <w:style w:type="character" w:customStyle="1" w:styleId="60">
    <w:name w:val="批注文字 字符"/>
    <w:link w:val="8"/>
    <w:qFormat/>
    <w:uiPriority w:val="0"/>
    <w:rPr>
      <w:rFonts w:ascii="Arial" w:hAnsi="Arial" w:eastAsia="黑体" w:cs="Arial"/>
      <w:szCs w:val="20"/>
    </w:rPr>
  </w:style>
  <w:style w:type="character" w:customStyle="1" w:styleId="61">
    <w:name w:val="标题 1 字符"/>
    <w:basedOn w:val="30"/>
    <w:link w:val="2"/>
    <w:qFormat/>
    <w:uiPriority w:val="9"/>
    <w:rPr>
      <w:rFonts w:ascii="@仿宋_GB2312" w:hAnsi="@仿宋_GB2312" w:eastAsia="@仿宋_GB2312" w:cs="@仿宋_GB2312"/>
      <w:b/>
      <w:bCs/>
      <w:kern w:val="44"/>
      <w:sz w:val="44"/>
      <w:szCs w:val="44"/>
    </w:rPr>
  </w:style>
  <w:style w:type="paragraph" w:customStyle="1" w:styleId="6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字符"/>
    <w:basedOn w:val="30"/>
    <w:link w:val="4"/>
    <w:semiHidden/>
    <w:qFormat/>
    <w:uiPriority w:val="9"/>
    <w:rPr>
      <w:rFonts w:ascii="@仿宋_GB2312" w:hAnsi="@仿宋_GB2312" w:eastAsia="@仿宋_GB2312" w:cs="@仿宋_GB2312"/>
      <w:b/>
      <w:bCs/>
      <w:sz w:val="32"/>
      <w:szCs w:val="32"/>
    </w:rPr>
  </w:style>
  <w:style w:type="character" w:customStyle="1" w:styleId="64">
    <w:name w:val="fontstyle01"/>
    <w:basedOn w:val="30"/>
    <w:qFormat/>
    <w:uiPriority w:val="0"/>
    <w:rPr>
      <w:rFonts w:hint="eastAsia" w:ascii="宋体" w:hAnsi="宋体" w:eastAsia="宋体"/>
      <w:color w:val="000000"/>
      <w:sz w:val="22"/>
      <w:szCs w:val="22"/>
    </w:rPr>
  </w:style>
  <w:style w:type="character" w:customStyle="1" w:styleId="65">
    <w:name w:val="fontstyle21"/>
    <w:basedOn w:val="30"/>
    <w:qFormat/>
    <w:uiPriority w:val="0"/>
    <w:rPr>
      <w:rFonts w:hint="default" w:ascii="TimesNewRomanPSMT" w:hAnsi="TimesNewRomanPSMT"/>
      <w:color w:val="000000"/>
      <w:sz w:val="22"/>
      <w:szCs w:val="22"/>
    </w:rPr>
  </w:style>
  <w:style w:type="character" w:customStyle="1" w:styleId="6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semiHidden/>
    <w:qFormat/>
    <w:uiPriority w:val="9"/>
    <w:rPr>
      <w:rFonts w:asciiTheme="majorHAnsi" w:hAnsiTheme="majorHAnsi" w:eastAsiaTheme="majorEastAsia" w:cstheme="majorBidi"/>
      <w:b/>
      <w:bCs/>
      <w:sz w:val="28"/>
      <w:szCs w:val="28"/>
    </w:rPr>
  </w:style>
  <w:style w:type="character" w:customStyle="1" w:styleId="68">
    <w:name w:val="标题 4 字符1"/>
    <w:link w:val="5"/>
    <w:qFormat/>
    <w:uiPriority w:val="0"/>
    <w:rPr>
      <w:rFonts w:ascii="@仿宋_GB2312" w:hAnsi="@仿宋_GB2312" w:eastAsia="@仿宋_GB2312" w:cs="@仿宋_GB2312"/>
      <w:b/>
      <w:bCs/>
      <w:sz w:val="28"/>
      <w:szCs w:val="28"/>
    </w:rPr>
  </w:style>
  <w:style w:type="character" w:customStyle="1" w:styleId="69">
    <w:name w:val="标题 4 Char"/>
    <w:qFormat/>
    <w:uiPriority w:val="0"/>
    <w:rPr>
      <w:rFonts w:ascii="Arial" w:hAnsi="Arial" w:eastAsia="Arial"/>
      <w:b/>
      <w:bCs/>
      <w:kern w:val="2"/>
      <w:sz w:val="28"/>
      <w:szCs w:val="28"/>
      <w:lang w:val="en-US" w:eastAsia="zh-CN" w:bidi="ar-SA"/>
    </w:rPr>
  </w:style>
  <w:style w:type="table" w:customStyle="1" w:styleId="70">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批注主题 字符"/>
    <w:basedOn w:val="60"/>
    <w:link w:val="25"/>
    <w:semiHidden/>
    <w:qFormat/>
    <w:uiPriority w:val="99"/>
    <w:rPr>
      <w:rFonts w:ascii="@仿宋_GB2312" w:hAnsi="@仿宋_GB2312" w:eastAsia="@仿宋_GB2312" w:cs="@仿宋_GB2312"/>
      <w:b/>
      <w:bCs/>
      <w:szCs w:val="20"/>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Text"/>
    <w:basedOn w:val="1"/>
    <w:semiHidden/>
    <w:qFormat/>
    <w:uiPriority w:val="0"/>
    <w:rPr>
      <w:rFonts w:ascii="Arial" w:hAnsi="Arial" w:eastAsia="Arial" w:cs="Arial"/>
      <w:szCs w:val="21"/>
      <w:lang w:eastAsia="en-US"/>
    </w:rPr>
  </w:style>
  <w:style w:type="paragraph" w:customStyle="1" w:styleId="74">
    <w:name w:val="Table Paragraph"/>
    <w:basedOn w:val="1"/>
    <w:qFormat/>
    <w:uiPriority w:val="0"/>
    <w:rPr>
      <w:rFonts w:ascii="宋体" w:hAnsi="宋体" w:eastAsia="宋体" w:cs="宋体"/>
      <w:lang w:val="zh-CN" w:bidi="zh-CN"/>
    </w:rPr>
  </w:style>
  <w:style w:type="paragraph" w:customStyle="1" w:styleId="7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6">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77">
    <w:name w:val="UserStyle_6"/>
    <w:qFormat/>
    <w:uiPriority w:val="0"/>
    <w:pPr>
      <w:spacing w:line="440" w:lineRule="exact"/>
      <w:ind w:left="357" w:hanging="357"/>
      <w:jc w:val="both"/>
      <w:textAlignment w:val="baseline"/>
    </w:pPr>
    <w:rPr>
      <w:rFonts w:ascii="Times New Roman" w:hAnsi="Times New Roman" w:eastAsia="宋体" w:cs="Times New Roman"/>
      <w:kern w:val="2"/>
      <w:sz w:val="21"/>
      <w:szCs w:val="22"/>
      <w:lang w:val="en-US" w:eastAsia="zh-CN" w:bidi="ar-SA"/>
    </w:rPr>
  </w:style>
  <w:style w:type="character" w:customStyle="1" w:styleId="78">
    <w:name w:val="NormalCharacter"/>
    <w:semiHidden/>
    <w:qFormat/>
    <w:uiPriority w:val="0"/>
  </w:style>
  <w:style w:type="character" w:customStyle="1" w:styleId="79">
    <w:name w:val="hover"/>
    <w:basedOn w:val="30"/>
    <w:qFormat/>
    <w:uiPriority w:val="0"/>
  </w:style>
  <w:style w:type="character" w:customStyle="1" w:styleId="80">
    <w:name w:val="hover1"/>
    <w:basedOn w:val="30"/>
    <w:qFormat/>
    <w:uiPriority w:val="0"/>
    <w:rPr>
      <w:color w:val="2590EB"/>
    </w:rPr>
  </w:style>
  <w:style w:type="character" w:customStyle="1" w:styleId="81">
    <w:name w:val="hover2"/>
    <w:basedOn w:val="30"/>
    <w:qFormat/>
    <w:uiPriority w:val="0"/>
    <w:rPr>
      <w:color w:val="2590EB"/>
    </w:rPr>
  </w:style>
  <w:style w:type="character" w:customStyle="1" w:styleId="82">
    <w:name w:val="hover3"/>
    <w:basedOn w:val="30"/>
    <w:qFormat/>
    <w:uiPriority w:val="0"/>
    <w:rPr>
      <w:color w:val="2590EB"/>
      <w:shd w:val="clear" w:color="auto" w:fill="E9F4FD"/>
    </w:rPr>
  </w:style>
  <w:style w:type="character" w:customStyle="1" w:styleId="83">
    <w:name w:val="hover4"/>
    <w:basedOn w:val="30"/>
    <w:qFormat/>
    <w:uiPriority w:val="0"/>
    <w:rPr>
      <w:color w:val="2590EB"/>
      <w:shd w:val="clear" w:color="auto" w:fill="E9F4FD"/>
    </w:rPr>
  </w:style>
  <w:style w:type="paragraph" w:customStyle="1" w:styleId="84">
    <w:name w:val="A正文"/>
    <w:basedOn w:val="1"/>
    <w:qFormat/>
    <w:uiPriority w:val="0"/>
    <w:pPr>
      <w:tabs>
        <w:tab w:val="left" w:pos="893"/>
      </w:tabs>
      <w:spacing w:line="360" w:lineRule="auto"/>
      <w:ind w:firstLine="480"/>
    </w:pPr>
    <w:rPr>
      <w:rFonts w:ascii="Times New Roman" w:hAnsi="Times New Roman" w:eastAsia="宋体" w:cs="Times New Roman"/>
      <w:snapToGrid w:val="0"/>
      <w:color w:val="000000"/>
      <w:kern w:val="0"/>
      <w:sz w:val="24"/>
      <w:lang w:val="zh-CN"/>
    </w:rPr>
  </w:style>
  <w:style w:type="paragraph" w:customStyle="1" w:styleId="85">
    <w:name w:val="xl25"/>
    <w:basedOn w:val="1"/>
    <w:qFormat/>
    <w:uiPriority w:val="0"/>
    <w:pPr>
      <w:widowControl/>
      <w:spacing w:before="100" w:beforeAutospacing="1" w:after="100" w:afterAutospacing="1" w:line="400" w:lineRule="exact"/>
      <w:ind w:firstLine="960" w:firstLineChars="200"/>
      <w:jc w:val="right"/>
      <w:textAlignment w:val="baseline"/>
    </w:pPr>
    <w:rPr>
      <w:rFonts w:ascii="Arial Unicode MS" w:hAnsi="Arial Unicode MS" w:eastAsia="宋体" w:cs="Arial Unicode MS"/>
      <w:color w:val="000000"/>
      <w:kern w:val="0"/>
      <w:sz w:val="18"/>
      <w:szCs w:val="18"/>
      <w:u w:color="000000"/>
    </w:rPr>
  </w:style>
  <w:style w:type="character" w:customStyle="1" w:styleId="86">
    <w:name w:val="status"/>
    <w:basedOn w:val="30"/>
    <w:qFormat/>
    <w:uiPriority w:val="0"/>
    <w:rPr>
      <w:color w:val="0776DD"/>
    </w:rPr>
  </w:style>
  <w:style w:type="character" w:customStyle="1" w:styleId="87">
    <w:name w:val="time"/>
    <w:basedOn w:val="30"/>
    <w:qFormat/>
    <w:uiPriority w:val="0"/>
  </w:style>
  <w:style w:type="character" w:customStyle="1" w:styleId="88">
    <w:name w:val="last-child"/>
    <w:basedOn w:val="30"/>
    <w:qFormat/>
    <w:uiPriority w:val="0"/>
  </w:style>
  <w:style w:type="character" w:customStyle="1" w:styleId="89">
    <w:name w:val="first-child1"/>
    <w:basedOn w:val="30"/>
    <w:qFormat/>
    <w:uiPriority w:val="0"/>
  </w:style>
  <w:style w:type="character" w:customStyle="1" w:styleId="90">
    <w:name w:val="last-child1"/>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73</Pages>
  <Words>31893</Words>
  <Characters>33811</Characters>
  <Lines>306</Lines>
  <Paragraphs>86</Paragraphs>
  <TotalTime>19</TotalTime>
  <ScaleCrop>false</ScaleCrop>
  <LinksUpToDate>false</LinksUpToDate>
  <CharactersWithSpaces>36142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2019-05-07T22:32:00Z</dcterms:created>
  <dc:creator>Anakin</dc:creator>
  <cp:lastModifiedBy>韦韦</cp:lastModifiedBy>
  <cp:lastPrinted>2019-12-08T23:18:00Z</cp:lastPrinted>
  <dcterms:modified xsi:type="dcterms:W3CDTF">2025-09-30T09:37:02Z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8F39F982294B4D23BB28A9E20DEAFE2C_13</vt:lpwstr>
  </property>
  <property fmtid="{D5CDD505-2E9C-101B-9397-08002B2CF9AE}" pid="4" name="KSOTemplateDocerSaveRecord">
    <vt:lpwstr>eyJoZGlkIjoiZmQ5MGI3YTdkMjVkZTZjM2ZjZTQ5YjMxYTJjZjRlOWEiLCJ1c2VySWQiOiIzNjE4MjQ5In0=</vt:lpwstr>
  </property>
</Properties>
</file>