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3694F">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p>
    <w:p w14:paraId="7AE7F684">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p>
    <w:p w14:paraId="432D040D">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52"/>
          <w:szCs w:val="52"/>
          <w:highlight w:val="none"/>
          <w:lang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297AA04E">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r>
        <w:rPr>
          <w:rFonts w:hint="eastAsia" w:ascii="宋体" w:hAnsi="宋体" w:eastAsia="宋体"/>
          <w:b/>
          <w:bCs/>
          <w:color w:val="auto"/>
          <w:sz w:val="52"/>
          <w:szCs w:val="52"/>
          <w:highlight w:val="none"/>
        </w:rPr>
        <w:t>竞争性磋商文件示范文本（服务类）</w:t>
      </w:r>
    </w:p>
    <w:bookmarkEnd w:id="0"/>
    <w:p w14:paraId="1538CE0A">
      <w:pPr>
        <w:tabs>
          <w:tab w:val="left" w:pos="315"/>
          <w:tab w:val="left" w:pos="8820"/>
        </w:tabs>
        <w:spacing w:before="240" w:beforeLines="100" w:after="120" w:afterLines="50" w:line="500" w:lineRule="exact"/>
        <w:ind w:right="267" w:rightChars="127"/>
        <w:jc w:val="center"/>
        <w:rPr>
          <w:rFonts w:ascii="宋体" w:hAnsi="宋体" w:eastAsia="宋体"/>
          <w:bCs/>
          <w:color w:val="auto"/>
          <w:sz w:val="44"/>
          <w:szCs w:val="44"/>
          <w:highlight w:val="none"/>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2024版</w:t>
      </w:r>
      <w:r>
        <w:rPr>
          <w:rFonts w:hint="eastAsia" w:ascii="宋体" w:hAnsi="宋体" w:eastAsia="宋体"/>
          <w:b/>
          <w:bCs/>
          <w:color w:val="auto"/>
          <w:sz w:val="52"/>
          <w:szCs w:val="52"/>
          <w:highlight w:val="none"/>
          <w:lang w:eastAsia="zh-CN"/>
        </w:rPr>
        <w:t>）</w:t>
      </w:r>
    </w:p>
    <w:p w14:paraId="33905E4E">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676FA398">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0A837B59">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5F94592D">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274C2216">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6F551E01">
      <w:pPr>
        <w:tabs>
          <w:tab w:val="left" w:pos="2410"/>
        </w:tabs>
        <w:autoSpaceDE w:val="0"/>
        <w:autoSpaceDN w:val="0"/>
        <w:adjustRightInd w:val="0"/>
        <w:snapToGrid w:val="0"/>
        <w:spacing w:line="360" w:lineRule="auto"/>
        <w:ind w:left="2244" w:leftChars="304" w:hanging="1606" w:hangingChars="500"/>
        <w:rPr>
          <w:rFonts w:hint="eastAsia" w:ascii="宋体" w:hAnsi="宋体" w:eastAsia="宋体"/>
          <w:b/>
          <w:color w:val="auto"/>
          <w:spacing w:val="0"/>
          <w:kern w:val="0"/>
          <w:sz w:val="32"/>
          <w:szCs w:val="32"/>
          <w:highlight w:val="none"/>
        </w:rPr>
      </w:pPr>
    </w:p>
    <w:p w14:paraId="518E24DB">
      <w:pPr>
        <w:tabs>
          <w:tab w:val="left" w:pos="2410"/>
        </w:tabs>
        <w:autoSpaceDE w:val="0"/>
        <w:autoSpaceDN w:val="0"/>
        <w:adjustRightInd w:val="0"/>
        <w:snapToGrid w:val="0"/>
        <w:spacing w:line="360" w:lineRule="auto"/>
        <w:ind w:left="2244" w:leftChars="304" w:hanging="1606" w:hangingChars="500"/>
        <w:rPr>
          <w:rFonts w:hint="eastAsia" w:ascii="宋体" w:hAnsi="宋体" w:eastAsia="宋体"/>
          <w:b/>
          <w:color w:val="auto"/>
          <w:spacing w:val="0"/>
          <w:kern w:val="0"/>
          <w:sz w:val="32"/>
          <w:szCs w:val="32"/>
          <w:highlight w:val="none"/>
        </w:rPr>
      </w:pPr>
    </w:p>
    <w:p w14:paraId="139D6A5C">
      <w:pPr>
        <w:tabs>
          <w:tab w:val="left" w:pos="2410"/>
        </w:tabs>
        <w:autoSpaceDE w:val="0"/>
        <w:autoSpaceDN w:val="0"/>
        <w:adjustRightInd w:val="0"/>
        <w:snapToGrid w:val="0"/>
        <w:spacing w:line="360" w:lineRule="auto"/>
        <w:ind w:left="2244" w:leftChars="304" w:hanging="1606" w:hangingChars="500"/>
        <w:rPr>
          <w:rFonts w:hint="default" w:ascii="宋体" w:hAnsi="宋体" w:eastAsia="宋体"/>
          <w:b/>
          <w:color w:val="auto"/>
          <w:spacing w:val="0"/>
          <w:kern w:val="0"/>
          <w:sz w:val="32"/>
          <w:szCs w:val="32"/>
          <w:highlight w:val="none"/>
          <w:lang w:val="en-US" w:eastAsia="zh-CN"/>
        </w:rPr>
      </w:pPr>
      <w:r>
        <w:rPr>
          <w:rFonts w:hint="eastAsia" w:ascii="宋体" w:hAnsi="宋体" w:eastAsia="宋体"/>
          <w:b/>
          <w:color w:val="auto"/>
          <w:spacing w:val="0"/>
          <w:kern w:val="0"/>
          <w:sz w:val="32"/>
          <w:szCs w:val="32"/>
          <w:highlight w:val="none"/>
        </w:rPr>
        <w:t>项目名称：</w:t>
      </w:r>
      <w:r>
        <w:rPr>
          <w:rFonts w:hint="eastAsia" w:ascii="宋体" w:hAnsi="宋体" w:eastAsia="宋体"/>
          <w:b/>
          <w:color w:val="auto"/>
          <w:spacing w:val="0"/>
          <w:kern w:val="0"/>
          <w:sz w:val="32"/>
          <w:szCs w:val="32"/>
          <w:highlight w:val="none"/>
          <w:u w:val="single"/>
          <w:lang w:val="en-US" w:eastAsia="zh-CN"/>
        </w:rPr>
        <w:t>滁州市长三角一体化示范区供水保障工程跟踪审计项目</w:t>
      </w:r>
    </w:p>
    <w:p w14:paraId="53C74886">
      <w:pPr>
        <w:tabs>
          <w:tab w:val="left" w:pos="2410"/>
        </w:tabs>
        <w:autoSpaceDE w:val="0"/>
        <w:autoSpaceDN w:val="0"/>
        <w:adjustRightInd w:val="0"/>
        <w:snapToGrid w:val="0"/>
        <w:spacing w:line="360" w:lineRule="auto"/>
        <w:ind w:firstLine="643" w:firstLineChars="200"/>
        <w:rPr>
          <w:rFonts w:hint="default" w:ascii="宋体" w:hAnsi="宋体" w:eastAsia="宋体"/>
          <w:b/>
          <w:color w:val="auto"/>
          <w:spacing w:val="0"/>
          <w:kern w:val="0"/>
          <w:sz w:val="32"/>
          <w:szCs w:val="32"/>
          <w:highlight w:val="none"/>
          <w:u w:val="single"/>
          <w:lang w:val="en-US" w:eastAsia="zh-CN"/>
        </w:rPr>
      </w:pPr>
      <w:r>
        <w:rPr>
          <w:rFonts w:hint="eastAsia" w:ascii="宋体" w:hAnsi="宋体" w:eastAsia="宋体"/>
          <w:b/>
          <w:color w:val="auto"/>
          <w:spacing w:val="0"/>
          <w:kern w:val="0"/>
          <w:sz w:val="32"/>
          <w:szCs w:val="32"/>
          <w:highlight w:val="none"/>
        </w:rPr>
        <w:t>项目编号：</w:t>
      </w:r>
      <w:r>
        <w:rPr>
          <w:rFonts w:hint="eastAsia" w:ascii="宋体" w:hAnsi="宋体" w:eastAsia="宋体"/>
          <w:b/>
          <w:color w:val="auto"/>
          <w:spacing w:val="0"/>
          <w:kern w:val="0"/>
          <w:sz w:val="32"/>
          <w:szCs w:val="32"/>
          <w:highlight w:val="none"/>
          <w:u w:val="single"/>
          <w:lang w:val="en-US" w:eastAsia="zh-CN"/>
        </w:rPr>
        <w:t>czsjcg202508-050</w:t>
      </w:r>
    </w:p>
    <w:p w14:paraId="2E4B1144">
      <w:pPr>
        <w:tabs>
          <w:tab w:val="left" w:pos="2410"/>
        </w:tabs>
        <w:autoSpaceDE w:val="0"/>
        <w:autoSpaceDN w:val="0"/>
        <w:adjustRightInd w:val="0"/>
        <w:snapToGrid w:val="0"/>
        <w:spacing w:line="360" w:lineRule="auto"/>
        <w:ind w:firstLine="643" w:firstLineChars="200"/>
        <w:rPr>
          <w:rFonts w:ascii="宋体" w:hAnsi="宋体" w:eastAsia="宋体"/>
          <w:b/>
          <w:color w:val="auto"/>
          <w:spacing w:val="0"/>
          <w:kern w:val="0"/>
          <w:sz w:val="32"/>
          <w:szCs w:val="32"/>
          <w:highlight w:val="none"/>
        </w:rPr>
      </w:pPr>
      <w:r>
        <w:rPr>
          <w:rFonts w:hint="eastAsia" w:ascii="宋体" w:hAnsi="宋体" w:eastAsia="宋体"/>
          <w:b/>
          <w:color w:val="auto"/>
          <w:spacing w:val="0"/>
          <w:kern w:val="0"/>
          <w:sz w:val="32"/>
          <w:szCs w:val="32"/>
          <w:highlight w:val="none"/>
        </w:rPr>
        <w:t>采 购 人：</w:t>
      </w:r>
      <w:r>
        <w:rPr>
          <w:rFonts w:hint="eastAsia" w:ascii="宋体" w:hAnsi="宋体" w:eastAsia="宋体"/>
          <w:b/>
          <w:color w:val="auto"/>
          <w:spacing w:val="-6"/>
          <w:kern w:val="0"/>
          <w:sz w:val="32"/>
          <w:szCs w:val="32"/>
          <w:highlight w:val="none"/>
          <w:u w:val="single"/>
          <w:lang w:val="en-US" w:eastAsia="zh-CN"/>
        </w:rPr>
        <w:t>滁州市水利规划技术服务中心</w:t>
      </w:r>
    </w:p>
    <w:p w14:paraId="61773014">
      <w:pPr>
        <w:tabs>
          <w:tab w:val="left" w:pos="2410"/>
        </w:tabs>
        <w:autoSpaceDE w:val="0"/>
        <w:autoSpaceDN w:val="0"/>
        <w:adjustRightInd w:val="0"/>
        <w:snapToGrid w:val="0"/>
        <w:spacing w:line="360" w:lineRule="auto"/>
        <w:ind w:firstLine="643" w:firstLineChars="200"/>
        <w:rPr>
          <w:rFonts w:hint="default" w:ascii="宋体" w:hAnsi="宋体" w:eastAsia="宋体"/>
          <w:b/>
          <w:color w:val="auto"/>
          <w:spacing w:val="0"/>
          <w:kern w:val="0"/>
          <w:sz w:val="32"/>
          <w:szCs w:val="32"/>
          <w:highlight w:val="none"/>
          <w:lang w:val="en-US"/>
        </w:rPr>
      </w:pPr>
      <w:r>
        <w:rPr>
          <w:rFonts w:hint="eastAsia" w:ascii="宋体" w:hAnsi="宋体" w:eastAsia="宋体"/>
          <w:b/>
          <w:color w:val="auto"/>
          <w:spacing w:val="0"/>
          <w:kern w:val="0"/>
          <w:sz w:val="32"/>
          <w:szCs w:val="32"/>
          <w:highlight w:val="none"/>
        </w:rPr>
        <w:t>采购代理机构：</w:t>
      </w:r>
      <w:r>
        <w:rPr>
          <w:rFonts w:hint="eastAsia" w:ascii="宋体" w:hAnsi="宋体" w:eastAsia="宋体"/>
          <w:b/>
          <w:color w:val="auto"/>
          <w:spacing w:val="0"/>
          <w:kern w:val="0"/>
          <w:sz w:val="32"/>
          <w:szCs w:val="32"/>
          <w:highlight w:val="none"/>
          <w:u w:val="single"/>
          <w:lang w:val="en-US" w:eastAsia="zh-CN"/>
        </w:rPr>
        <w:t>滁州市政府采购中心</w:t>
      </w:r>
    </w:p>
    <w:p w14:paraId="4C9F0F6B">
      <w:pPr>
        <w:tabs>
          <w:tab w:val="left" w:pos="2410"/>
        </w:tabs>
        <w:autoSpaceDE w:val="0"/>
        <w:autoSpaceDN w:val="0"/>
        <w:adjustRightInd w:val="0"/>
        <w:snapToGrid w:val="0"/>
        <w:spacing w:line="360" w:lineRule="auto"/>
        <w:jc w:val="center"/>
        <w:rPr>
          <w:rFonts w:hint="eastAsia" w:ascii="宋体" w:hAnsi="宋体" w:eastAsia="宋体"/>
          <w:b/>
          <w:color w:val="auto"/>
          <w:sz w:val="36"/>
          <w:highlight w:val="none"/>
        </w:rPr>
      </w:pP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2025</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 xml:space="preserve">8 </w:t>
      </w:r>
      <w:r>
        <w:rPr>
          <w:rFonts w:hint="eastAsia" w:ascii="宋体" w:hAnsi="宋体" w:eastAsia="宋体"/>
          <w:b/>
          <w:color w:val="auto"/>
          <w:sz w:val="36"/>
          <w:highlight w:val="none"/>
        </w:rPr>
        <w:t>月</w:t>
      </w:r>
    </w:p>
    <w:p w14:paraId="16EACF86">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ascii="宋体" w:hAnsi="宋体" w:eastAsia="宋体"/>
          <w:b/>
          <w:color w:val="auto"/>
          <w:sz w:val="36"/>
          <w:highlight w:val="none"/>
        </w:rPr>
        <w:br w:type="page"/>
      </w:r>
    </w:p>
    <w:p w14:paraId="6B3E0448">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7E2CE302">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p>
    <w:p w14:paraId="48A0D08D">
      <w:pPr>
        <w:pStyle w:val="19"/>
        <w:tabs>
          <w:tab w:val="right" w:leader="dot" w:pos="8279"/>
        </w:tabs>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"1-1" \h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_Toc19927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磋商邀请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_Toc19927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598D178">
      <w:pPr>
        <w:pStyle w:val="19"/>
        <w:tabs>
          <w:tab w:val="right" w:leader="dot" w:pos="8279"/>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_Toc3785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_Toc3785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C85D7C7">
      <w:pPr>
        <w:pStyle w:val="19"/>
        <w:tabs>
          <w:tab w:val="right" w:leader="dot" w:pos="8279"/>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_Toc28125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_Toc28125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F0967A8">
      <w:pPr>
        <w:pStyle w:val="19"/>
        <w:tabs>
          <w:tab w:val="right" w:leader="dot" w:pos="8279"/>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_Toc17554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评审方法和标准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_Toc17554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D58D2A">
      <w:pPr>
        <w:pStyle w:val="19"/>
        <w:tabs>
          <w:tab w:val="right" w:leader="dot" w:pos="8279"/>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政府采购合同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4AE3240">
      <w:pPr>
        <w:pStyle w:val="19"/>
        <w:tabs>
          <w:tab w:val="right" w:leader="dot" w:pos="8279"/>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_Toc16475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_Toc16475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359BAC6">
      <w:pPr>
        <w:pStyle w:val="19"/>
        <w:tabs>
          <w:tab w:val="right" w:leader="dot" w:pos="8279"/>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_Toc7345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lang w:val="en-US" w:eastAsia="zh-CN"/>
        </w:rPr>
        <w:t>七</w:t>
      </w:r>
      <w:r>
        <w:rPr>
          <w:rFonts w:hint="eastAsia" w:ascii="宋体" w:hAnsi="宋体" w:eastAsia="宋体" w:cs="宋体"/>
          <w:bCs/>
          <w:color w:val="auto"/>
          <w:sz w:val="24"/>
          <w:szCs w:val="24"/>
          <w:highlight w:val="none"/>
        </w:rPr>
        <w:t>章  政府采购</w:t>
      </w:r>
      <w:r>
        <w:rPr>
          <w:rFonts w:hint="eastAsia" w:ascii="宋体" w:hAnsi="宋体" w:eastAsia="宋体" w:cs="宋体"/>
          <w:color w:val="auto"/>
          <w:sz w:val="24"/>
          <w:szCs w:val="24"/>
          <w:highlight w:val="none"/>
        </w:rPr>
        <w:t>供应</w:t>
      </w:r>
      <w:r>
        <w:rPr>
          <w:rFonts w:hint="eastAsia" w:ascii="宋体" w:hAnsi="宋体" w:eastAsia="宋体" w:cs="宋体"/>
          <w:bCs/>
          <w:color w:val="auto"/>
          <w:sz w:val="24"/>
          <w:szCs w:val="24"/>
          <w:highlight w:val="none"/>
        </w:rPr>
        <w:t>商询问函和质疑函范本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_Toc7345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9FE303">
      <w:pPr>
        <w:pStyle w:val="20"/>
        <w:tabs>
          <w:tab w:val="right" w:leader="dot" w:pos="8296"/>
        </w:tabs>
        <w:rPr>
          <w:rFonts w:asciiTheme="minorEastAsia" w:hAnsiTheme="minorEastAsia"/>
          <w:b/>
          <w:color w:val="auto"/>
          <w:sz w:val="32"/>
          <w:highlight w:val="none"/>
        </w:rPr>
      </w:pPr>
      <w:r>
        <w:rPr>
          <w:rFonts w:hint="eastAsia" w:ascii="宋体" w:hAnsi="宋体" w:eastAsia="宋体" w:cs="宋体"/>
          <w:color w:val="auto"/>
          <w:sz w:val="24"/>
          <w:szCs w:val="24"/>
          <w:highlight w:val="none"/>
        </w:rPr>
        <w:fldChar w:fldCharType="end"/>
      </w:r>
    </w:p>
    <w:p w14:paraId="7A9189AC">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3B944D49">
      <w:pPr>
        <w:spacing w:line="360" w:lineRule="auto"/>
        <w:jc w:val="center"/>
        <w:outlineLvl w:val="0"/>
        <w:rPr>
          <w:rFonts w:asciiTheme="minorEastAsia" w:hAnsiTheme="minorEastAsia" w:eastAsiaTheme="minorEastAsia"/>
          <w:b/>
          <w:color w:val="auto"/>
          <w:sz w:val="28"/>
          <w:highlight w:val="none"/>
        </w:rPr>
      </w:pPr>
      <w:bookmarkStart w:id="1" w:name="_Toc19927"/>
      <w:bookmarkStart w:id="2" w:name="_Toc19988"/>
      <w:bookmarkStart w:id="3" w:name="_Toc501"/>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磋商邀请</w:t>
      </w:r>
      <w:bookmarkEnd w:id="1"/>
      <w:bookmarkEnd w:id="2"/>
      <w:bookmarkEnd w:id="3"/>
    </w:p>
    <w:p w14:paraId="2DCF0D7E">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项目概况</w:t>
      </w:r>
    </w:p>
    <w:p w14:paraId="52B09448">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滁州市长三角一体化示范区供水保障工程跟踪审计项目</w:t>
      </w:r>
      <w:r>
        <w:rPr>
          <w:rFonts w:hint="eastAsia" w:ascii="宋体" w:hAnsi="宋体" w:eastAsia="宋体" w:cs="宋体"/>
          <w:color w:val="auto"/>
          <w:kern w:val="2"/>
          <w:sz w:val="24"/>
          <w:szCs w:val="24"/>
          <w:highlight w:val="none"/>
          <w:lang w:val="en-US" w:eastAsia="zh-CN" w:bidi="ar"/>
        </w:rPr>
        <w:t>的潜在供应商应在滁州市公共资源交易中心网（http://ggzy.chuzhou.gov.cn/）获取采购文件，并于2025年9月2日8点00分（北京时间）前递交响应文件。</w:t>
      </w:r>
    </w:p>
    <w:p w14:paraId="06AD6A2A">
      <w:pPr>
        <w:keepNext w:val="0"/>
        <w:keepLines w:val="0"/>
        <w:widowControl w:val="0"/>
        <w:suppressLineNumbers w:val="0"/>
        <w:spacing w:before="0" w:beforeAutospacing="0" w:after="0" w:afterAutospacing="0" w:line="480" w:lineRule="exact"/>
        <w:ind w:left="0" w:right="0" w:firstLine="435"/>
        <w:jc w:val="both"/>
        <w:outlineLvl w:val="1"/>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一、项目基本情况</w:t>
      </w:r>
    </w:p>
    <w:p w14:paraId="76C75A38">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default" w:ascii="Arial" w:hAnsi="Arial" w:eastAsia="宋体" w:cs="Arial"/>
          <w:color w:val="5C5C5C"/>
          <w:sz w:val="21"/>
          <w:szCs w:val="21"/>
          <w:highlight w:val="none"/>
        </w:rPr>
      </w:pPr>
      <w:r>
        <w:rPr>
          <w:rFonts w:hint="eastAsia" w:ascii="宋体" w:hAnsi="宋体" w:eastAsia="宋体" w:cs="宋体"/>
          <w:color w:val="auto"/>
          <w:kern w:val="2"/>
          <w:sz w:val="24"/>
          <w:szCs w:val="24"/>
          <w:highlight w:val="none"/>
          <w:lang w:val="en-US" w:eastAsia="zh-CN" w:bidi="ar"/>
        </w:rPr>
        <w:t>项目编号：czsjcg202508-050</w:t>
      </w:r>
    </w:p>
    <w:p w14:paraId="0E020772">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项目名称：滁州市长三角一体化示范区供水保障工程跟踪审计项目</w:t>
      </w:r>
    </w:p>
    <w:p w14:paraId="037BBCEC">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采购方式：竞争性磋商</w:t>
      </w:r>
    </w:p>
    <w:p w14:paraId="312E2672">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预算金额：</w:t>
      </w:r>
      <w:r>
        <w:rPr>
          <w:rFonts w:hint="eastAsia" w:ascii="宋体" w:hAnsi="宋体" w:eastAsia="宋体" w:cs="宋体"/>
          <w:color w:val="auto"/>
          <w:sz w:val="24"/>
          <w:highlight w:val="none"/>
          <w:lang w:eastAsia="zh-CN"/>
        </w:rPr>
        <w:t>约</w:t>
      </w:r>
      <w:r>
        <w:rPr>
          <w:rFonts w:hint="eastAsia" w:ascii="宋体" w:hAnsi="宋体" w:eastAsia="宋体" w:cs="宋体"/>
          <w:color w:val="auto"/>
          <w:sz w:val="24"/>
          <w:highlight w:val="none"/>
          <w:lang w:val="en-US" w:eastAsia="zh-CN"/>
        </w:rPr>
        <w:t>160</w:t>
      </w:r>
      <w:r>
        <w:rPr>
          <w:rFonts w:hint="eastAsia" w:ascii="宋体" w:hAnsi="宋体" w:eastAsia="宋体" w:cs="宋体"/>
          <w:color w:val="auto"/>
          <w:sz w:val="24"/>
          <w:highlight w:val="none"/>
          <w:lang w:eastAsia="zh-CN"/>
        </w:rPr>
        <w:t>万元</w:t>
      </w:r>
    </w:p>
    <w:p w14:paraId="2E1B49EA">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最高限价：基本费率1.0‰、审核成果费率1.5%（审核成果费率固定不变），投标报价（费率）高于最高限价（费率）的，其投标文件按无效标处理。</w:t>
      </w:r>
    </w:p>
    <w:p w14:paraId="27693299">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采购需求：施工阶段全过程工程跟踪审计服务。</w:t>
      </w:r>
    </w:p>
    <w:p w14:paraId="09EAAC28">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合同履行期限：从合同签订之日起，至整个项目竣工验收合格，并将全部审计资料移交至采购人为止。</w:t>
      </w:r>
    </w:p>
    <w:p w14:paraId="51591CE0">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本项目接受联合体参加磋商。联合体参加磋商的，联合体（牵头方和成员方）总数不得超过2家。</w:t>
      </w:r>
    </w:p>
    <w:p w14:paraId="79572665">
      <w:pPr>
        <w:keepNext w:val="0"/>
        <w:keepLines w:val="0"/>
        <w:widowControl w:val="0"/>
        <w:suppressLineNumbers w:val="0"/>
        <w:spacing w:before="0" w:beforeAutospacing="0" w:after="0" w:afterAutospacing="0" w:line="480" w:lineRule="exact"/>
        <w:ind w:left="0" w:right="0" w:firstLine="435"/>
        <w:jc w:val="both"/>
        <w:outlineLvl w:val="1"/>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二</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
        </w:rPr>
        <w:t>申请人的资格要求</w:t>
      </w:r>
    </w:p>
    <w:p w14:paraId="16DB9730">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1.满足《中华人民共和国政府采购法》第二十二条规定；</w:t>
      </w:r>
    </w:p>
    <w:p w14:paraId="6759EFD8">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落实政府采购政策需满足的资格要求：按照财政部、工业和信息化部制定的《政府采购促进中小企业发展管理办法》第六条第三款（按照本办法规定预留采购份额无法确保充分供应、充分竞争，或者存在可能影响政府采购目标实现的情形）之规定，本项目为非专门面向中小企业采购项目。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3180EE85">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3.本项目的特定资格要求：供应商拟派的项目负责人必须具备有效的注册在供应商的水利工程专业（或土木建筑工程专业）一级造价工程师注册证书。</w:t>
      </w:r>
    </w:p>
    <w:p w14:paraId="29E3D543">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4.信誉要求：投标人不得存在以下情形：</w:t>
      </w:r>
    </w:p>
    <w:p w14:paraId="29821C1D">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①被列入“信用中国”网站“失信被执行人”的；</w:t>
      </w:r>
    </w:p>
    <w:p w14:paraId="0FEEF1A9">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②被列入“信用中国”网站“重大税收违法失信主体”的；</w:t>
      </w:r>
    </w:p>
    <w:p w14:paraId="4D8F6D69">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③被列入“信用中国”网站 “严重失信主体名单”的；</w:t>
      </w:r>
    </w:p>
    <w:p w14:paraId="1510E7F6">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④在“信用中国”网站上披露的仍在公示期的严重失信行为(具体行为类别及判定依据见“信用中国”查询的严重失信行为类别及判定依据)的。</w:t>
      </w:r>
    </w:p>
    <w:p w14:paraId="31D59BBA">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⑤被列入国家企业信用信息公示系统网站“经营异常名录”或者“严重违法失信名单”的。</w:t>
      </w:r>
    </w:p>
    <w:p w14:paraId="78AC9DE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⑥被列入中国政府采购网站“政府采购严重违法失信行为信息记录”的。</w:t>
      </w:r>
    </w:p>
    <w:p w14:paraId="3165605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⑦前三年有行贿犯罪行为的单位和个人。</w:t>
      </w:r>
    </w:p>
    <w:p w14:paraId="20DF799E">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5.投标人所属分公司、办事处等分支机构存在第4款信誉要求①-⑦项情形之一的，接受投标人参加本项目。</w:t>
      </w:r>
    </w:p>
    <w:p w14:paraId="13A40910">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备注：第4、5条按照“关于联合惩戒失信行为加强信用查询管理的通知”查询或承诺。</w:t>
      </w:r>
    </w:p>
    <w:p w14:paraId="5975697C">
      <w:pPr>
        <w:keepNext w:val="0"/>
        <w:keepLines w:val="0"/>
        <w:widowControl w:val="0"/>
        <w:suppressLineNumbers w:val="0"/>
        <w:spacing w:before="0" w:beforeAutospacing="0" w:after="0" w:afterAutospacing="0" w:line="480" w:lineRule="exact"/>
        <w:ind w:left="0" w:right="0" w:firstLine="435"/>
        <w:jc w:val="both"/>
        <w:outlineLvl w:val="1"/>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三</w:t>
      </w:r>
      <w:r>
        <w:rPr>
          <w:rFonts w:hint="eastAsia" w:ascii="宋体" w:hAnsi="宋体" w:eastAsia="宋体" w:cs="宋体"/>
          <w:b/>
          <w:bCs w:val="0"/>
          <w:color w:val="auto"/>
          <w:kern w:val="2"/>
          <w:sz w:val="24"/>
          <w:szCs w:val="24"/>
          <w:highlight w:val="none"/>
          <w:lang w:val="en-US" w:eastAsia="zh-CN" w:bidi="ar"/>
        </w:rPr>
        <w:t>、获取采购文件</w:t>
      </w:r>
    </w:p>
    <w:p w14:paraId="2E8308EF">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时间：</w:t>
      </w:r>
      <w:r>
        <w:rPr>
          <w:rFonts w:hint="eastAsia" w:ascii="宋体" w:hAnsi="宋体" w:eastAsia="宋体" w:cs="宋体"/>
          <w:color w:val="auto"/>
          <w:kern w:val="2"/>
          <w:sz w:val="24"/>
          <w:szCs w:val="24"/>
          <w:highlight w:val="none"/>
          <w:u w:val="single"/>
          <w:lang w:val="en-US" w:eastAsia="zh-CN" w:bidi="ar"/>
        </w:rPr>
        <w:t>2025</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8</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22</w:t>
      </w:r>
      <w:r>
        <w:rPr>
          <w:rFonts w:hint="eastAsia" w:ascii="宋体" w:hAnsi="宋体" w:eastAsia="宋体" w:cs="宋体"/>
          <w:color w:val="auto"/>
          <w:kern w:val="2"/>
          <w:sz w:val="24"/>
          <w:szCs w:val="24"/>
          <w:highlight w:val="none"/>
          <w:lang w:val="en-US" w:eastAsia="zh-CN" w:bidi="ar"/>
        </w:rPr>
        <w:t>日至</w:t>
      </w:r>
      <w:r>
        <w:rPr>
          <w:rFonts w:hint="eastAsia" w:ascii="宋体" w:hAnsi="宋体" w:eastAsia="宋体" w:cs="宋体"/>
          <w:color w:val="auto"/>
          <w:kern w:val="2"/>
          <w:sz w:val="24"/>
          <w:szCs w:val="24"/>
          <w:highlight w:val="none"/>
          <w:u w:val="single"/>
          <w:lang w:val="en-US" w:eastAsia="zh-CN" w:bidi="ar"/>
        </w:rPr>
        <w:t>2025</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9</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2</w:t>
      </w:r>
      <w:r>
        <w:rPr>
          <w:rFonts w:hint="eastAsia" w:ascii="宋体" w:hAnsi="宋体" w:eastAsia="宋体" w:cs="宋体"/>
          <w:color w:val="auto"/>
          <w:kern w:val="2"/>
          <w:sz w:val="24"/>
          <w:szCs w:val="24"/>
          <w:highlight w:val="none"/>
          <w:lang w:val="en-US" w:eastAsia="zh-CN" w:bidi="ar"/>
        </w:rPr>
        <w:t>日</w:t>
      </w:r>
    </w:p>
    <w:p w14:paraId="5B729517">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地点：</w:t>
      </w:r>
      <w:r>
        <w:rPr>
          <w:rFonts w:hint="eastAsia" w:ascii="宋体" w:hAnsi="宋体" w:eastAsia="宋体" w:cs="宋体"/>
          <w:color w:val="auto"/>
          <w:kern w:val="2"/>
          <w:sz w:val="24"/>
          <w:szCs w:val="24"/>
          <w:highlight w:val="none"/>
          <w:u w:val="single"/>
          <w:lang w:val="en-US" w:eastAsia="zh-CN" w:bidi="ar"/>
        </w:rPr>
        <w:t>滁州市公共资源交易中心网</w:t>
      </w:r>
    </w:p>
    <w:p w14:paraId="5BBC6769">
      <w:pPr>
        <w:keepNext w:val="0"/>
        <w:keepLines w:val="0"/>
        <w:widowControl w:val="0"/>
        <w:suppressLineNumbers w:val="0"/>
        <w:autoSpaceDE w:val="0"/>
        <w:autoSpaceDN/>
        <w:spacing w:before="0" w:beforeAutospacing="0" w:after="0" w:afterAutospacing="0" w:line="480" w:lineRule="exact"/>
        <w:ind w:left="0" w:right="0" w:firstLine="480" w:firstLineChars="200"/>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方式：</w:t>
      </w:r>
      <w:r>
        <w:rPr>
          <w:rFonts w:hint="eastAsia" w:ascii="宋体" w:hAnsi="宋体" w:eastAsia="宋体" w:cs="宋体"/>
          <w:color w:val="auto"/>
          <w:kern w:val="2"/>
          <w:sz w:val="24"/>
          <w:szCs w:val="24"/>
          <w:highlight w:val="none"/>
          <w:u w:val="single"/>
          <w:lang w:val="en-US" w:eastAsia="zh-CN" w:bidi="ar"/>
        </w:rPr>
        <w:t>网上下载</w:t>
      </w:r>
    </w:p>
    <w:p w14:paraId="2F8B0435">
      <w:pPr>
        <w:keepNext w:val="0"/>
        <w:keepLines w:val="0"/>
        <w:widowControl w:val="0"/>
        <w:suppressLineNumbers w:val="0"/>
        <w:autoSpaceDE w:val="0"/>
        <w:autoSpaceDN/>
        <w:spacing w:before="0" w:beforeAutospacing="0" w:after="0" w:afterAutospacing="0" w:line="480" w:lineRule="exact"/>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售价：</w:t>
      </w:r>
      <w:r>
        <w:rPr>
          <w:rFonts w:hint="eastAsia" w:ascii="宋体" w:hAnsi="宋体" w:eastAsia="宋体" w:cs="宋体"/>
          <w:color w:val="auto"/>
          <w:kern w:val="2"/>
          <w:sz w:val="24"/>
          <w:szCs w:val="24"/>
          <w:highlight w:val="none"/>
          <w:u w:val="single"/>
          <w:lang w:val="en-US" w:eastAsia="zh-CN" w:bidi="ar"/>
        </w:rPr>
        <w:t>0元</w:t>
      </w:r>
    </w:p>
    <w:p w14:paraId="28F555AC">
      <w:pPr>
        <w:keepNext w:val="0"/>
        <w:keepLines w:val="0"/>
        <w:widowControl w:val="0"/>
        <w:suppressLineNumbers w:val="0"/>
        <w:spacing w:before="0" w:beforeAutospacing="0" w:after="0" w:afterAutospacing="0" w:line="480" w:lineRule="exact"/>
        <w:ind w:left="0" w:right="0" w:firstLine="435"/>
        <w:jc w:val="both"/>
        <w:outlineLvl w:val="1"/>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四</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
        </w:rPr>
        <w:t>响应文件提交</w:t>
      </w:r>
    </w:p>
    <w:p w14:paraId="0CD54918">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截止时间：</w:t>
      </w:r>
      <w:r>
        <w:rPr>
          <w:rFonts w:hint="eastAsia" w:ascii="宋体" w:hAnsi="宋体" w:eastAsia="宋体" w:cs="宋体"/>
          <w:bCs/>
          <w:color w:val="auto"/>
          <w:kern w:val="2"/>
          <w:sz w:val="24"/>
          <w:szCs w:val="24"/>
          <w:highlight w:val="none"/>
          <w:u w:val="single"/>
          <w:lang w:val="en-US" w:eastAsia="zh-CN" w:bidi="ar"/>
        </w:rPr>
        <w:t>2025</w:t>
      </w:r>
      <w:r>
        <w:rPr>
          <w:rFonts w:hint="eastAsia" w:ascii="宋体" w:hAnsi="宋体" w:eastAsia="宋体" w:cs="宋体"/>
          <w:bCs/>
          <w:color w:val="auto"/>
          <w:kern w:val="2"/>
          <w:sz w:val="24"/>
          <w:szCs w:val="24"/>
          <w:highlight w:val="none"/>
          <w:lang w:val="en-US" w:eastAsia="zh-CN" w:bidi="ar"/>
        </w:rPr>
        <w:t>年</w:t>
      </w:r>
      <w:r>
        <w:rPr>
          <w:rFonts w:hint="eastAsia" w:ascii="宋体" w:hAnsi="宋体" w:eastAsia="宋体" w:cs="宋体"/>
          <w:bCs/>
          <w:color w:val="auto"/>
          <w:kern w:val="2"/>
          <w:sz w:val="24"/>
          <w:szCs w:val="24"/>
          <w:highlight w:val="none"/>
          <w:u w:val="single"/>
          <w:lang w:val="en-US" w:eastAsia="zh-CN" w:bidi="ar"/>
        </w:rPr>
        <w:t>9</w:t>
      </w:r>
      <w:r>
        <w:rPr>
          <w:rFonts w:hint="eastAsia" w:ascii="宋体" w:hAnsi="宋体" w:eastAsia="宋体" w:cs="宋体"/>
          <w:bCs/>
          <w:color w:val="auto"/>
          <w:kern w:val="2"/>
          <w:sz w:val="24"/>
          <w:szCs w:val="24"/>
          <w:highlight w:val="none"/>
          <w:lang w:val="en-US" w:eastAsia="zh-CN" w:bidi="ar"/>
        </w:rPr>
        <w:t>月</w:t>
      </w:r>
      <w:r>
        <w:rPr>
          <w:rFonts w:hint="eastAsia" w:ascii="宋体" w:hAnsi="宋体" w:eastAsia="宋体" w:cs="宋体"/>
          <w:bCs/>
          <w:color w:val="auto"/>
          <w:kern w:val="2"/>
          <w:sz w:val="24"/>
          <w:szCs w:val="24"/>
          <w:highlight w:val="none"/>
          <w:u w:val="single"/>
          <w:lang w:val="en-US" w:eastAsia="zh-CN" w:bidi="ar"/>
        </w:rPr>
        <w:t>2</w:t>
      </w:r>
      <w:r>
        <w:rPr>
          <w:rFonts w:hint="eastAsia" w:ascii="宋体" w:hAnsi="宋体" w:eastAsia="宋体" w:cs="宋体"/>
          <w:bCs/>
          <w:color w:val="auto"/>
          <w:kern w:val="2"/>
          <w:sz w:val="24"/>
          <w:szCs w:val="24"/>
          <w:highlight w:val="none"/>
          <w:lang w:val="en-US" w:eastAsia="zh-CN" w:bidi="ar"/>
        </w:rPr>
        <w:t>日</w:t>
      </w:r>
      <w:r>
        <w:rPr>
          <w:rFonts w:hint="eastAsia" w:ascii="宋体" w:hAnsi="宋体" w:eastAsia="宋体" w:cs="宋体"/>
          <w:bCs/>
          <w:color w:val="auto"/>
          <w:kern w:val="2"/>
          <w:sz w:val="24"/>
          <w:szCs w:val="24"/>
          <w:highlight w:val="none"/>
          <w:u w:val="single"/>
          <w:lang w:val="en-US" w:eastAsia="zh-CN" w:bidi="ar"/>
        </w:rPr>
        <w:t>8</w:t>
      </w:r>
      <w:r>
        <w:rPr>
          <w:rFonts w:hint="eastAsia" w:ascii="宋体" w:hAnsi="宋体" w:eastAsia="宋体" w:cs="宋体"/>
          <w:bCs/>
          <w:color w:val="auto"/>
          <w:kern w:val="2"/>
          <w:sz w:val="24"/>
          <w:szCs w:val="24"/>
          <w:highlight w:val="none"/>
          <w:lang w:val="en-US" w:eastAsia="zh-CN" w:bidi="ar"/>
        </w:rPr>
        <w:t>点</w:t>
      </w:r>
      <w:r>
        <w:rPr>
          <w:rFonts w:hint="eastAsia" w:ascii="宋体" w:hAnsi="宋体" w:eastAsia="宋体" w:cs="宋体"/>
          <w:bCs/>
          <w:color w:val="auto"/>
          <w:kern w:val="2"/>
          <w:sz w:val="24"/>
          <w:szCs w:val="24"/>
          <w:highlight w:val="none"/>
          <w:u w:val="single"/>
          <w:lang w:val="en-US" w:eastAsia="zh-CN" w:bidi="ar"/>
        </w:rPr>
        <w:t>00</w:t>
      </w:r>
      <w:r>
        <w:rPr>
          <w:rFonts w:hint="eastAsia" w:ascii="宋体" w:hAnsi="宋体" w:eastAsia="宋体" w:cs="宋体"/>
          <w:bCs/>
          <w:color w:val="auto"/>
          <w:kern w:val="2"/>
          <w:sz w:val="24"/>
          <w:szCs w:val="24"/>
          <w:highlight w:val="none"/>
          <w:lang w:val="en-US" w:eastAsia="zh-CN" w:bidi="ar"/>
        </w:rPr>
        <w:t>分（北京时间）</w:t>
      </w:r>
    </w:p>
    <w:p w14:paraId="3338ADFC">
      <w:pPr>
        <w:keepNext w:val="0"/>
        <w:keepLines w:val="0"/>
        <w:widowControl w:val="0"/>
        <w:suppressLineNumbers w:val="0"/>
        <w:spacing w:before="0" w:beforeAutospacing="0" w:after="0" w:afterAutospacing="0" w:line="480" w:lineRule="exact"/>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地点：滁州市公共资源交易平台电子交易系统</w:t>
      </w:r>
    </w:p>
    <w:p w14:paraId="48E86873">
      <w:pPr>
        <w:keepNext w:val="0"/>
        <w:keepLines w:val="0"/>
        <w:widowControl w:val="0"/>
        <w:suppressLineNumbers w:val="0"/>
        <w:spacing w:before="0" w:beforeAutospacing="0" w:after="0" w:afterAutospacing="0" w:line="480" w:lineRule="exact"/>
        <w:ind w:left="0" w:right="0" w:firstLine="435"/>
        <w:jc w:val="both"/>
        <w:outlineLvl w:val="1"/>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五</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
        </w:rPr>
        <w:t>开启</w:t>
      </w:r>
    </w:p>
    <w:p w14:paraId="7CB84E76">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时间：</w:t>
      </w:r>
      <w:r>
        <w:rPr>
          <w:rFonts w:hint="eastAsia" w:ascii="宋体" w:hAnsi="宋体" w:eastAsia="宋体" w:cs="宋体"/>
          <w:bCs/>
          <w:color w:val="auto"/>
          <w:kern w:val="2"/>
          <w:sz w:val="24"/>
          <w:szCs w:val="24"/>
          <w:highlight w:val="none"/>
          <w:u w:val="single"/>
          <w:lang w:val="en-US" w:eastAsia="zh-CN" w:bidi="ar"/>
        </w:rPr>
        <w:t>2025</w:t>
      </w:r>
      <w:r>
        <w:rPr>
          <w:rFonts w:hint="eastAsia" w:ascii="宋体" w:hAnsi="宋体" w:eastAsia="宋体" w:cs="宋体"/>
          <w:bCs/>
          <w:color w:val="auto"/>
          <w:kern w:val="2"/>
          <w:sz w:val="24"/>
          <w:szCs w:val="24"/>
          <w:highlight w:val="none"/>
          <w:lang w:val="en-US" w:eastAsia="zh-CN" w:bidi="ar"/>
        </w:rPr>
        <w:t>年</w:t>
      </w:r>
      <w:r>
        <w:rPr>
          <w:rFonts w:hint="eastAsia" w:ascii="宋体" w:hAnsi="宋体" w:eastAsia="宋体" w:cs="宋体"/>
          <w:bCs/>
          <w:color w:val="auto"/>
          <w:kern w:val="2"/>
          <w:sz w:val="24"/>
          <w:szCs w:val="24"/>
          <w:highlight w:val="none"/>
          <w:u w:val="single"/>
          <w:lang w:val="en-US" w:eastAsia="zh-CN" w:bidi="ar"/>
        </w:rPr>
        <w:t>9</w:t>
      </w:r>
      <w:r>
        <w:rPr>
          <w:rFonts w:hint="eastAsia" w:ascii="宋体" w:hAnsi="宋体" w:eastAsia="宋体" w:cs="宋体"/>
          <w:bCs/>
          <w:color w:val="auto"/>
          <w:kern w:val="2"/>
          <w:sz w:val="24"/>
          <w:szCs w:val="24"/>
          <w:highlight w:val="none"/>
          <w:lang w:val="en-US" w:eastAsia="zh-CN" w:bidi="ar"/>
        </w:rPr>
        <w:t>月</w:t>
      </w:r>
      <w:r>
        <w:rPr>
          <w:rFonts w:hint="eastAsia" w:ascii="宋体" w:hAnsi="宋体" w:eastAsia="宋体" w:cs="宋体"/>
          <w:bCs/>
          <w:color w:val="auto"/>
          <w:kern w:val="2"/>
          <w:sz w:val="24"/>
          <w:szCs w:val="24"/>
          <w:highlight w:val="none"/>
          <w:u w:val="single"/>
          <w:lang w:val="en-US" w:eastAsia="zh-CN" w:bidi="ar"/>
        </w:rPr>
        <w:t>2</w:t>
      </w:r>
      <w:r>
        <w:rPr>
          <w:rFonts w:hint="eastAsia" w:ascii="宋体" w:hAnsi="宋体" w:eastAsia="宋体" w:cs="宋体"/>
          <w:bCs/>
          <w:color w:val="auto"/>
          <w:kern w:val="2"/>
          <w:sz w:val="24"/>
          <w:szCs w:val="24"/>
          <w:highlight w:val="none"/>
          <w:lang w:val="en-US" w:eastAsia="zh-CN" w:bidi="ar"/>
        </w:rPr>
        <w:t>日</w:t>
      </w:r>
      <w:r>
        <w:rPr>
          <w:rFonts w:hint="eastAsia" w:ascii="宋体" w:hAnsi="宋体" w:eastAsia="宋体" w:cs="宋体"/>
          <w:bCs/>
          <w:color w:val="auto"/>
          <w:kern w:val="2"/>
          <w:sz w:val="24"/>
          <w:szCs w:val="24"/>
          <w:highlight w:val="none"/>
          <w:u w:val="single"/>
          <w:lang w:val="en-US" w:eastAsia="zh-CN" w:bidi="ar"/>
        </w:rPr>
        <w:t>8</w:t>
      </w:r>
      <w:r>
        <w:rPr>
          <w:rFonts w:hint="eastAsia" w:ascii="宋体" w:hAnsi="宋体" w:eastAsia="宋体" w:cs="宋体"/>
          <w:bCs/>
          <w:color w:val="auto"/>
          <w:kern w:val="2"/>
          <w:sz w:val="24"/>
          <w:szCs w:val="24"/>
          <w:highlight w:val="none"/>
          <w:lang w:val="en-US" w:eastAsia="zh-CN" w:bidi="ar"/>
        </w:rPr>
        <w:t>点</w:t>
      </w:r>
      <w:r>
        <w:rPr>
          <w:rFonts w:hint="eastAsia" w:ascii="宋体" w:hAnsi="宋体" w:eastAsia="宋体" w:cs="宋体"/>
          <w:bCs/>
          <w:color w:val="auto"/>
          <w:kern w:val="2"/>
          <w:sz w:val="24"/>
          <w:szCs w:val="24"/>
          <w:highlight w:val="none"/>
          <w:u w:val="single"/>
          <w:lang w:val="en-US" w:eastAsia="zh-CN" w:bidi="ar"/>
        </w:rPr>
        <w:t>00</w:t>
      </w:r>
      <w:r>
        <w:rPr>
          <w:rFonts w:hint="eastAsia" w:ascii="宋体" w:hAnsi="宋体" w:eastAsia="宋体" w:cs="宋体"/>
          <w:bCs/>
          <w:color w:val="auto"/>
          <w:kern w:val="2"/>
          <w:sz w:val="24"/>
          <w:szCs w:val="24"/>
          <w:highlight w:val="none"/>
          <w:lang w:val="en-US" w:eastAsia="zh-CN" w:bidi="ar"/>
        </w:rPr>
        <w:t>分（北京时间）</w:t>
      </w:r>
    </w:p>
    <w:p w14:paraId="0650878F">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地点：滁州市公共资源交易平台电子交易系统</w:t>
      </w:r>
    </w:p>
    <w:p w14:paraId="1510FB2A">
      <w:pPr>
        <w:keepNext w:val="0"/>
        <w:keepLines w:val="0"/>
        <w:widowControl w:val="0"/>
        <w:suppressLineNumbers w:val="0"/>
        <w:spacing w:before="0" w:beforeAutospacing="0" w:after="0" w:afterAutospacing="0" w:line="480" w:lineRule="exact"/>
        <w:ind w:left="0" w:right="0" w:firstLine="435"/>
        <w:jc w:val="both"/>
        <w:outlineLvl w:val="1"/>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六、公告期限</w:t>
      </w:r>
    </w:p>
    <w:p w14:paraId="37434D3F">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自本公告发布之日起3个工作日。</w:t>
      </w:r>
    </w:p>
    <w:p w14:paraId="78FF6FEA">
      <w:pPr>
        <w:keepNext w:val="0"/>
        <w:keepLines w:val="0"/>
        <w:widowControl w:val="0"/>
        <w:suppressLineNumbers w:val="0"/>
        <w:spacing w:before="0" w:beforeAutospacing="0" w:after="0" w:afterAutospacing="0" w:line="480" w:lineRule="exact"/>
        <w:ind w:left="0" w:right="0" w:firstLine="435"/>
        <w:jc w:val="both"/>
        <w:outlineLvl w:val="1"/>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七、其他补充事宜</w:t>
      </w:r>
    </w:p>
    <w:p w14:paraId="7A5F495B">
      <w:pPr>
        <w:keepNext w:val="0"/>
        <w:keepLines w:val="0"/>
        <w:widowControl w:val="0"/>
        <w:suppressLineNumbers w:val="0"/>
        <w:wordWrap w:val="0"/>
        <w:autoSpaceDE w:val="0"/>
        <w:autoSpaceDN/>
        <w:spacing w:before="0" w:beforeAutospacing="0" w:after="0" w:afterAutospacing="0" w:line="48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本项目只接受在安徽省公共资源交易市场主体库（http://ggzy.ah.gov.cn/ahggfwpt-zhutiku/dengludenglu）登记并进行信息确认提交的供应商参与，未登记的供应商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2.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参与本项目的，责任自负。为保证系统使用过程中产生的问题能够及时得到解决，请各主体进行主体信息登记、更新、响应文件制作等相关操作。</w:t>
      </w:r>
    </w:p>
    <w:p w14:paraId="34770181">
      <w:pPr>
        <w:keepNext w:val="0"/>
        <w:keepLines w:val="0"/>
        <w:widowControl w:val="0"/>
        <w:suppressLineNumbers w:val="0"/>
        <w:wordWrap w:val="0"/>
        <w:autoSpaceDE w:val="0"/>
        <w:autoSpaceDN/>
        <w:spacing w:before="0" w:beforeAutospacing="0" w:after="0" w:afterAutospacing="0" w:line="48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2.请供应商登录滁州市公共资源交易中心网站查看参加本项目的程序。（具体操作步骤和程序请参见服务指南&gt;交易须知&gt;投标人填写投标信息、下载文件及网上提问操作手册）。</w:t>
      </w:r>
    </w:p>
    <w:p w14:paraId="1A07E542">
      <w:pPr>
        <w:keepNext w:val="0"/>
        <w:keepLines w:val="0"/>
        <w:widowControl w:val="0"/>
        <w:suppressLineNumbers w:val="0"/>
        <w:wordWrap w:val="0"/>
        <w:autoSpaceDE w:val="0"/>
        <w:autoSpaceDN/>
        <w:spacing w:before="0" w:beforeAutospacing="0" w:after="0" w:afterAutospacing="0" w:line="48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本项目采用不见面（远程解密)方式，开启时供应商无须至现场进行解密，采取远程解密方式解密响应文件，解密方式为：供应商在开启时间前使用CA数字证书登录滁州市“不见面开标系统”，网址为https://ggzy.chuzhou.gov.cn/BidOpening,等待开启并按系统提示进行相应的供应商解密等事项，无需到现场。采用本方式可以观看开启现场音视频直播并进行互动交流。具体操作方法见中心网站&gt;服务指南&gt;交易须知中的《滁州市不见面开标系统操作手册》。</w:t>
      </w:r>
    </w:p>
    <w:p w14:paraId="76806A66">
      <w:pPr>
        <w:keepNext w:val="0"/>
        <w:keepLines w:val="0"/>
        <w:widowControl w:val="0"/>
        <w:suppressLineNumbers w:val="0"/>
        <w:wordWrap w:val="0"/>
        <w:autoSpaceDE w:val="0"/>
        <w:autoSpaceDN/>
        <w:spacing w:before="0" w:beforeAutospacing="0" w:after="0" w:afterAutospacing="0" w:line="480" w:lineRule="exact"/>
        <w:ind w:left="0" w:right="0" w:firstLine="480" w:firstLineChars="200"/>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4.供应商接到远程解密指令后，须在规定时间内解密。因供应商自身原因导致响应文件在规定时间内未能解密、解密失败或解密超时，响应文件无效；因采购代理机构原因或网上平台发生故障，导致无法按时完成响应文件解密的，经采购代理机构申请后可延迟解密时间。</w:t>
      </w:r>
    </w:p>
    <w:p w14:paraId="759609E0">
      <w:pPr>
        <w:keepNext w:val="0"/>
        <w:keepLines w:val="0"/>
        <w:widowControl w:val="0"/>
        <w:suppressLineNumbers w:val="0"/>
        <w:spacing w:before="0" w:beforeAutospacing="0" w:after="0" w:afterAutospacing="0" w:line="360" w:lineRule="auto"/>
        <w:ind w:left="0" w:right="0" w:firstLine="435"/>
        <w:jc w:val="both"/>
        <w:outlineLvl w:val="1"/>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八</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
        </w:rPr>
        <w:t>凡对本次采购提出询问，请按以下方式联系</w:t>
      </w:r>
    </w:p>
    <w:p w14:paraId="5F931432">
      <w:pPr>
        <w:keepNext w:val="0"/>
        <w:keepLines w:val="0"/>
        <w:widowControl w:val="0"/>
        <w:suppressLineNumbers w:val="0"/>
        <w:spacing w:before="0" w:beforeAutospacing="0" w:after="0" w:afterAutospacing="0" w:line="360" w:lineRule="auto"/>
        <w:ind w:left="0" w:right="0" w:firstLine="437"/>
        <w:jc w:val="both"/>
        <w:outlineLvl w:val="2"/>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1.采购人信息</w:t>
      </w:r>
    </w:p>
    <w:p w14:paraId="4330BBD9">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名  称：</w:t>
      </w:r>
      <w:r>
        <w:rPr>
          <w:rFonts w:hint="eastAsia" w:ascii="宋体" w:hAnsi="宋体" w:eastAsia="宋体" w:cs="宋体"/>
          <w:color w:val="auto"/>
          <w:kern w:val="2"/>
          <w:sz w:val="24"/>
          <w:szCs w:val="24"/>
          <w:highlight w:val="none"/>
          <w:u w:val="single"/>
          <w:lang w:val="en-US" w:eastAsia="zh-CN" w:bidi="ar"/>
        </w:rPr>
        <w:t>滁州市水利规划技术服务中心</w:t>
      </w:r>
    </w:p>
    <w:p w14:paraId="060E9F30">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地</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址：</w:t>
      </w:r>
      <w:r>
        <w:rPr>
          <w:rFonts w:hint="eastAsia" w:ascii="宋体" w:hAnsi="宋体" w:eastAsia="宋体" w:cs="宋体"/>
          <w:color w:val="auto"/>
          <w:kern w:val="2"/>
          <w:sz w:val="24"/>
          <w:szCs w:val="24"/>
          <w:highlight w:val="none"/>
          <w:u w:val="single"/>
          <w:lang w:val="en-US" w:eastAsia="zh-CN" w:bidi="ar"/>
        </w:rPr>
        <w:t>滁州市龙蟠大道75号</w:t>
      </w:r>
    </w:p>
    <w:p w14:paraId="017916A9">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联系人：</w:t>
      </w:r>
      <w:r>
        <w:rPr>
          <w:rFonts w:hint="eastAsia" w:ascii="宋体" w:hAnsi="宋体" w:eastAsia="宋体" w:cs="宋体"/>
          <w:color w:val="auto"/>
          <w:kern w:val="2"/>
          <w:sz w:val="24"/>
          <w:szCs w:val="24"/>
          <w:highlight w:val="none"/>
          <w:u w:val="single"/>
          <w:lang w:val="en-US" w:eastAsia="zh-CN" w:bidi="ar"/>
        </w:rPr>
        <w:t>高益辉</w:t>
      </w:r>
    </w:p>
    <w:p w14:paraId="2A8C0E5F">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联系方式：</w:t>
      </w:r>
      <w:r>
        <w:rPr>
          <w:rFonts w:hint="eastAsia" w:ascii="宋体" w:hAnsi="宋体" w:eastAsia="宋体" w:cs="宋体"/>
          <w:color w:val="auto"/>
          <w:kern w:val="2"/>
          <w:sz w:val="24"/>
          <w:szCs w:val="24"/>
          <w:highlight w:val="none"/>
          <w:u w:val="single"/>
          <w:lang w:val="en-US" w:eastAsia="zh-CN" w:bidi="ar"/>
        </w:rPr>
        <w:t>0550-3055510</w:t>
      </w:r>
    </w:p>
    <w:p w14:paraId="7E88303C">
      <w:pPr>
        <w:keepNext w:val="0"/>
        <w:keepLines w:val="0"/>
        <w:widowControl w:val="0"/>
        <w:suppressLineNumbers w:val="0"/>
        <w:spacing w:before="0" w:beforeAutospacing="0" w:after="0" w:afterAutospacing="0" w:line="360" w:lineRule="auto"/>
        <w:ind w:left="0" w:right="0" w:firstLine="437"/>
        <w:jc w:val="both"/>
        <w:outlineLvl w:val="2"/>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2.采购代理机构</w:t>
      </w:r>
      <w:r>
        <w:rPr>
          <w:rFonts w:hint="eastAsia" w:ascii="宋体" w:hAnsi="宋体" w:eastAsia="宋体" w:cs="宋体"/>
          <w:color w:val="auto"/>
          <w:kern w:val="2"/>
          <w:sz w:val="24"/>
          <w:szCs w:val="24"/>
          <w:highlight w:val="none"/>
          <w:lang w:val="en-US" w:eastAsia="zh-CN" w:bidi="ar"/>
        </w:rPr>
        <w:t>信息</w:t>
      </w:r>
    </w:p>
    <w:p w14:paraId="6D34AA0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名  称：</w:t>
      </w:r>
      <w:r>
        <w:rPr>
          <w:rFonts w:hint="eastAsia" w:ascii="宋体" w:hAnsi="宋体" w:eastAsia="宋体" w:cs="宋体"/>
          <w:color w:val="auto"/>
          <w:kern w:val="2"/>
          <w:sz w:val="24"/>
          <w:szCs w:val="24"/>
          <w:highlight w:val="none"/>
          <w:u w:val="single"/>
          <w:lang w:val="en-US" w:eastAsia="zh-CN" w:bidi="ar"/>
        </w:rPr>
        <w:t>滁州市政府采购中心</w:t>
      </w:r>
    </w:p>
    <w:p w14:paraId="4C53C5C3">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地</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址：</w:t>
      </w:r>
      <w:r>
        <w:rPr>
          <w:rFonts w:hint="eastAsia" w:ascii="宋体" w:hAnsi="宋体" w:eastAsia="宋体" w:cs="宋体"/>
          <w:color w:val="auto"/>
          <w:kern w:val="2"/>
          <w:sz w:val="24"/>
          <w:szCs w:val="24"/>
          <w:highlight w:val="none"/>
          <w:u w:val="single"/>
          <w:lang w:val="en-US" w:eastAsia="zh-CN" w:bidi="ar"/>
        </w:rPr>
        <w:t>滁州市龙蟠大道109号房产商务大厦二楼</w:t>
      </w:r>
    </w:p>
    <w:p w14:paraId="0C31CA6A">
      <w:pPr>
        <w:keepNext w:val="0"/>
        <w:keepLines w:val="0"/>
        <w:widowControl w:val="0"/>
        <w:suppressLineNumbers w:val="0"/>
        <w:spacing w:before="0" w:beforeAutospacing="0" w:after="0" w:afterAutospacing="0" w:line="360" w:lineRule="auto"/>
        <w:ind w:left="0" w:right="0" w:firstLine="435"/>
        <w:jc w:val="both"/>
        <w:rPr>
          <w:rFonts w:hint="eastAsia" w:ascii="@仿宋_GB2312" w:hAnsi="@仿宋_GB2312" w:eastAsia="宋体" w:cs="@仿宋_GB2312"/>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联系人：</w:t>
      </w:r>
      <w:r>
        <w:rPr>
          <w:rFonts w:hint="eastAsia" w:ascii="宋体" w:hAnsi="宋体" w:eastAsia="宋体" w:cs="宋体"/>
          <w:color w:val="auto"/>
          <w:kern w:val="2"/>
          <w:sz w:val="24"/>
          <w:szCs w:val="24"/>
          <w:highlight w:val="none"/>
          <w:u w:val="single"/>
          <w:lang w:val="en-US" w:eastAsia="zh-CN" w:bidi="ar"/>
        </w:rPr>
        <w:t>胡国庆</w:t>
      </w:r>
    </w:p>
    <w:p w14:paraId="496265B1">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联系方式：</w:t>
      </w:r>
      <w:r>
        <w:rPr>
          <w:rFonts w:hint="eastAsia" w:ascii="宋体" w:hAnsi="宋体" w:eastAsia="宋体" w:cs="宋体"/>
          <w:color w:val="auto"/>
          <w:kern w:val="2"/>
          <w:sz w:val="24"/>
          <w:szCs w:val="24"/>
          <w:highlight w:val="none"/>
          <w:u w:val="single"/>
          <w:lang w:val="en-US" w:eastAsia="zh-CN" w:bidi="ar"/>
        </w:rPr>
        <w:t>0550-3519517、18005500950</w:t>
      </w:r>
    </w:p>
    <w:p w14:paraId="2CB54CDE">
      <w:pPr>
        <w:keepNext w:val="0"/>
        <w:keepLines w:val="0"/>
        <w:widowControl w:val="0"/>
        <w:suppressLineNumbers w:val="0"/>
        <w:spacing w:before="0" w:beforeAutospacing="0" w:after="0" w:afterAutospacing="0" w:line="360" w:lineRule="auto"/>
        <w:ind w:left="0" w:right="0" w:firstLine="437"/>
        <w:jc w:val="both"/>
        <w:outlineLvl w:val="2"/>
        <w:rPr>
          <w:rFonts w:hint="eastAsia" w:ascii="宋体" w:hAnsi="宋体" w:eastAsia="宋体" w:cs="@仿宋_GB2312"/>
          <w:b/>
          <w:bCs w:val="0"/>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3</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政府采购监督管理部门信息</w:t>
      </w:r>
    </w:p>
    <w:p w14:paraId="2C4CC74A">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名  称：</w:t>
      </w:r>
      <w:r>
        <w:rPr>
          <w:rFonts w:hint="eastAsia" w:ascii="宋体" w:hAnsi="宋体" w:eastAsia="宋体" w:cs="宋体"/>
          <w:color w:val="auto"/>
          <w:kern w:val="2"/>
          <w:sz w:val="24"/>
          <w:szCs w:val="24"/>
          <w:highlight w:val="none"/>
          <w:u w:val="single"/>
          <w:lang w:val="en-US" w:eastAsia="zh-CN" w:bidi="ar"/>
        </w:rPr>
        <w:t>滁州市公共资源交易监督管理局</w:t>
      </w:r>
    </w:p>
    <w:p w14:paraId="566382C7">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址：</w:t>
      </w:r>
      <w:r>
        <w:rPr>
          <w:rFonts w:hint="eastAsia" w:ascii="宋体" w:hAnsi="宋体" w:eastAsia="宋体" w:cs="宋体"/>
          <w:color w:val="auto"/>
          <w:kern w:val="2"/>
          <w:sz w:val="24"/>
          <w:szCs w:val="24"/>
          <w:highlight w:val="none"/>
          <w:u w:val="single"/>
          <w:lang w:val="en-US" w:eastAsia="zh-CN" w:bidi="ar"/>
        </w:rPr>
        <w:t>滁州市龙蟠大道109号房产商务大厦三楼</w:t>
      </w:r>
    </w:p>
    <w:p w14:paraId="06A31DB5">
      <w:pPr>
        <w:keepNext w:val="0"/>
        <w:keepLines w:val="0"/>
        <w:widowControl w:val="0"/>
        <w:suppressLineNumbers w:val="0"/>
        <w:spacing w:before="0" w:beforeAutospacing="0" w:after="0" w:afterAutospacing="0" w:line="360" w:lineRule="auto"/>
        <w:ind w:left="0" w:right="0" w:firstLine="435"/>
        <w:jc w:val="both"/>
        <w:rPr>
          <w:color w:val="auto"/>
          <w:highlight w:val="none"/>
        </w:rPr>
      </w:pPr>
      <w:r>
        <w:rPr>
          <w:rFonts w:hint="eastAsia" w:ascii="宋体" w:hAnsi="宋体" w:eastAsia="宋体" w:cs="宋体"/>
          <w:color w:val="auto"/>
          <w:kern w:val="2"/>
          <w:sz w:val="24"/>
          <w:szCs w:val="24"/>
          <w:highlight w:val="none"/>
          <w:lang w:val="en-US" w:eastAsia="zh-CN" w:bidi="ar"/>
        </w:rPr>
        <w:t>联系方式：</w:t>
      </w:r>
      <w:r>
        <w:rPr>
          <w:rFonts w:hint="eastAsia" w:ascii="宋体" w:hAnsi="宋体" w:eastAsia="宋体" w:cs="宋体"/>
          <w:color w:val="auto"/>
          <w:kern w:val="2"/>
          <w:sz w:val="24"/>
          <w:szCs w:val="24"/>
          <w:highlight w:val="none"/>
          <w:u w:val="single"/>
          <w:lang w:val="en-US" w:eastAsia="zh-CN" w:bidi="ar"/>
        </w:rPr>
        <w:t>0550-3801601</w:t>
      </w:r>
    </w:p>
    <w:p w14:paraId="1827D2D0">
      <w:pPr>
        <w:spacing w:line="360" w:lineRule="auto"/>
        <w:ind w:firstLine="435"/>
        <w:rPr>
          <w:rFonts w:ascii="宋体" w:hAnsi="宋体" w:eastAsia="宋体"/>
          <w:color w:val="auto"/>
          <w:sz w:val="24"/>
          <w:szCs w:val="18"/>
          <w:highlight w:val="none"/>
          <w:u w:val="single"/>
        </w:rPr>
      </w:pPr>
    </w:p>
    <w:p w14:paraId="375DE35D">
      <w:pPr>
        <w:spacing w:line="360" w:lineRule="auto"/>
        <w:ind w:firstLine="435"/>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7C6CDEE6">
      <w:pPr>
        <w:spacing w:line="360" w:lineRule="auto"/>
        <w:jc w:val="center"/>
        <w:outlineLvl w:val="0"/>
        <w:rPr>
          <w:rFonts w:asciiTheme="minorEastAsia" w:hAnsiTheme="minorEastAsia" w:eastAsiaTheme="minorEastAsia"/>
          <w:b/>
          <w:color w:val="auto"/>
          <w:sz w:val="28"/>
          <w:highlight w:val="none"/>
        </w:rPr>
      </w:pPr>
      <w:bookmarkStart w:id="4" w:name="_Toc3785"/>
      <w:bookmarkStart w:id="5" w:name="_Toc7162"/>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4"/>
      <w:bookmarkEnd w:id="5"/>
    </w:p>
    <w:p w14:paraId="675ADB61">
      <w:pPr>
        <w:spacing w:line="360" w:lineRule="auto"/>
        <w:jc w:val="center"/>
        <w:outlineLvl w:val="1"/>
        <w:rPr>
          <w:rFonts w:asciiTheme="minorEastAsia" w:hAnsiTheme="minorEastAsia" w:eastAsiaTheme="minorEastAsia"/>
          <w:b/>
          <w:color w:val="auto"/>
          <w:sz w:val="24"/>
          <w:highlight w:val="none"/>
        </w:rPr>
      </w:pPr>
      <w:bookmarkStart w:id="6" w:name="_Toc11709"/>
      <w:bookmarkStart w:id="7" w:name="_Toc11383"/>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6"/>
      <w:bookmarkEnd w:id="7"/>
    </w:p>
    <w:p w14:paraId="77FDAA85">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本表是本项目的具体要求，是对供应商须知的具体补充和修改，如有不一致，以本表为准。</w:t>
      </w:r>
    </w:p>
    <w:tbl>
      <w:tblPr>
        <w:tblStyle w:val="26"/>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31"/>
        <w:gridCol w:w="5722"/>
      </w:tblGrid>
      <w:tr w14:paraId="7228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1A76C736">
            <w:pPr>
              <w:pStyle w:val="44"/>
              <w:widowControl w:val="0"/>
              <w:spacing w:before="0" w:beforeAutospacing="0" w:after="0" w:afterAutospacing="0" w:line="360" w:lineRule="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60" w:type="pct"/>
            <w:vAlign w:val="center"/>
          </w:tcPr>
          <w:p w14:paraId="593F81D8">
            <w:pPr>
              <w:pStyle w:val="44"/>
              <w:widowControl w:val="0"/>
              <w:spacing w:before="0" w:beforeAutospacing="0" w:after="0" w:afterAutospacing="0" w:line="360" w:lineRule="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67" w:type="pct"/>
            <w:vAlign w:val="center"/>
          </w:tcPr>
          <w:p w14:paraId="78180A84">
            <w:pPr>
              <w:pStyle w:val="44"/>
              <w:widowControl w:val="0"/>
              <w:spacing w:before="0" w:beforeAutospacing="0" w:after="0" w:afterAutospacing="0" w:line="360" w:lineRule="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2B57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5146D1E7">
            <w:pPr>
              <w:pStyle w:val="45"/>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160" w:type="pct"/>
            <w:vAlign w:val="center"/>
          </w:tcPr>
          <w:p w14:paraId="34798187">
            <w:pPr>
              <w:pStyle w:val="44"/>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cs="@仿宋_GB2312"/>
                <w:b w:val="0"/>
                <w:bCs/>
                <w:color w:val="auto"/>
                <w:kern w:val="2"/>
                <w:sz w:val="24"/>
                <w:szCs w:val="22"/>
                <w:highlight w:val="none"/>
                <w:lang w:val="en-US" w:eastAsia="zh-CN" w:bidi="ar-SA"/>
              </w:rPr>
              <w:t>现场考察或标前答疑会</w:t>
            </w:r>
          </w:p>
        </w:tc>
        <w:tc>
          <w:tcPr>
            <w:tcW w:w="3267" w:type="pct"/>
            <w:vAlign w:val="center"/>
          </w:tcPr>
          <w:p w14:paraId="4D85C90D">
            <w:pPr>
              <w:spacing w:line="360" w:lineRule="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7CDB00DD">
            <w:pPr>
              <w:spacing w:line="360" w:lineRule="auto"/>
              <w:rPr>
                <w:rFonts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p>
          <w:p w14:paraId="500E5AB8">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23884B4E">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 xml:space="preserve">  </w:t>
            </w:r>
            <w:r>
              <w:rPr>
                <w:rFonts w:ascii="宋体" w:hAnsi="宋体" w:eastAsia="宋体"/>
                <w:bCs/>
                <w:color w:val="auto"/>
                <w:sz w:val="24"/>
                <w:highlight w:val="none"/>
                <w:u w:val="single"/>
              </w:rPr>
              <w:t xml:space="preserve">        </w:t>
            </w:r>
          </w:p>
          <w:p w14:paraId="5C9BC486">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40FBEE02">
            <w:pPr>
              <w:pStyle w:val="44"/>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如供应商未参加采购人统一组织的现场考察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，由此引起的一切责任由供应商自行承担。</w:t>
            </w:r>
          </w:p>
        </w:tc>
      </w:tr>
      <w:tr w14:paraId="3AFB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894666F">
            <w:pPr>
              <w:pStyle w:val="45"/>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1160" w:type="pct"/>
            <w:vAlign w:val="center"/>
          </w:tcPr>
          <w:p w14:paraId="2DB781CB">
            <w:pPr>
              <w:pStyle w:val="44"/>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67" w:type="pct"/>
            <w:vAlign w:val="center"/>
          </w:tcPr>
          <w:p w14:paraId="236F591A">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2025</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年</w:t>
            </w:r>
            <w:r>
              <w:rPr>
                <w:rFonts w:hint="eastAsia" w:ascii="宋体" w:hAnsi="宋体" w:eastAsia="宋体"/>
                <w:b w:val="0"/>
                <w:color w:val="auto"/>
                <w:sz w:val="24"/>
                <w:highlight w:val="none"/>
                <w:u w:val="single"/>
                <w:lang w:val="en-US" w:eastAsia="zh-CN"/>
              </w:rPr>
              <w:t>8</w:t>
            </w:r>
            <w:r>
              <w:rPr>
                <w:rFonts w:ascii="宋体" w:hAnsi="宋体" w:eastAsia="宋体"/>
                <w:b w:val="0"/>
                <w:color w:val="auto"/>
                <w:sz w:val="24"/>
                <w:highlight w:val="none"/>
              </w:rPr>
              <w:t>月</w:t>
            </w:r>
            <w:r>
              <w:rPr>
                <w:rFonts w:hint="eastAsia" w:ascii="宋体" w:hAnsi="宋体" w:eastAsia="宋体"/>
                <w:b w:val="0"/>
                <w:color w:val="auto"/>
                <w:sz w:val="24"/>
                <w:highlight w:val="none"/>
                <w:u w:val="single"/>
                <w:lang w:val="en-US" w:eastAsia="zh-CN"/>
              </w:rPr>
              <w:t xml:space="preserve"> 27 </w:t>
            </w:r>
            <w:r>
              <w:rPr>
                <w:rFonts w:ascii="宋体" w:hAnsi="宋体" w:eastAsia="宋体"/>
                <w:b w:val="0"/>
                <w:color w:val="auto"/>
                <w:sz w:val="24"/>
                <w:highlight w:val="none"/>
              </w:rPr>
              <w:t>日</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17</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时</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30</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rPr>
              <w:t>分</w:t>
            </w:r>
          </w:p>
        </w:tc>
      </w:tr>
      <w:tr w14:paraId="21C8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02" w:type="dxa"/>
            <w:vAlign w:val="center"/>
          </w:tcPr>
          <w:p w14:paraId="25405E40">
            <w:pPr>
              <w:pStyle w:val="45"/>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7.1</w:t>
            </w:r>
          </w:p>
        </w:tc>
        <w:tc>
          <w:tcPr>
            <w:tcW w:w="1160" w:type="pct"/>
            <w:vAlign w:val="center"/>
          </w:tcPr>
          <w:p w14:paraId="31645533">
            <w:pPr>
              <w:pStyle w:val="44"/>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67" w:type="pct"/>
            <w:vAlign w:val="center"/>
          </w:tcPr>
          <w:p w14:paraId="4E2C2FD6">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不分包     □分为</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个包</w:t>
            </w:r>
          </w:p>
          <w:p w14:paraId="2DA50C6A">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rPr>
              <w:t>供应商参加多个包磋商的成交</w:t>
            </w:r>
            <w:r>
              <w:rPr>
                <w:rFonts w:ascii="宋体" w:hAnsi="宋体" w:eastAsia="宋体"/>
                <w:b w:val="0"/>
                <w:bCs w:val="0"/>
                <w:color w:val="auto"/>
                <w:sz w:val="24"/>
                <w:szCs w:val="24"/>
                <w:highlight w:val="none"/>
              </w:rPr>
              <w:t>包</w:t>
            </w:r>
            <w:r>
              <w:rPr>
                <w:rFonts w:hint="eastAsia" w:ascii="宋体" w:hAnsi="宋体" w:eastAsia="宋体"/>
                <w:b w:val="0"/>
                <w:bCs w:val="0"/>
                <w:color w:val="auto"/>
                <w:sz w:val="24"/>
                <w:szCs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0DA4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02" w:type="dxa"/>
            <w:vAlign w:val="center"/>
          </w:tcPr>
          <w:p w14:paraId="41D95278">
            <w:pPr>
              <w:pStyle w:val="45"/>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10.1</w:t>
            </w:r>
          </w:p>
        </w:tc>
        <w:tc>
          <w:tcPr>
            <w:tcW w:w="1160" w:type="pct"/>
            <w:vAlign w:val="center"/>
          </w:tcPr>
          <w:p w14:paraId="14674D83">
            <w:pPr>
              <w:pStyle w:val="44"/>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磋商保证金</w:t>
            </w:r>
          </w:p>
        </w:tc>
        <w:tc>
          <w:tcPr>
            <w:tcW w:w="3267" w:type="pct"/>
            <w:vAlign w:val="center"/>
          </w:tcPr>
          <w:p w14:paraId="6A40945C">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不收取</w:t>
            </w:r>
          </w:p>
        </w:tc>
      </w:tr>
      <w:tr w14:paraId="39AC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125DEB39">
            <w:pPr>
              <w:pStyle w:val="45"/>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11</w:t>
            </w:r>
            <w:r>
              <w:rPr>
                <w:rFonts w:ascii="宋体" w:hAnsi="宋体" w:eastAsia="宋体"/>
                <w:bCs/>
                <w:color w:val="auto"/>
                <w:kern w:val="2"/>
                <w:highlight w:val="none"/>
              </w:rPr>
              <w:t>.1</w:t>
            </w:r>
          </w:p>
        </w:tc>
        <w:tc>
          <w:tcPr>
            <w:tcW w:w="1160" w:type="pct"/>
            <w:vAlign w:val="center"/>
          </w:tcPr>
          <w:p w14:paraId="48C92C81">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磋商有效期</w:t>
            </w:r>
          </w:p>
        </w:tc>
        <w:tc>
          <w:tcPr>
            <w:tcW w:w="3267" w:type="pct"/>
            <w:vAlign w:val="center"/>
          </w:tcPr>
          <w:p w14:paraId="37383AB0">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90</w:t>
            </w: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rPr>
              <w:t>日历日</w:t>
            </w:r>
          </w:p>
        </w:tc>
      </w:tr>
      <w:tr w14:paraId="1071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5E67CF3E">
            <w:pPr>
              <w:pStyle w:val="45"/>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12</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60" w:type="pct"/>
            <w:vAlign w:val="center"/>
          </w:tcPr>
          <w:p w14:paraId="45D55D94">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响应文件解密时间</w:t>
            </w:r>
          </w:p>
        </w:tc>
        <w:tc>
          <w:tcPr>
            <w:tcW w:w="3267" w:type="pct"/>
            <w:vAlign w:val="center"/>
          </w:tcPr>
          <w:p w14:paraId="4BA80261">
            <w:pPr>
              <w:pStyle w:val="44"/>
              <w:widowControl w:val="0"/>
              <w:spacing w:before="0" w:beforeAutospacing="0" w:after="0" w:afterAutospacing="0" w:line="360" w:lineRule="auto"/>
              <w:jc w:val="both"/>
              <w:rPr>
                <w:rFonts w:hint="eastAsia" w:ascii="宋体" w:hAnsi="宋体" w:eastAsia="宋体"/>
                <w:b w:val="0"/>
                <w:color w:val="auto"/>
                <w:sz w:val="24"/>
                <w:highlight w:val="none"/>
                <w:u w:val="single"/>
                <w:lang w:eastAsia="zh-CN"/>
              </w:rPr>
            </w:pPr>
            <w:r>
              <w:rPr>
                <w:rFonts w:hint="eastAsia" w:ascii="宋体" w:hAnsi="宋体" w:eastAsia="宋体"/>
                <w:b w:val="0"/>
                <w:color w:val="auto"/>
                <w:sz w:val="24"/>
                <w:highlight w:val="none"/>
                <w:u w:val="none"/>
              </w:rPr>
              <w:t>响应文件提交截止时间后</w:t>
            </w:r>
            <w:r>
              <w:rPr>
                <w:rFonts w:hint="eastAsia" w:ascii="宋体" w:hAnsi="宋体" w:eastAsia="宋体"/>
                <w:b w:val="0"/>
                <w:color w:val="auto"/>
                <w:sz w:val="24"/>
                <w:highlight w:val="none"/>
                <w:u w:val="single"/>
                <w:lang w:val="en-US" w:eastAsia="zh-CN"/>
              </w:rPr>
              <w:t xml:space="preserve"> 60 </w:t>
            </w:r>
            <w:r>
              <w:rPr>
                <w:rFonts w:hint="eastAsia" w:ascii="宋体" w:hAnsi="宋体" w:eastAsia="宋体"/>
                <w:b w:val="0"/>
                <w:color w:val="auto"/>
                <w:sz w:val="24"/>
                <w:highlight w:val="none"/>
                <w:u w:val="none"/>
              </w:rPr>
              <w:t>分钟内（以本项目网上招投标系统解密倒计时为准）</w:t>
            </w:r>
            <w:r>
              <w:rPr>
                <w:rFonts w:hint="eastAsia" w:ascii="宋体" w:hAnsi="宋体" w:eastAsia="宋体"/>
                <w:b w:val="0"/>
                <w:color w:val="auto"/>
                <w:sz w:val="24"/>
                <w:highlight w:val="none"/>
                <w:u w:val="none"/>
                <w:lang w:eastAsia="zh-CN"/>
              </w:rPr>
              <w:t>。</w:t>
            </w:r>
          </w:p>
        </w:tc>
      </w:tr>
      <w:tr w14:paraId="5E65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9AC6C35">
            <w:pPr>
              <w:pStyle w:val="45"/>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14.2</w:t>
            </w:r>
          </w:p>
        </w:tc>
        <w:tc>
          <w:tcPr>
            <w:tcW w:w="1160" w:type="pct"/>
            <w:vAlign w:val="center"/>
          </w:tcPr>
          <w:p w14:paraId="389A0B02">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评审方法</w:t>
            </w:r>
          </w:p>
        </w:tc>
        <w:tc>
          <w:tcPr>
            <w:tcW w:w="3267" w:type="pct"/>
            <w:vAlign w:val="center"/>
          </w:tcPr>
          <w:p w14:paraId="09420524">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none"/>
              </w:rPr>
              <w:t>综合评分法</w:t>
            </w:r>
          </w:p>
        </w:tc>
      </w:tr>
      <w:tr w14:paraId="51D6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BF7B848">
            <w:pPr>
              <w:pStyle w:val="45"/>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17.4</w:t>
            </w:r>
          </w:p>
        </w:tc>
        <w:tc>
          <w:tcPr>
            <w:tcW w:w="1160" w:type="pct"/>
            <w:vAlign w:val="center"/>
          </w:tcPr>
          <w:p w14:paraId="432952A2">
            <w:pPr>
              <w:pStyle w:val="44"/>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最后报价扣除</w:t>
            </w:r>
          </w:p>
        </w:tc>
        <w:tc>
          <w:tcPr>
            <w:tcW w:w="3267" w:type="pct"/>
            <w:vAlign w:val="center"/>
          </w:tcPr>
          <w:p w14:paraId="7179F355">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对小型和微型企业的价格给予10%的扣除后参与评审；其评审价=最终响应报价*（90%）</w:t>
            </w:r>
            <w:r>
              <w:rPr>
                <w:rFonts w:hint="eastAsia" w:ascii="宋体" w:hAnsi="宋体" w:eastAsia="宋体"/>
                <w:b w:val="0"/>
                <w:color w:val="auto"/>
                <w:sz w:val="24"/>
                <w:highlight w:val="none"/>
              </w:rPr>
              <w:t>。</w:t>
            </w:r>
          </w:p>
          <w:p w14:paraId="195133E7">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27D1E96B">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38523718">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联合体参加磋商的，小型、微型企业的协议合同金额占联合体协议合同总金额30%以上的，价格给予联合体3%的扣除后参与评审，其评审价=最终响应报价*97%；联合体各方均为小型、微型企业的，联合体视同为小型、微型企业，其评审价按（1）款执行</w:t>
            </w:r>
            <w:r>
              <w:rPr>
                <w:rFonts w:hint="eastAsia" w:ascii="宋体" w:hAnsi="宋体" w:eastAsia="宋体"/>
                <w:b w:val="0"/>
                <w:color w:val="auto"/>
                <w:sz w:val="24"/>
                <w:highlight w:val="none"/>
              </w:rPr>
              <w:t>。</w:t>
            </w:r>
          </w:p>
          <w:p w14:paraId="4FC73DFD">
            <w:pPr>
              <w:pStyle w:val="44"/>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p>
        </w:tc>
      </w:tr>
      <w:tr w14:paraId="0709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Merge w:val="restart"/>
            <w:vAlign w:val="center"/>
          </w:tcPr>
          <w:p w14:paraId="74520B40">
            <w:pPr>
              <w:pStyle w:val="45"/>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19</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1</w:t>
            </w:r>
          </w:p>
        </w:tc>
        <w:tc>
          <w:tcPr>
            <w:tcW w:w="1160" w:type="pct"/>
            <w:vMerge w:val="restart"/>
            <w:vAlign w:val="center"/>
          </w:tcPr>
          <w:p w14:paraId="0BA8F0CA">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Theme="minorEastAsia" w:hAnsiTheme="minorEastAsia" w:eastAsiaTheme="minorEastAsia"/>
                <w:b w:val="0"/>
                <w:color w:val="auto"/>
                <w:sz w:val="24"/>
                <w:highlight w:val="none"/>
              </w:rPr>
              <w:t>确定成交候选供应商和成交供应商</w:t>
            </w:r>
          </w:p>
        </w:tc>
        <w:tc>
          <w:tcPr>
            <w:tcW w:w="3267" w:type="pct"/>
            <w:vAlign w:val="center"/>
          </w:tcPr>
          <w:p w14:paraId="6149A878">
            <w:pPr>
              <w:pStyle w:val="44"/>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rPr>
              <w:t>磋商小组推荐成交</w:t>
            </w:r>
            <w:r>
              <w:rPr>
                <w:rFonts w:ascii="宋体" w:hAnsi="宋体" w:eastAsia="宋体"/>
                <w:b w:val="0"/>
                <w:color w:val="auto"/>
                <w:sz w:val="24"/>
                <w:highlight w:val="none"/>
              </w:rPr>
              <w:t>候选</w:t>
            </w:r>
            <w:r>
              <w:rPr>
                <w:rFonts w:hint="eastAsia" w:ascii="宋体" w:hAnsi="宋体" w:eastAsia="宋体"/>
                <w:b w:val="0"/>
                <w:color w:val="auto"/>
                <w:sz w:val="24"/>
                <w:highlight w:val="none"/>
              </w:rPr>
              <w:t>供应商的</w:t>
            </w:r>
            <w:r>
              <w:rPr>
                <w:rFonts w:ascii="宋体" w:hAnsi="宋体" w:eastAsia="宋体"/>
                <w:b w:val="0"/>
                <w:color w:val="auto"/>
                <w:sz w:val="24"/>
                <w:highlight w:val="none"/>
              </w:rPr>
              <w:t>数</w:t>
            </w:r>
            <w:r>
              <w:rPr>
                <w:rFonts w:hint="eastAsia" w:ascii="宋体" w:hAnsi="宋体" w:eastAsia="宋体"/>
                <w:b w:val="0"/>
                <w:color w:val="auto"/>
                <w:sz w:val="24"/>
                <w:highlight w:val="none"/>
              </w:rPr>
              <w:t>量：3家</w:t>
            </w:r>
            <w:r>
              <w:rPr>
                <w:rFonts w:hint="eastAsia" w:ascii="宋体" w:hAnsi="宋体" w:eastAsia="宋体"/>
                <w:b w:val="0"/>
                <w:color w:val="auto"/>
                <w:sz w:val="24"/>
                <w:highlight w:val="none"/>
                <w:lang w:eastAsia="zh-CN"/>
              </w:rPr>
              <w:t>。</w:t>
            </w:r>
          </w:p>
          <w:p w14:paraId="6D1C6F60">
            <w:pPr>
              <w:pStyle w:val="44"/>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u w:val="single"/>
                <w:lang w:val="en-US" w:eastAsia="zh-CN" w:bidi="ar-SA"/>
              </w:rPr>
            </w:pPr>
            <w:r>
              <w:rPr>
                <w:rFonts w:hint="eastAsia" w:ascii="宋体" w:hAnsi="宋体" w:eastAsia="宋体"/>
                <w:b w:val="0"/>
                <w:color w:val="auto"/>
                <w:sz w:val="24"/>
                <w:highlight w:val="none"/>
                <w:lang w:val="en-US" w:eastAsia="zh-CN"/>
              </w:rPr>
              <w:t>注：法律、法规另有规定的，从其规定。</w:t>
            </w:r>
          </w:p>
        </w:tc>
      </w:tr>
      <w:tr w14:paraId="61A8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continue"/>
            <w:vAlign w:val="center"/>
          </w:tcPr>
          <w:p w14:paraId="32AD3D19">
            <w:pPr>
              <w:pStyle w:val="45"/>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p>
        </w:tc>
        <w:tc>
          <w:tcPr>
            <w:tcW w:w="1160" w:type="pct"/>
            <w:vMerge w:val="continue"/>
            <w:vAlign w:val="center"/>
          </w:tcPr>
          <w:p w14:paraId="0F1A82B4">
            <w:pPr>
              <w:pStyle w:val="44"/>
              <w:widowControl w:val="0"/>
              <w:spacing w:before="0" w:beforeAutospacing="0" w:after="0" w:afterAutospacing="0" w:line="360" w:lineRule="auto"/>
              <w:jc w:val="both"/>
              <w:rPr>
                <w:rFonts w:ascii="宋体" w:hAnsi="宋体" w:eastAsia="宋体"/>
                <w:b w:val="0"/>
                <w:color w:val="auto"/>
                <w:sz w:val="24"/>
                <w:highlight w:val="none"/>
              </w:rPr>
            </w:pPr>
          </w:p>
        </w:tc>
        <w:tc>
          <w:tcPr>
            <w:tcW w:w="3267" w:type="pct"/>
            <w:vAlign w:val="center"/>
          </w:tcPr>
          <w:p w14:paraId="06423F63">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确定成交供应商：</w:t>
            </w:r>
          </w:p>
          <w:p w14:paraId="1A339E50">
            <w:pPr>
              <w:pStyle w:val="44"/>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 xml:space="preserve">□采购人委托磋商小组确定     </w:t>
            </w:r>
            <w:r>
              <w:rPr>
                <w:rFonts w:hint="eastAsia" w:ascii="宋体" w:hAnsi="宋体" w:eastAsia="宋体"/>
                <w:b w:val="0"/>
                <w:color w:val="auto"/>
                <w:sz w:val="24"/>
                <w:highlight w:val="none"/>
              </w:rPr>
              <w:sym w:font="Wingdings" w:char="00FE"/>
            </w:r>
            <w:r>
              <w:rPr>
                <w:rFonts w:hint="eastAsia" w:ascii="宋体" w:hAnsi="宋体" w:eastAsia="宋体"/>
                <w:b w:val="0"/>
                <w:color w:val="auto"/>
                <w:sz w:val="24"/>
                <w:highlight w:val="none"/>
              </w:rPr>
              <w:t>采购人确定</w:t>
            </w:r>
          </w:p>
        </w:tc>
      </w:tr>
      <w:tr w14:paraId="3C66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06E55BEC">
            <w:pPr>
              <w:pStyle w:val="45"/>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22</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60" w:type="pct"/>
            <w:vAlign w:val="center"/>
          </w:tcPr>
          <w:p w14:paraId="0E717897">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随成交结果公告同时公告的内容</w:t>
            </w:r>
          </w:p>
        </w:tc>
        <w:tc>
          <w:tcPr>
            <w:tcW w:w="3267" w:type="pct"/>
            <w:vAlign w:val="center"/>
          </w:tcPr>
          <w:p w14:paraId="426DC988">
            <w:pPr>
              <w:pStyle w:val="44"/>
              <w:widowControl w:val="0"/>
              <w:spacing w:before="0" w:beforeAutospacing="0" w:after="0" w:afterAutospacing="0" w:line="360" w:lineRule="auto"/>
              <w:jc w:val="both"/>
              <w:rPr>
                <w:rFonts w:ascii="宋体" w:hAnsi="宋体" w:eastAsia="宋体"/>
                <w:b w:val="0"/>
                <w:i/>
                <w:iCs/>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r>
              <w:rPr>
                <w:rFonts w:hint="eastAsia" w:ascii="宋体" w:hAnsi="宋体" w:eastAsia="宋体"/>
                <w:b w:val="0"/>
                <w:i/>
                <w:iCs/>
                <w:color w:val="auto"/>
                <w:sz w:val="24"/>
                <w:highlight w:val="none"/>
                <w:u w:val="none"/>
              </w:rPr>
              <w:t>（如有）</w:t>
            </w:r>
          </w:p>
          <w:p w14:paraId="0F1A0A46">
            <w:pPr>
              <w:pStyle w:val="44"/>
              <w:widowControl w:val="0"/>
              <w:spacing w:before="0" w:beforeAutospacing="0" w:after="0" w:afterAutospacing="0" w:line="360" w:lineRule="auto"/>
              <w:jc w:val="both"/>
              <w:rPr>
                <w:rFonts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iCs/>
                <w:color w:val="auto"/>
                <w:sz w:val="24"/>
                <w:highlight w:val="none"/>
                <w:u w:val="none"/>
              </w:rPr>
              <w:t>（如有）</w:t>
            </w:r>
          </w:p>
          <w:p w14:paraId="5E9586BB">
            <w:pPr>
              <w:pStyle w:val="44"/>
              <w:widowControl w:val="0"/>
              <w:spacing w:before="0" w:beforeAutospacing="0" w:after="0" w:afterAutospacing="0" w:line="360" w:lineRule="auto"/>
              <w:jc w:val="both"/>
              <w:rPr>
                <w:rFonts w:hint="eastAsia" w:ascii="宋体" w:hAnsi="宋体" w:eastAsia="宋体" w:cs="@仿宋_GB2312"/>
                <w:b w:val="0"/>
                <w:bCs w:val="0"/>
                <w:color w:val="auto"/>
                <w:kern w:val="0"/>
                <w:sz w:val="24"/>
                <w:szCs w:val="24"/>
                <w:highlight w:val="none"/>
                <w:lang w:val="en-US" w:eastAsia="zh-CN" w:bidi="ar-SA"/>
              </w:rPr>
            </w:pP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lang w:val="en-US" w:eastAsia="zh-CN"/>
              </w:rPr>
              <w:t>3</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供应商的评审总得分</w:t>
            </w:r>
            <w:r>
              <w:rPr>
                <w:rFonts w:hint="eastAsia" w:ascii="宋体" w:hAnsi="宋体" w:eastAsia="宋体"/>
                <w:b w:val="0"/>
                <w:color w:val="auto"/>
                <w:sz w:val="24"/>
                <w:highlight w:val="none"/>
                <w:u w:val="none"/>
                <w:lang w:eastAsia="zh-CN"/>
              </w:rPr>
              <w:t>。</w:t>
            </w:r>
          </w:p>
        </w:tc>
      </w:tr>
      <w:tr w14:paraId="346A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0C68936A">
            <w:pPr>
              <w:pStyle w:val="45"/>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.1</w:t>
            </w:r>
          </w:p>
        </w:tc>
        <w:tc>
          <w:tcPr>
            <w:tcW w:w="1160" w:type="pct"/>
            <w:vAlign w:val="center"/>
          </w:tcPr>
          <w:p w14:paraId="2756FD49">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成交通知书发出的形式</w:t>
            </w:r>
          </w:p>
        </w:tc>
        <w:tc>
          <w:tcPr>
            <w:tcW w:w="3267" w:type="pct"/>
            <w:vAlign w:val="center"/>
          </w:tcPr>
          <w:p w14:paraId="1DBE7650">
            <w:pPr>
              <w:pStyle w:val="44"/>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 xml:space="preserve">□书面 </w:t>
            </w:r>
            <w:r>
              <w:rPr>
                <w:rFonts w:ascii="宋体" w:hAnsi="宋体" w:eastAsia="宋体"/>
                <w:b w:val="0"/>
                <w:color w:val="auto"/>
                <w:sz w:val="24"/>
                <w:highlight w:val="none"/>
              </w:rPr>
              <w:t xml:space="preserve">    </w:t>
            </w:r>
            <w:r>
              <w:rPr>
                <w:rFonts w:hint="eastAsia" w:ascii="宋体" w:hAnsi="宋体" w:eastAsia="宋体"/>
                <w:b w:val="0"/>
                <w:bCs w:val="0"/>
                <w:color w:val="auto"/>
                <w:sz w:val="24"/>
                <w:szCs w:val="24"/>
                <w:highlight w:val="none"/>
              </w:rPr>
              <w:sym w:font="Wingdings" w:char="00FE"/>
            </w:r>
            <w:r>
              <w:rPr>
                <w:rFonts w:hint="eastAsia" w:ascii="宋体" w:hAnsi="宋体" w:eastAsia="宋体"/>
                <w:b w:val="0"/>
                <w:color w:val="auto"/>
                <w:sz w:val="24"/>
                <w:highlight w:val="none"/>
              </w:rPr>
              <w:t>数据电文</w:t>
            </w:r>
          </w:p>
        </w:tc>
      </w:tr>
      <w:tr w14:paraId="39D6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353DD30F">
            <w:pPr>
              <w:pStyle w:val="45"/>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24</w:t>
            </w:r>
            <w:r>
              <w:rPr>
                <w:rFonts w:ascii="宋体" w:hAnsi="宋体" w:eastAsia="宋体"/>
                <w:bCs/>
                <w:color w:val="auto"/>
                <w:kern w:val="2"/>
                <w:highlight w:val="none"/>
              </w:rPr>
              <w:t>.1</w:t>
            </w:r>
          </w:p>
        </w:tc>
        <w:tc>
          <w:tcPr>
            <w:tcW w:w="1160" w:type="pct"/>
            <w:vAlign w:val="center"/>
          </w:tcPr>
          <w:p w14:paraId="1E26AA9C">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告知磋商结果的形式</w:t>
            </w:r>
          </w:p>
        </w:tc>
        <w:tc>
          <w:tcPr>
            <w:tcW w:w="3267" w:type="pct"/>
            <w:vAlign w:val="center"/>
          </w:tcPr>
          <w:p w14:paraId="5A722817">
            <w:pPr>
              <w:pStyle w:val="44"/>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sym w:font="Wingdings" w:char="00FE"/>
            </w:r>
            <w:r>
              <w:rPr>
                <w:rFonts w:hint="eastAsia" w:ascii="宋体" w:hAnsi="宋体" w:eastAsia="宋体"/>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b w:val="0"/>
                <w:bCs w:val="0"/>
                <w:color w:val="auto"/>
                <w:sz w:val="24"/>
                <w:szCs w:val="24"/>
                <w:highlight w:val="none"/>
              </w:rPr>
              <w:t>系统查看</w:t>
            </w:r>
          </w:p>
          <w:p w14:paraId="7052FC6F">
            <w:pPr>
              <w:pStyle w:val="44"/>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□磋商现场告知</w:t>
            </w:r>
          </w:p>
        </w:tc>
      </w:tr>
      <w:tr w14:paraId="0C04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A43BE5C">
            <w:pPr>
              <w:pStyle w:val="45"/>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60" w:type="pct"/>
            <w:vAlign w:val="center"/>
          </w:tcPr>
          <w:p w14:paraId="7507067C">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67" w:type="pct"/>
            <w:vAlign w:val="top"/>
          </w:tcPr>
          <w:p w14:paraId="1A415850">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1D91AB85">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58FEFFE5">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16FFB14F">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1376D452">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39CE5D3D">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7809DD62">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64A882A2">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p>
          <w:p w14:paraId="21C6A784">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p>
          <w:p w14:paraId="262FD87A">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5CAF906B">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1A06909D">
            <w:pPr>
              <w:pStyle w:val="44"/>
              <w:widowControl w:val="0"/>
              <w:spacing w:before="0" w:beforeAutospacing="0" w:after="0" w:afterAutospacing="0" w:line="360" w:lineRule="auto"/>
              <w:jc w:val="both"/>
              <w:rPr>
                <w:rFonts w:ascii="宋体" w:hAnsi="宋体" w:eastAsia="宋体" w:cs="@仿宋_GB2312"/>
                <w:b/>
                <w:bCs/>
                <w:color w:val="auto"/>
                <w:kern w:val="0"/>
                <w:sz w:val="24"/>
                <w:szCs w:val="28"/>
                <w:highlight w:val="none"/>
                <w:lang w:val="en-US" w:eastAsia="zh-CN" w:bidi="ar-SA"/>
              </w:rPr>
            </w:pPr>
            <w:r>
              <w:rPr>
                <w:rFonts w:hint="eastAsia" w:ascii="宋体" w:hAnsi="宋体" w:eastAsia="宋体"/>
                <w:bCs w:val="0"/>
                <w:color w:val="auto"/>
                <w:sz w:val="24"/>
                <w:szCs w:val="24"/>
                <w:highlight w:val="none"/>
              </w:rPr>
              <w:t>（2）以担保函、保证保险形式缴纳履约保证金的，受益人和收取单位须为采购人。</w:t>
            </w:r>
          </w:p>
        </w:tc>
      </w:tr>
      <w:tr w14:paraId="1F0A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D14537F">
            <w:pPr>
              <w:pStyle w:val="45"/>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60" w:type="pct"/>
            <w:vAlign w:val="center"/>
          </w:tcPr>
          <w:p w14:paraId="15803E50">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代理</w:t>
            </w:r>
            <w:r>
              <w:rPr>
                <w:rFonts w:hint="eastAsia" w:ascii="宋体" w:hAnsi="宋体" w:eastAsia="宋体"/>
                <w:b w:val="0"/>
                <w:color w:val="auto"/>
                <w:sz w:val="24"/>
                <w:highlight w:val="none"/>
              </w:rPr>
              <w:t>费</w:t>
            </w:r>
            <w:r>
              <w:rPr>
                <w:rFonts w:hint="eastAsia" w:ascii="宋体" w:hAnsi="宋体" w:eastAsia="宋体"/>
                <w:b w:val="0"/>
                <w:color w:val="auto"/>
                <w:sz w:val="24"/>
                <w:highlight w:val="none"/>
                <w:lang w:val="en-US" w:eastAsia="zh-CN"/>
              </w:rPr>
              <w:t>用</w:t>
            </w:r>
          </w:p>
        </w:tc>
        <w:tc>
          <w:tcPr>
            <w:tcW w:w="3267" w:type="pct"/>
            <w:vAlign w:val="center"/>
          </w:tcPr>
          <w:p w14:paraId="21FE1762">
            <w:pPr>
              <w:keepNext w:val="0"/>
              <w:keepLines w:val="0"/>
              <w:pageBreakBefore w:val="0"/>
              <w:widowControl w:val="0"/>
              <w:kinsoku/>
              <w:wordWrap/>
              <w:overflowPunct/>
              <w:topLinePunct w:val="0"/>
              <w:autoSpaceDE/>
              <w:autoSpaceDN/>
              <w:bidi w:val="0"/>
              <w:adjustRightInd/>
              <w:snapToGrid/>
              <w:spacing w:before="39" w:line="440" w:lineRule="exact"/>
              <w:textAlignment w:val="auto"/>
              <w:rPr>
                <w:rFonts w:hint="eastAsia" w:ascii="宋体" w:hAnsi="宋体" w:eastAsia="宋体" w:cs="宋体"/>
                <w:sz w:val="24"/>
                <w:szCs w:val="24"/>
                <w:highlight w:val="none"/>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lang w:val="en-US" w:eastAsia="zh-CN"/>
              </w:rPr>
              <w:t>1</w:t>
            </w: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收费对象</w:t>
            </w:r>
            <w:r>
              <w:rPr>
                <w:rFonts w:hint="eastAsia" w:ascii="宋体" w:hAnsi="宋体" w:eastAsia="宋体" w:cs="宋体"/>
                <w:spacing w:val="-12"/>
                <w:sz w:val="24"/>
                <w:szCs w:val="24"/>
                <w:highlight w:val="none"/>
              </w:rPr>
              <w:t>：</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spacing w:val="14"/>
                <w:sz w:val="24"/>
                <w:szCs w:val="24"/>
                <w:highlight w:val="none"/>
              </w:rPr>
              <w:t>采购人</w:t>
            </w:r>
            <w:r>
              <w:rPr>
                <w:rFonts w:hint="eastAsia" w:ascii="宋体" w:hAnsi="宋体" w:eastAsia="宋体" w:cs="宋体"/>
                <w:spacing w:val="14"/>
                <w:sz w:val="24"/>
                <w:szCs w:val="24"/>
                <w:highlight w:val="none"/>
                <w:lang w:val="en-US" w:eastAsia="zh-CN"/>
              </w:rPr>
              <w:t xml:space="preserve">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spacing w:val="14"/>
                <w:sz w:val="24"/>
                <w:szCs w:val="24"/>
                <w:highlight w:val="none"/>
              </w:rPr>
              <w:t>中标人</w:t>
            </w:r>
          </w:p>
          <w:p w14:paraId="09199217">
            <w:pPr>
              <w:keepNext w:val="0"/>
              <w:keepLines w:val="0"/>
              <w:pageBreakBefore w:val="0"/>
              <w:kinsoku/>
              <w:wordWrap/>
              <w:overflowPunct/>
              <w:topLinePunct w:val="0"/>
              <w:autoSpaceDE/>
              <w:autoSpaceDN/>
              <w:bidi w:val="0"/>
              <w:adjustRightInd/>
              <w:snapToGrid/>
              <w:spacing w:before="24" w:line="48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（2）收取方式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lang w:val="en-US" w:eastAsia="zh-CN"/>
              </w:rPr>
              <w:t>/</w:t>
            </w:r>
          </w:p>
          <w:p w14:paraId="082AD437">
            <w:pPr>
              <w:pStyle w:val="44"/>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val="0"/>
                <w:color w:val="auto"/>
                <w:sz w:val="24"/>
                <w:highlight w:val="none"/>
              </w:rPr>
              <w:t>（3）</w:t>
            </w:r>
            <w:r>
              <w:rPr>
                <w:rFonts w:hint="eastAsia" w:ascii="宋体" w:hAnsi="宋体" w:eastAsia="宋体" w:cs="宋体"/>
                <w:b w:val="0"/>
                <w:color w:val="auto"/>
                <w:sz w:val="24"/>
                <w:highlight w:val="none"/>
              </w:rPr>
              <w:t>收费标准：</w:t>
            </w:r>
            <w:r>
              <w:rPr>
                <w:rFonts w:hint="eastAsia" w:ascii="宋体" w:hAnsi="宋体" w:eastAsia="宋体" w:cs="宋体"/>
                <w:b w:val="0"/>
                <w:color w:val="auto"/>
                <w:sz w:val="24"/>
                <w:highlight w:val="none"/>
                <w:lang w:val="en-US" w:eastAsia="zh-CN"/>
              </w:rPr>
              <w:t>参考《滁州市公共资源交易代理机构及从业人员管理办法》(滁公管〔2025〕1 号)以及《关于进一步明确代理费计取标准的通知》（滁公管综〔2023〕19号）文件，以最高限价（控制价）计算。</w:t>
            </w:r>
          </w:p>
        </w:tc>
      </w:tr>
      <w:tr w14:paraId="49BA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5FFBFDC">
            <w:pPr>
              <w:pStyle w:val="45"/>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27.1</w:t>
            </w:r>
          </w:p>
        </w:tc>
        <w:tc>
          <w:tcPr>
            <w:tcW w:w="1160" w:type="pct"/>
            <w:vAlign w:val="center"/>
          </w:tcPr>
          <w:p w14:paraId="7395B1FE">
            <w:pPr>
              <w:pStyle w:val="44"/>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3267" w:type="pct"/>
            <w:vAlign w:val="center"/>
          </w:tcPr>
          <w:p w14:paraId="5FE2CFF9">
            <w:pPr>
              <w:pStyle w:val="44"/>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（1）采购人与成交供应商应当自发出成交通知书之日起7个工作日内签订合同，采购合同签订之日起2个工作日内完成政府采购合同公开。</w:t>
            </w:r>
          </w:p>
          <w:p w14:paraId="42F9A423">
            <w:pPr>
              <w:pStyle w:val="44"/>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ascii="宋体" w:hAnsi="宋体" w:eastAsia="宋体" w:cs="宋体"/>
                <w:b/>
                <w:bCs w:val="0"/>
                <w:color w:val="auto"/>
                <w:sz w:val="24"/>
                <w:szCs w:val="24"/>
                <w:highlight w:val="none"/>
              </w:rPr>
              <w:t>（2）采购人与</w:t>
            </w:r>
            <w:r>
              <w:rPr>
                <w:rFonts w:hint="eastAsia" w:ascii="宋体" w:hAnsi="宋体" w:eastAsia="宋体"/>
                <w:b/>
                <w:bCs w:val="0"/>
                <w:color w:val="auto"/>
                <w:sz w:val="24"/>
                <w:highlight w:val="none"/>
                <w:lang w:val="en-US" w:eastAsia="zh-CN"/>
              </w:rPr>
              <w:t>成交供应商</w:t>
            </w:r>
            <w:r>
              <w:rPr>
                <w:rFonts w:ascii="宋体" w:hAnsi="宋体" w:eastAsia="宋体" w:cs="宋体"/>
                <w:color w:val="auto"/>
                <w:sz w:val="24"/>
                <w:szCs w:val="24"/>
                <w:highlight w:val="none"/>
              </w:rPr>
              <w:t>不得擅自变更合同，依照政府采购法确需变更政府采购合同内容的，采购人应当自合同变更之日起2个工作日内在安徽省政府采购网</w:t>
            </w:r>
            <w:r>
              <w:rPr>
                <w:rFonts w:hint="eastAsia" w:ascii="宋体" w:hAnsi="宋体" w:eastAsia="宋体" w:cs="宋体"/>
                <w:color w:val="auto"/>
                <w:sz w:val="24"/>
                <w:szCs w:val="24"/>
                <w:highlight w:val="none"/>
                <w:lang w:val="en-US" w:eastAsia="zh-CN"/>
              </w:rPr>
              <w:t>和滁州市公共资源交易中心网</w:t>
            </w:r>
            <w:r>
              <w:rPr>
                <w:rFonts w:ascii="宋体" w:hAnsi="宋体" w:eastAsia="宋体" w:cs="宋体"/>
                <w:color w:val="auto"/>
                <w:sz w:val="24"/>
                <w:szCs w:val="24"/>
                <w:highlight w:val="none"/>
              </w:rPr>
              <w:t>发布政府采购合同变更公告，但涉及国家秘密、商业秘密的信息和其他依法不得公开的信息除外。</w:t>
            </w:r>
          </w:p>
        </w:tc>
      </w:tr>
      <w:tr w14:paraId="5330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54FEADA">
            <w:pPr>
              <w:pStyle w:val="45"/>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lang w:val="en-US" w:eastAsia="zh-CN"/>
              </w:rPr>
              <w:t>29.3</w:t>
            </w:r>
          </w:p>
        </w:tc>
        <w:tc>
          <w:tcPr>
            <w:tcW w:w="1160" w:type="pct"/>
            <w:vAlign w:val="center"/>
          </w:tcPr>
          <w:p w14:paraId="357BFA54">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67" w:type="pct"/>
            <w:vAlign w:val="center"/>
          </w:tcPr>
          <w:p w14:paraId="5F1DC7E4">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递交方式：</w:t>
            </w:r>
            <w:r>
              <w:rPr>
                <w:rFonts w:hint="eastAsia" w:ascii="宋体" w:hAnsi="宋体" w:eastAsia="宋体"/>
                <w:bCs/>
                <w:color w:val="auto"/>
                <w:kern w:val="0"/>
                <w:sz w:val="24"/>
                <w:szCs w:val="28"/>
                <w:highlight w:val="none"/>
                <w:u w:val="single"/>
              </w:rPr>
              <w:t>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w:t>
            </w:r>
          </w:p>
          <w:p w14:paraId="26161663">
            <w:pPr>
              <w:pStyle w:val="44"/>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Cs/>
                <w:color w:val="auto"/>
                <w:kern w:val="0"/>
                <w:sz w:val="24"/>
                <w:szCs w:val="28"/>
                <w:highlight w:val="none"/>
                <w:u w:val="single"/>
                <w:lang w:eastAsia="zh-CN"/>
              </w:rPr>
              <w:t>滁州市水利规划技术服务中心</w:t>
            </w:r>
            <w:r>
              <w:rPr>
                <w:rFonts w:hint="eastAsia" w:ascii="宋体" w:hAnsi="宋体" w:eastAsia="宋体"/>
                <w:bCs/>
                <w:color w:val="auto"/>
                <w:kern w:val="0"/>
                <w:sz w:val="24"/>
                <w:szCs w:val="28"/>
                <w:highlight w:val="none"/>
                <w:u w:val="single"/>
              </w:rPr>
              <w:t>、</w:t>
            </w:r>
            <w:r>
              <w:rPr>
                <w:rFonts w:hint="eastAsia" w:ascii="宋体" w:hAnsi="宋体" w:eastAsia="宋体"/>
                <w:bCs/>
                <w:color w:val="auto"/>
                <w:kern w:val="0"/>
                <w:sz w:val="24"/>
                <w:szCs w:val="28"/>
                <w:highlight w:val="none"/>
                <w:u w:val="single"/>
                <w:lang w:eastAsia="zh-CN"/>
              </w:rPr>
              <w:t>滁州市政府采购中心</w:t>
            </w:r>
            <w:r>
              <w:rPr>
                <w:rFonts w:hint="eastAsia" w:ascii="宋体" w:hAnsi="宋体" w:eastAsia="宋体"/>
                <w:bCs/>
                <w:color w:val="auto"/>
                <w:kern w:val="0"/>
                <w:sz w:val="24"/>
                <w:szCs w:val="28"/>
                <w:highlight w:val="none"/>
                <w:u w:val="single"/>
              </w:rPr>
              <w:t>；</w:t>
            </w:r>
          </w:p>
          <w:p w14:paraId="4101A95B">
            <w:pPr>
              <w:pStyle w:val="44"/>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Cs/>
                <w:color w:val="auto"/>
                <w:kern w:val="0"/>
                <w:sz w:val="24"/>
                <w:szCs w:val="28"/>
                <w:highlight w:val="none"/>
                <w:u w:val="single"/>
                <w:lang w:eastAsia="zh-CN"/>
              </w:rPr>
              <w:t>0550-3055510</w:t>
            </w:r>
            <w:r>
              <w:rPr>
                <w:rFonts w:hint="eastAsia" w:ascii="宋体" w:hAnsi="宋体" w:eastAsia="宋体"/>
                <w:bCs/>
                <w:color w:val="auto"/>
                <w:kern w:val="0"/>
                <w:sz w:val="24"/>
                <w:szCs w:val="28"/>
                <w:highlight w:val="none"/>
                <w:u w:val="single"/>
              </w:rPr>
              <w:t>、0550-</w:t>
            </w:r>
            <w:r>
              <w:rPr>
                <w:rFonts w:hint="eastAsia" w:ascii="宋体" w:hAnsi="宋体" w:eastAsia="宋体"/>
                <w:bCs/>
                <w:color w:val="auto"/>
                <w:kern w:val="0"/>
                <w:sz w:val="24"/>
                <w:szCs w:val="28"/>
                <w:highlight w:val="none"/>
                <w:u w:val="single"/>
                <w:lang w:eastAsia="zh-CN"/>
              </w:rPr>
              <w:t>351951</w:t>
            </w:r>
            <w:r>
              <w:rPr>
                <w:rFonts w:hint="eastAsia" w:ascii="宋体" w:hAnsi="宋体" w:eastAsia="宋体"/>
                <w:bCs/>
                <w:color w:val="auto"/>
                <w:kern w:val="0"/>
                <w:sz w:val="24"/>
                <w:szCs w:val="28"/>
                <w:highlight w:val="none"/>
                <w:u w:val="single"/>
                <w:lang w:val="en-US" w:eastAsia="zh-CN"/>
              </w:rPr>
              <w:t>7</w:t>
            </w:r>
            <w:r>
              <w:rPr>
                <w:rFonts w:hint="eastAsia" w:ascii="宋体" w:hAnsi="宋体" w:eastAsia="宋体"/>
                <w:bCs/>
                <w:color w:val="auto"/>
                <w:kern w:val="0"/>
                <w:sz w:val="24"/>
                <w:szCs w:val="28"/>
                <w:highlight w:val="none"/>
                <w:u w:val="single"/>
              </w:rPr>
              <w:t>；</w:t>
            </w:r>
          </w:p>
          <w:p w14:paraId="5D6ABDCF">
            <w:pPr>
              <w:pStyle w:val="44"/>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通讯地址：</w:t>
            </w:r>
            <w:r>
              <w:rPr>
                <w:rFonts w:hint="eastAsia" w:ascii="宋体" w:hAnsi="宋体" w:eastAsia="宋体"/>
                <w:bCs/>
                <w:color w:val="auto"/>
                <w:kern w:val="0"/>
                <w:sz w:val="24"/>
                <w:szCs w:val="28"/>
                <w:highlight w:val="none"/>
                <w:u w:val="single"/>
                <w:lang w:eastAsia="zh-CN"/>
              </w:rPr>
              <w:t>滁州市龙蟠大道75号</w:t>
            </w:r>
            <w:r>
              <w:rPr>
                <w:rFonts w:hint="eastAsia" w:ascii="宋体" w:hAnsi="宋体" w:eastAsia="宋体"/>
                <w:bCs/>
                <w:color w:val="auto"/>
                <w:kern w:val="0"/>
                <w:sz w:val="24"/>
                <w:szCs w:val="28"/>
                <w:highlight w:val="none"/>
                <w:u w:val="single"/>
              </w:rPr>
              <w:t>、滁州市龙蟠大道109号房产商务大厦</w:t>
            </w:r>
            <w:r>
              <w:rPr>
                <w:rFonts w:hint="eastAsia" w:ascii="宋体" w:hAnsi="宋体" w:eastAsia="宋体"/>
                <w:bCs/>
                <w:color w:val="auto"/>
                <w:kern w:val="0"/>
                <w:sz w:val="24"/>
                <w:szCs w:val="28"/>
                <w:highlight w:val="none"/>
                <w:u w:val="single"/>
                <w:lang w:val="en-US" w:eastAsia="zh-CN"/>
              </w:rPr>
              <w:t>二</w:t>
            </w:r>
            <w:r>
              <w:rPr>
                <w:rFonts w:hint="eastAsia" w:ascii="宋体" w:hAnsi="宋体" w:eastAsia="宋体"/>
                <w:bCs/>
                <w:color w:val="auto"/>
                <w:kern w:val="0"/>
                <w:sz w:val="24"/>
                <w:szCs w:val="28"/>
                <w:highlight w:val="none"/>
                <w:u w:val="single"/>
              </w:rPr>
              <w:t>楼</w:t>
            </w:r>
            <w:r>
              <w:rPr>
                <w:rFonts w:hint="eastAsia" w:ascii="宋体" w:hAnsi="宋体" w:eastAsia="宋体"/>
                <w:bCs/>
                <w:color w:val="auto"/>
                <w:kern w:val="0"/>
                <w:sz w:val="24"/>
                <w:szCs w:val="28"/>
                <w:highlight w:val="none"/>
                <w:u w:val="single"/>
                <w:lang w:val="en-US" w:eastAsia="zh-CN"/>
              </w:rPr>
              <w:t>。</w:t>
            </w:r>
          </w:p>
        </w:tc>
      </w:tr>
      <w:tr w14:paraId="4C94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360EB030">
            <w:pPr>
              <w:pStyle w:val="45"/>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30</w:t>
            </w:r>
          </w:p>
        </w:tc>
        <w:tc>
          <w:tcPr>
            <w:tcW w:w="1160" w:type="pct"/>
            <w:vAlign w:val="center"/>
          </w:tcPr>
          <w:p w14:paraId="01DFA0F7">
            <w:pPr>
              <w:pStyle w:val="4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6274" w:type="dxa"/>
            <w:vAlign w:val="center"/>
          </w:tcPr>
          <w:p w14:paraId="2A87A920">
            <w:pPr>
              <w:spacing w:line="360" w:lineRule="auto"/>
              <w:rPr>
                <w:rFonts w:hint="default"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1.解释权</w:t>
            </w:r>
          </w:p>
          <w:p w14:paraId="0FDB2F4B">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文件的各个组成文件应互为解释，互为说明；</w:t>
            </w:r>
          </w:p>
          <w:p w14:paraId="526DFEA0">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1F2E83EF">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0118320C">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磋商及响应文件提交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竞争性磋商</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磋商邀请、供应商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4D62B5A3">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（5）</w:t>
            </w:r>
            <w:r>
              <w:rPr>
                <w:rFonts w:asciiTheme="minorEastAsia" w:hAnsiTheme="minorEastAsia" w:eastAsiaTheme="minorEastAsia"/>
                <w:bCs/>
                <w:color w:val="auto"/>
                <w:sz w:val="24"/>
                <w:szCs w:val="24"/>
                <w:highlight w:val="none"/>
              </w:rPr>
              <w:t>按本款前述规定仍不能形成结论的，由</w:t>
            </w:r>
            <w:r>
              <w:rPr>
                <w:rFonts w:hint="eastAsia" w:asciiTheme="minorEastAsia" w:hAnsiTheme="minorEastAsia" w:eastAsiaTheme="minorEastAsia"/>
                <w:bCs/>
                <w:color w:val="auto"/>
                <w:sz w:val="24"/>
                <w:szCs w:val="24"/>
                <w:highlight w:val="none"/>
              </w:rPr>
              <w:t>采购</w:t>
            </w:r>
            <w:r>
              <w:rPr>
                <w:rFonts w:asciiTheme="minorEastAsia" w:hAnsiTheme="minorEastAsia" w:eastAsiaTheme="minorEastAsia"/>
                <w:bCs/>
                <w:color w:val="auto"/>
                <w:sz w:val="24"/>
                <w:szCs w:val="24"/>
                <w:highlight w:val="none"/>
              </w:rPr>
              <w:t>人负责解释。</w:t>
            </w:r>
          </w:p>
          <w:p w14:paraId="12A6CDA0">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2.</w:t>
            </w:r>
            <w:r>
              <w:rPr>
                <w:rFonts w:hint="eastAsia" w:asciiTheme="minorEastAsia" w:hAnsiTheme="minorEastAsia" w:eastAsiaTheme="minorEastAsia"/>
                <w:bCs/>
                <w:color w:val="auto"/>
                <w:sz w:val="24"/>
                <w:szCs w:val="24"/>
                <w:highlight w:val="none"/>
              </w:rPr>
              <w:t>“政采贷”融资指引：有融资需求的</w:t>
            </w:r>
            <w:r>
              <w:rPr>
                <w:rFonts w:hint="eastAsia" w:ascii="宋体" w:hAnsi="宋体" w:eastAsia="宋体" w:cs="宋体"/>
                <w:color w:val="auto"/>
                <w:sz w:val="24"/>
                <w:szCs w:val="24"/>
                <w:highlight w:val="none"/>
              </w:rPr>
              <w:t>供应商</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供应商</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成交供应商</w:t>
            </w:r>
            <w:r>
              <w:rPr>
                <w:rFonts w:hint="eastAsia" w:asciiTheme="minorEastAsia" w:hAnsiTheme="minorEastAsia" w:eastAsiaTheme="minorEastAsia"/>
                <w:bCs/>
                <w:color w:val="auto"/>
                <w:sz w:val="24"/>
                <w:szCs w:val="24"/>
                <w:highlight w:val="none"/>
              </w:rPr>
              <w:t>融资申请信息推送第三方平台、意向金融机构。</w:t>
            </w:r>
          </w:p>
          <w:p w14:paraId="78680B5D">
            <w:pPr>
              <w:spacing w:line="360" w:lineRule="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3.电子保函指引：成交供应商可访问安徽省政府采购网“融资/保函”栏目，申请办理电子保函（包括：履约保函、预付款保函）。</w:t>
            </w:r>
          </w:p>
          <w:p w14:paraId="2BAF5046">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cs="@仿宋_GB2312" w:asciiTheme="minorEastAsia" w:hAnsiTheme="minorEastAsia" w:eastAsiaTheme="minorEastAsia"/>
                <w:b w:val="0"/>
                <w:bCs/>
                <w:color w:val="auto"/>
                <w:kern w:val="2"/>
                <w:sz w:val="24"/>
                <w:szCs w:val="24"/>
                <w:highlight w:val="none"/>
                <w:lang w:val="en-US" w:eastAsia="zh-CN" w:bidi="ar-SA"/>
              </w:rPr>
              <w:t>4.</w:t>
            </w:r>
            <w:r>
              <w:rPr>
                <w:rFonts w:hint="eastAsia" w:asciiTheme="minorEastAsia" w:hAnsiTheme="minorEastAsia" w:eastAsiaTheme="minorEastAsia"/>
                <w:b w:val="0"/>
                <w:bCs w:val="0"/>
                <w:color w:val="auto"/>
                <w:kern w:val="2"/>
                <w:sz w:val="24"/>
                <w:szCs w:val="24"/>
                <w:highlight w:val="none"/>
                <w:u w:val="none"/>
                <w:lang w:val="en-US" w:eastAsia="zh-CN"/>
              </w:rPr>
              <w:t>部分可提供线下政采贷的金融机构：</w:t>
            </w:r>
          </w:p>
          <w:p w14:paraId="50B555A6">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市本级</w:t>
            </w:r>
          </w:p>
          <w:p w14:paraId="498F0F3E">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金融机构名称：兴业银行滁州分行</w:t>
            </w:r>
          </w:p>
          <w:p w14:paraId="37406F76">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安徽省滁州市琅琊区丰乐大道1090号</w:t>
            </w:r>
          </w:p>
          <w:p w14:paraId="4BAC6DEF">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伏庚：17755080811</w:t>
            </w:r>
          </w:p>
          <w:p w14:paraId="73B4C342">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5.特别提示：</w:t>
            </w:r>
          </w:p>
          <w:p w14:paraId="02CE2856">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（1）供应商应填写投标信息并下载采购文件，否则无法上传响应文件。</w:t>
            </w:r>
          </w:p>
          <w:p w14:paraId="47AA294E">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注：供应商如为联合体的，牵头人必须完善供应商信息，并在上传响应文件环节添加联合体参与信息。</w:t>
            </w:r>
          </w:p>
          <w:p w14:paraId="077FC283">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2）本项目采用电子招标投标，请供应商在滁州市公共资源交易中心网&gt;服务指南&gt;软件下载栏目点击下载响应文件制作工具。供应商需采用最新版响应文件制作工具。软件运行需在国际互联网络通畅状态，供应商需注意更新，以免造成响应文件制作错误，如因此导致磋商小组否决其磋商资格，责任自负。如有技术问题请联系0550-3801701，0512-58188516。</w:t>
            </w:r>
          </w:p>
          <w:p w14:paraId="58148428">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（3）如果过程中出现采购文件更改，应以最后发布的招标答疑澄清文件中的模板制作本项目最新响应文件。</w:t>
            </w:r>
          </w:p>
          <w:p w14:paraId="16882B3F">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 xml:space="preserve">（4）供应商应当用本单位CA数字证书制作响应文件，制作成功后进行响应文件上传。联合体参加磋商的，磋商文件下载、响应文件编制、电子签章、网上递交标书、解密等工作均由其牵头人负责办理，其他联合体成员方按磋商文件要求提供相关材料即可。 </w:t>
            </w:r>
          </w:p>
          <w:p w14:paraId="6E5A1A5C">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5）供应商须用CA数字证书盖章和加密响应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3E26489D">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（6）请供应商注意加密响应文件CA数字证书的有效期，不在有效期的CA数字证书无法解密响应文件。</w:t>
            </w:r>
          </w:p>
          <w:p w14:paraId="77FBE6F2">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（7）供应商投标MAC地址一致，由磋商小组否决其磋商资格。</w:t>
            </w:r>
          </w:p>
          <w:p w14:paraId="3F0073C2">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（8）供应商单方面出现其他供应商材料的，由磋商小组否决其磋商资格。</w:t>
            </w:r>
          </w:p>
          <w:p w14:paraId="72CEBB67">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9）评标时查询响应文件制作机器码、文件创建标识码及造价软件加密锁号。若存在响应文件制作机器码或创建标识码或造价软件加密锁号信息与其他供应商雷同的，由磋商小组否决其磋商资格，保证金不予退还，依法依规予以处理。</w:t>
            </w:r>
          </w:p>
          <w:p w14:paraId="57BF80A7">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（10）供应商联系人或联系电话相同的，由磋商小组否决其响应资格，并报告监管部门作不良行为处理和进一步调查。</w:t>
            </w:r>
          </w:p>
          <w:p w14:paraId="00974F32">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（11）供应商以联合体名义参与磋商的，其质疑投诉应当由联合体全体成员共同提出。联合体成员单独进行质疑投诉的，应当书面征得联合体其他成员同意，联合体成员之间投诉的除外。</w:t>
            </w:r>
          </w:p>
          <w:p w14:paraId="4EDAFB79">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12）电子加密响应文件上传到系统后，需要供应商和采购代理公司到截止时间后共同解锁，不存在商务报价等投标信息通过系统泄密的风险；截止时间前，已上传的响应文件也可以撤回修改。集中到开标截止时间前上传电子加密响应文件，可能出现由于投标企业制作电子响应文件不熟练、网络拥堵等不可预知的情况而且无法及时解决，丧失投标机会，请各投标企业提前制作、上传电子加密响应文件，否则由于无法及时上传电子加密响应文件而无效响应的情况，责任自负！</w:t>
            </w:r>
          </w:p>
          <w:p w14:paraId="6955329F">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6.评审过程中的澄清、说明或补正：</w:t>
            </w:r>
          </w:p>
          <w:p w14:paraId="29B514E3">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（1）磋商小组通过网上招投标系统将需要澄清、说明或补正的内容以询标函的形式发送给供应商，供应商应安排专人登录网上招投标系统并保持在线状态，以便及时接收磋商小组可能发出的询标函。</w:t>
            </w:r>
          </w:p>
          <w:p w14:paraId="7B179231">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2）因供应商未登录网上招投标系统导致无法及时接收询标函（远程网上询标）或未在规定时间内按磋商小组要求进行澄清、说明或补正内容的视同供应商放弃澄清、说明或补正内容的权利，磋商小组可按对供应商不利的解释进行判定。</w:t>
            </w:r>
          </w:p>
          <w:p w14:paraId="44F1F0C3">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7.同义词语：</w:t>
            </w:r>
          </w:p>
          <w:p w14:paraId="2351A126">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磋商文件第六章  响应文件格式、附件1“关于联合惩戒失信行为 加强信用查询管理的通知”等章节中 “招标人”、“投标人”，等同于“采购人”、“供应商”。</w:t>
            </w:r>
          </w:p>
          <w:p w14:paraId="7EEB172E">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8.落实政府采购支持节能产品、环境标志产品政策。</w:t>
            </w:r>
          </w:p>
          <w:p w14:paraId="480771D7">
            <w:pPr>
              <w:spacing w:line="360" w:lineRule="auto"/>
              <w:rPr>
                <w:rFonts w:hint="default" w:cs="@仿宋_GB2312" w:asciiTheme="minorEastAsia" w:hAnsiTheme="minorEastAsia" w:eastAsiaTheme="minorEastAsia"/>
                <w:bCs/>
                <w:color w:val="auto"/>
                <w:kern w:val="2"/>
                <w:sz w:val="24"/>
                <w:szCs w:val="24"/>
                <w:highlight w:val="none"/>
                <w:lang w:val="en-US" w:eastAsia="zh-CN" w:bidi="ar-SA"/>
              </w:rPr>
            </w:pPr>
            <w:r>
              <w:rPr>
                <w:rFonts w:hint="eastAsia" w:asciiTheme="minorEastAsia" w:hAnsiTheme="minorEastAsia" w:eastAsiaTheme="minorEastAsia"/>
                <w:b w:val="0"/>
                <w:bCs w:val="0"/>
                <w:color w:val="auto"/>
                <w:kern w:val="2"/>
                <w:sz w:val="24"/>
                <w:szCs w:val="24"/>
                <w:highlight w:val="none"/>
                <w:u w:val="none"/>
                <w:lang w:val="en-US" w:eastAsia="zh-CN"/>
              </w:rPr>
              <w:t>9.系统中提供的表格与采购文件中不一致时，以采购文件中提供的表格格式为准。</w:t>
            </w:r>
          </w:p>
        </w:tc>
      </w:tr>
    </w:tbl>
    <w:p w14:paraId="0B23396A">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8" w:name="_Toc14293"/>
      <w:bookmarkStart w:id="9" w:name="_Toc27470"/>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8"/>
      <w:bookmarkEnd w:id="9"/>
    </w:p>
    <w:p w14:paraId="008BC1C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63F10D9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5E73261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4174119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r>
        <w:rPr>
          <w:rFonts w:ascii="宋体" w:hAnsi="宋体" w:eastAsia="宋体"/>
          <w:color w:val="auto"/>
          <w:sz w:val="24"/>
          <w:highlight w:val="none"/>
        </w:rPr>
        <w:t>。</w:t>
      </w:r>
    </w:p>
    <w:p w14:paraId="026383E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w:t>
      </w:r>
      <w:r>
        <w:rPr>
          <w:rFonts w:hint="eastAsia" w:ascii="宋体" w:hAnsi="宋体" w:eastAsia="宋体"/>
          <w:color w:val="auto"/>
          <w:sz w:val="24"/>
          <w:highlight w:val="none"/>
        </w:rPr>
        <w:t>供应商</w:t>
      </w:r>
      <w:r>
        <w:rPr>
          <w:rFonts w:ascii="宋体" w:hAnsi="宋体" w:eastAsia="宋体"/>
          <w:color w:val="auto"/>
          <w:sz w:val="24"/>
          <w:highlight w:val="none"/>
        </w:rPr>
        <w:t>：是指向采购人提供货物、工程或者服务的法人、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w:t>
      </w:r>
      <w:r>
        <w:rPr>
          <w:rFonts w:hint="eastAsia" w:ascii="宋体" w:hAnsi="宋体" w:eastAsia="宋体"/>
          <w:color w:val="auto"/>
          <w:sz w:val="24"/>
          <w:highlight w:val="none"/>
        </w:rPr>
        <w:t>供应商</w:t>
      </w:r>
      <w:r>
        <w:rPr>
          <w:rFonts w:ascii="宋体" w:hAnsi="宋体" w:eastAsia="宋体"/>
          <w:color w:val="auto"/>
          <w:sz w:val="24"/>
          <w:highlight w:val="none"/>
        </w:rPr>
        <w:t>及其</w:t>
      </w:r>
      <w:r>
        <w:rPr>
          <w:rFonts w:hint="eastAsia" w:ascii="宋体" w:hAnsi="宋体" w:eastAsia="宋体"/>
          <w:color w:val="auto"/>
          <w:sz w:val="24"/>
          <w:highlight w:val="none"/>
        </w:rPr>
        <w:t>所</w:t>
      </w:r>
      <w:r>
        <w:rPr>
          <w:rFonts w:ascii="宋体" w:hAnsi="宋体" w:eastAsia="宋体"/>
          <w:color w:val="auto"/>
          <w:sz w:val="24"/>
          <w:highlight w:val="none"/>
        </w:rPr>
        <w:t>投货物须满足以下条件：</w:t>
      </w:r>
    </w:p>
    <w:p w14:paraId="44E695E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0500E3E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w:t>
      </w:r>
      <w:r>
        <w:rPr>
          <w:rFonts w:hint="eastAsia" w:ascii="宋体" w:hAnsi="宋体" w:eastAsia="宋体"/>
          <w:color w:val="auto"/>
          <w:sz w:val="24"/>
          <w:highlight w:val="none"/>
          <w:lang w:val="en-US" w:eastAsia="zh-CN"/>
        </w:rPr>
        <w:t>磋商</w:t>
      </w:r>
      <w:r>
        <w:rPr>
          <w:rFonts w:ascii="宋体" w:hAnsi="宋体" w:eastAsia="宋体"/>
          <w:color w:val="auto"/>
          <w:sz w:val="24"/>
          <w:highlight w:val="none"/>
        </w:rPr>
        <w:t>文件。</w:t>
      </w:r>
    </w:p>
    <w:p w14:paraId="13466C4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w:t>
      </w:r>
      <w:r>
        <w:rPr>
          <w:rFonts w:hint="eastAsia" w:ascii="宋体" w:hAnsi="宋体" w:eastAsia="宋体"/>
          <w:color w:val="auto"/>
          <w:sz w:val="24"/>
          <w:highlight w:val="none"/>
          <w:lang w:val="en-US" w:eastAsia="zh-CN"/>
        </w:rPr>
        <w:t>供应商</w:t>
      </w:r>
      <w:r>
        <w:rPr>
          <w:rFonts w:ascii="宋体" w:hAnsi="宋体" w:eastAsia="宋体"/>
          <w:color w:val="auto"/>
          <w:sz w:val="24"/>
          <w:highlight w:val="none"/>
        </w:rPr>
        <w:t>应保证所投产品可履行合法报通关手续进入中国关境内。</w:t>
      </w:r>
    </w:p>
    <w:p w14:paraId="58F6A7C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中未写明允许采购进口产品，如供应商所投产品为进口产品，其响应文件将被认定为</w:t>
      </w:r>
      <w:r>
        <w:rPr>
          <w:rFonts w:hint="eastAsia" w:ascii="宋体" w:hAnsi="宋体" w:eastAsia="宋体"/>
          <w:b/>
          <w:color w:val="auto"/>
          <w:sz w:val="24"/>
          <w:highlight w:val="none"/>
        </w:rPr>
        <w:t>响应无效</w:t>
      </w:r>
      <w:r>
        <w:rPr>
          <w:rFonts w:hint="eastAsia" w:ascii="宋体" w:hAnsi="宋体" w:eastAsia="宋体"/>
          <w:color w:val="auto"/>
          <w:sz w:val="24"/>
          <w:highlight w:val="none"/>
        </w:rPr>
        <w:t>。</w:t>
      </w:r>
    </w:p>
    <w:p w14:paraId="644D6F11">
      <w:pPr>
        <w:spacing w:line="360" w:lineRule="auto"/>
        <w:ind w:firstLine="435"/>
        <w:rPr>
          <w:rFonts w:ascii="宋体" w:hAnsi="宋体" w:eastAsia="宋体"/>
          <w:color w:val="auto"/>
          <w:sz w:val="24"/>
          <w:highlight w:val="none"/>
        </w:rPr>
      </w:pPr>
      <w:bookmarkStart w:id="10" w:name="_Hlk60607583"/>
      <w:r>
        <w:rPr>
          <w:rFonts w:hint="eastAsia" w:ascii="宋体" w:hAnsi="宋体" w:eastAsia="宋体"/>
          <w:bCs/>
          <w:color w:val="auto"/>
          <w:kern w:val="0"/>
          <w:sz w:val="24"/>
          <w:szCs w:val="28"/>
          <w:highlight w:val="none"/>
          <w:lang w:val="en-US" w:eastAsia="zh-CN"/>
        </w:rPr>
        <w:t>1</w:t>
      </w:r>
      <w:r>
        <w:rPr>
          <w:rFonts w:ascii="宋体" w:hAnsi="宋体" w:eastAsia="宋体"/>
          <w:bCs/>
          <w:color w:val="auto"/>
          <w:kern w:val="0"/>
          <w:sz w:val="24"/>
          <w:szCs w:val="28"/>
          <w:highlight w:val="none"/>
        </w:rPr>
        <w:t>.5</w:t>
      </w:r>
      <w:r>
        <w:rPr>
          <w:rFonts w:hint="eastAsia" w:ascii="宋体" w:hAnsi="宋体" w:eastAsia="宋体"/>
          <w:bCs/>
          <w:color w:val="auto"/>
          <w:kern w:val="0"/>
          <w:sz w:val="24"/>
          <w:szCs w:val="28"/>
          <w:highlight w:val="none"/>
        </w:rPr>
        <w:t>若竞争性磋商公告</w:t>
      </w:r>
      <w:r>
        <w:rPr>
          <w:rFonts w:ascii="宋体" w:hAnsi="宋体" w:eastAsia="宋体"/>
          <w:bCs/>
          <w:color w:val="auto"/>
          <w:kern w:val="0"/>
          <w:sz w:val="24"/>
          <w:szCs w:val="28"/>
          <w:highlight w:val="none"/>
        </w:rPr>
        <w:t>中允许联合体</w:t>
      </w:r>
      <w:r>
        <w:rPr>
          <w:rFonts w:hint="eastAsia" w:ascii="宋体" w:hAnsi="宋体" w:eastAsia="宋体"/>
          <w:bCs/>
          <w:color w:val="auto"/>
          <w:kern w:val="0"/>
          <w:sz w:val="24"/>
          <w:szCs w:val="28"/>
          <w:highlight w:val="none"/>
        </w:rPr>
        <w:t>参加磋商</w:t>
      </w:r>
      <w:r>
        <w:rPr>
          <w:rFonts w:ascii="宋体" w:hAnsi="宋体" w:eastAsia="宋体"/>
          <w:bCs/>
          <w:color w:val="auto"/>
          <w:kern w:val="0"/>
          <w:sz w:val="24"/>
          <w:szCs w:val="28"/>
          <w:highlight w:val="none"/>
        </w:rPr>
        <w:t>，对联合体规定如下：</w:t>
      </w:r>
    </w:p>
    <w:bookmarkEnd w:id="10"/>
    <w:p w14:paraId="667F6A41">
      <w:pPr>
        <w:spacing w:line="360" w:lineRule="auto"/>
        <w:ind w:firstLine="435"/>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.1</w:t>
      </w:r>
      <w:r>
        <w:rPr>
          <w:rFonts w:hint="eastAsia" w:ascii="宋体" w:hAnsi="宋体" w:eastAsia="宋体"/>
          <w:color w:val="auto"/>
          <w:sz w:val="24"/>
          <w:highlight w:val="none"/>
        </w:rPr>
        <w:t>两个以上供应商可以组成一个磋商联合体，以一个供应商的身份磋商</w:t>
      </w:r>
      <w:r>
        <w:rPr>
          <w:rFonts w:ascii="宋体" w:hAnsi="宋体" w:eastAsia="宋体"/>
          <w:color w:val="auto"/>
          <w:sz w:val="24"/>
          <w:highlight w:val="none"/>
        </w:rPr>
        <w:t>。</w:t>
      </w:r>
      <w:r>
        <w:rPr>
          <w:rFonts w:ascii="宋体" w:hAnsi="宋体" w:eastAsia="宋体"/>
          <w:b w:val="0"/>
          <w:color w:val="auto"/>
          <w:sz w:val="24"/>
          <w:highlight w:val="none"/>
        </w:rPr>
        <w:t>联合体参加磋商的，</w:t>
      </w:r>
      <w:r>
        <w:rPr>
          <w:rFonts w:hint="eastAsia" w:ascii="宋体" w:hAnsi="宋体" w:eastAsia="宋体"/>
          <w:b w:val="0"/>
          <w:color w:val="auto"/>
          <w:sz w:val="24"/>
          <w:highlight w:val="none"/>
        </w:rPr>
        <w:t>磋商文件获取</w:t>
      </w:r>
      <w:r>
        <w:rPr>
          <w:rFonts w:ascii="宋体" w:hAnsi="宋体" w:eastAsia="宋体"/>
          <w:b w:val="0"/>
          <w:color w:val="auto"/>
          <w:sz w:val="24"/>
          <w:highlight w:val="none"/>
        </w:rPr>
        <w:t>手续由联合体</w:t>
      </w:r>
      <w:r>
        <w:rPr>
          <w:rFonts w:hint="eastAsia" w:ascii="宋体" w:hAnsi="宋体" w:eastAsia="宋体"/>
          <w:b w:val="0"/>
          <w:color w:val="auto"/>
          <w:sz w:val="24"/>
          <w:highlight w:val="none"/>
        </w:rPr>
        <w:t>中</w:t>
      </w:r>
      <w:r>
        <w:rPr>
          <w:rFonts w:ascii="宋体" w:hAnsi="宋体" w:eastAsia="宋体"/>
          <w:b w:val="0"/>
          <w:color w:val="auto"/>
          <w:sz w:val="24"/>
          <w:highlight w:val="none"/>
        </w:rPr>
        <w:t>任一</w:t>
      </w:r>
      <w:r>
        <w:rPr>
          <w:rFonts w:hint="eastAsia" w:ascii="宋体" w:hAnsi="宋体" w:eastAsia="宋体"/>
          <w:b w:val="0"/>
          <w:color w:val="auto"/>
          <w:sz w:val="24"/>
          <w:highlight w:val="none"/>
        </w:rPr>
        <w:t>成员单位</w:t>
      </w:r>
      <w:r>
        <w:rPr>
          <w:rFonts w:ascii="宋体" w:hAnsi="宋体" w:eastAsia="宋体"/>
          <w:b w:val="0"/>
          <w:color w:val="auto"/>
          <w:sz w:val="24"/>
          <w:highlight w:val="none"/>
        </w:rPr>
        <w:t>办理均可。</w:t>
      </w:r>
    </w:p>
    <w:p w14:paraId="194A9A1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.2联合体各方均应符合《中华人民共和国政府采购法》第二十二条规定的条件。</w:t>
      </w:r>
    </w:p>
    <w:p w14:paraId="2002A4F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.3采购人根据采购项目对</w:t>
      </w:r>
      <w:r>
        <w:rPr>
          <w:rFonts w:hint="eastAsia" w:ascii="宋体" w:hAnsi="宋体" w:eastAsia="宋体"/>
          <w:color w:val="auto"/>
          <w:sz w:val="24"/>
          <w:highlight w:val="none"/>
        </w:rPr>
        <w:t>供应商</w:t>
      </w:r>
      <w:r>
        <w:rPr>
          <w:rFonts w:ascii="宋体" w:hAnsi="宋体" w:eastAsia="宋体"/>
          <w:color w:val="auto"/>
          <w:sz w:val="24"/>
          <w:highlight w:val="none"/>
        </w:rPr>
        <w:t>的特殊要求，联合体中至少应当有一方符合相关规定。</w:t>
      </w:r>
    </w:p>
    <w:p w14:paraId="3191197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w:t>
      </w:r>
      <w:r>
        <w:rPr>
          <w:rFonts w:hint="eastAsia" w:ascii="宋体" w:hAnsi="宋体" w:eastAsia="宋体"/>
          <w:color w:val="auto"/>
          <w:sz w:val="24"/>
          <w:highlight w:val="none"/>
        </w:rPr>
        <w:t>响应</w:t>
      </w:r>
      <w:r>
        <w:rPr>
          <w:rFonts w:ascii="宋体" w:hAnsi="宋体" w:eastAsia="宋体"/>
          <w:color w:val="auto"/>
          <w:sz w:val="24"/>
          <w:highlight w:val="none"/>
        </w:rPr>
        <w:t>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1667784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.5大中型企业、其他自然人、法人或者非法人组织与小型、微型企业组成联合体共同参加</w:t>
      </w:r>
      <w:r>
        <w:rPr>
          <w:rFonts w:hint="eastAsia" w:ascii="宋体" w:hAnsi="宋体" w:eastAsia="宋体"/>
          <w:color w:val="auto"/>
          <w:sz w:val="24"/>
          <w:highlight w:val="none"/>
        </w:rPr>
        <w:t>磋商</w:t>
      </w:r>
      <w:r>
        <w:rPr>
          <w:rFonts w:ascii="宋体" w:hAnsi="宋体" w:eastAsia="宋体"/>
          <w:color w:val="auto"/>
          <w:sz w:val="24"/>
          <w:highlight w:val="none"/>
        </w:rPr>
        <w:t>，</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联合协议合同</w:t>
      </w:r>
      <w:r>
        <w:rPr>
          <w:rFonts w:ascii="宋体" w:hAnsi="宋体" w:eastAsia="宋体"/>
          <w:color w:val="auto"/>
          <w:sz w:val="24"/>
          <w:highlight w:val="none"/>
        </w:rPr>
        <w:t>总金额的比例。</w:t>
      </w:r>
    </w:p>
    <w:p w14:paraId="320BAF9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7A84B31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.7以联合体形式参加政府采购活动的，联合体各方不得再单独参加或者与其他供应商另外组成联合体参加本项目</w:t>
      </w:r>
      <w:r>
        <w:rPr>
          <w:rFonts w:hint="eastAsia" w:ascii="宋体" w:hAnsi="宋体" w:eastAsia="宋体"/>
          <w:color w:val="auto"/>
          <w:sz w:val="24"/>
          <w:highlight w:val="none"/>
        </w:rPr>
        <w:t>磋商</w:t>
      </w:r>
      <w:r>
        <w:rPr>
          <w:rFonts w:ascii="宋体" w:hAnsi="宋体" w:eastAsia="宋体"/>
          <w:color w:val="auto"/>
          <w:sz w:val="24"/>
          <w:highlight w:val="none"/>
        </w:rPr>
        <w:t>，否则相关</w:t>
      </w:r>
      <w:r>
        <w:rPr>
          <w:rFonts w:hint="eastAsia" w:ascii="宋体" w:hAnsi="宋体" w:eastAsia="宋体"/>
          <w:color w:val="auto"/>
          <w:sz w:val="24"/>
          <w:highlight w:val="none"/>
        </w:rPr>
        <w:t>响应文件将被认定为</w:t>
      </w:r>
      <w:r>
        <w:rPr>
          <w:rFonts w:hint="eastAsia" w:ascii="宋体" w:hAnsi="宋体" w:eastAsia="宋体"/>
          <w:b/>
          <w:color w:val="auto"/>
          <w:sz w:val="24"/>
          <w:highlight w:val="none"/>
        </w:rPr>
        <w:t>响应无效</w:t>
      </w:r>
      <w:r>
        <w:rPr>
          <w:rFonts w:ascii="宋体" w:hAnsi="宋体" w:eastAsia="宋体"/>
          <w:color w:val="auto"/>
          <w:sz w:val="24"/>
          <w:highlight w:val="none"/>
        </w:rPr>
        <w:t>。</w:t>
      </w:r>
    </w:p>
    <w:p w14:paraId="763EB24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.8对联合体参加磋商的其他资格要求见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宋体" w:hAnsi="宋体" w:eastAsia="宋体"/>
          <w:color w:val="auto"/>
          <w:sz w:val="24"/>
          <w:highlight w:val="none"/>
        </w:rPr>
        <w:t>。</w:t>
      </w:r>
    </w:p>
    <w:p w14:paraId="0857359B">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5D996E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.1本项目的采购人已获得足以支付本次磋商后所签订的合同项下的资金。</w:t>
      </w:r>
    </w:p>
    <w:p w14:paraId="0F90283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磋商费用</w:t>
      </w:r>
    </w:p>
    <w:p w14:paraId="037EF3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olor w:val="auto"/>
          <w:sz w:val="24"/>
          <w:highlight w:val="none"/>
        </w:rPr>
      </w:pPr>
      <w:r>
        <w:rPr>
          <w:rFonts w:hint="eastAsia" w:ascii="宋体" w:hAnsi="宋体" w:eastAsia="宋体"/>
          <w:color w:val="auto"/>
          <w:sz w:val="24"/>
          <w:highlight w:val="none"/>
        </w:rPr>
        <w:t>不论磋商的结果如何，供应商应承担其所有与准备和参加磋商有关的费用</w:t>
      </w:r>
    </w:p>
    <w:p w14:paraId="2D83F73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4.适用法律</w:t>
      </w:r>
    </w:p>
    <w:p w14:paraId="291436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olor w:val="auto"/>
          <w:sz w:val="24"/>
          <w:highlight w:val="none"/>
        </w:rPr>
      </w:pPr>
      <w:r>
        <w:rPr>
          <w:rFonts w:hint="eastAsia" w:ascii="宋体" w:hAnsi="宋体" w:eastAsia="宋体"/>
          <w:color w:val="auto"/>
          <w:sz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0BF0BB6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磋商文件构成</w:t>
      </w:r>
    </w:p>
    <w:p w14:paraId="66D4F33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.1磋商文件包括下列内容：</w:t>
      </w:r>
    </w:p>
    <w:p w14:paraId="3BDA60BD">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磋商邀请</w:t>
      </w:r>
    </w:p>
    <w:p w14:paraId="50899965">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18D31E79">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1F6F11B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5D0D3842">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0A5E7C9D">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66B907D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0DE6CEC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73643EC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文件所有的事项、格式、条款和技术规范等。</w:t>
      </w:r>
    </w:p>
    <w:p w14:paraId="7343A30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磋商文件的澄清与修改</w:t>
      </w:r>
    </w:p>
    <w:p w14:paraId="795E5AB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文件内容有疑问，</w:t>
      </w:r>
      <w:r>
        <w:rPr>
          <w:rFonts w:hint="eastAsia" w:asciiTheme="minorEastAsia" w:hAnsiTheme="minorEastAsia" w:eastAsiaTheme="minorEastAsia"/>
          <w:color w:val="auto"/>
          <w:sz w:val="24"/>
          <w:highlight w:val="none"/>
          <w:lang w:val="en-US" w:eastAsia="zh-CN"/>
        </w:rPr>
        <w:t>可</w:t>
      </w:r>
      <w:r>
        <w:rPr>
          <w:rFonts w:asciiTheme="minorEastAsia" w:hAnsiTheme="minorEastAsia" w:eastAsiaTheme="minorEastAsia"/>
          <w:color w:val="auto"/>
          <w:sz w:val="24"/>
          <w:highlight w:val="none"/>
        </w:rPr>
        <w:t>在</w:t>
      </w:r>
      <w:r>
        <w:rPr>
          <w:rFonts w:ascii="宋体" w:hAnsi="宋体" w:eastAsia="宋体"/>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786A3C9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bookmarkStart w:id="11" w:name="_Hlk16458572"/>
      <w:r>
        <w:rPr>
          <w:rFonts w:hint="eastAsia" w:ascii="宋体" w:hAnsi="宋体" w:eastAsia="宋体"/>
          <w:color w:val="auto"/>
          <w:sz w:val="24"/>
          <w:szCs w:val="18"/>
          <w:highlight w:val="none"/>
        </w:rPr>
        <w:t>安徽省政府采购网</w:t>
      </w:r>
      <w:bookmarkEnd w:id="11"/>
      <w:r>
        <w:rPr>
          <w:rFonts w:hint="eastAsia" w:ascii="宋体" w:hAnsi="宋体" w:eastAsia="宋体"/>
          <w:color w:val="auto"/>
          <w:sz w:val="24"/>
          <w:szCs w:val="18"/>
          <w:highlight w:val="none"/>
        </w:rPr>
        <w:t>和滁州市公共资源交易中心网</w:t>
      </w:r>
      <w:r>
        <w:rPr>
          <w:rFonts w:hint="eastAsia" w:asciiTheme="minorEastAsia" w:hAnsiTheme="minorEastAsia" w:eastAsiaTheme="minorEastAsia"/>
          <w:color w:val="auto"/>
          <w:sz w:val="24"/>
          <w:highlight w:val="none"/>
        </w:rPr>
        <w:t>以发布更正公告的方式澄清或者修改磋商文件，更正公告的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179FEE7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6AB82DD4">
      <w:pPr>
        <w:spacing w:line="360" w:lineRule="auto"/>
        <w:ind w:firstLine="435"/>
        <w:rPr>
          <w:rFonts w:hint="eastAsia" w:asciiTheme="minorEastAsia" w:hAnsiTheme="minorEastAsia" w:eastAsiaTheme="minorEastAsia"/>
          <w:iCs/>
          <w:color w:val="auto"/>
          <w:sz w:val="24"/>
          <w:highlight w:val="none"/>
          <w:lang w:eastAsia="zh-CN"/>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本磋商</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lang w:eastAsia="zh-CN"/>
        </w:rPr>
        <w:t>。</w:t>
      </w:r>
    </w:p>
    <w:p w14:paraId="27C6413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磋商范围及响应文件中标准和计量单位的使用</w:t>
      </w:r>
    </w:p>
    <w:p w14:paraId="1EEEADA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的磋商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290F68B1">
      <w:pPr>
        <w:spacing w:line="360" w:lineRule="auto"/>
        <w:ind w:firstLine="435"/>
        <w:rPr>
          <w:rFonts w:hint="default" w:eastAsiaTheme="minorEastAsia"/>
          <w:color w:val="auto"/>
          <w:highlight w:val="none"/>
          <w:lang w:val="en-US" w:eastAsia="zh-CN"/>
        </w:rPr>
      </w:pPr>
      <w:r>
        <w:rPr>
          <w:rFonts w:hint="eastAsia" w:asciiTheme="minorEastAsia" w:hAnsiTheme="minorEastAsia" w:eastAsiaTheme="minorEastAsia"/>
          <w:color w:val="auto"/>
          <w:sz w:val="24"/>
          <w:highlight w:val="none"/>
          <w:lang w:val="en-US" w:eastAsia="zh-CN"/>
        </w:rPr>
        <w:t>7.2 供应商</w:t>
      </w:r>
      <w:r>
        <w:rPr>
          <w:rFonts w:asciiTheme="minorEastAsia" w:hAnsiTheme="minorEastAsia" w:eastAsiaTheme="minorEastAsia"/>
          <w:color w:val="auto"/>
          <w:sz w:val="24"/>
          <w:highlight w:val="none"/>
        </w:rPr>
        <w:t>应当对所投分包</w:t>
      </w:r>
      <w:r>
        <w:rPr>
          <w:rFonts w:hint="eastAsia" w:asciiTheme="minorEastAsia" w:hAnsiTheme="minorEastAsia" w:eastAsiaTheme="minorEastAsia"/>
          <w:color w:val="auto"/>
          <w:sz w:val="24"/>
          <w:highlight w:val="none"/>
          <w:lang w:val="en-US" w:eastAsia="zh-CN"/>
        </w:rPr>
        <w:t>磋商</w:t>
      </w:r>
      <w:r>
        <w:rPr>
          <w:rFonts w:asciiTheme="minorEastAsia" w:hAnsiTheme="minorEastAsia" w:eastAsiaTheme="minorEastAsia"/>
          <w:color w:val="auto"/>
          <w:sz w:val="24"/>
          <w:highlight w:val="none"/>
        </w:rPr>
        <w:t>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lang w:val="en-US" w:eastAsia="zh-CN"/>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3ADA4C9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无论磋商文件中是否要求，供应商所投货物及伴随的服务和工程均应符合国家强制性标准。</w:t>
      </w:r>
    </w:p>
    <w:p w14:paraId="628AD6A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w:t>
      </w:r>
    </w:p>
    <w:p w14:paraId="1BADA53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除磋商文件中有特殊要求外，响应文件中所使用的计量单位，应采用中华人民共和国法定计量单位。</w:t>
      </w:r>
    </w:p>
    <w:p w14:paraId="091B353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38D839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hint="eastAsia" w:ascii="宋体" w:hAnsi="宋体" w:eastAsia="宋体"/>
          <w:color w:val="auto"/>
          <w:sz w:val="24"/>
          <w:highlight w:val="none"/>
          <w:lang w:val="en-US" w:eastAsia="zh-CN"/>
        </w:rPr>
        <w:t>供应商</w:t>
      </w:r>
      <w:r>
        <w:rPr>
          <w:rFonts w:asciiTheme="minorEastAsia" w:hAnsiTheme="minorEastAsia" w:eastAsiaTheme="minorEastAsia"/>
          <w:color w:val="auto"/>
          <w:sz w:val="24"/>
          <w:highlight w:val="none"/>
        </w:rPr>
        <w:t>应完整地按</w:t>
      </w:r>
      <w:r>
        <w:rPr>
          <w:rFonts w:hint="eastAsia" w:asciiTheme="minorEastAsia" w:hAnsiTheme="minorEastAsia" w:eastAsiaTheme="minorEastAsia"/>
          <w:color w:val="auto"/>
          <w:sz w:val="24"/>
          <w:highlight w:val="none"/>
          <w:lang w:val="en-US" w:eastAsia="zh-CN"/>
        </w:rPr>
        <w:t>磋商</w:t>
      </w:r>
      <w:r>
        <w:rPr>
          <w:rFonts w:asciiTheme="minorEastAsia" w:hAnsiTheme="minorEastAsia" w:eastAsiaTheme="minorEastAsia"/>
          <w:color w:val="auto"/>
          <w:sz w:val="24"/>
          <w:highlight w:val="none"/>
        </w:rPr>
        <w:t>文件提供的</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具体内容详见本项目</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文件格式的相关内容。</w:t>
      </w:r>
    </w:p>
    <w:p w14:paraId="5CD4DDCC">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w:t>
      </w:r>
      <w:r>
        <w:rPr>
          <w:rFonts w:hint="eastAsia" w:ascii="宋体" w:hAnsi="宋体" w:eastAsia="宋体"/>
          <w:color w:val="auto"/>
          <w:sz w:val="24"/>
          <w:highlight w:val="none"/>
          <w:lang w:val="en-US" w:eastAsia="zh-CN"/>
        </w:rPr>
        <w:t>供应商</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文件要求的</w:t>
      </w:r>
      <w:r>
        <w:rPr>
          <w:rFonts w:asciiTheme="minorEastAsia" w:hAnsiTheme="minorEastAsia" w:eastAsiaTheme="minorEastAsia"/>
          <w:color w:val="auto"/>
          <w:sz w:val="24"/>
          <w:highlight w:val="none"/>
        </w:rPr>
        <w:t>证明文件，证明其</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内容符合</w:t>
      </w:r>
      <w:r>
        <w:rPr>
          <w:rFonts w:hint="eastAsia" w:asciiTheme="minorEastAsia" w:hAnsiTheme="minorEastAsia" w:eastAsiaTheme="minorEastAsia"/>
          <w:color w:val="auto"/>
          <w:sz w:val="24"/>
          <w:highlight w:val="none"/>
          <w:lang w:val="en-US" w:eastAsia="zh-CN"/>
        </w:rPr>
        <w:t>磋商</w:t>
      </w:r>
      <w:r>
        <w:rPr>
          <w:rFonts w:asciiTheme="minorEastAsia" w:hAnsiTheme="minorEastAsia" w:eastAsiaTheme="minorEastAsia"/>
          <w:color w:val="auto"/>
          <w:sz w:val="24"/>
          <w:highlight w:val="none"/>
        </w:rPr>
        <w:t>文件规定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该证明文件是</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文件的一部分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r>
        <w:rPr>
          <w:rFonts w:hint="eastAsia" w:asciiTheme="minorEastAsia" w:hAnsiTheme="minorEastAsia" w:eastAsiaTheme="minorEastAsia"/>
          <w:color w:val="auto"/>
          <w:sz w:val="24"/>
          <w:highlight w:val="none"/>
          <w:lang w:val="en-US" w:eastAsia="zh-CN"/>
        </w:rPr>
        <w:t>等。</w:t>
      </w:r>
    </w:p>
    <w:p w14:paraId="5DE6A2F9">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w:t>
      </w:r>
      <w:r>
        <w:rPr>
          <w:rFonts w:hint="eastAsia" w:asciiTheme="minorEastAsia" w:hAnsiTheme="minorEastAsia" w:eastAsiaTheme="minorEastAsia"/>
          <w:color w:val="auto"/>
          <w:sz w:val="24"/>
          <w:highlight w:val="none"/>
          <w:lang w:val="en-US" w:eastAsia="zh-CN"/>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lang w:val="en-US" w:eastAsia="zh-CN"/>
        </w:rPr>
        <w:t>磋商</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w:t>
      </w:r>
      <w:r>
        <w:rPr>
          <w:rFonts w:hint="eastAsia" w:asciiTheme="minorEastAsia" w:hAnsiTheme="minorEastAsia" w:eastAsiaTheme="minorEastAsia"/>
          <w:color w:val="auto"/>
          <w:sz w:val="24"/>
          <w:highlight w:val="none"/>
          <w:lang w:val="en-US" w:eastAsia="zh-CN"/>
        </w:rPr>
        <w:t>磋商</w:t>
      </w:r>
      <w:r>
        <w:rPr>
          <w:rFonts w:asciiTheme="minorEastAsia" w:hAnsiTheme="minorEastAsia" w:eastAsiaTheme="minorEastAsia"/>
          <w:color w:val="auto"/>
          <w:sz w:val="24"/>
          <w:highlight w:val="none"/>
        </w:rPr>
        <w:t>方案。</w:t>
      </w:r>
    </w:p>
    <w:p w14:paraId="082102A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244A1E0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除磋商文件另有规定外，</w:t>
      </w:r>
      <w:r>
        <w:rPr>
          <w:rFonts w:hint="eastAsia" w:asciiTheme="minorEastAsia" w:hAnsiTheme="minorEastAsia" w:eastAsiaTheme="minorEastAsia"/>
          <w:color w:val="auto"/>
          <w:sz w:val="24"/>
          <w:highlight w:val="none"/>
        </w:rPr>
        <w:t>所有内容均应以人民币报价，供应商的磋商报价应遵守《中华人民共和国价格法》。</w:t>
      </w:r>
    </w:p>
    <w:p w14:paraId="21F3A06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除非磋商文件另有规定或经采购人同意支付的，最后报价均不得高于磋商文件（公告）列明的项目预算，否则其响应文件将被认定为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1EED7A1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6D907CD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343E188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磋商保证金</w:t>
      </w:r>
    </w:p>
    <w:p w14:paraId="70DA74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.1本项目不收取磋商保证金。</w:t>
      </w:r>
    </w:p>
    <w:p w14:paraId="19C05F2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磋商有效期</w:t>
      </w:r>
    </w:p>
    <w:p w14:paraId="26B3A5B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.1磋商有效期为从响应文件提交截止之日算起的日历天数，磋商有效期详见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4F32C6C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1C9D799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246AD0F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2B3BE03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.1供应商应当在第一章</w:t>
      </w:r>
      <w:r>
        <w:rPr>
          <w:rFonts w:hint="eastAsia" w:asciiTheme="minorEastAsia" w:hAnsiTheme="minorEastAsia" w:eastAsiaTheme="minorEastAsia"/>
          <w:color w:val="auto"/>
          <w:sz w:val="24"/>
          <w:highlight w:val="none"/>
          <w:u w:val="none"/>
          <w:lang w:val="en-US" w:eastAsia="zh-CN"/>
        </w:rPr>
        <w:t>竞争性磋商公告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3E7115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5BA34533">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val="en-US" w:eastAsia="zh-CN"/>
        </w:rPr>
        <w:t>未在规定时间内进行解密的，</w:t>
      </w:r>
      <w:r>
        <w:rPr>
          <w:rFonts w:hint="eastAsia" w:asciiTheme="minorEastAsia" w:hAnsiTheme="minorEastAsia" w:eastAsiaTheme="minorEastAsia"/>
          <w:b/>
          <w:bCs/>
          <w:color w:val="auto"/>
          <w:sz w:val="24"/>
          <w:highlight w:val="none"/>
          <w:lang w:val="en-US" w:eastAsia="zh-CN"/>
        </w:rPr>
        <w:t>响应无效。</w:t>
      </w:r>
    </w:p>
    <w:p w14:paraId="5FB3F2B7">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.4在响应文件提交截止时间之后，供应商不得对其响应文件做任何修改。</w:t>
      </w:r>
      <w:r>
        <w:rPr>
          <w:rFonts w:hint="eastAsia" w:ascii="宋体" w:hAnsi="宋体" w:eastAsia="宋体"/>
          <w:color w:val="auto"/>
          <w:sz w:val="24"/>
          <w:highlight w:val="none"/>
        </w:rPr>
        <w:t>但属于磋商小组在评审中发现的计算错误并进行核实的修改、按照磋商文件的变动情况和磋商小组的要求重新提交响应文件的，不在此列。</w:t>
      </w:r>
    </w:p>
    <w:p w14:paraId="3C0774F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磋商小组</w:t>
      </w:r>
    </w:p>
    <w:p w14:paraId="2BC63EB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13</w:t>
      </w:r>
      <w:r>
        <w:rPr>
          <w:rFonts w:asciiTheme="minorEastAsia" w:hAnsiTheme="minorEastAsia" w:eastAsiaTheme="minorEastAsia"/>
          <w:color w:val="auto"/>
          <w:sz w:val="24"/>
          <w:highlight w:val="none"/>
        </w:rPr>
        <w:t>.1本项目将依法组建磋商小组，磋商小组成员由3人以上</w:t>
      </w:r>
      <w:r>
        <w:rPr>
          <w:rFonts w:hint="eastAsia" w:asciiTheme="minorEastAsia" w:hAnsiTheme="minorEastAsia" w:eastAsiaTheme="minorEastAsia"/>
          <w:color w:val="auto"/>
          <w:sz w:val="24"/>
          <w:highlight w:val="none"/>
        </w:rPr>
        <w:t>（含）</w:t>
      </w:r>
      <w:r>
        <w:rPr>
          <w:rFonts w:asciiTheme="minorEastAsia" w:hAnsiTheme="minorEastAsia" w:eastAsiaTheme="minorEastAsia"/>
          <w:color w:val="auto"/>
          <w:sz w:val="24"/>
          <w:highlight w:val="none"/>
        </w:rPr>
        <w:t>单数组成，磋商小组及其成员应当依照政府采购的有关规定履行相关职责和义务。</w:t>
      </w:r>
    </w:p>
    <w:p w14:paraId="448997B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13</w:t>
      </w:r>
      <w:r>
        <w:rPr>
          <w:rFonts w:asciiTheme="minorEastAsia" w:hAnsiTheme="minorEastAsia" w:eastAsiaTheme="minorEastAsia"/>
          <w:color w:val="auto"/>
          <w:sz w:val="24"/>
          <w:highlight w:val="none"/>
        </w:rPr>
        <w:t>.2磋商小组依法对响应文件进行评审，并根据磋商文件规定的程序、评定成交的标准等事项与实质性响应磋商文件要求的供应商进行磋商。</w:t>
      </w:r>
    </w:p>
    <w:p w14:paraId="3F42C0C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13</w:t>
      </w:r>
      <w:r>
        <w:rPr>
          <w:rFonts w:asciiTheme="minorEastAsia" w:hAnsiTheme="minorEastAsia" w:eastAsiaTheme="minorEastAsia"/>
          <w:color w:val="auto"/>
          <w:sz w:val="24"/>
          <w:highlight w:val="none"/>
        </w:rPr>
        <w:t>.3磋商小组应当从质量和服务均能满足磋商文件实质性响应要求的供应商中，按照评审方法和标准</w:t>
      </w:r>
      <w:r>
        <w:rPr>
          <w:rFonts w:hint="eastAsia" w:asciiTheme="minorEastAsia" w:hAnsiTheme="minorEastAsia" w:eastAsiaTheme="minorEastAsia"/>
          <w:color w:val="auto"/>
          <w:sz w:val="24"/>
          <w:highlight w:val="none"/>
        </w:rPr>
        <w:t>推荐</w:t>
      </w:r>
      <w:r>
        <w:rPr>
          <w:rFonts w:asciiTheme="minorEastAsia" w:hAnsiTheme="minorEastAsia" w:eastAsiaTheme="minorEastAsia"/>
          <w:color w:val="auto"/>
          <w:sz w:val="24"/>
          <w:highlight w:val="none"/>
        </w:rPr>
        <w:t>成交候选供应商，并编写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5BE94E0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14</w:t>
      </w:r>
      <w:r>
        <w:rPr>
          <w:rFonts w:asciiTheme="minorEastAsia" w:hAnsiTheme="minorEastAsia" w:eastAsiaTheme="minorEastAsia"/>
          <w:b/>
          <w:color w:val="auto"/>
          <w:sz w:val="24"/>
          <w:highlight w:val="none"/>
        </w:rPr>
        <w:t>.响应文件的评审与磋商</w:t>
      </w:r>
    </w:p>
    <w:p w14:paraId="6D2B044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w:t>
      </w:r>
      <w:r>
        <w:rPr>
          <w:rFonts w:hint="eastAsia" w:asciiTheme="minorEastAsia" w:hAnsiTheme="minorEastAsia" w:eastAsiaTheme="minorEastAsia"/>
          <w:color w:val="auto"/>
          <w:sz w:val="24"/>
          <w:highlight w:val="none"/>
          <w:u w:val="none"/>
          <w:lang w:val="en-US" w:eastAsia="zh-CN"/>
        </w:rPr>
        <w:t>竞争性磋商公告</w:t>
      </w:r>
      <w:r>
        <w:rPr>
          <w:rFonts w:hint="eastAsia" w:asciiTheme="minorEastAsia" w:hAnsiTheme="minorEastAsia" w:eastAsiaTheme="minorEastAsia"/>
          <w:color w:val="auto"/>
          <w:sz w:val="24"/>
          <w:highlight w:val="none"/>
        </w:rPr>
        <w:t>规定的时间和地点组织磋商。</w:t>
      </w:r>
    </w:p>
    <w:p w14:paraId="56B611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.2竞争性磋商活动采用综合评分法评审。</w:t>
      </w:r>
    </w:p>
    <w:p w14:paraId="2062B1A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综合评分法，是指响应文件满足磋商文件全部实质性要求且按评审因素的量化指标评审得分最高的供应商为成交候选供应商的评审方法。</w:t>
      </w:r>
    </w:p>
    <w:p w14:paraId="51AB02C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.3磋商小组将按照磋商文件规定的评审方法和标准对供应商独立进行评审。评审程序如下：</w:t>
      </w:r>
    </w:p>
    <w:p w14:paraId="692364C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b/>
          <w:color w:val="auto"/>
          <w:sz w:val="24"/>
          <w:highlight w:val="none"/>
        </w:rPr>
        <w:t>初审</w:t>
      </w:r>
      <w:r>
        <w:rPr>
          <w:rFonts w:hint="eastAsia" w:asciiTheme="minorEastAsia" w:hAnsiTheme="minorEastAsia" w:eastAsiaTheme="minorEastAsia"/>
          <w:color w:val="auto"/>
          <w:sz w:val="24"/>
          <w:highlight w:val="none"/>
        </w:rPr>
        <w:t>。磋商小组对供应商必须满足和实质性响应的内容进行评审，供应商未实质性响应磋商文件要求导致响应无效的，磋商小组将以书面询标的方式告知有关供应商。</w:t>
      </w:r>
    </w:p>
    <w:p w14:paraId="5E59AED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3D1FBFE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311194BA">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11E81B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b/>
          <w:color w:val="auto"/>
          <w:sz w:val="24"/>
          <w:highlight w:val="none"/>
        </w:rPr>
        <w:t>磋商</w:t>
      </w:r>
      <w:r>
        <w:rPr>
          <w:rFonts w:hint="eastAsia" w:asciiTheme="minorEastAsia" w:hAnsiTheme="minorEastAsia" w:eastAsiaTheme="minorEastAsia"/>
          <w:color w:val="auto"/>
          <w:sz w:val="24"/>
          <w:highlight w:val="none"/>
        </w:rPr>
        <w:t>。初审合格后，磋商小组将按网上加密电子响应文件提交顺序集中与单一供应商分别进行磋商，并给予所有参加磋商的供应商平等的磋商机会。</w:t>
      </w:r>
    </w:p>
    <w:p w14:paraId="3AE52A5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.3.3</w:t>
      </w:r>
      <w:r>
        <w:rPr>
          <w:rFonts w:asciiTheme="minorEastAsia" w:hAnsiTheme="minorEastAsia" w:eastAsiaTheme="minorEastAsia"/>
          <w:b/>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磋商结束后，磋商小组应当要求所有</w:t>
      </w:r>
      <w:r>
        <w:rPr>
          <w:rFonts w:hint="eastAsia" w:asciiTheme="minorEastAsia" w:hAnsiTheme="minorEastAsia" w:eastAsiaTheme="minorEastAsia"/>
          <w:color w:val="auto"/>
          <w:sz w:val="24"/>
          <w:highlight w:val="none"/>
        </w:rPr>
        <w:t>实质性响应</w:t>
      </w:r>
      <w:r>
        <w:rPr>
          <w:rFonts w:asciiTheme="minorEastAsia" w:hAnsiTheme="minorEastAsia" w:eastAsiaTheme="minorEastAsia"/>
          <w:color w:val="auto"/>
          <w:sz w:val="24"/>
          <w:highlight w:val="none"/>
        </w:rPr>
        <w:t>的供应商在规定时间内提交最后报价</w:t>
      </w:r>
      <w:r>
        <w:rPr>
          <w:rFonts w:hint="eastAsia" w:ascii="宋体" w:hAnsi="宋体" w:eastAsia="宋体"/>
          <w:color w:val="auto"/>
          <w:sz w:val="24"/>
          <w:highlight w:val="none"/>
        </w:rPr>
        <w:t>。</w:t>
      </w:r>
    </w:p>
    <w:p w14:paraId="41AE2B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.3.4</w:t>
      </w:r>
      <w:r>
        <w:rPr>
          <w:rFonts w:hint="eastAsia" w:asciiTheme="minorEastAsia" w:hAnsiTheme="minorEastAsia" w:eastAsiaTheme="minorEastAsia"/>
          <w:b/>
          <w:color w:val="auto"/>
          <w:sz w:val="24"/>
          <w:highlight w:val="none"/>
        </w:rPr>
        <w:t>综合评分</w:t>
      </w:r>
      <w:r>
        <w:rPr>
          <w:rFonts w:hint="eastAsia" w:asciiTheme="minorEastAsia" w:hAnsiTheme="minorEastAsia" w:eastAsiaTheme="minorEastAsia"/>
          <w:color w:val="auto"/>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5DDB2B9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.4相关说明。</w:t>
      </w:r>
    </w:p>
    <w:p w14:paraId="1BF7DBC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 xml:space="preserve">.4.1为保证磋商活动顺利进行，供应商可派相关技术人员进行网上答疑； </w:t>
      </w:r>
    </w:p>
    <w:p w14:paraId="1AFD2F2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.4.2磋</w:t>
      </w:r>
      <w:r>
        <w:rPr>
          <w:rFonts w:asciiTheme="minorEastAsia" w:hAnsiTheme="minorEastAsia" w:eastAsiaTheme="minorEastAsia"/>
          <w:color w:val="auto"/>
          <w:sz w:val="24"/>
          <w:highlight w:val="none"/>
        </w:rPr>
        <w:t>商小组根据与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磋商情况可能实质性变动</w:t>
      </w:r>
      <w:r>
        <w:rPr>
          <w:rFonts w:hint="eastAsia" w:asciiTheme="minorEastAsia" w:hAnsiTheme="minorEastAsia" w:eastAsiaTheme="minorEastAsia"/>
          <w:color w:val="auto"/>
          <w:sz w:val="24"/>
          <w:highlight w:val="none"/>
        </w:rPr>
        <w:t>磋商文件</w:t>
      </w:r>
      <w:r>
        <w:rPr>
          <w:rFonts w:asciiTheme="minorEastAsia" w:hAnsiTheme="minorEastAsia" w:eastAsiaTheme="minorEastAsia"/>
          <w:color w:val="auto"/>
          <w:sz w:val="24"/>
          <w:highlight w:val="none"/>
        </w:rPr>
        <w:t>的内容，包括采购需求中的技术、服务要求以及合同草案条款。磋商文件有实质性变动的，</w:t>
      </w:r>
      <w:r>
        <w:rPr>
          <w:rFonts w:hint="eastAsia" w:asciiTheme="minorEastAsia" w:hAnsiTheme="minorEastAsia" w:eastAsiaTheme="minorEastAsia"/>
          <w:color w:val="auto"/>
          <w:sz w:val="24"/>
          <w:highlight w:val="none"/>
        </w:rPr>
        <w:t>经采购人代表确认作为磋商文件的有效组成部分，</w:t>
      </w:r>
      <w:r>
        <w:rPr>
          <w:rFonts w:asciiTheme="minorEastAsia" w:hAnsiTheme="minorEastAsia" w:eastAsiaTheme="minorEastAsia"/>
          <w:color w:val="auto"/>
          <w:sz w:val="24"/>
          <w:highlight w:val="none"/>
        </w:rPr>
        <w:t>磋商小组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以书面形式通知所有参加磋商的供应商。</w:t>
      </w:r>
    </w:p>
    <w:p w14:paraId="22A1D84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color w:val="auto"/>
          <w:sz w:val="24"/>
          <w:highlight w:val="none"/>
        </w:rPr>
        <w:t>。</w:t>
      </w:r>
    </w:p>
    <w:p w14:paraId="69945D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小组可以视同其未提供。</w:t>
      </w:r>
    </w:p>
    <w:p w14:paraId="64C78BD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.4.5磋商</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318E46E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磋商过程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1D6F56A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.终止竞争性磋商</w:t>
      </w:r>
    </w:p>
    <w:p w14:paraId="3A24D55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.1出现下列情况之一时，采购人和采购代理机构有权宣布终止竞争性磋商采购，并将理由通知所有供应商：</w:t>
      </w:r>
    </w:p>
    <w:p w14:paraId="5608420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（1）有效供应商数量不足，导致本次磋商缺乏竞争的；</w:t>
      </w:r>
    </w:p>
    <w:p w14:paraId="0DB0E5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44B237B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695F71EA">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6CAD13B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7848BEAB">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8E25A1B">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.2磋商小组要求供应商澄清、说明或者更正响应文件应当以书面形式（询标）作出。供应商的澄清、说明或者更正应当由法定代表人或其授权代表签字或者加盖公章</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电子签章</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w:t>
      </w:r>
    </w:p>
    <w:p w14:paraId="752CE918">
      <w:pPr>
        <w:spacing w:line="360" w:lineRule="auto"/>
        <w:ind w:firstLine="435"/>
        <w:rPr>
          <w:rFonts w:hint="eastAsia" w:ascii="宋体" w:hAnsi="宋体" w:eastAsia="宋体"/>
          <w:b/>
          <w:color w:val="auto"/>
          <w:sz w:val="24"/>
          <w:highlight w:val="none"/>
        </w:rPr>
      </w:pPr>
      <w:r>
        <w:rPr>
          <w:rFonts w:hint="eastAsia" w:ascii="宋体" w:hAnsi="宋体" w:eastAsia="宋体"/>
          <w:b/>
          <w:color w:val="auto"/>
          <w:sz w:val="24"/>
          <w:highlight w:val="none"/>
        </w:rPr>
        <w:t>如有询标，授权代表（或法定代表人）可通过远程登录的方式接受网上询标，也可凭本人有效身份证明参加询标。因授权代表联系不上</w:t>
      </w:r>
      <w:r>
        <w:rPr>
          <w:rFonts w:hint="eastAsia" w:ascii="宋体" w:hAnsi="宋体" w:eastAsia="宋体"/>
          <w:b/>
          <w:bCs/>
          <w:color w:val="auto"/>
          <w:sz w:val="24"/>
          <w:highlight w:val="none"/>
        </w:rPr>
        <w:t>、没有及时登录系统等情形</w:t>
      </w:r>
      <w:r>
        <w:rPr>
          <w:rFonts w:hint="eastAsia" w:ascii="宋体" w:hAnsi="宋体" w:eastAsia="宋体"/>
          <w:b/>
          <w:color w:val="auto"/>
          <w:sz w:val="24"/>
          <w:highlight w:val="none"/>
        </w:rPr>
        <w:t>而无法接受磋商小组询标的，供应商自行承担相关风险。</w:t>
      </w:r>
    </w:p>
    <w:p w14:paraId="77E38277">
      <w:pPr>
        <w:spacing w:line="360" w:lineRule="auto"/>
        <w:ind w:firstLine="435"/>
        <w:rPr>
          <w:rFonts w:ascii="宋体" w:hAnsi="宋体" w:eastAsia="宋体"/>
          <w:color w:val="auto"/>
          <w:sz w:val="24"/>
          <w:highlight w:val="none"/>
        </w:rPr>
      </w:pPr>
      <w:r>
        <w:rPr>
          <w:rFonts w:hint="eastAsia" w:ascii="宋体" w:hAnsi="宋体" w:eastAsia="宋体"/>
          <w:b/>
          <w:color w:val="auto"/>
          <w:sz w:val="24"/>
          <w:highlight w:val="none"/>
        </w:rPr>
        <w:t>本项目采用远程开标，具体操作方法详见服务指南&gt;交易须知&gt;开标大厅远程解密、质疑(异议)及回复以及评标过程中询标流程操作手册。</w:t>
      </w:r>
    </w:p>
    <w:p w14:paraId="5054C32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216F9C39">
      <w:pPr>
        <w:spacing w:line="520" w:lineRule="exact"/>
        <w:ind w:firstLine="435"/>
        <w:rPr>
          <w:rFonts w:hint="eastAsia" w:ascii="宋体" w:hAnsi="宋体" w:eastAsia="宋体" w:cs="宋体"/>
          <w:color w:val="auto"/>
          <w:kern w:val="0"/>
          <w:sz w:val="24"/>
          <w:szCs w:val="20"/>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磋商并不限定只进行二轮报价，如果磋商小组认为有必要，可以要求供应商进行多轮报价。</w:t>
      </w:r>
      <w:r>
        <w:rPr>
          <w:rFonts w:hint="eastAsia" w:ascii="宋体" w:hAnsi="宋体" w:eastAsia="宋体" w:cs="宋体"/>
          <w:color w:val="auto"/>
          <w:kern w:val="0"/>
          <w:sz w:val="24"/>
          <w:szCs w:val="20"/>
          <w:highlight w:val="none"/>
        </w:rPr>
        <w:t>（本项目约定为两次报价）</w:t>
      </w:r>
    </w:p>
    <w:p w14:paraId="5F3F32B0">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b/>
          <w:color w:val="auto"/>
          <w:kern w:val="0"/>
          <w:sz w:val="24"/>
          <w:szCs w:val="20"/>
          <w:highlight w:val="none"/>
        </w:rPr>
        <w:t>本次磋商实行两次报价。第一次报价为供应商在响应文件中填报的报价，第二次报价在响应文件通过评审后，由磋商小组通过评标系统以询标方式，向响应文件评审有效的各供应商进行询标，各供应商应在评标系统询标规定的时间内，通过“评标澄清回复”进行二次报价。各供应商应及时查看系统质询问题并及时进行二次报价（须签字盖章），第二次报价即为最后报价，若供应商未在系统询标规定的时间内进行二次报价（最后报价）或二次报价被磋商小组认为不符合要求的，磋商小组默认其响应文件中填报的价格为供应商的最后报价，磋商价格分以供应商的最后报价为准，即满足磋商文件要求且最后报价最低的供应商的价格为磋商基准价，其价格分为满分。二次报价（最后报价）不得高于最高限价，否则取消其磋商资格。望各供应商务必全程在线，及时进行回复，否则，因此给其造成相关后果，自行承担。</w:t>
      </w:r>
    </w:p>
    <w:p w14:paraId="4C693CE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在磋商内容不做实质性变更或重大调整的前提下，供应商下轮报价不得高于上一轮报价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3E54B4B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12245E87">
      <w:pPr>
        <w:spacing w:line="360" w:lineRule="auto"/>
        <w:ind w:firstLine="435"/>
        <w:rPr>
          <w:rFonts w:asciiTheme="majorEastAsia" w:hAnsiTheme="majorEastAsia" w:eastAsiaTheme="majorEastAsia"/>
          <w:color w:val="auto"/>
          <w:sz w:val="24"/>
          <w:highlight w:val="none"/>
        </w:rPr>
      </w:pPr>
      <w:bookmarkStart w:id="12" w:name="_Hlk60607655"/>
      <w:bookmarkStart w:id="13" w:name="_Hlk60607673"/>
      <w:r>
        <w:rPr>
          <w:rFonts w:hint="eastAsia" w:asciiTheme="majorEastAsia" w:hAnsiTheme="majorEastAsia" w:eastAsiaTheme="majorEastAsia"/>
          <w:color w:val="auto"/>
          <w:sz w:val="24"/>
          <w:highlight w:val="none"/>
          <w:lang w:val="en-US" w:eastAsia="zh-CN"/>
        </w:rPr>
        <w:t>17</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根据《政府采购促进中小企业发展管理办法》（财库〔</w:t>
      </w:r>
      <w:r>
        <w:rPr>
          <w:rFonts w:asciiTheme="majorEastAsia" w:hAnsiTheme="majorEastAsia" w:eastAsiaTheme="majorEastAsia"/>
          <w:color w:val="auto"/>
          <w:sz w:val="24"/>
          <w:highlight w:val="none"/>
        </w:rPr>
        <w:t>2020〕46号</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asciiTheme="majorEastAsia" w:hAnsiTheme="majorEastAsia" w:eastAsiaTheme="majorEastAsia"/>
          <w:color w:val="auto"/>
          <w:sz w:val="24"/>
          <w:highlight w:val="none"/>
        </w:rPr>
        <w:t>财政部 司法部关于政府采购支持监狱企业发展有关问题的通知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中规定的标准扣除后的价格参与评审。对于同时属于小微企业、监狱企业或残疾人福利性单位的，不重复进行最后报价扣除。</w:t>
      </w:r>
    </w:p>
    <w:p w14:paraId="018E02C9">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组成联合体或者接受分包的小微企业与联合体内其他企业、分包企业之间存在直接控股、管理关系的，不享受价格扣除优惠政策。</w:t>
      </w:r>
    </w:p>
    <w:p w14:paraId="5FCBA00C">
      <w:pPr>
        <w:spacing w:line="360" w:lineRule="auto"/>
        <w:ind w:firstLine="435"/>
        <w:rPr>
          <w:rFonts w:asciiTheme="minorEastAsia" w:hAnsiTheme="minorEastAsia" w:eastAsiaTheme="minorEastAsia"/>
          <w:color w:val="auto"/>
          <w:sz w:val="24"/>
          <w:highlight w:val="none"/>
        </w:rPr>
      </w:pPr>
      <w:r>
        <w:rPr>
          <w:rFonts w:hint="eastAsia"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bookmarkEnd w:id="12"/>
    </w:p>
    <w:bookmarkEnd w:id="13"/>
    <w:p w14:paraId="3A6A908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成交候选供应商的推荐原则及标准</w:t>
      </w:r>
    </w:p>
    <w:p w14:paraId="75B9B4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磋商小组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6F8183C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确定成交候选供应商和成交供应商</w:t>
      </w:r>
    </w:p>
    <w:p w14:paraId="3FDE73B0">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.1磋商小组根据综合评分的结果和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ascii="宋体" w:hAnsi="宋体" w:eastAsia="宋体"/>
          <w:color w:val="auto"/>
          <w:sz w:val="24"/>
          <w:highlight w:val="none"/>
        </w:rPr>
        <w:t>确定成交候选供应商，并标明排列顺序。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磋商小组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128F048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0D0DE69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38CA565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73A1C96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21</w:t>
      </w:r>
      <w:r>
        <w:rPr>
          <w:rFonts w:hint="eastAsia" w:ascii="宋体" w:hAnsi="宋体" w:eastAsia="宋体"/>
          <w:color w:val="auto"/>
          <w:sz w:val="24"/>
          <w:highlight w:val="none"/>
        </w:rPr>
        <w:t>.1评审将在严格保密的情况下进行。</w:t>
      </w:r>
    </w:p>
    <w:p w14:paraId="55EB730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21</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w:t>
      </w:r>
      <w:r>
        <w:rPr>
          <w:rFonts w:hint="eastAsia" w:ascii="宋体" w:hAnsi="宋体" w:eastAsia="宋体"/>
          <w:color w:val="auto"/>
          <w:sz w:val="24"/>
          <w:highlight w:val="none"/>
        </w:rPr>
        <w:t>评审</w:t>
      </w:r>
      <w:r>
        <w:rPr>
          <w:rFonts w:ascii="宋体" w:hAnsi="宋体" w:eastAsia="宋体"/>
          <w:color w:val="auto"/>
          <w:sz w:val="24"/>
          <w:highlight w:val="none"/>
        </w:rPr>
        <w:t>工作纪律，不得</w:t>
      </w:r>
      <w:r>
        <w:rPr>
          <w:rFonts w:hint="eastAsia" w:ascii="宋体" w:hAnsi="宋体" w:eastAsia="宋体"/>
          <w:color w:val="auto"/>
          <w:sz w:val="24"/>
          <w:highlight w:val="none"/>
        </w:rPr>
        <w:t>泄露评审文件</w:t>
      </w:r>
      <w:r>
        <w:rPr>
          <w:rFonts w:ascii="宋体" w:hAnsi="宋体" w:eastAsia="宋体"/>
          <w:color w:val="auto"/>
          <w:sz w:val="24"/>
          <w:highlight w:val="none"/>
        </w:rPr>
        <w:t>、</w:t>
      </w:r>
      <w:r>
        <w:rPr>
          <w:rFonts w:hint="eastAsia" w:ascii="宋体" w:hAnsi="宋体" w:eastAsia="宋体"/>
          <w:color w:val="auto"/>
          <w:sz w:val="24"/>
          <w:highlight w:val="none"/>
        </w:rPr>
        <w:t>评审</w:t>
      </w:r>
      <w:r>
        <w:rPr>
          <w:rFonts w:ascii="宋体" w:hAnsi="宋体" w:eastAsia="宋体"/>
          <w:color w:val="auto"/>
          <w:sz w:val="24"/>
          <w:highlight w:val="none"/>
        </w:rPr>
        <w:t>情况和</w:t>
      </w:r>
      <w:r>
        <w:rPr>
          <w:rFonts w:hint="eastAsia" w:ascii="宋体" w:hAnsi="宋体" w:eastAsia="宋体"/>
          <w:color w:val="auto"/>
          <w:sz w:val="24"/>
          <w:highlight w:val="none"/>
        </w:rPr>
        <w:t>评审</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495CA5E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22</w:t>
      </w:r>
      <w:r>
        <w:rPr>
          <w:rFonts w:asciiTheme="minorEastAsia" w:hAnsiTheme="minorEastAsia" w:eastAsiaTheme="minorEastAsia"/>
          <w:b/>
          <w:color w:val="auto"/>
          <w:sz w:val="24"/>
          <w:highlight w:val="none"/>
        </w:rPr>
        <w:t>.成交结果公告</w:t>
      </w:r>
    </w:p>
    <w:p w14:paraId="3B437E0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.1为体现“公开、公平、公正”的原则，磋商结束后，</w:t>
      </w:r>
      <w:r>
        <w:rPr>
          <w:rFonts w:hint="eastAsia" w:ascii="宋体" w:hAnsi="宋体" w:eastAsia="宋体"/>
          <w:color w:val="auto"/>
          <w:sz w:val="24"/>
          <w:szCs w:val="18"/>
          <w:highlight w:val="none"/>
        </w:rPr>
        <w:t>采购代理机构将在安徽省政府采购网（www.ccgp-anhui.gov.cn）和滁州市公共资源交易中心网</w:t>
      </w:r>
      <w:r>
        <w:rPr>
          <w:rFonts w:asciiTheme="minorEastAsia" w:hAnsiTheme="minorEastAsia" w:eastAsiaTheme="minorEastAsia"/>
          <w:color w:val="auto"/>
          <w:sz w:val="24"/>
          <w:highlight w:val="none"/>
        </w:rPr>
        <w:t>上发布成交结果公告。</w:t>
      </w:r>
    </w:p>
    <w:p w14:paraId="4A50FB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w:t>
      </w:r>
      <w:r>
        <w:rPr>
          <w:rFonts w:hint="eastAsia" w:asciiTheme="minorEastAsia" w:hAnsiTheme="minorEastAsia" w:eastAsiaTheme="minorEastAsia"/>
          <w:color w:val="auto"/>
          <w:sz w:val="24"/>
          <w:highlight w:val="none"/>
        </w:rPr>
        <w:t>服务范围、服务要求、服务时间、服务标准</w:t>
      </w:r>
      <w:r>
        <w:rPr>
          <w:rFonts w:asciiTheme="minorEastAsia" w:hAnsiTheme="minorEastAsia" w:eastAsiaTheme="minorEastAsia"/>
          <w:color w:val="auto"/>
          <w:sz w:val="24"/>
          <w:highlight w:val="none"/>
        </w:rPr>
        <w:t>，成交结果公告期限、评审专家名单以及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410F1C1E">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23</w:t>
      </w:r>
      <w:r>
        <w:rPr>
          <w:rFonts w:ascii="宋体" w:hAnsi="宋体" w:eastAsia="宋体"/>
          <w:b/>
          <w:color w:val="auto"/>
          <w:sz w:val="24"/>
          <w:highlight w:val="none"/>
        </w:rPr>
        <w:t>.成交</w:t>
      </w:r>
      <w:r>
        <w:rPr>
          <w:rFonts w:asciiTheme="minorEastAsia" w:hAnsiTheme="minorEastAsia" w:eastAsiaTheme="minorEastAsia"/>
          <w:b/>
          <w:color w:val="auto"/>
          <w:sz w:val="24"/>
          <w:highlight w:val="none"/>
        </w:rPr>
        <w:t>通知书</w:t>
      </w:r>
    </w:p>
    <w:p w14:paraId="7452F45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23</w:t>
      </w:r>
      <w:r>
        <w:rPr>
          <w:rFonts w:ascii="宋体" w:hAnsi="宋体" w:eastAsia="宋体"/>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ascii="宋体" w:hAnsi="宋体" w:eastAsia="宋体"/>
          <w:color w:val="auto"/>
          <w:sz w:val="24"/>
          <w:highlight w:val="none"/>
        </w:rPr>
        <w:t>向成交供应商发出成交通知书</w:t>
      </w:r>
      <w:r>
        <w:rPr>
          <w:rFonts w:hint="eastAsia" w:ascii="宋体" w:hAnsi="宋体" w:eastAsia="宋体"/>
          <w:color w:val="auto"/>
          <w:sz w:val="24"/>
          <w:highlight w:val="none"/>
        </w:rPr>
        <w:t>。成交通知书须加盖采购人、采购代理机构公章并经公共资源交易中心加盖见证章后，方可发出</w:t>
      </w:r>
      <w:r>
        <w:rPr>
          <w:rFonts w:ascii="宋体" w:hAnsi="宋体" w:eastAsia="宋体"/>
          <w:color w:val="auto"/>
          <w:sz w:val="24"/>
          <w:highlight w:val="none"/>
        </w:rPr>
        <w:t>。</w:t>
      </w:r>
    </w:p>
    <w:p w14:paraId="23F6F1B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23</w:t>
      </w:r>
      <w:r>
        <w:rPr>
          <w:rFonts w:ascii="宋体" w:hAnsi="宋体" w:eastAsia="宋体"/>
          <w:color w:val="auto"/>
          <w:sz w:val="24"/>
          <w:highlight w:val="none"/>
        </w:rPr>
        <w:t>.2成交通知书对采购人和成交供应商具有同等法律效力。成交通知书发出以后，采购人改变成交结果或者成交供应商放弃成交资格，应当承担相应的法律责任。</w:t>
      </w:r>
    </w:p>
    <w:p w14:paraId="5F01F75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23</w:t>
      </w:r>
      <w:r>
        <w:rPr>
          <w:rFonts w:ascii="宋体" w:hAnsi="宋体" w:eastAsia="宋体"/>
          <w:color w:val="auto"/>
          <w:sz w:val="24"/>
          <w:highlight w:val="none"/>
        </w:rPr>
        <w:t>.3成交通知书是合同的组成部分。</w:t>
      </w:r>
    </w:p>
    <w:p w14:paraId="0D5F69F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24</w:t>
      </w:r>
      <w:r>
        <w:rPr>
          <w:rFonts w:ascii="宋体" w:hAnsi="宋体" w:eastAsia="宋体"/>
          <w:b/>
          <w:color w:val="auto"/>
          <w:sz w:val="24"/>
          <w:highlight w:val="none"/>
        </w:rPr>
        <w:t>.告知</w:t>
      </w:r>
      <w:r>
        <w:rPr>
          <w:rFonts w:hint="eastAsia" w:ascii="宋体" w:hAnsi="宋体" w:eastAsia="宋体"/>
          <w:b/>
          <w:color w:val="auto"/>
          <w:sz w:val="24"/>
          <w:highlight w:val="none"/>
        </w:rPr>
        <w:t>磋商</w:t>
      </w:r>
      <w:r>
        <w:rPr>
          <w:rFonts w:ascii="宋体" w:hAnsi="宋体" w:eastAsia="宋体"/>
          <w:b/>
          <w:color w:val="auto"/>
          <w:sz w:val="24"/>
          <w:highlight w:val="none"/>
        </w:rPr>
        <w:t>结果</w:t>
      </w:r>
    </w:p>
    <w:p w14:paraId="412AB1F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24</w:t>
      </w:r>
      <w:r>
        <w:rPr>
          <w:rFonts w:ascii="宋体" w:hAnsi="宋体" w:eastAsia="宋体"/>
          <w:color w:val="auto"/>
          <w:sz w:val="24"/>
          <w:highlight w:val="none"/>
        </w:rPr>
        <w:t>.1在公告</w:t>
      </w:r>
      <w:r>
        <w:rPr>
          <w:rFonts w:hint="eastAsia" w:ascii="宋体" w:hAnsi="宋体" w:eastAsia="宋体"/>
          <w:color w:val="auto"/>
          <w:sz w:val="24"/>
          <w:highlight w:val="none"/>
        </w:rPr>
        <w:t>成交</w:t>
      </w:r>
      <w:r>
        <w:rPr>
          <w:rFonts w:ascii="宋体" w:hAnsi="宋体" w:eastAsia="宋体"/>
          <w:color w:val="auto"/>
          <w:sz w:val="24"/>
          <w:highlight w:val="none"/>
        </w:rPr>
        <w:t>结果的同时，采购代理机构同时以</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规定的形式告知未</w:t>
      </w:r>
      <w:r>
        <w:rPr>
          <w:rFonts w:hint="eastAsia" w:ascii="宋体" w:hAnsi="宋体" w:eastAsia="宋体"/>
          <w:color w:val="auto"/>
          <w:sz w:val="24"/>
          <w:highlight w:val="none"/>
        </w:rPr>
        <w:t>成交供应商</w:t>
      </w:r>
      <w:r>
        <w:rPr>
          <w:rFonts w:ascii="宋体" w:hAnsi="宋体" w:eastAsia="宋体"/>
          <w:color w:val="auto"/>
          <w:sz w:val="24"/>
          <w:highlight w:val="none"/>
        </w:rPr>
        <w:t>本人的评审得分和排序。</w:t>
      </w:r>
    </w:p>
    <w:p w14:paraId="53E3F12C">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24</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采购代理机构对未成交的供应商不做未成交原因的解释。</w:t>
      </w:r>
    </w:p>
    <w:p w14:paraId="02EF77B8">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25</w:t>
      </w:r>
      <w:r>
        <w:rPr>
          <w:rFonts w:ascii="宋体" w:hAnsi="宋体" w:eastAsia="宋体"/>
          <w:b/>
          <w:color w:val="auto"/>
          <w:sz w:val="24"/>
          <w:highlight w:val="none"/>
        </w:rPr>
        <w:t>.履约保证金</w:t>
      </w:r>
    </w:p>
    <w:p w14:paraId="787DC43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.1成交供应商应按照</w:t>
      </w:r>
      <w:r>
        <w:rPr>
          <w:rFonts w:ascii="宋体" w:hAnsi="宋体" w:eastAsia="宋体"/>
          <w:color w:val="auto"/>
          <w:sz w:val="24"/>
          <w:highlight w:val="none"/>
          <w:u w:val="single"/>
        </w:rPr>
        <w:t>供应商须知前附表</w:t>
      </w:r>
      <w:r>
        <w:rPr>
          <w:rFonts w:ascii="宋体" w:hAnsi="宋体" w:eastAsia="宋体"/>
          <w:color w:val="auto"/>
          <w:sz w:val="24"/>
          <w:highlight w:val="none"/>
        </w:rPr>
        <w:t>规定</w:t>
      </w:r>
      <w:r>
        <w:rPr>
          <w:rFonts w:hint="eastAsia" w:ascii="宋体" w:hAnsi="宋体" w:eastAsia="宋体"/>
          <w:color w:val="auto"/>
          <w:sz w:val="24"/>
          <w:highlight w:val="none"/>
        </w:rPr>
        <w:t>缴纳</w:t>
      </w:r>
      <w:r>
        <w:rPr>
          <w:rFonts w:ascii="宋体" w:hAnsi="宋体" w:eastAsia="宋体"/>
          <w:color w:val="auto"/>
          <w:sz w:val="24"/>
          <w:highlight w:val="none"/>
        </w:rPr>
        <w:t>履约保证金。</w:t>
      </w:r>
    </w:p>
    <w:p w14:paraId="0FCFC92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430534B7">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26</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代理费用</w:t>
      </w:r>
    </w:p>
    <w:p w14:paraId="62DC184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26</w:t>
      </w:r>
      <w:r>
        <w:rPr>
          <w:rFonts w:ascii="宋体" w:hAnsi="宋体" w:eastAsia="宋体"/>
          <w:color w:val="auto"/>
          <w:sz w:val="24"/>
          <w:highlight w:val="none"/>
        </w:rPr>
        <w:t>.1本项目</w:t>
      </w:r>
      <w:r>
        <w:rPr>
          <w:rFonts w:hint="eastAsia" w:ascii="宋体" w:hAnsi="宋体" w:eastAsia="宋体"/>
          <w:color w:val="auto"/>
          <w:sz w:val="24"/>
          <w:highlight w:val="none"/>
          <w:lang w:val="en-US" w:eastAsia="zh-CN"/>
        </w:rPr>
        <w:t>代理费用</w:t>
      </w:r>
      <w:r>
        <w:rPr>
          <w:rFonts w:ascii="宋体" w:hAnsi="宋体" w:eastAsia="宋体"/>
          <w:color w:val="auto"/>
          <w:sz w:val="24"/>
          <w:highlight w:val="none"/>
        </w:rPr>
        <w:t>的收取按</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的规定执行。</w:t>
      </w:r>
    </w:p>
    <w:p w14:paraId="58BA300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27</w:t>
      </w:r>
      <w:r>
        <w:rPr>
          <w:rFonts w:ascii="宋体" w:hAnsi="宋体" w:eastAsia="宋体"/>
          <w:b/>
          <w:color w:val="auto"/>
          <w:sz w:val="24"/>
          <w:highlight w:val="none"/>
        </w:rPr>
        <w:t>.签订</w:t>
      </w:r>
      <w:r>
        <w:rPr>
          <w:rFonts w:asciiTheme="minorEastAsia" w:hAnsiTheme="minorEastAsia" w:eastAsiaTheme="minorEastAsia"/>
          <w:b/>
          <w:color w:val="auto"/>
          <w:sz w:val="24"/>
          <w:highlight w:val="none"/>
        </w:rPr>
        <w:t>合同</w:t>
      </w:r>
    </w:p>
    <w:p w14:paraId="15DAE74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4B4C9A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ascii="宋体" w:hAnsi="宋体" w:eastAsia="宋体"/>
          <w:color w:val="auto"/>
          <w:sz w:val="24"/>
          <w:highlight w:val="none"/>
        </w:rPr>
        <w:t>.2磋商文件、成交供应商的响应文件及其澄清文件等，均为签订合同的依据。</w:t>
      </w:r>
    </w:p>
    <w:p w14:paraId="074BD6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ascii="宋体" w:hAnsi="宋体" w:eastAsia="宋体"/>
          <w:color w:val="auto"/>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ascii="宋体" w:hAnsi="宋体" w:eastAsia="宋体"/>
          <w:color w:val="auto"/>
          <w:sz w:val="24"/>
          <w:highlight w:val="none"/>
        </w:rPr>
        <w:t>成交供应商拒绝签订政府采购合同的不得参加对该项目重新开展的采购活动。</w:t>
      </w:r>
    </w:p>
    <w:p w14:paraId="002312B1">
      <w:pPr>
        <w:spacing w:line="360" w:lineRule="auto"/>
        <w:ind w:firstLine="470" w:firstLineChars="196"/>
        <w:rPr>
          <w:rFonts w:ascii="宋体" w:hAnsi="宋体" w:eastAsia="宋体"/>
          <w:color w:val="auto"/>
          <w:sz w:val="24"/>
          <w:highlight w:val="none"/>
        </w:rPr>
      </w:pPr>
      <w:bookmarkStart w:id="14" w:name="_Hlk60264926"/>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w:t>
      </w:r>
      <w:r>
        <w:rPr>
          <w:rFonts w:ascii="宋体" w:hAnsi="宋体" w:eastAsia="宋体"/>
          <w:color w:val="auto"/>
          <w:sz w:val="24"/>
          <w:highlight w:val="none"/>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bookmarkEnd w:id="14"/>
    </w:p>
    <w:p w14:paraId="5866652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28</w:t>
      </w:r>
      <w:r>
        <w:rPr>
          <w:rFonts w:ascii="宋体" w:hAnsi="宋体" w:eastAsia="宋体"/>
          <w:b/>
          <w:color w:val="auto"/>
          <w:sz w:val="24"/>
          <w:highlight w:val="none"/>
        </w:rPr>
        <w:t>.廉洁</w:t>
      </w:r>
      <w:r>
        <w:rPr>
          <w:rFonts w:asciiTheme="minorEastAsia" w:hAnsiTheme="minorEastAsia" w:eastAsiaTheme="minorEastAsia"/>
          <w:b/>
          <w:color w:val="auto"/>
          <w:sz w:val="24"/>
          <w:highlight w:val="none"/>
        </w:rPr>
        <w:t>自律</w:t>
      </w:r>
      <w:r>
        <w:rPr>
          <w:rFonts w:ascii="宋体" w:hAnsi="宋体" w:eastAsia="宋体"/>
          <w:b/>
          <w:color w:val="auto"/>
          <w:sz w:val="24"/>
          <w:highlight w:val="none"/>
        </w:rPr>
        <w:t>规定</w:t>
      </w:r>
    </w:p>
    <w:p w14:paraId="6A2F369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.1采购代理机构工作人员不得以不正当手段获取政府采购代理业务，不得与采购人、供应商恶意串通。</w:t>
      </w:r>
    </w:p>
    <w:p w14:paraId="1022C98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6ADE0EA3">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29</w:t>
      </w:r>
      <w:r>
        <w:rPr>
          <w:rFonts w:ascii="宋体" w:hAnsi="宋体" w:eastAsia="宋体"/>
          <w:b/>
          <w:color w:val="auto"/>
          <w:sz w:val="24"/>
          <w:highlight w:val="none"/>
        </w:rPr>
        <w:t>.质疑的</w:t>
      </w:r>
      <w:r>
        <w:rPr>
          <w:rFonts w:asciiTheme="minorEastAsia" w:hAnsiTheme="minorEastAsia" w:eastAsiaTheme="minorEastAsia"/>
          <w:b/>
          <w:color w:val="auto"/>
          <w:sz w:val="24"/>
          <w:highlight w:val="none"/>
        </w:rPr>
        <w:t>提出</w:t>
      </w:r>
      <w:r>
        <w:rPr>
          <w:rFonts w:ascii="宋体" w:hAnsi="宋体" w:eastAsia="宋体"/>
          <w:b/>
          <w:color w:val="auto"/>
          <w:sz w:val="24"/>
          <w:highlight w:val="none"/>
        </w:rPr>
        <w:t>与接收</w:t>
      </w:r>
    </w:p>
    <w:p w14:paraId="24BB8DE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29</w:t>
      </w:r>
      <w:r>
        <w:rPr>
          <w:rFonts w:hint="eastAsia" w:ascii="宋体" w:hAnsi="宋体" w:eastAsia="宋体"/>
          <w:color w:val="auto"/>
          <w:sz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0EC7712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29</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质疑函范本》格式（详见磋商文件）和《政府采购质疑和投诉办法》的要求，在法定质疑期内以书面形式提出质疑，超出法定质疑期提交的质疑将被拒绝。针对同一采购程序环节的质疑应一次性提出。</w:t>
      </w:r>
    </w:p>
    <w:p w14:paraId="3B2CAC56">
      <w:pPr>
        <w:spacing w:line="360" w:lineRule="auto"/>
        <w:ind w:firstLine="435"/>
        <w:rPr>
          <w:rFonts w:hint="eastAsia" w:ascii="宋体" w:hAnsi="宋体" w:eastAsia="宋体"/>
          <w:color w:val="auto"/>
          <w:sz w:val="24"/>
          <w:highlight w:val="none"/>
          <w:u w:val="single"/>
        </w:rPr>
      </w:pPr>
      <w:r>
        <w:rPr>
          <w:rFonts w:hint="eastAsia" w:ascii="宋体" w:hAnsi="宋体" w:eastAsia="宋体"/>
          <w:color w:val="auto"/>
          <w:sz w:val="24"/>
          <w:highlight w:val="none"/>
          <w:lang w:val="en-US" w:eastAsia="zh-CN"/>
        </w:rPr>
        <w:t>29</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u w:val="none"/>
        </w:rPr>
        <w:t>。</w:t>
      </w:r>
    </w:p>
    <w:p w14:paraId="13D4310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u w:val="none"/>
        </w:rPr>
        <w:t>29.4采购人或采购代理机构在收到供应商的质疑函后，将审查质疑函的格式、内容以及所附的证明文件是否符合要求。如不符合，说明原因退回供应商；如符合要求，则接受该质疑函。供应商对评审过程、成交结果提出质疑的，采购人、采购代理机构可以组织原谈判小组协助答复质疑。处理质疑的时间，从实际接受供应商质疑函的时间开始计算</w:t>
      </w:r>
      <w:r>
        <w:rPr>
          <w:rFonts w:hint="eastAsia" w:ascii="宋体" w:hAnsi="宋体" w:eastAsia="宋体"/>
          <w:color w:val="auto"/>
          <w:sz w:val="24"/>
          <w:highlight w:val="none"/>
        </w:rPr>
        <w:t>。</w:t>
      </w:r>
    </w:p>
    <w:p w14:paraId="608642C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43B1C9F4">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lang w:val="en-US" w:eastAsia="zh-CN"/>
        </w:rPr>
        <w:t>30</w:t>
      </w:r>
      <w:r>
        <w:rPr>
          <w:rFonts w:ascii="宋体" w:hAnsi="宋体" w:eastAsia="宋体"/>
          <w:b/>
          <w:color w:val="auto"/>
          <w:sz w:val="24"/>
          <w:highlight w:val="none"/>
        </w:rPr>
        <w:t>.</w:t>
      </w:r>
      <w:r>
        <w:rPr>
          <w:rFonts w:hint="eastAsia" w:ascii="宋体" w:hAnsi="宋体" w:eastAsia="宋体"/>
          <w:b/>
          <w:color w:val="auto"/>
          <w:sz w:val="24"/>
          <w:highlight w:val="none"/>
        </w:rPr>
        <w:t>投诉</w:t>
      </w:r>
    </w:p>
    <w:p w14:paraId="60F50116">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30.1质疑供应商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0E62023D">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30.2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50E2723B">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30.3政府采购监督管理部门在处理投诉事项期间，可以视具体情况书面通知采购人暂停采购活动，但暂停时间最长不得超过30日。</w:t>
      </w:r>
    </w:p>
    <w:p w14:paraId="4A5A3CE8">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31.</w:t>
      </w:r>
      <w:r>
        <w:rPr>
          <w:rFonts w:ascii="宋体" w:hAnsi="宋体" w:eastAsia="宋体"/>
          <w:b/>
          <w:color w:val="auto"/>
          <w:sz w:val="24"/>
          <w:highlight w:val="none"/>
        </w:rPr>
        <w:t>需要</w:t>
      </w:r>
      <w:r>
        <w:rPr>
          <w:rFonts w:asciiTheme="minorEastAsia" w:hAnsiTheme="minorEastAsia" w:eastAsiaTheme="minorEastAsia"/>
          <w:b/>
          <w:color w:val="auto"/>
          <w:sz w:val="24"/>
          <w:highlight w:val="none"/>
        </w:rPr>
        <w:t>补充</w:t>
      </w:r>
      <w:r>
        <w:rPr>
          <w:rFonts w:ascii="宋体" w:hAnsi="宋体" w:eastAsia="宋体"/>
          <w:b/>
          <w:color w:val="auto"/>
          <w:sz w:val="24"/>
          <w:highlight w:val="none"/>
        </w:rPr>
        <w:t>的其他内容</w:t>
      </w:r>
    </w:p>
    <w:p w14:paraId="27816682">
      <w:pPr>
        <w:spacing w:line="360" w:lineRule="auto"/>
        <w:ind w:firstLine="437"/>
        <w:outlineLvl w:val="2"/>
        <w:rPr>
          <w:rFonts w:asciiTheme="minorEastAsia" w:hAnsiTheme="minorEastAsia" w:eastAsiaTheme="minorEastAsia"/>
          <w:b/>
          <w:color w:val="auto"/>
          <w:sz w:val="28"/>
          <w:highlight w:val="none"/>
        </w:rPr>
      </w:pPr>
      <w:r>
        <w:rPr>
          <w:rFonts w:hint="eastAsia" w:ascii="宋体" w:hAnsi="宋体" w:eastAsia="宋体"/>
          <w:color w:val="auto"/>
          <w:sz w:val="24"/>
          <w:highlight w:val="none"/>
        </w:rPr>
        <w:t>需要补充的其他内容，见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r>
        <w:rPr>
          <w:rFonts w:asciiTheme="minorEastAsia" w:hAnsiTheme="minorEastAsia" w:eastAsiaTheme="minorEastAsia"/>
          <w:color w:val="auto"/>
          <w:sz w:val="24"/>
          <w:highlight w:val="none"/>
        </w:rPr>
        <w:br w:type="page"/>
      </w:r>
    </w:p>
    <w:p w14:paraId="0031BB0E">
      <w:pPr>
        <w:spacing w:line="360" w:lineRule="auto"/>
        <w:jc w:val="center"/>
        <w:outlineLvl w:val="0"/>
        <w:rPr>
          <w:rFonts w:asciiTheme="minorEastAsia" w:hAnsiTheme="minorEastAsia" w:eastAsiaTheme="minorEastAsia"/>
          <w:b/>
          <w:color w:val="auto"/>
          <w:sz w:val="28"/>
          <w:highlight w:val="none"/>
        </w:rPr>
      </w:pPr>
      <w:bookmarkStart w:id="15" w:name="_Toc28125"/>
      <w:bookmarkStart w:id="16" w:name="_Toc19440"/>
      <w:r>
        <w:rPr>
          <w:rFonts w:hint="eastAsia" w:asciiTheme="minorEastAsia" w:hAnsiTheme="minorEastAsia" w:eastAsiaTheme="minorEastAsia"/>
          <w:b/>
          <w:color w:val="auto"/>
          <w:sz w:val="28"/>
          <w:highlight w:val="none"/>
        </w:rPr>
        <w:t>第三章  采购需求</w:t>
      </w:r>
      <w:bookmarkEnd w:id="15"/>
      <w:bookmarkEnd w:id="16"/>
    </w:p>
    <w:p w14:paraId="3A89F79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70DE19B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本采购需求中提出的服务方案仅为参考，如无明确限制，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可以进行优化，提供满足采购人实际需要的更优（或者性能实质上不低于的）服务方案，且此方案须经</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评审认可。</w:t>
      </w:r>
    </w:p>
    <w:p w14:paraId="13E6F224">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2.下列采购需求中</w:t>
      </w:r>
      <w:r>
        <w:rPr>
          <w:rFonts w:ascii="宋体" w:hAnsi="宋体" w:eastAsia="宋体" w:cs="宋体"/>
          <w:color w:val="auto"/>
          <w:sz w:val="24"/>
          <w:szCs w:val="24"/>
          <w:highlight w:val="none"/>
        </w:rPr>
        <w:t>（包括但不限于下列具体政策要求</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18"/>
          <w:highlight w:val="none"/>
        </w:rPr>
        <w:t>：</w:t>
      </w:r>
    </w:p>
    <w:p w14:paraId="28A055A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在响应文件中提供</w:t>
      </w:r>
      <w:r>
        <w:rPr>
          <w:rFonts w:hint="eastAsia" w:ascii="宋体" w:hAnsi="宋体" w:eastAsia="宋体" w:cs="宋体"/>
          <w:color w:val="auto"/>
          <w:sz w:val="24"/>
          <w:szCs w:val="24"/>
          <w:highlight w:val="none"/>
        </w:rPr>
        <w:t>所投产品须具有市场监管总局公布的《参与实施政府采购节能产品认证机构目录》中的认证机构出具的、处于有效期内的节能产品认证证书。</w:t>
      </w:r>
    </w:p>
    <w:p w14:paraId="2796F1A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A8852EC">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szCs w:val="18"/>
          <w:highlight w:val="none"/>
        </w:rPr>
        <w:t>3.如采购人允许采用分包方式履行合同的，应当明确可以分包履行的相关内容</w:t>
      </w:r>
      <w:r>
        <w:rPr>
          <w:rFonts w:hint="eastAsia" w:ascii="宋体" w:hAnsi="宋体" w:eastAsia="宋体"/>
          <w:color w:val="auto"/>
          <w:sz w:val="24"/>
          <w:szCs w:val="18"/>
          <w:highlight w:val="none"/>
          <w:lang w:eastAsia="zh-CN"/>
        </w:rPr>
        <w:t>：</w:t>
      </w:r>
      <w:r>
        <w:rPr>
          <w:rFonts w:hint="eastAsia" w:ascii="宋体" w:hAnsi="宋体" w:eastAsia="宋体"/>
          <w:color w:val="auto"/>
          <w:sz w:val="24"/>
          <w:szCs w:val="18"/>
          <w:highlight w:val="none"/>
          <w:u w:val="single"/>
          <w:lang w:eastAsia="zh-CN"/>
        </w:rPr>
        <w:t>本项目不允许分包</w:t>
      </w:r>
      <w:r>
        <w:rPr>
          <w:rFonts w:hint="eastAsia" w:ascii="宋体" w:hAnsi="宋体" w:eastAsia="宋体"/>
          <w:color w:val="auto"/>
          <w:sz w:val="24"/>
          <w:szCs w:val="18"/>
          <w:highlight w:val="none"/>
        </w:rPr>
        <w:t>。</w:t>
      </w:r>
    </w:p>
    <w:p w14:paraId="6D3A75CF">
      <w:pPr>
        <w:spacing w:line="360" w:lineRule="auto"/>
        <w:ind w:firstLine="437"/>
        <w:outlineLvl w:val="1"/>
        <w:rPr>
          <w:rFonts w:ascii="宋体" w:hAnsi="宋体" w:eastAsia="宋体"/>
          <w:b/>
          <w:color w:val="auto"/>
          <w:sz w:val="24"/>
          <w:szCs w:val="18"/>
          <w:highlight w:val="none"/>
        </w:rPr>
      </w:pPr>
      <w:bookmarkStart w:id="17" w:name="_Toc26349"/>
      <w:bookmarkStart w:id="18" w:name="_Toc7699"/>
      <w:r>
        <w:rPr>
          <w:rFonts w:hint="eastAsia" w:ascii="宋体" w:hAnsi="宋体" w:eastAsia="宋体"/>
          <w:b/>
          <w:color w:val="auto"/>
          <w:sz w:val="24"/>
          <w:szCs w:val="18"/>
          <w:highlight w:val="none"/>
        </w:rPr>
        <w:t>一、采购需求前附表</w:t>
      </w:r>
      <w:bookmarkEnd w:id="17"/>
      <w:bookmarkEnd w:id="18"/>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40BE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CB267A2">
            <w:pPr>
              <w:pStyle w:val="45"/>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bookmarkStart w:id="19" w:name="_Hlk16461016"/>
            <w:r>
              <w:rPr>
                <w:rFonts w:hint="eastAsia" w:ascii="宋体" w:hAnsi="宋体" w:eastAsia="宋体"/>
                <w:b/>
                <w:color w:val="auto"/>
                <w:kern w:val="2"/>
                <w:highlight w:val="none"/>
              </w:rPr>
              <w:t>序号</w:t>
            </w:r>
          </w:p>
        </w:tc>
        <w:tc>
          <w:tcPr>
            <w:tcW w:w="1192" w:type="pct"/>
            <w:vAlign w:val="center"/>
          </w:tcPr>
          <w:p w14:paraId="6A3505F7">
            <w:pPr>
              <w:pStyle w:val="44"/>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4D365F77">
            <w:pPr>
              <w:pStyle w:val="44"/>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36DF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58A1A8D">
            <w:pPr>
              <w:pStyle w:val="4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41019F99">
            <w:pPr>
              <w:pStyle w:val="4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338F4983">
            <w:pPr>
              <w:spacing w:line="520" w:lineRule="exact"/>
              <w:jc w:val="left"/>
              <w:rPr>
                <w:rFonts w:hint="eastAsia" w:ascii="宋体" w:hAnsi="宋体" w:eastAsia="宋体" w:cs="宋体"/>
                <w:b w:val="0"/>
                <w:bCs/>
                <w:color w:val="auto"/>
                <w:kern w:val="0"/>
                <w:sz w:val="24"/>
                <w:szCs w:val="28"/>
                <w:highlight w:val="none"/>
                <w:u w:val="single"/>
                <w:lang w:val="en-US" w:eastAsia="zh-CN" w:bidi="ar-SA"/>
              </w:rPr>
            </w:pPr>
            <w:r>
              <w:rPr>
                <w:rFonts w:hint="eastAsia" w:ascii="宋体" w:hAnsi="宋体" w:eastAsia="宋体" w:cs="宋体"/>
                <w:b w:val="0"/>
                <w:bCs/>
                <w:color w:val="auto"/>
                <w:kern w:val="0"/>
                <w:sz w:val="24"/>
                <w:szCs w:val="28"/>
                <w:highlight w:val="none"/>
                <w:u w:val="single"/>
                <w:lang w:val="en-US" w:eastAsia="zh-CN" w:bidi="ar-SA"/>
              </w:rPr>
              <w:t>合同签订且具备实施条件后，支付合同价的40%预付款（预付款支付前，中标人须提供同等金额的见索即付保函），各标段已完合格工程量应付价款达到本标段合同金额的50%时，支付至当期跟踪审计服务费的40%；所有标段完工验收并出具经采购人认可的结算审核报告后，支付至跟踪审计服务费的80%（跟踪审计服务费=各标段审定金额之和*中标费率）；竣工验收合格且工程价款结算经政府有关部门审定后，按政府审定决算金额*中标费率，一次性付清。</w:t>
            </w:r>
          </w:p>
          <w:p w14:paraId="3E82C8C8">
            <w:pPr>
              <w:spacing w:line="520" w:lineRule="exact"/>
              <w:jc w:val="left"/>
              <w:rPr>
                <w:rFonts w:hint="eastAsia" w:ascii="宋体" w:hAnsi="宋体" w:eastAsia="宋体" w:cs="宋体"/>
                <w:b w:val="0"/>
                <w:bCs/>
                <w:color w:val="auto"/>
                <w:kern w:val="0"/>
                <w:sz w:val="24"/>
                <w:szCs w:val="28"/>
                <w:highlight w:val="none"/>
                <w:u w:val="single"/>
                <w:lang w:val="en-US" w:eastAsia="zh-CN" w:bidi="ar-SA"/>
              </w:rPr>
            </w:pPr>
            <w:r>
              <w:rPr>
                <w:rFonts w:hint="eastAsia" w:ascii="宋体" w:hAnsi="宋体" w:eastAsia="宋体" w:cs="宋体"/>
                <w:b w:val="0"/>
                <w:bCs/>
                <w:color w:val="auto"/>
                <w:kern w:val="0"/>
                <w:sz w:val="24"/>
                <w:szCs w:val="28"/>
                <w:highlight w:val="none"/>
                <w:u w:val="single"/>
                <w:lang w:val="en-US" w:eastAsia="zh-CN" w:bidi="ar-SA"/>
              </w:rPr>
              <w:t>注：1.当期跟踪审计服务费=已完合格工程量应付价款*中标费率；</w:t>
            </w:r>
          </w:p>
          <w:p w14:paraId="3E326F97">
            <w:pPr>
              <w:spacing w:line="520" w:lineRule="exact"/>
              <w:jc w:val="left"/>
              <w:rPr>
                <w:rFonts w:hint="eastAsia" w:ascii="宋体" w:hAnsi="宋体" w:eastAsia="宋体" w:cs="宋体"/>
                <w:b w:val="0"/>
                <w:bCs/>
                <w:color w:val="auto"/>
                <w:kern w:val="0"/>
                <w:sz w:val="24"/>
                <w:szCs w:val="28"/>
                <w:highlight w:val="none"/>
                <w:u w:val="single"/>
                <w:lang w:val="en-US" w:eastAsia="zh-CN" w:bidi="ar-SA"/>
              </w:rPr>
            </w:pPr>
            <w:r>
              <w:rPr>
                <w:rFonts w:hint="eastAsia" w:ascii="宋体" w:hAnsi="宋体" w:eastAsia="宋体" w:cs="宋体"/>
                <w:b w:val="0"/>
                <w:bCs/>
                <w:color w:val="auto"/>
                <w:kern w:val="0"/>
                <w:sz w:val="24"/>
                <w:szCs w:val="28"/>
                <w:highlight w:val="none"/>
                <w:u w:val="single"/>
                <w:lang w:val="en-US" w:eastAsia="zh-CN" w:bidi="ar-SA"/>
              </w:rPr>
              <w:t>2.各标段进度满足上述要求时可单独核算并支付跟踪审计服务费；</w:t>
            </w:r>
          </w:p>
          <w:p w14:paraId="009F757C">
            <w:pPr>
              <w:spacing w:line="520" w:lineRule="exact"/>
              <w:jc w:val="left"/>
              <w:rPr>
                <w:rFonts w:ascii="宋体" w:hAnsi="宋体" w:eastAsia="宋体"/>
                <w:b w:val="0"/>
                <w:color w:val="auto"/>
                <w:sz w:val="24"/>
                <w:highlight w:val="none"/>
                <w:u w:val="single"/>
              </w:rPr>
            </w:pPr>
            <w:r>
              <w:rPr>
                <w:rFonts w:hint="eastAsia" w:ascii="宋体" w:hAnsi="宋体" w:eastAsia="宋体" w:cs="宋体"/>
                <w:b w:val="0"/>
                <w:bCs/>
                <w:color w:val="auto"/>
                <w:kern w:val="0"/>
                <w:sz w:val="24"/>
                <w:szCs w:val="28"/>
                <w:highlight w:val="none"/>
                <w:u w:val="single"/>
                <w:lang w:val="en-US" w:eastAsia="zh-CN" w:bidi="ar-SA"/>
              </w:rPr>
              <w:t>3.中标费率指的是中标基本费率，不含审核成果费率。</w:t>
            </w:r>
          </w:p>
        </w:tc>
      </w:tr>
      <w:tr w14:paraId="3458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6D2FD4F">
            <w:pPr>
              <w:pStyle w:val="4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7EA04B91">
            <w:pPr>
              <w:pStyle w:val="4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217" w:type="pct"/>
            <w:vAlign w:val="center"/>
          </w:tcPr>
          <w:p w14:paraId="497EC722">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cs="宋体"/>
                <w:b w:val="0"/>
                <w:color w:val="auto"/>
                <w:sz w:val="24"/>
                <w:highlight w:val="none"/>
                <w:u w:val="single"/>
              </w:rPr>
              <w:t>采购人指定地点</w:t>
            </w:r>
          </w:p>
        </w:tc>
      </w:tr>
      <w:tr w14:paraId="2759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DD354FD">
            <w:pPr>
              <w:pStyle w:val="4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5CDCA40A">
            <w:pPr>
              <w:pStyle w:val="4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217" w:type="pct"/>
            <w:vAlign w:val="center"/>
          </w:tcPr>
          <w:p w14:paraId="6396E593">
            <w:pPr>
              <w:keepNext w:val="0"/>
              <w:keepLines w:val="0"/>
              <w:pageBreakBefore w:val="0"/>
              <w:widowControl w:val="0"/>
              <w:kinsoku/>
              <w:overflowPunct/>
              <w:topLinePunct w:val="0"/>
              <w:autoSpaceDE/>
              <w:autoSpaceDN/>
              <w:bidi w:val="0"/>
              <w:adjustRightInd/>
              <w:snapToGrid/>
              <w:spacing w:line="440" w:lineRule="exact"/>
              <w:textAlignment w:val="auto"/>
              <w:outlineLvl w:val="9"/>
              <w:rPr>
                <w:rFonts w:hint="eastAsia" w:ascii="宋体" w:hAnsi="宋体" w:eastAsia="宋体" w:cs="宋体"/>
                <w:b w:val="0"/>
                <w:bCs/>
                <w:color w:val="auto"/>
                <w:kern w:val="0"/>
                <w:sz w:val="24"/>
                <w:szCs w:val="28"/>
                <w:highlight w:val="none"/>
                <w:u w:val="single"/>
                <w:lang w:val="en-US" w:eastAsia="zh-CN" w:bidi="ar-SA"/>
              </w:rPr>
            </w:pPr>
            <w:r>
              <w:rPr>
                <w:rFonts w:hint="eastAsia" w:ascii="宋体" w:hAnsi="宋体" w:eastAsia="宋体" w:cs="宋体"/>
                <w:b w:val="0"/>
                <w:bCs/>
                <w:color w:val="auto"/>
                <w:kern w:val="0"/>
                <w:sz w:val="24"/>
                <w:szCs w:val="28"/>
                <w:highlight w:val="none"/>
                <w:u w:val="single"/>
                <w:lang w:val="en-US" w:eastAsia="zh-CN" w:bidi="ar-SA"/>
              </w:rPr>
              <w:t xml:space="preserve">从合同签订之日起，至整个项目竣工验收合格，并将全部审计资料移交至采购人为止。 </w:t>
            </w:r>
          </w:p>
          <w:p w14:paraId="559C04F9">
            <w:pPr>
              <w:keepNext w:val="0"/>
              <w:keepLines w:val="0"/>
              <w:pageBreakBefore w:val="0"/>
              <w:widowControl w:val="0"/>
              <w:kinsoku/>
              <w:overflowPunct/>
              <w:topLinePunct w:val="0"/>
              <w:autoSpaceDE/>
              <w:autoSpaceDN/>
              <w:bidi w:val="0"/>
              <w:adjustRightInd/>
              <w:snapToGrid/>
              <w:spacing w:line="440" w:lineRule="exact"/>
              <w:textAlignment w:val="auto"/>
              <w:outlineLvl w:val="9"/>
              <w:rPr>
                <w:rFonts w:hint="default" w:ascii="宋体" w:hAnsi="宋体" w:eastAsia="宋体"/>
                <w:b w:val="0"/>
                <w:color w:val="auto"/>
                <w:sz w:val="24"/>
                <w:highlight w:val="none"/>
                <w:lang w:val="en-US" w:eastAsia="zh-CN"/>
              </w:rPr>
            </w:pPr>
            <w:r>
              <w:rPr>
                <w:rFonts w:hint="eastAsia" w:ascii="宋体" w:hAnsi="宋体" w:eastAsia="宋体" w:cs="宋体"/>
                <w:b w:val="0"/>
                <w:bCs/>
                <w:color w:val="auto"/>
                <w:kern w:val="0"/>
                <w:sz w:val="24"/>
                <w:szCs w:val="28"/>
                <w:highlight w:val="none"/>
                <w:u w:val="none"/>
                <w:lang w:val="en-US" w:eastAsia="zh-CN" w:bidi="ar-SA"/>
              </w:rPr>
              <w:t>注：系统生成投标文件时服务期限均按“700日历天”填写，仅作为唱标时参考，不作为服务期评审要求。</w:t>
            </w:r>
          </w:p>
        </w:tc>
      </w:tr>
      <w:tr w14:paraId="6A70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0" w:type="pct"/>
            <w:vAlign w:val="center"/>
          </w:tcPr>
          <w:p w14:paraId="1F59B19C">
            <w:pPr>
              <w:pStyle w:val="4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lang w:val="en-US" w:eastAsia="zh-CN"/>
              </w:rPr>
              <w:t>4</w:t>
            </w:r>
          </w:p>
        </w:tc>
        <w:tc>
          <w:tcPr>
            <w:tcW w:w="1192" w:type="pct"/>
            <w:vAlign w:val="center"/>
          </w:tcPr>
          <w:p w14:paraId="75074A5C">
            <w:pPr>
              <w:pStyle w:val="4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本项目采购标的名称及所属行业</w:t>
            </w:r>
          </w:p>
        </w:tc>
        <w:tc>
          <w:tcPr>
            <w:tcW w:w="3217" w:type="pct"/>
            <w:vAlign w:val="center"/>
          </w:tcPr>
          <w:p w14:paraId="25676AD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标的名称：</w:t>
            </w:r>
            <w:r>
              <w:rPr>
                <w:rFonts w:hint="eastAsia" w:ascii="宋体" w:hAnsi="宋体" w:eastAsia="宋体" w:cs="宋体"/>
                <w:color w:val="auto"/>
                <w:sz w:val="24"/>
                <w:highlight w:val="none"/>
                <w:lang w:eastAsia="zh-CN"/>
              </w:rPr>
              <w:t>滁州市长三角一体化示范区供水保障工程跟踪审计项目</w:t>
            </w:r>
          </w:p>
          <w:p w14:paraId="091A3E5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eastAsia="宋体"/>
                <w:b w:val="0"/>
                <w:color w:val="auto"/>
                <w:sz w:val="24"/>
                <w:highlight w:val="none"/>
                <w:u w:val="single"/>
              </w:rPr>
            </w:pPr>
            <w:r>
              <w:rPr>
                <w:rFonts w:hint="eastAsia" w:ascii="宋体" w:hAnsi="宋体" w:eastAsia="宋体" w:cs="宋体"/>
                <w:color w:val="auto"/>
                <w:sz w:val="24"/>
                <w:highlight w:val="none"/>
              </w:rPr>
              <w:t>所属行业：</w:t>
            </w:r>
            <w:r>
              <w:rPr>
                <w:rFonts w:hint="eastAsia" w:ascii="宋体" w:hAnsi="宋体" w:eastAsia="宋体" w:cs="宋体"/>
                <w:color w:val="auto"/>
                <w:sz w:val="24"/>
                <w:highlight w:val="none"/>
                <w:lang w:val="en-US" w:eastAsia="zh-CN"/>
              </w:rPr>
              <w:t>其他未列明行业</w:t>
            </w:r>
          </w:p>
        </w:tc>
      </w:tr>
    </w:tbl>
    <w:p w14:paraId="76C74FD2">
      <w:pPr>
        <w:spacing w:line="360" w:lineRule="auto"/>
        <w:ind w:firstLine="437"/>
        <w:outlineLvl w:val="1"/>
        <w:rPr>
          <w:rFonts w:hint="eastAsia" w:ascii="宋体" w:hAnsi="宋体" w:eastAsia="宋体"/>
          <w:b/>
          <w:color w:val="auto"/>
          <w:sz w:val="24"/>
          <w:szCs w:val="18"/>
          <w:highlight w:val="none"/>
        </w:rPr>
      </w:pPr>
      <w:bookmarkStart w:id="20" w:name="_Toc23116"/>
      <w:bookmarkStart w:id="21" w:name="_Toc25144"/>
    </w:p>
    <w:p w14:paraId="58842C9A">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二、项目概况</w:t>
      </w:r>
      <w:bookmarkEnd w:id="20"/>
      <w:bookmarkEnd w:id="21"/>
    </w:p>
    <w:p w14:paraId="752ADD3F">
      <w:pPr>
        <w:spacing w:line="360" w:lineRule="auto"/>
        <w:ind w:firstLine="437"/>
        <w:outlineLvl w:val="1"/>
        <w:rPr>
          <w:rFonts w:hint="eastAsia" w:ascii="宋体" w:hAnsi="宋体" w:eastAsia="宋体"/>
          <w:b/>
          <w:color w:val="auto"/>
          <w:sz w:val="24"/>
          <w:szCs w:val="18"/>
          <w:highlight w:val="none"/>
        </w:rPr>
      </w:pPr>
      <w:bookmarkStart w:id="22" w:name="_Toc21757"/>
      <w:bookmarkStart w:id="23" w:name="_Toc8586"/>
      <w:r>
        <w:rPr>
          <w:rFonts w:hint="eastAsia" w:ascii="宋体" w:hAnsi="宋体" w:eastAsia="宋体" w:cs="宋体"/>
          <w:color w:val="auto"/>
          <w:kern w:val="0"/>
          <w:sz w:val="24"/>
          <w:szCs w:val="24"/>
          <w:highlight w:val="none"/>
          <w:u w:val="none" w:color="000000"/>
        </w:rPr>
        <w:t>滁州市长三角一体化示范区供水保障工程位于滁州市南谯区、全椒县，主要任务是以长江为水源，依托驷马山引江水道工程,向黄栗树、沙河集、城西水库补水，以保证城乡供水安全,兼顾改善农业灌溉需求。主要建设内容:新建黄栗树补水干线、线路全长20.36公里，新建沙河集补水支线、线路全长17.0公里，新建赵店水库分水闸2座，赵店加压泵站1座，黄栗树加压泵站1座。工程等别为Ⅱ等，项目概算总投资为18.1亿元</w:t>
      </w:r>
      <w:r>
        <w:rPr>
          <w:rFonts w:hint="eastAsia" w:ascii="宋体" w:hAnsi="宋体" w:eastAsia="宋体" w:cs="宋体"/>
          <w:color w:val="auto"/>
          <w:kern w:val="0"/>
          <w:sz w:val="24"/>
          <w:szCs w:val="24"/>
          <w:highlight w:val="none"/>
          <w:u w:val="none" w:color="000000"/>
          <w:lang w:eastAsia="zh-CN"/>
        </w:rPr>
        <w:t>。</w:t>
      </w:r>
      <w:r>
        <w:rPr>
          <w:rFonts w:hint="eastAsia" w:ascii="宋体" w:hAnsi="宋体" w:eastAsia="宋体" w:cs="宋体"/>
          <w:color w:val="auto"/>
          <w:kern w:val="0"/>
          <w:sz w:val="24"/>
          <w:szCs w:val="24"/>
          <w:highlight w:val="none"/>
          <w:u w:val="none" w:color="000000"/>
        </w:rPr>
        <w:t>跟踪审计</w:t>
      </w:r>
      <w:r>
        <w:rPr>
          <w:rFonts w:hint="eastAsia" w:ascii="宋体" w:hAnsi="宋体" w:eastAsia="宋体" w:cs="宋体"/>
          <w:color w:val="auto"/>
          <w:kern w:val="0"/>
          <w:sz w:val="24"/>
          <w:szCs w:val="24"/>
          <w:highlight w:val="none"/>
          <w:u w:val="none" w:color="000000"/>
          <w:lang w:val="en-US" w:eastAsia="zh-CN"/>
        </w:rPr>
        <w:t>服务</w:t>
      </w:r>
      <w:r>
        <w:rPr>
          <w:rFonts w:hint="eastAsia" w:ascii="宋体" w:hAnsi="宋体" w:eastAsia="宋体" w:cs="宋体"/>
          <w:color w:val="auto"/>
          <w:kern w:val="0"/>
          <w:sz w:val="24"/>
          <w:szCs w:val="24"/>
          <w:highlight w:val="none"/>
          <w:u w:val="none" w:color="000000"/>
        </w:rPr>
        <w:t>费用约</w:t>
      </w:r>
      <w:r>
        <w:rPr>
          <w:rFonts w:hint="eastAsia" w:ascii="宋体" w:hAnsi="宋体" w:eastAsia="宋体" w:cs="宋体"/>
          <w:color w:val="auto"/>
          <w:kern w:val="0"/>
          <w:sz w:val="24"/>
          <w:szCs w:val="24"/>
          <w:highlight w:val="none"/>
          <w:u w:val="none" w:color="000000"/>
          <w:lang w:val="en-US" w:eastAsia="zh-CN"/>
        </w:rPr>
        <w:t>160</w:t>
      </w:r>
      <w:r>
        <w:rPr>
          <w:rFonts w:hint="eastAsia" w:ascii="宋体" w:hAnsi="宋体" w:eastAsia="宋体" w:cs="宋体"/>
          <w:color w:val="auto"/>
          <w:kern w:val="0"/>
          <w:sz w:val="24"/>
          <w:szCs w:val="24"/>
          <w:highlight w:val="none"/>
          <w:u w:val="none" w:color="000000"/>
        </w:rPr>
        <w:t>万元。</w:t>
      </w:r>
    </w:p>
    <w:p w14:paraId="751E79C8">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三、服务需求</w:t>
      </w:r>
      <w:bookmarkEnd w:id="22"/>
      <w:bookmarkEnd w:id="23"/>
    </w:p>
    <w:p w14:paraId="729C2DE3">
      <w:pPr>
        <w:spacing w:line="360" w:lineRule="auto"/>
        <w:ind w:firstLine="437"/>
        <w:outlineLvl w:val="1"/>
        <w:rPr>
          <w:rFonts w:hint="eastAsia" w:ascii="宋体" w:hAnsi="宋体" w:eastAsia="宋体" w:cs="宋体"/>
          <w:color w:val="auto"/>
          <w:kern w:val="0"/>
          <w:sz w:val="24"/>
          <w:szCs w:val="24"/>
          <w:highlight w:val="none"/>
          <w:u w:val="none" w:color="000000"/>
          <w:lang w:eastAsia="zh-CN"/>
        </w:rPr>
      </w:pPr>
      <w:bookmarkStart w:id="24" w:name="_Toc12910"/>
      <w:bookmarkStart w:id="25" w:name="_Toc18052"/>
      <w:r>
        <w:rPr>
          <w:rFonts w:hint="eastAsia" w:ascii="宋体" w:hAnsi="宋体" w:eastAsia="宋体" w:cs="宋体"/>
          <w:color w:val="auto"/>
          <w:kern w:val="0"/>
          <w:sz w:val="24"/>
          <w:szCs w:val="24"/>
          <w:highlight w:val="none"/>
          <w:u w:val="none" w:color="000000"/>
          <w:lang w:eastAsia="zh-CN"/>
        </w:rPr>
        <w:t>（</w:t>
      </w:r>
      <w:r>
        <w:rPr>
          <w:rFonts w:hint="eastAsia" w:ascii="宋体" w:hAnsi="宋体" w:eastAsia="宋体" w:cs="宋体"/>
          <w:color w:val="auto"/>
          <w:kern w:val="0"/>
          <w:sz w:val="24"/>
          <w:szCs w:val="24"/>
          <w:highlight w:val="none"/>
          <w:u w:val="none" w:color="000000"/>
          <w:lang w:val="en-US" w:eastAsia="zh-CN"/>
        </w:rPr>
        <w:t>一</w:t>
      </w:r>
      <w:r>
        <w:rPr>
          <w:rFonts w:hint="eastAsia" w:ascii="宋体" w:hAnsi="宋体" w:eastAsia="宋体" w:cs="宋体"/>
          <w:color w:val="auto"/>
          <w:kern w:val="0"/>
          <w:sz w:val="24"/>
          <w:szCs w:val="24"/>
          <w:highlight w:val="none"/>
          <w:u w:val="none" w:color="000000"/>
          <w:lang w:eastAsia="zh-CN"/>
        </w:rPr>
        <w:t>）项目组成员配备需求</w:t>
      </w:r>
    </w:p>
    <w:p w14:paraId="20286EEF">
      <w:pPr>
        <w:spacing w:line="360" w:lineRule="auto"/>
        <w:ind w:firstLine="437"/>
        <w:outlineLvl w:val="1"/>
        <w:rPr>
          <w:rFonts w:hint="eastAsia" w:ascii="宋体" w:hAnsi="宋体" w:eastAsia="宋体" w:cs="宋体"/>
          <w:color w:val="auto"/>
          <w:kern w:val="0"/>
          <w:sz w:val="24"/>
          <w:szCs w:val="24"/>
          <w:highlight w:val="none"/>
          <w:u w:val="none" w:color="000000"/>
          <w:lang w:eastAsia="zh-CN"/>
        </w:rPr>
      </w:pPr>
      <w:r>
        <w:rPr>
          <w:rFonts w:hint="eastAsia" w:ascii="宋体" w:hAnsi="宋体" w:eastAsia="宋体" w:cs="宋体"/>
          <w:color w:val="auto"/>
          <w:kern w:val="0"/>
          <w:sz w:val="24"/>
          <w:szCs w:val="24"/>
          <w:highlight w:val="none"/>
          <w:u w:val="none" w:color="000000"/>
        </w:rPr>
        <w:t xml:space="preserve"> 1.除项目负责人外，还须配备满足下列要求的项目组成员不得少于</w:t>
      </w:r>
      <w:r>
        <w:rPr>
          <w:rFonts w:hint="eastAsia" w:ascii="宋体" w:hAnsi="宋体" w:eastAsia="宋体" w:cs="宋体"/>
          <w:color w:val="auto"/>
          <w:kern w:val="0"/>
          <w:sz w:val="24"/>
          <w:szCs w:val="24"/>
          <w:highlight w:val="none"/>
          <w:u w:val="none" w:color="000000"/>
          <w:lang w:val="en-US" w:eastAsia="zh-CN"/>
        </w:rPr>
        <w:t>5</w:t>
      </w:r>
      <w:r>
        <w:rPr>
          <w:rFonts w:hint="eastAsia" w:ascii="宋体" w:hAnsi="宋体" w:eastAsia="宋体" w:cs="宋体"/>
          <w:color w:val="auto"/>
          <w:kern w:val="0"/>
          <w:sz w:val="24"/>
          <w:szCs w:val="24"/>
          <w:highlight w:val="none"/>
          <w:u w:val="none" w:color="000000"/>
        </w:rPr>
        <w:t>人，</w:t>
      </w:r>
      <w:r>
        <w:rPr>
          <w:rFonts w:hint="eastAsia" w:ascii="宋体" w:hAnsi="宋体" w:eastAsia="宋体" w:cs="宋体"/>
          <w:b/>
          <w:bCs/>
          <w:color w:val="auto"/>
          <w:kern w:val="0"/>
          <w:sz w:val="24"/>
          <w:szCs w:val="24"/>
          <w:highlight w:val="none"/>
          <w:u w:val="none" w:color="000000"/>
        </w:rPr>
        <w:t>供应商自行承诺，格式自拟</w:t>
      </w:r>
      <w:r>
        <w:rPr>
          <w:rFonts w:hint="eastAsia" w:ascii="宋体" w:hAnsi="宋体" w:eastAsia="宋体" w:cs="宋体"/>
          <w:color w:val="auto"/>
          <w:kern w:val="0"/>
          <w:sz w:val="24"/>
          <w:szCs w:val="24"/>
          <w:highlight w:val="none"/>
          <w:u w:val="none" w:color="000000"/>
        </w:rPr>
        <w:t>。</w:t>
      </w:r>
      <w:r>
        <w:rPr>
          <w:rFonts w:hint="eastAsia" w:ascii="宋体" w:hAnsi="宋体" w:eastAsia="宋体" w:cs="宋体"/>
          <w:color w:val="auto"/>
          <w:kern w:val="0"/>
          <w:sz w:val="24"/>
          <w:szCs w:val="24"/>
          <w:highlight w:val="none"/>
          <w:u w:val="none" w:color="000000"/>
          <w:lang w:eastAsia="zh-CN"/>
        </w:rPr>
        <w:t>（若为联合体</w:t>
      </w:r>
      <w:r>
        <w:rPr>
          <w:rFonts w:hint="eastAsia" w:ascii="宋体" w:hAnsi="宋体" w:eastAsia="宋体" w:cs="宋体"/>
          <w:color w:val="auto"/>
          <w:kern w:val="0"/>
          <w:sz w:val="24"/>
          <w:szCs w:val="24"/>
          <w:highlight w:val="none"/>
          <w:u w:val="none" w:color="000000"/>
          <w:lang w:val="en-US" w:eastAsia="zh-CN"/>
        </w:rPr>
        <w:t>参与</w:t>
      </w:r>
      <w:r>
        <w:rPr>
          <w:rFonts w:hint="eastAsia" w:ascii="宋体" w:hAnsi="宋体" w:eastAsia="宋体" w:cs="宋体"/>
          <w:color w:val="auto"/>
          <w:kern w:val="0"/>
          <w:sz w:val="24"/>
          <w:szCs w:val="24"/>
          <w:highlight w:val="none"/>
          <w:u w:val="none" w:color="000000"/>
          <w:lang w:eastAsia="zh-CN"/>
        </w:rPr>
        <w:t>的，项目组成员可由联合体供应商任意一方组建或者联合体双方共同组建）</w:t>
      </w:r>
    </w:p>
    <w:p w14:paraId="258D9F88">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（1）不少于</w:t>
      </w:r>
      <w:r>
        <w:rPr>
          <w:rFonts w:hint="eastAsia" w:ascii="宋体" w:hAnsi="宋体" w:eastAsia="宋体" w:cs="宋体"/>
          <w:color w:val="auto"/>
          <w:kern w:val="0"/>
          <w:sz w:val="24"/>
          <w:szCs w:val="24"/>
          <w:highlight w:val="none"/>
          <w:u w:val="none" w:color="000000"/>
          <w:lang w:val="en-US" w:eastAsia="zh-CN"/>
        </w:rPr>
        <w:t>1</w:t>
      </w:r>
      <w:r>
        <w:rPr>
          <w:rFonts w:hint="eastAsia" w:ascii="宋体" w:hAnsi="宋体" w:eastAsia="宋体" w:cs="宋体"/>
          <w:color w:val="auto"/>
          <w:kern w:val="0"/>
          <w:sz w:val="24"/>
          <w:szCs w:val="24"/>
          <w:highlight w:val="none"/>
          <w:u w:val="none" w:color="000000"/>
        </w:rPr>
        <w:t>名注册在</w:t>
      </w:r>
      <w:r>
        <w:rPr>
          <w:rFonts w:hint="eastAsia" w:ascii="宋体" w:hAnsi="宋体" w:eastAsia="宋体" w:cs="宋体"/>
          <w:color w:val="auto"/>
          <w:kern w:val="0"/>
          <w:sz w:val="24"/>
          <w:szCs w:val="24"/>
          <w:highlight w:val="none"/>
          <w:u w:val="none" w:color="000000"/>
          <w:lang w:val="en-US" w:eastAsia="zh-CN"/>
        </w:rPr>
        <w:t>供应商</w:t>
      </w:r>
      <w:r>
        <w:rPr>
          <w:rFonts w:hint="eastAsia" w:ascii="宋体" w:hAnsi="宋体" w:eastAsia="宋体" w:cs="宋体"/>
          <w:color w:val="auto"/>
          <w:kern w:val="0"/>
          <w:sz w:val="24"/>
          <w:szCs w:val="24"/>
          <w:highlight w:val="none"/>
          <w:u w:val="none" w:color="000000"/>
        </w:rPr>
        <w:t xml:space="preserve">的水利工程专业一级注册造价工程师。 </w:t>
      </w:r>
    </w:p>
    <w:p w14:paraId="7DE07EBD">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（2）不少于</w:t>
      </w:r>
      <w:r>
        <w:rPr>
          <w:rFonts w:hint="eastAsia" w:ascii="宋体" w:hAnsi="宋体" w:eastAsia="宋体" w:cs="宋体"/>
          <w:color w:val="auto"/>
          <w:kern w:val="0"/>
          <w:sz w:val="24"/>
          <w:szCs w:val="24"/>
          <w:highlight w:val="none"/>
          <w:u w:val="none" w:color="000000"/>
          <w:lang w:val="en-US" w:eastAsia="zh-CN"/>
        </w:rPr>
        <w:t>1</w:t>
      </w:r>
      <w:r>
        <w:rPr>
          <w:rFonts w:hint="eastAsia" w:ascii="宋体" w:hAnsi="宋体" w:eastAsia="宋体" w:cs="宋体"/>
          <w:color w:val="auto"/>
          <w:kern w:val="0"/>
          <w:sz w:val="24"/>
          <w:szCs w:val="24"/>
          <w:highlight w:val="none"/>
          <w:u w:val="none" w:color="000000"/>
        </w:rPr>
        <w:t xml:space="preserve">名注册在供应商的安装工程专业一级注册造价工程师。 </w:t>
      </w:r>
    </w:p>
    <w:p w14:paraId="60471AFA">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（3）不少于</w:t>
      </w:r>
      <w:r>
        <w:rPr>
          <w:rFonts w:hint="eastAsia" w:ascii="宋体" w:hAnsi="宋体" w:eastAsia="宋体" w:cs="宋体"/>
          <w:color w:val="auto"/>
          <w:kern w:val="0"/>
          <w:sz w:val="24"/>
          <w:szCs w:val="24"/>
          <w:highlight w:val="none"/>
          <w:u w:val="none" w:color="000000"/>
          <w:lang w:val="en-US" w:eastAsia="zh-CN"/>
        </w:rPr>
        <w:t>3</w:t>
      </w:r>
      <w:r>
        <w:rPr>
          <w:rFonts w:hint="eastAsia" w:ascii="宋体" w:hAnsi="宋体" w:eastAsia="宋体" w:cs="宋体"/>
          <w:color w:val="auto"/>
          <w:kern w:val="0"/>
          <w:sz w:val="24"/>
          <w:szCs w:val="24"/>
          <w:highlight w:val="none"/>
          <w:u w:val="none" w:color="000000"/>
        </w:rPr>
        <w:t>名注册在供应商的二级（或以上）注册造价工程师。</w:t>
      </w:r>
    </w:p>
    <w:p w14:paraId="358110A3">
      <w:pPr>
        <w:spacing w:line="360" w:lineRule="auto"/>
        <w:ind w:firstLine="437"/>
        <w:outlineLvl w:val="1"/>
        <w:rPr>
          <w:rFonts w:hint="eastAsia" w:ascii="宋体" w:hAnsi="宋体" w:eastAsia="宋体" w:cs="宋体"/>
          <w:color w:val="auto"/>
          <w:kern w:val="0"/>
          <w:sz w:val="24"/>
          <w:szCs w:val="24"/>
          <w:highlight w:val="none"/>
          <w:u w:val="none" w:color="000000"/>
          <w:lang w:eastAsia="zh-CN"/>
        </w:rPr>
      </w:pPr>
      <w:r>
        <w:rPr>
          <w:rFonts w:hint="eastAsia" w:ascii="宋体" w:hAnsi="宋体" w:eastAsia="宋体" w:cs="宋体"/>
          <w:color w:val="auto"/>
          <w:kern w:val="0"/>
          <w:sz w:val="24"/>
          <w:szCs w:val="24"/>
          <w:highlight w:val="none"/>
          <w:u w:val="none" w:color="000000"/>
          <w:lang w:eastAsia="zh-CN"/>
        </w:rPr>
        <w:t>（</w:t>
      </w:r>
      <w:r>
        <w:rPr>
          <w:rFonts w:hint="eastAsia" w:ascii="宋体" w:hAnsi="宋体" w:eastAsia="宋体" w:cs="宋体"/>
          <w:color w:val="auto"/>
          <w:kern w:val="0"/>
          <w:sz w:val="24"/>
          <w:szCs w:val="24"/>
          <w:highlight w:val="none"/>
          <w:u w:val="none" w:color="000000"/>
          <w:lang w:val="en-US" w:eastAsia="zh-CN"/>
        </w:rPr>
        <w:t>二</w:t>
      </w:r>
      <w:r>
        <w:rPr>
          <w:rFonts w:hint="eastAsia" w:ascii="宋体" w:hAnsi="宋体" w:eastAsia="宋体" w:cs="宋体"/>
          <w:color w:val="auto"/>
          <w:kern w:val="0"/>
          <w:sz w:val="24"/>
          <w:szCs w:val="24"/>
          <w:highlight w:val="none"/>
          <w:u w:val="none" w:color="000000"/>
          <w:lang w:eastAsia="zh-CN"/>
        </w:rPr>
        <w:t>）工作内容</w:t>
      </w:r>
    </w:p>
    <w:p w14:paraId="60085992">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1.主要内容包括但不限于：</w:t>
      </w:r>
    </w:p>
    <w:p w14:paraId="5B3A748B">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（1）制定跟踪审计方案的实施细则，确定控制目标。</w:t>
      </w:r>
    </w:p>
    <w:p w14:paraId="3A3CD6B8">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（2）根据采购人要求负责本项目专项工程、设备采购等造价咨询服务。</w:t>
      </w:r>
    </w:p>
    <w:p w14:paraId="6A91F35D">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（3）根据采购人要求负责组织材料、设备的询价工作，出具询价成果文件。</w:t>
      </w:r>
    </w:p>
    <w:p w14:paraId="3B6F513F">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（4）对不同的方案进行价格测算比较，提交测算结果；对工程变更的价格进行测算，提交成果文件。</w:t>
      </w:r>
    </w:p>
    <w:p w14:paraId="194B9D89">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（5）审核工程进度款，掌握施工进度，负责对施工单位上报的已完工程量月报进行审核， 并提供当月进度款审核报告；按照采购人要求，对其它参建单位进度款审核。</w:t>
      </w:r>
    </w:p>
    <w:p w14:paraId="4837CB46">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6）负责工程经济签证单审核，审查工程施工过程中发生签证(含变更及隐蔽验收)记录的及时性、真实性、有效性、准确性、完整性。包括变更(签证)的实施及完成情况，审核送审资料是否齐全，工程量计算是否准确，组价是否合理，是否符合采购文件及合同的有关约定，并确认最终审核价格。现场发生变更签证时，及时做好记录工作。核算调减或取消项目的费用。</w:t>
      </w:r>
    </w:p>
    <w:p w14:paraId="04E62E61">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（7）如发生付款偏差，及时统计偏差原因，根据原因提交纠偏报告。</w:t>
      </w:r>
    </w:p>
    <w:p w14:paraId="7B8F9456">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（8）检查施工现场实物是否与招投标文件及合同要求一致，加强设备、材料价格控制，现场不符合招投标文件及合同要求时，及时上报采购人。</w:t>
      </w:r>
    </w:p>
    <w:p w14:paraId="6A446008">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（9）积极收集项目资料，并做好记录，为可能发生的索赔和反索赔做好准备。</w:t>
      </w:r>
    </w:p>
    <w:p w14:paraId="0A54ABF2">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（10）根据采购人的要求，协助采购人通过法律途径解决相关事宜。</w:t>
      </w:r>
    </w:p>
    <w:p w14:paraId="7091B380">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（11）参与图纸会审、监理例会、工程造价控制的有关会议，及时了解工程情况，提出合理化建议，协助采购人进行决策，并根据会议内容安排工作。</w:t>
      </w:r>
    </w:p>
    <w:p w14:paraId="61489EE2">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（12）负责审核施工单位提交的结算，提供完整结算审核报告。</w:t>
      </w:r>
    </w:p>
    <w:p w14:paraId="49C41F25">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（13）服从采购人安排的相关工作。</w:t>
      </w:r>
    </w:p>
    <w:p w14:paraId="78427384">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2.具体工作包括但不限于：</w:t>
      </w:r>
    </w:p>
    <w:p w14:paraId="262C8D51">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（1）工程开工阶段的审计</w:t>
      </w:r>
    </w:p>
    <w:p w14:paraId="1AA0F2DB">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1)根据采购人需要，依据施工单位提供的施工计划，编制相关用款计划。</w:t>
      </w:r>
    </w:p>
    <w:p w14:paraId="5F5623E3">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2)根据采购人需要，对施工单位的投标报价进行合理化分析，对异常报价及时预警，并出具审核文件。</w:t>
      </w:r>
    </w:p>
    <w:p w14:paraId="7F0AC3D2">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（2）工程施工阶段的审计</w:t>
      </w:r>
    </w:p>
    <w:p w14:paraId="32D9F0C2">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1)施工合同内容的审计。主要包括对建设工程的合同审计。主要审核材料设备价款调整、暂估价约定、计价计量规则条款、结算条款等内容表述是否合规、合理、准确、完整。</w:t>
      </w:r>
    </w:p>
    <w:p w14:paraId="6F05B262">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2)工程变更的造价咨询。工程变更前对相关费用进行测算，并提供相应的资料。</w:t>
      </w:r>
    </w:p>
    <w:p w14:paraId="0C33C474">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3)工程进度款的审计。施工单位按月报送工程进度报表，跟踪审计单位签署意见后，提交采购人进行审签。跟踪审计单位根据工程进度，审核实物工程量及工程进度款，所报进度是否与实际工程进度及实物工程量相符，计量计价方式及支付 办法是否与合同约定相符，是否存在重复申报或将采购人直接采购的材料、设备虚报的现象。</w:t>
      </w:r>
    </w:p>
    <w:p w14:paraId="57D0D052">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4)工程变更的审计。跟踪审计单位参与图纸会审、设计变更的论证会议。审核变更内容是否符合实际，是否由主张变更的单位或部门以书面报告形式提出，是否经过可行性论证等。重大设计变更，尤其是可能引起工程造价超出工程投资总额控制目标的设计变更，必须事先论证，明确造价变化出具的单位，跟踪审计单位进行费用测算，按审批程序报批。在考虑成本效益的基础上，跟踪审计单位对设计变更进行审核、测算，并出具相关审计意见。</w:t>
      </w:r>
    </w:p>
    <w:p w14:paraId="50ABDBD3">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5)工程签证的审计。跟踪审计单位参与工程现场签证和隐蔽工程签证等工作。对变更签证，跟踪审计单位主要审核是否符合变更签证的管理程序和批准权限，签证内容是否与实际发生相符，计量计价方式是否与合同有关条款约定相符，能否作为结算依据等及时做好事件发生、发展、终结等相关记录，必要时现场拍照，收集相关的证据资料，最终出具审核意见。</w:t>
      </w:r>
    </w:p>
    <w:p w14:paraId="0FE50655">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对工程造价有影响的隐蔽工程签证，跟踪审计单位人员应及时到场记录，若施工方自行处理，工程结算审计时不予认可。</w:t>
      </w:r>
    </w:p>
    <w:p w14:paraId="029FF169">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6)材料设备价格的审计。对于非招标确定的认质认价材料设备，根据采购人的书面要求，按照采购人确定的品牌、规格，提供价格方面的咨询意见。</w:t>
      </w:r>
    </w:p>
    <w:p w14:paraId="7D7CA04D">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（3）隐蔽工程及工程验收的审计</w:t>
      </w:r>
    </w:p>
    <w:p w14:paraId="4662B36C">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1)在隐蔽工程完工前，采购人会同跟踪审计单位一并参加隐蔽工程的检查验收。隐蔽工程主要包括但不限于预埋工程、钢筋工程、土方工程、地基及基础工程、安装管线工程等投资范围内的工程。现场核查隐蔽工程做法，材料是否与图纸、设计变更、施工规范、图集等相符。跟踪审计人员须做好跟踪审计的书面记录、照相、摄相、电子文档，保留证据。对于结算时容易产生分歧的隐蔽工程，如土方工程、拆除工程等，应重点跟踪。</w:t>
      </w:r>
    </w:p>
    <w:p w14:paraId="0E9FE124">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2)工程验收：参与现场核查基础、开挖尺寸、土质类别、边坡系数、排水方式、土方运输方式及运距等涉及造价变化的验收资料的完整性及真实性、参与现场核查构配件的制作方式、材质及实际做法、涉及工程造价变化的验收资料及索赔资料的完整性及真实性、参与核查变更、材料认证及有关索赔的书面证明材料等。</w:t>
      </w:r>
    </w:p>
    <w:p w14:paraId="10CA501D">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（4）索赔费用的审计。</w:t>
      </w:r>
    </w:p>
    <w:p w14:paraId="2C7537D6">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在施工过程中，跟踪审计单位对可能引起索赔的因素重点跟踪，并及时提供相关审计咨询建议，以力求避免索赔事件的发生。对已经发生的索赔事件，根据合同的约定，即时做好事件发生、发展、终结等相关记录，必要时现场拍照，收集相关证据；在规定的时间内与采购人一起及时处理索赔事件。在施工过程中，对由于施工单位的过错而引起的质量缺陷、工期延误、费用增加造成损失的，积极协助采购人及时提出反索赔。必要时配合</w:t>
      </w:r>
      <w:r>
        <w:rPr>
          <w:rFonts w:hint="eastAsia" w:ascii="宋体" w:hAnsi="宋体" w:eastAsia="宋体" w:cs="宋体"/>
          <w:color w:val="auto"/>
          <w:kern w:val="0"/>
          <w:sz w:val="24"/>
          <w:szCs w:val="24"/>
          <w:highlight w:val="none"/>
          <w:u w:val="none" w:color="000000"/>
          <w:lang w:val="en-US" w:eastAsia="zh-CN"/>
        </w:rPr>
        <w:t>采购</w:t>
      </w:r>
      <w:r>
        <w:rPr>
          <w:rFonts w:hint="eastAsia" w:ascii="宋体" w:hAnsi="宋体" w:eastAsia="宋体" w:cs="宋体"/>
          <w:color w:val="auto"/>
          <w:kern w:val="0"/>
          <w:sz w:val="24"/>
          <w:szCs w:val="24"/>
          <w:highlight w:val="none"/>
          <w:u w:val="none" w:color="000000"/>
        </w:rPr>
        <w:t>人通过法律途径解决相关事宜。</w:t>
      </w:r>
    </w:p>
    <w:p w14:paraId="144EEB0B">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（5）完工结算阶段的审计</w:t>
      </w:r>
    </w:p>
    <w:p w14:paraId="3CFADCC5">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初步审核建设工程完工结算资料的完整性、真实性、有效性；现场勘查，检查实际施工是否与报审结算资料相符；审核工程结算，包括审核工程量、取费、清单项目、综合单价等，出具审计意见书及最终审定工程结算报告。</w:t>
      </w:r>
    </w:p>
    <w:p w14:paraId="2F56F35A">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（6）竣工决算阶段的审计</w:t>
      </w:r>
    </w:p>
    <w:p w14:paraId="004033D0">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根据</w:t>
      </w:r>
      <w:r>
        <w:rPr>
          <w:rFonts w:hint="eastAsia" w:ascii="宋体" w:hAnsi="宋体" w:eastAsia="宋体" w:cs="宋体"/>
          <w:color w:val="auto"/>
          <w:kern w:val="0"/>
          <w:sz w:val="24"/>
          <w:szCs w:val="24"/>
          <w:highlight w:val="none"/>
          <w:u w:val="none" w:color="000000"/>
          <w:lang w:val="en-US" w:eastAsia="zh-CN"/>
        </w:rPr>
        <w:t>采购</w:t>
      </w:r>
      <w:r>
        <w:rPr>
          <w:rFonts w:hint="eastAsia" w:ascii="宋体" w:hAnsi="宋体" w:eastAsia="宋体" w:cs="宋体"/>
          <w:color w:val="auto"/>
          <w:kern w:val="0"/>
          <w:sz w:val="24"/>
          <w:szCs w:val="24"/>
          <w:highlight w:val="none"/>
          <w:u w:val="none" w:color="000000"/>
        </w:rPr>
        <w:t>人的要求，配合完成竣工决算的相关工作。</w:t>
      </w:r>
    </w:p>
    <w:p w14:paraId="37F06BF4">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3.廉政要求</w:t>
      </w:r>
    </w:p>
    <w:p w14:paraId="196D906C">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（1）审计人员应认真学习并严格执行有关规定和文件。</w:t>
      </w:r>
    </w:p>
    <w:p w14:paraId="43CFFD5B">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（2）不得要求施工单位派车接送。</w:t>
      </w:r>
    </w:p>
    <w:p w14:paraId="20676111">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（3）不得接受审计项目施工单位请吃、礼金、有价证券等，中午用餐原则上自行解决，如有困难，听从项目建设单位工程管理人员安排。</w:t>
      </w:r>
    </w:p>
    <w:p w14:paraId="1B03D85F">
      <w:pPr>
        <w:spacing w:line="360" w:lineRule="auto"/>
        <w:ind w:firstLine="437"/>
        <w:outlineLvl w:val="1"/>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（4）不得与施工单位就审计事项私自接触，一切与工程项目有关的活动均需通过项目建设单位。</w:t>
      </w:r>
    </w:p>
    <w:p w14:paraId="5264B85E">
      <w:pPr>
        <w:spacing w:line="360" w:lineRule="auto"/>
        <w:ind w:firstLine="437"/>
        <w:outlineLvl w:val="1"/>
        <w:rPr>
          <w:rFonts w:hint="eastAsia" w:ascii="宋体" w:hAnsi="宋体" w:eastAsia="宋体" w:cs="宋体"/>
          <w:color w:val="auto"/>
          <w:kern w:val="0"/>
          <w:sz w:val="24"/>
          <w:szCs w:val="24"/>
          <w:highlight w:val="none"/>
          <w:u w:val="none" w:color="000000"/>
          <w:lang w:eastAsia="zh-CN"/>
        </w:rPr>
      </w:pPr>
      <w:r>
        <w:rPr>
          <w:rFonts w:hint="eastAsia" w:ascii="宋体" w:hAnsi="宋体" w:eastAsia="宋体" w:cs="宋体"/>
          <w:color w:val="auto"/>
          <w:kern w:val="0"/>
          <w:sz w:val="24"/>
          <w:szCs w:val="24"/>
          <w:highlight w:val="none"/>
          <w:u w:val="none" w:color="000000"/>
        </w:rPr>
        <w:t>（5）不得以中介机构名义向施工单位开展业务。</w:t>
      </w:r>
    </w:p>
    <w:p w14:paraId="726F0CB9">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lang w:val="en-US" w:eastAsia="zh-CN"/>
        </w:rPr>
        <w:t>四</w:t>
      </w:r>
      <w:r>
        <w:rPr>
          <w:rFonts w:hint="eastAsia" w:ascii="宋体" w:hAnsi="宋体" w:eastAsia="宋体"/>
          <w:b/>
          <w:color w:val="auto"/>
          <w:sz w:val="24"/>
          <w:szCs w:val="18"/>
          <w:highlight w:val="none"/>
        </w:rPr>
        <w:t>、报价要求</w:t>
      </w:r>
      <w:bookmarkEnd w:id="24"/>
      <w:bookmarkEnd w:id="25"/>
    </w:p>
    <w:bookmarkEnd w:id="19"/>
    <w:p w14:paraId="659A72F9">
      <w:pPr>
        <w:keepNext w:val="0"/>
        <w:keepLines w:val="0"/>
        <w:pageBreakBefore w:val="0"/>
        <w:widowControl/>
        <w:kinsoku/>
        <w:overflowPunct/>
        <w:topLinePunct w:val="0"/>
        <w:autoSpaceDE/>
        <w:autoSpaceDN/>
        <w:bidi w:val="0"/>
        <w:adjustRightInd/>
        <w:snapToGrid w:val="0"/>
        <w:spacing w:line="400" w:lineRule="exact"/>
        <w:ind w:firstLine="480" w:firstLineChars="200"/>
        <w:textAlignment w:val="baseline"/>
        <w:rPr>
          <w:rFonts w:hint="eastAsia" w:ascii="宋体" w:hAnsi="宋体" w:eastAsia="宋体" w:cs="宋体"/>
          <w:color w:val="auto"/>
          <w:kern w:val="0"/>
          <w:sz w:val="24"/>
          <w:szCs w:val="24"/>
          <w:highlight w:val="none"/>
          <w:u w:val="none" w:color="000000"/>
          <w:lang w:val="en-US" w:eastAsia="zh-CN"/>
        </w:rPr>
      </w:pPr>
      <w:r>
        <w:rPr>
          <w:rFonts w:hint="eastAsia" w:ascii="宋体" w:hAnsi="宋体" w:eastAsia="宋体" w:cs="宋体"/>
          <w:color w:val="auto"/>
          <w:kern w:val="0"/>
          <w:sz w:val="24"/>
          <w:szCs w:val="24"/>
          <w:highlight w:val="none"/>
          <w:u w:val="none" w:color="000000"/>
          <w:lang w:val="en-US" w:eastAsia="zh-CN"/>
        </w:rPr>
        <w:t>1.最高限价（费率）：基本费率1.0‰、审核成果费率1.5%（审核成果费率固定不变），投标报价（费率）高于最高限价（费率）的，其投标文件按无效标处理；</w:t>
      </w:r>
    </w:p>
    <w:p w14:paraId="7041D933">
      <w:pPr>
        <w:keepNext w:val="0"/>
        <w:keepLines w:val="0"/>
        <w:pageBreakBefore w:val="0"/>
        <w:widowControl/>
        <w:kinsoku/>
        <w:overflowPunct/>
        <w:topLinePunct w:val="0"/>
        <w:autoSpaceDE/>
        <w:autoSpaceDN/>
        <w:bidi w:val="0"/>
        <w:adjustRightInd/>
        <w:snapToGrid w:val="0"/>
        <w:spacing w:line="400" w:lineRule="exact"/>
        <w:ind w:firstLine="480" w:firstLineChars="200"/>
        <w:textAlignment w:val="baseline"/>
        <w:rPr>
          <w:rFonts w:hint="default" w:ascii="宋体" w:hAnsi="宋体" w:eastAsia="宋体" w:cs="宋体"/>
          <w:color w:val="auto"/>
          <w:kern w:val="0"/>
          <w:sz w:val="24"/>
          <w:szCs w:val="24"/>
          <w:highlight w:val="none"/>
          <w:u w:val="none" w:color="000000"/>
          <w:lang w:val="en-US" w:eastAsia="zh-CN"/>
        </w:rPr>
      </w:pPr>
      <w:r>
        <w:rPr>
          <w:rFonts w:hint="eastAsia" w:ascii="宋体" w:hAnsi="宋体" w:eastAsia="宋体" w:cs="宋体"/>
          <w:color w:val="auto"/>
          <w:kern w:val="0"/>
          <w:sz w:val="24"/>
          <w:szCs w:val="24"/>
          <w:highlight w:val="none"/>
          <w:u w:val="none" w:color="000000"/>
          <w:lang w:val="en-US" w:eastAsia="zh-CN"/>
        </w:rPr>
        <w:t>2.报价费率小数点后最多保留两位小数，如填报多位小数的，按小数点后第3位四舍五入修正投标报价费率（如：某投标报价费率为0.956‰，则修正为0.96‰；某投标报价费率为0.784‰，则修正为0.78‰）。报价不得为0或负数，否则，其投标文件按无效标处理。</w:t>
      </w:r>
    </w:p>
    <w:p w14:paraId="3C43E353">
      <w:pPr>
        <w:keepNext w:val="0"/>
        <w:keepLines w:val="0"/>
        <w:pageBreakBefore w:val="0"/>
        <w:widowControl/>
        <w:kinsoku/>
        <w:overflowPunct/>
        <w:topLinePunct w:val="0"/>
        <w:autoSpaceDE/>
        <w:autoSpaceDN/>
        <w:bidi w:val="0"/>
        <w:adjustRightInd/>
        <w:snapToGrid w:val="0"/>
        <w:spacing w:line="400" w:lineRule="exact"/>
        <w:ind w:firstLine="480" w:firstLineChars="200"/>
        <w:textAlignment w:val="baseline"/>
        <w:rPr>
          <w:rFonts w:hint="default" w:ascii="宋体" w:hAnsi="宋体" w:eastAsia="宋体" w:cs="宋体"/>
          <w:color w:val="auto"/>
          <w:kern w:val="0"/>
          <w:sz w:val="24"/>
          <w:szCs w:val="24"/>
          <w:highlight w:val="none"/>
          <w:u w:val="none" w:color="000000"/>
          <w:lang w:val="en-US" w:eastAsia="zh-CN"/>
        </w:rPr>
      </w:pPr>
      <w:bookmarkStart w:id="26" w:name="_Toc8283"/>
      <w:bookmarkStart w:id="27" w:name="_Toc18794"/>
      <w:r>
        <w:rPr>
          <w:rFonts w:hint="eastAsia" w:ascii="宋体" w:hAnsi="宋体" w:eastAsia="宋体" w:cs="宋体"/>
          <w:color w:val="auto"/>
          <w:kern w:val="0"/>
          <w:sz w:val="24"/>
          <w:szCs w:val="24"/>
          <w:highlight w:val="none"/>
          <w:u w:val="none" w:color="000000"/>
          <w:lang w:val="en-US" w:eastAsia="zh-CN"/>
        </w:rPr>
        <w:t>3.本项目基本费用以项目审定工程造价为计费基础，审核成果费用以项目审减额为计费基础,跟踪审计费用计算方式为:基本费用(项目审定工程造价×中标基本费率)+审核成果费用(项目审减额×审核成果固定费率1.5%)。中标费率不予调整，无论任何原因导致的工期延长，委托人均不再增加服务费用，采购人不再另行支付其他任何费用。</w:t>
      </w:r>
      <w:r>
        <w:rPr>
          <w:rFonts w:hint="eastAsia" w:ascii="宋体" w:hAnsi="宋体" w:eastAsia="宋体" w:cs="宋体"/>
          <w:b/>
          <w:bCs/>
          <w:color w:val="auto"/>
          <w:kern w:val="0"/>
          <w:sz w:val="24"/>
          <w:szCs w:val="24"/>
          <w:highlight w:val="none"/>
          <w:u w:val="none" w:color="000000"/>
          <w:lang w:val="en-US" w:eastAsia="zh-CN"/>
        </w:rPr>
        <w:t>从各方收取的审计总费用累计不得超过160万元，最终结算跟踪审计费用超过160万元的，按160万元结算。</w:t>
      </w:r>
    </w:p>
    <w:p w14:paraId="3A448652">
      <w:pPr>
        <w:keepNext w:val="0"/>
        <w:keepLines w:val="0"/>
        <w:pageBreakBefore w:val="0"/>
        <w:widowControl/>
        <w:kinsoku/>
        <w:overflowPunct/>
        <w:topLinePunct w:val="0"/>
        <w:autoSpaceDE/>
        <w:autoSpaceDN/>
        <w:bidi w:val="0"/>
        <w:adjustRightInd/>
        <w:snapToGrid w:val="0"/>
        <w:spacing w:line="400" w:lineRule="exact"/>
        <w:ind w:firstLine="480" w:firstLineChars="200"/>
        <w:textAlignment w:val="baseline"/>
        <w:rPr>
          <w:rFonts w:hint="default" w:ascii="宋体" w:hAnsi="宋体" w:eastAsia="宋体" w:cs="宋体"/>
          <w:color w:val="auto"/>
          <w:kern w:val="0"/>
          <w:sz w:val="24"/>
          <w:szCs w:val="24"/>
          <w:highlight w:val="none"/>
          <w:u w:val="none" w:color="000000"/>
          <w:lang w:val="en-US" w:eastAsia="zh-CN"/>
        </w:rPr>
      </w:pPr>
      <w:r>
        <w:rPr>
          <w:rFonts w:hint="eastAsia" w:ascii="宋体" w:hAnsi="宋体" w:eastAsia="宋体" w:cs="宋体"/>
          <w:color w:val="auto"/>
          <w:kern w:val="0"/>
          <w:sz w:val="24"/>
          <w:szCs w:val="24"/>
          <w:highlight w:val="none"/>
          <w:u w:val="none" w:color="000000"/>
          <w:lang w:val="en-US" w:eastAsia="zh-CN"/>
        </w:rPr>
        <w:t>4.供应商的报价包括按合同规定的范围所提供的全部服务所需的费用，即工作范围内人员工资、审计、劳务、设备、交通、办公、会议、检查、管理费、保险、成本、利润及税金等完成本项目所有工作所产生的全部费用。采购人不再另行支付其他费用，供应商自行综合考虑报价。</w:t>
      </w:r>
    </w:p>
    <w:p w14:paraId="5703CC43">
      <w:pPr>
        <w:keepNext w:val="0"/>
        <w:keepLines w:val="0"/>
        <w:pageBreakBefore w:val="0"/>
        <w:kinsoku/>
        <w:overflowPunct/>
        <w:topLinePunct w:val="0"/>
        <w:autoSpaceDE/>
        <w:autoSpaceDN/>
        <w:bidi w:val="0"/>
        <w:adjustRightInd/>
        <w:spacing w:line="400" w:lineRule="exact"/>
        <w:ind w:firstLine="437"/>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五、其他要求</w:t>
      </w:r>
      <w:bookmarkEnd w:id="26"/>
      <w:bookmarkEnd w:id="27"/>
    </w:p>
    <w:p w14:paraId="21D9CDC5">
      <w:pPr>
        <w:spacing w:line="360" w:lineRule="auto"/>
        <w:ind w:firstLine="480" w:firstLineChars="200"/>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1.乙方未按要求完成跟踪审计工作并移交相关资料，甲方有权拒付审计服务费用，并按照《政府投资项目跟踪审计协审机构跟踪审计工作考核办法》的有关规定追究项目审计机构相关责任。</w:t>
      </w:r>
    </w:p>
    <w:p w14:paraId="2DB36B64">
      <w:pPr>
        <w:spacing w:line="360" w:lineRule="auto"/>
        <w:ind w:firstLine="480" w:firstLineChars="200"/>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2.</w:t>
      </w:r>
      <w:r>
        <w:rPr>
          <w:rFonts w:hint="eastAsia" w:ascii="宋体" w:hAnsi="宋体" w:eastAsia="宋体" w:cs="宋体"/>
          <w:color w:val="auto"/>
          <w:kern w:val="0"/>
          <w:sz w:val="24"/>
          <w:szCs w:val="24"/>
          <w:highlight w:val="none"/>
          <w:u w:val="none" w:color="000000"/>
          <w:lang w:val="en-US" w:eastAsia="zh-CN"/>
        </w:rPr>
        <w:t>本项目</w:t>
      </w:r>
      <w:r>
        <w:rPr>
          <w:rFonts w:hint="eastAsia" w:ascii="宋体" w:hAnsi="宋体" w:eastAsia="宋体" w:cs="宋体"/>
          <w:color w:val="auto"/>
          <w:kern w:val="0"/>
          <w:sz w:val="24"/>
          <w:szCs w:val="24"/>
          <w:highlight w:val="none"/>
          <w:u w:val="none" w:color="000000"/>
        </w:rPr>
        <w:t>审核成果费计算结果应经</w:t>
      </w:r>
      <w:r>
        <w:rPr>
          <w:rFonts w:hint="eastAsia" w:ascii="宋体" w:hAnsi="宋体" w:eastAsia="宋体" w:cs="宋体"/>
          <w:color w:val="auto"/>
          <w:kern w:val="0"/>
          <w:sz w:val="24"/>
          <w:szCs w:val="24"/>
          <w:highlight w:val="none"/>
          <w:u w:val="none" w:color="000000"/>
          <w:lang w:val="en-US" w:eastAsia="zh-CN"/>
        </w:rPr>
        <w:t>采购</w:t>
      </w:r>
      <w:r>
        <w:rPr>
          <w:rFonts w:hint="eastAsia" w:ascii="宋体" w:hAnsi="宋体" w:eastAsia="宋体" w:cs="宋体"/>
          <w:color w:val="auto"/>
          <w:kern w:val="0"/>
          <w:sz w:val="24"/>
          <w:szCs w:val="24"/>
          <w:highlight w:val="none"/>
          <w:u w:val="none" w:color="000000"/>
        </w:rPr>
        <w:t>人认可</w:t>
      </w:r>
      <w:r>
        <w:rPr>
          <w:rFonts w:hint="eastAsia" w:ascii="宋体" w:hAnsi="宋体" w:eastAsia="宋体" w:cs="宋体"/>
          <w:color w:val="auto"/>
          <w:kern w:val="0"/>
          <w:sz w:val="24"/>
          <w:szCs w:val="24"/>
          <w:highlight w:val="none"/>
          <w:u w:val="none" w:color="000000"/>
          <w:lang w:eastAsia="zh-CN"/>
        </w:rPr>
        <w:t>，</w:t>
      </w:r>
      <w:r>
        <w:rPr>
          <w:rFonts w:hint="eastAsia" w:ascii="宋体" w:hAnsi="宋体" w:eastAsia="宋体" w:cs="宋体"/>
          <w:color w:val="auto"/>
          <w:kern w:val="0"/>
          <w:sz w:val="24"/>
          <w:szCs w:val="24"/>
          <w:highlight w:val="none"/>
          <w:u w:val="none" w:color="000000"/>
          <w:lang w:val="en-US" w:eastAsia="zh-CN"/>
        </w:rPr>
        <w:t>采购人承担基本审计费，核减额产生的审核成果费全部由承包单位支付</w:t>
      </w:r>
      <w:r>
        <w:rPr>
          <w:rFonts w:hint="eastAsia" w:ascii="宋体" w:hAnsi="宋体" w:eastAsia="宋体" w:cs="宋体"/>
          <w:color w:val="auto"/>
          <w:kern w:val="0"/>
          <w:sz w:val="24"/>
          <w:szCs w:val="24"/>
          <w:highlight w:val="none"/>
          <w:u w:val="none" w:color="000000"/>
        </w:rPr>
        <w:t>。</w:t>
      </w:r>
    </w:p>
    <w:p w14:paraId="15563D04">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eastAsia="宋体" w:cs="宋体"/>
          <w:color w:val="auto"/>
          <w:kern w:val="0"/>
          <w:sz w:val="24"/>
          <w:szCs w:val="24"/>
          <w:highlight w:val="none"/>
          <w:u w:val="none" w:color="000000"/>
          <w:lang w:val="en-US" w:eastAsia="zh-CN"/>
        </w:rPr>
        <w:t>3.</w:t>
      </w:r>
      <w:r>
        <w:rPr>
          <w:rFonts w:hint="eastAsia" w:ascii="宋体" w:hAnsi="宋体" w:eastAsia="宋体" w:cs="宋体"/>
          <w:color w:val="auto"/>
          <w:kern w:val="0"/>
          <w:sz w:val="24"/>
          <w:szCs w:val="24"/>
          <w:highlight w:val="none"/>
          <w:u w:val="none" w:color="000000"/>
        </w:rPr>
        <w:t>原则上中期计量计价等造价成果经监理审核后14日内出具审核成果文件；完工结算应在接到采购人启动该项工作通知之日起，3日内一次性告知相关单位并出具所需资料清单，10日内出具资料完整性审核意见，28日内就所提供的资料开展结算审核编制工作，结算审核编制工作正式开展后28日内提交正式成果文件。以上所述工作周期采购人有权根据实际情况进行调整，具体以</w:t>
      </w:r>
      <w:r>
        <w:rPr>
          <w:rFonts w:hint="eastAsia" w:ascii="宋体" w:hAnsi="宋体" w:eastAsia="宋体" w:cs="宋体"/>
          <w:color w:val="auto"/>
          <w:kern w:val="0"/>
          <w:sz w:val="24"/>
          <w:szCs w:val="24"/>
          <w:highlight w:val="none"/>
          <w:u w:val="none" w:color="000000"/>
          <w:lang w:val="en-US" w:eastAsia="zh-CN"/>
        </w:rPr>
        <w:t>采购</w:t>
      </w:r>
      <w:r>
        <w:rPr>
          <w:rFonts w:hint="eastAsia" w:ascii="宋体" w:hAnsi="宋体" w:eastAsia="宋体" w:cs="宋体"/>
          <w:color w:val="auto"/>
          <w:kern w:val="0"/>
          <w:sz w:val="24"/>
          <w:szCs w:val="24"/>
          <w:highlight w:val="none"/>
          <w:u w:val="none" w:color="000000"/>
        </w:rPr>
        <w:t>人指示为准。</w:t>
      </w:r>
      <w:r>
        <w:rPr>
          <w:rFonts w:hint="eastAsia" w:ascii="宋体" w:hAnsi="宋体" w:eastAsia="宋体" w:cs="宋体"/>
          <w:color w:val="FF0000"/>
          <w:kern w:val="0"/>
          <w:sz w:val="24"/>
          <w:szCs w:val="24"/>
          <w:highlight w:val="none"/>
          <w:u w:val="none" w:color="000000"/>
        </w:rPr>
        <w:br w:type="page"/>
      </w:r>
    </w:p>
    <w:p w14:paraId="7686852F">
      <w:pPr>
        <w:spacing w:line="360" w:lineRule="auto"/>
        <w:jc w:val="center"/>
        <w:outlineLvl w:val="0"/>
        <w:rPr>
          <w:rFonts w:asciiTheme="minorEastAsia" w:hAnsiTheme="minorEastAsia" w:eastAsiaTheme="minorEastAsia"/>
          <w:b/>
          <w:color w:val="auto"/>
          <w:sz w:val="28"/>
          <w:highlight w:val="none"/>
        </w:rPr>
      </w:pPr>
      <w:bookmarkStart w:id="28" w:name="_Toc17554"/>
      <w:bookmarkStart w:id="29" w:name="_Toc8668"/>
      <w:r>
        <w:rPr>
          <w:rFonts w:hint="eastAsia" w:asciiTheme="minorEastAsia" w:hAnsiTheme="minorEastAsia" w:eastAsiaTheme="minorEastAsia"/>
          <w:b/>
          <w:color w:val="auto"/>
          <w:sz w:val="28"/>
          <w:highlight w:val="none"/>
        </w:rPr>
        <w:t>第四章  评审方法和标准</w:t>
      </w:r>
      <w:bookmarkEnd w:id="28"/>
      <w:bookmarkEnd w:id="29"/>
    </w:p>
    <w:p w14:paraId="0230286B">
      <w:pPr>
        <w:spacing w:line="360" w:lineRule="auto"/>
        <w:ind w:firstLine="437"/>
        <w:outlineLvl w:val="1"/>
        <w:rPr>
          <w:rFonts w:asciiTheme="minorEastAsia" w:hAnsiTheme="minorEastAsia" w:eastAsiaTheme="minorEastAsia"/>
          <w:b/>
          <w:color w:val="auto"/>
          <w:sz w:val="24"/>
          <w:highlight w:val="none"/>
        </w:rPr>
      </w:pPr>
      <w:bookmarkStart w:id="30" w:name="_Toc12199"/>
      <w:bookmarkStart w:id="31" w:name="_Toc21211"/>
      <w:r>
        <w:rPr>
          <w:rFonts w:hint="eastAsia" w:asciiTheme="minorEastAsia" w:hAnsiTheme="minorEastAsia" w:eastAsiaTheme="minorEastAsia"/>
          <w:b/>
          <w:color w:val="auto"/>
          <w:sz w:val="24"/>
          <w:highlight w:val="none"/>
        </w:rPr>
        <w:t>一、总则</w:t>
      </w:r>
      <w:bookmarkEnd w:id="30"/>
      <w:bookmarkEnd w:id="31"/>
    </w:p>
    <w:p w14:paraId="03A108A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本项目将按照磋商文件第二章 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21A8A375">
      <w:pPr>
        <w:spacing w:line="360" w:lineRule="auto"/>
        <w:ind w:firstLine="437"/>
        <w:outlineLvl w:val="1"/>
        <w:rPr>
          <w:rFonts w:asciiTheme="minorEastAsia" w:hAnsiTheme="minorEastAsia" w:eastAsiaTheme="minorEastAsia"/>
          <w:b/>
          <w:color w:val="auto"/>
          <w:sz w:val="24"/>
          <w:highlight w:val="none"/>
        </w:rPr>
      </w:pPr>
      <w:bookmarkStart w:id="32" w:name="_Toc13039"/>
      <w:bookmarkStart w:id="33" w:name="_Toc16885"/>
      <w:r>
        <w:rPr>
          <w:rFonts w:hint="eastAsia" w:asciiTheme="minorEastAsia" w:hAnsiTheme="minorEastAsia" w:eastAsiaTheme="minorEastAsia"/>
          <w:b/>
          <w:color w:val="auto"/>
          <w:sz w:val="24"/>
          <w:highlight w:val="none"/>
        </w:rPr>
        <w:t>二、评审方法</w:t>
      </w:r>
      <w:bookmarkEnd w:id="32"/>
      <w:bookmarkEnd w:id="33"/>
    </w:p>
    <w:p w14:paraId="5A7B5BFF">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2.1初审</w:t>
      </w:r>
    </w:p>
    <w:p w14:paraId="1BC9593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磋商小组对供应商的响应文件进行初审，以确定其是否满足磋商文件的实质性要求。初审表如下：</w:t>
      </w:r>
    </w:p>
    <w:tbl>
      <w:tblPr>
        <w:tblStyle w:val="2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651"/>
        <w:gridCol w:w="4556"/>
        <w:gridCol w:w="1920"/>
      </w:tblGrid>
      <w:tr w14:paraId="7D2E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025ABD7">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lang w:val="en-US" w:eastAsia="zh-CN"/>
              </w:rPr>
              <w:t>初审</w:t>
            </w:r>
            <w:r>
              <w:rPr>
                <w:rFonts w:hint="eastAsia" w:ascii="宋体" w:hAnsi="宋体" w:eastAsia="宋体"/>
                <w:b/>
                <w:color w:val="auto"/>
                <w:sz w:val="24"/>
                <w:szCs w:val="22"/>
                <w:highlight w:val="none"/>
              </w:rPr>
              <w:t>表</w:t>
            </w:r>
          </w:p>
        </w:tc>
      </w:tr>
      <w:tr w14:paraId="2D55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tcBorders>
              <w:bottom w:val="single" w:color="auto" w:sz="4" w:space="0"/>
            </w:tcBorders>
            <w:vAlign w:val="center"/>
          </w:tcPr>
          <w:p w14:paraId="32FDCDE2">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2" w:type="pct"/>
            <w:tcBorders>
              <w:bottom w:val="single" w:color="auto" w:sz="4" w:space="0"/>
            </w:tcBorders>
            <w:vAlign w:val="center"/>
          </w:tcPr>
          <w:p w14:paraId="76BF8148">
            <w:pPr>
              <w:pStyle w:val="45"/>
              <w:pBdr>
                <w:bottom w:val="none" w:color="auto" w:sz="0" w:space="0"/>
              </w:pBdr>
              <w:tabs>
                <w:tab w:val="clear" w:pos="4153"/>
                <w:tab w:val="clear" w:pos="8306"/>
              </w:tabs>
              <w:snapToGrid w:val="0"/>
              <w:spacing w:line="360" w:lineRule="auto"/>
              <w:ind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审查指标</w:t>
            </w:r>
          </w:p>
        </w:tc>
        <w:tc>
          <w:tcPr>
            <w:tcW w:w="2600" w:type="pct"/>
            <w:tcBorders>
              <w:bottom w:val="single" w:color="auto" w:sz="4" w:space="0"/>
            </w:tcBorders>
            <w:vAlign w:val="center"/>
          </w:tcPr>
          <w:p w14:paraId="3967CB8D">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审查标准</w:t>
            </w:r>
          </w:p>
        </w:tc>
        <w:tc>
          <w:tcPr>
            <w:tcW w:w="1095" w:type="pct"/>
            <w:tcBorders>
              <w:bottom w:val="single" w:color="auto" w:sz="4" w:space="0"/>
            </w:tcBorders>
            <w:vAlign w:val="center"/>
          </w:tcPr>
          <w:p w14:paraId="4D2DD44A">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4F7F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62" w:type="pct"/>
            <w:tcBorders>
              <w:bottom w:val="single" w:color="auto" w:sz="4" w:space="0"/>
            </w:tcBorders>
            <w:vAlign w:val="center"/>
          </w:tcPr>
          <w:p w14:paraId="160D9948">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2" w:type="pct"/>
            <w:tcBorders>
              <w:bottom w:val="single" w:color="auto" w:sz="4" w:space="0"/>
            </w:tcBorders>
            <w:vAlign w:val="center"/>
          </w:tcPr>
          <w:p w14:paraId="2795654F">
            <w:pPr>
              <w:spacing w:after="50" w:line="360" w:lineRule="auto"/>
              <w:ind w:right="-10" w:rightChars="0"/>
              <w:jc w:val="center"/>
              <w:rPr>
                <w:rFonts w:ascii="宋体" w:hAnsi="宋体" w:eastAsia="宋体" w:cs="宋体"/>
                <w:color w:val="auto"/>
                <w:spacing w:val="-3"/>
                <w:sz w:val="24"/>
                <w:szCs w:val="24"/>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p w14:paraId="1D0AD893">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hint="eastAsia" w:ascii="宋体" w:hAnsi="宋体" w:eastAsia="宋体" w:cs="宋体"/>
                <w:b/>
                <w:bCs/>
                <w:i/>
                <w:iCs/>
                <w:color w:val="auto"/>
                <w:spacing w:val="-3"/>
                <w:sz w:val="24"/>
                <w:szCs w:val="24"/>
                <w:highlight w:val="none"/>
              </w:rPr>
              <w:t>（联合体参与的，联合体双方均须提供）</w:t>
            </w:r>
          </w:p>
        </w:tc>
        <w:tc>
          <w:tcPr>
            <w:tcW w:w="2600" w:type="pct"/>
            <w:tcBorders>
              <w:bottom w:val="single" w:color="auto" w:sz="4" w:space="0"/>
            </w:tcBorders>
            <w:vAlign w:val="center"/>
          </w:tcPr>
          <w:p w14:paraId="74CF4C4F">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3D70A796">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7EFC4843">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p w14:paraId="69166E77">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是个体工商户的，应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供有效的个体工商户营业执照；</w:t>
            </w:r>
          </w:p>
          <w:p w14:paraId="1273AD47">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是自然人的，应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供有效的自然人身份证明。</w:t>
            </w:r>
          </w:p>
        </w:tc>
        <w:tc>
          <w:tcPr>
            <w:tcW w:w="1095" w:type="pct"/>
            <w:vAlign w:val="center"/>
          </w:tcPr>
          <w:p w14:paraId="6EE6ED78">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的联合体各方均须提供。</w:t>
            </w:r>
          </w:p>
        </w:tc>
      </w:tr>
      <w:tr w14:paraId="698F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62" w:type="pct"/>
            <w:tcBorders>
              <w:bottom w:val="single" w:color="auto" w:sz="4" w:space="0"/>
            </w:tcBorders>
            <w:vAlign w:val="center"/>
          </w:tcPr>
          <w:p w14:paraId="5894E8AC">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42" w:type="pct"/>
            <w:tcBorders>
              <w:bottom w:val="single" w:color="auto" w:sz="4" w:space="0"/>
            </w:tcBorders>
            <w:vAlign w:val="center"/>
          </w:tcPr>
          <w:p w14:paraId="1003AF34">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供应商资格声明书</w:t>
            </w:r>
          </w:p>
        </w:tc>
        <w:tc>
          <w:tcPr>
            <w:tcW w:w="2600" w:type="pct"/>
            <w:tcBorders>
              <w:bottom w:val="single" w:color="auto" w:sz="4" w:space="0"/>
            </w:tcBorders>
            <w:vAlign w:val="center"/>
          </w:tcPr>
          <w:p w14:paraId="1903538D">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w:t>
            </w:r>
            <w:r>
              <w:rPr>
                <w:rFonts w:hint="eastAsia" w:ascii="宋体" w:hAnsi="宋体" w:eastAsia="宋体" w:cs="宋体"/>
                <w:color w:val="auto"/>
                <w:sz w:val="24"/>
                <w:szCs w:val="24"/>
                <w:highlight w:val="none"/>
                <w:lang w:val="en-US" w:eastAsia="zh-CN"/>
              </w:rPr>
              <w:t>磋商</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095" w:type="pct"/>
            <w:vAlign w:val="center"/>
          </w:tcPr>
          <w:p w14:paraId="60D70372">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6D6A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tcBorders>
              <w:bottom w:val="single" w:color="auto" w:sz="4" w:space="0"/>
            </w:tcBorders>
            <w:vAlign w:val="center"/>
          </w:tcPr>
          <w:p w14:paraId="56AD5DA6">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2" w:type="pct"/>
            <w:tcBorders>
              <w:bottom w:val="single" w:color="auto" w:sz="4" w:space="0"/>
            </w:tcBorders>
            <w:vAlign w:val="center"/>
          </w:tcPr>
          <w:p w14:paraId="4F5B2378">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18"/>
                <w:highlight w:val="none"/>
                <w:lang w:val="en-US" w:eastAsia="zh-CN"/>
              </w:rPr>
              <w:t>供应商</w:t>
            </w:r>
            <w:r>
              <w:rPr>
                <w:rFonts w:hint="eastAsia" w:ascii="宋体" w:hAnsi="宋体" w:eastAsia="宋体" w:cs="宋体"/>
                <w:color w:val="auto"/>
                <w:sz w:val="24"/>
                <w:szCs w:val="24"/>
                <w:highlight w:val="none"/>
              </w:rPr>
              <w:t>信用记录</w:t>
            </w:r>
          </w:p>
        </w:tc>
        <w:tc>
          <w:tcPr>
            <w:tcW w:w="2600" w:type="pct"/>
            <w:tcBorders>
              <w:bottom w:val="single" w:color="auto" w:sz="4" w:space="0"/>
            </w:tcBorders>
            <w:vAlign w:val="center"/>
          </w:tcPr>
          <w:p w14:paraId="7D491FA0">
            <w:pPr>
              <w:spacing w:after="50" w:line="360" w:lineRule="auto"/>
              <w:ind w:right="-10" w:rightChars="0"/>
              <w:jc w:val="left"/>
              <w:rPr>
                <w:color w:val="auto"/>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eastAsia="zh-CN"/>
              </w:rPr>
              <w:t>邀请》第4条信誉要求和</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95" w:type="pct"/>
            <w:tcBorders>
              <w:bottom w:val="single" w:color="auto" w:sz="4" w:space="0"/>
            </w:tcBorders>
            <w:vAlign w:val="center"/>
          </w:tcPr>
          <w:p w14:paraId="6538DB4E">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7B96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tcBorders>
              <w:bottom w:val="single" w:color="auto" w:sz="4" w:space="0"/>
            </w:tcBorders>
            <w:vAlign w:val="center"/>
          </w:tcPr>
          <w:p w14:paraId="167D1918">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4</w:t>
            </w:r>
          </w:p>
        </w:tc>
        <w:tc>
          <w:tcPr>
            <w:tcW w:w="942" w:type="pct"/>
            <w:tcBorders>
              <w:bottom w:val="single" w:color="auto" w:sz="4" w:space="0"/>
            </w:tcBorders>
            <w:shd w:val="clear" w:color="auto" w:fill="auto"/>
            <w:vAlign w:val="center"/>
          </w:tcPr>
          <w:p w14:paraId="74BFA1AA">
            <w:pPr>
              <w:spacing w:after="50" w:line="360" w:lineRule="auto"/>
              <w:ind w:right="-10" w:rightChars="0"/>
              <w:jc w:val="both"/>
              <w:rPr>
                <w:rFonts w:hint="eastAsia" w:ascii="宋体" w:hAnsi="宋体" w:eastAsia="宋体" w:cs="宋体"/>
                <w:color w:val="auto"/>
                <w:spacing w:val="10"/>
                <w:kern w:val="2"/>
                <w:sz w:val="24"/>
                <w:szCs w:val="24"/>
                <w:highlight w:val="none"/>
                <w:lang w:val="en-US" w:eastAsia="zh-CN" w:bidi="ar-SA"/>
              </w:rPr>
            </w:pPr>
            <w:r>
              <w:rPr>
                <w:rFonts w:hint="eastAsia" w:ascii="宋体" w:hAnsi="宋体" w:eastAsia="宋体" w:cs="宋体"/>
                <w:color w:val="auto"/>
                <w:spacing w:val="10"/>
                <w:kern w:val="2"/>
                <w:sz w:val="24"/>
                <w:szCs w:val="24"/>
                <w:highlight w:val="none"/>
                <w:lang w:val="en-US" w:eastAsia="zh-CN" w:bidi="ar-SA"/>
              </w:rPr>
              <w:t>诚信响应承诺书</w:t>
            </w:r>
          </w:p>
        </w:tc>
        <w:tc>
          <w:tcPr>
            <w:tcW w:w="2600" w:type="pct"/>
            <w:tcBorders>
              <w:bottom w:val="single" w:color="auto" w:sz="4" w:space="0"/>
            </w:tcBorders>
            <w:shd w:val="clear" w:color="auto" w:fill="auto"/>
            <w:vAlign w:val="center"/>
          </w:tcPr>
          <w:p w14:paraId="49E68B49">
            <w:pPr>
              <w:spacing w:after="50" w:line="360" w:lineRule="auto"/>
              <w:ind w:right="-10" w:rightChars="0"/>
              <w:jc w:val="center"/>
              <w:rPr>
                <w:rFonts w:hint="eastAsia" w:ascii="宋体" w:hAnsi="宋体" w:eastAsia="宋体" w:cs="宋体"/>
                <w:color w:val="auto"/>
                <w:spacing w:val="-2"/>
                <w:kern w:val="2"/>
                <w:sz w:val="24"/>
                <w:szCs w:val="24"/>
                <w:highlight w:val="none"/>
                <w:lang w:val="en-US" w:eastAsia="en-US" w:bidi="ar-SA"/>
              </w:rPr>
            </w:pPr>
            <w:r>
              <w:rPr>
                <w:rFonts w:hint="eastAsia" w:ascii="宋体" w:hAnsi="宋体" w:eastAsia="宋体" w:cs="宋体"/>
                <w:color w:val="auto"/>
                <w:spacing w:val="-2"/>
                <w:kern w:val="2"/>
                <w:sz w:val="24"/>
                <w:szCs w:val="24"/>
                <w:highlight w:val="none"/>
                <w:lang w:val="en-US" w:eastAsia="zh-CN" w:bidi="ar-SA"/>
              </w:rPr>
              <w:t>格式、填写要求符合磋商文件规定并加盖供应商电子签章</w:t>
            </w:r>
          </w:p>
        </w:tc>
        <w:tc>
          <w:tcPr>
            <w:tcW w:w="1095" w:type="pct"/>
            <w:tcBorders>
              <w:bottom w:val="single" w:color="auto" w:sz="4" w:space="0"/>
            </w:tcBorders>
            <w:shd w:val="clear" w:color="auto" w:fill="auto"/>
            <w:vAlign w:val="center"/>
          </w:tcPr>
          <w:p w14:paraId="33F95176">
            <w:pPr>
              <w:spacing w:after="50" w:line="360" w:lineRule="auto"/>
              <w:ind w:right="-10" w:righ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详见第六章响应文件格式。</w:t>
            </w:r>
          </w:p>
        </w:tc>
      </w:tr>
      <w:tr w14:paraId="3A35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tcBorders>
              <w:bottom w:val="single" w:color="auto" w:sz="4" w:space="0"/>
            </w:tcBorders>
            <w:vAlign w:val="center"/>
          </w:tcPr>
          <w:p w14:paraId="5753DFEC">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5</w:t>
            </w:r>
          </w:p>
        </w:tc>
        <w:tc>
          <w:tcPr>
            <w:tcW w:w="942" w:type="pct"/>
            <w:tcBorders>
              <w:bottom w:val="single" w:color="auto" w:sz="4" w:space="0"/>
            </w:tcBorders>
            <w:shd w:val="clear" w:color="auto" w:fill="auto"/>
            <w:vAlign w:val="center"/>
          </w:tcPr>
          <w:p w14:paraId="6C977A62">
            <w:pPr>
              <w:spacing w:after="50" w:line="360" w:lineRule="auto"/>
              <w:ind w:right="-10" w:rightChars="0"/>
              <w:jc w:val="both"/>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其他特定资格要求</w:t>
            </w:r>
          </w:p>
          <w:p w14:paraId="73517BD0">
            <w:pPr>
              <w:spacing w:after="50" w:line="360" w:lineRule="auto"/>
              <w:ind w:right="-10" w:rightChars="0"/>
              <w:jc w:val="both"/>
              <w:rPr>
                <w:rFonts w:hint="eastAsia" w:ascii="宋体" w:hAnsi="宋体" w:eastAsia="宋体" w:cs="宋体"/>
                <w:color w:val="auto"/>
                <w:spacing w:val="10"/>
                <w:kern w:val="2"/>
                <w:sz w:val="24"/>
                <w:szCs w:val="24"/>
                <w:highlight w:val="none"/>
                <w:lang w:val="en-US" w:eastAsia="zh-CN" w:bidi="ar-SA"/>
              </w:rPr>
            </w:pPr>
          </w:p>
        </w:tc>
        <w:tc>
          <w:tcPr>
            <w:tcW w:w="2600" w:type="pct"/>
            <w:tcBorders>
              <w:bottom w:val="single" w:color="auto" w:sz="4" w:space="0"/>
            </w:tcBorders>
            <w:shd w:val="clear" w:color="auto" w:fill="auto"/>
            <w:vAlign w:val="center"/>
          </w:tcPr>
          <w:p w14:paraId="74B40BB0">
            <w:pPr>
              <w:spacing w:after="50" w:line="360" w:lineRule="auto"/>
              <w:ind w:right="-10" w:rightChars="0"/>
              <w:jc w:val="both"/>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en-US" w:eastAsia="zh-CN"/>
              </w:rPr>
              <w:t>如有，</w:t>
            </w:r>
            <w:r>
              <w:rPr>
                <w:rFonts w:ascii="宋体" w:hAnsi="宋体" w:eastAsia="宋体" w:cs="宋体"/>
                <w:color w:val="auto"/>
                <w:spacing w:val="10"/>
                <w:sz w:val="24"/>
                <w:szCs w:val="24"/>
                <w:highlight w:val="none"/>
              </w:rPr>
              <w:t>见第一章《</w:t>
            </w:r>
            <w:r>
              <w:rPr>
                <w:rFonts w:hint="eastAsia" w:ascii="宋体" w:hAnsi="宋体" w:eastAsia="宋体" w:cs="宋体"/>
                <w:color w:val="auto"/>
                <w:spacing w:val="10"/>
                <w:sz w:val="24"/>
                <w:szCs w:val="24"/>
                <w:highlight w:val="none"/>
                <w:lang w:val="en-US" w:eastAsia="zh-CN"/>
              </w:rPr>
              <w:t>磋商</w:t>
            </w:r>
            <w:r>
              <w:rPr>
                <w:rFonts w:ascii="宋体" w:hAnsi="宋体" w:eastAsia="宋体" w:cs="宋体"/>
                <w:color w:val="auto"/>
                <w:spacing w:val="10"/>
                <w:sz w:val="24"/>
                <w:szCs w:val="24"/>
                <w:highlight w:val="none"/>
              </w:rPr>
              <w:t>邀请》</w:t>
            </w:r>
          </w:p>
          <w:p w14:paraId="27782F34">
            <w:pPr>
              <w:spacing w:after="50" w:line="360" w:lineRule="auto"/>
              <w:ind w:right="-10" w:rightChars="0"/>
              <w:jc w:val="both"/>
              <w:rPr>
                <w:rFonts w:hint="eastAsia" w:ascii="宋体" w:hAnsi="宋体" w:eastAsia="宋体" w:cs="宋体"/>
                <w:color w:val="auto"/>
                <w:spacing w:val="10"/>
                <w:kern w:val="2"/>
                <w:sz w:val="24"/>
                <w:szCs w:val="24"/>
                <w:highlight w:val="none"/>
                <w:lang w:val="en-US" w:eastAsia="zh-CN" w:bidi="ar-SA"/>
              </w:rPr>
            </w:pPr>
            <w:r>
              <w:rPr>
                <w:rFonts w:hint="eastAsia" w:ascii="宋体" w:hAnsi="宋体" w:eastAsia="宋体" w:cs="宋体"/>
                <w:b/>
                <w:bCs/>
                <w:color w:val="auto"/>
                <w:spacing w:val="10"/>
                <w:sz w:val="24"/>
                <w:szCs w:val="24"/>
                <w:highlight w:val="none"/>
                <w:lang w:eastAsia="zh-CN"/>
              </w:rPr>
              <w:t>（</w:t>
            </w:r>
            <w:r>
              <w:rPr>
                <w:rFonts w:hint="eastAsia" w:ascii="宋体" w:hAnsi="宋体" w:eastAsia="宋体" w:cs="宋体"/>
                <w:b/>
                <w:bCs/>
                <w:color w:val="auto"/>
                <w:spacing w:val="10"/>
                <w:sz w:val="24"/>
                <w:szCs w:val="24"/>
                <w:highlight w:val="none"/>
                <w:lang w:val="en-US" w:eastAsia="zh-CN"/>
              </w:rPr>
              <w:t>联合体参与的，联合体牵头方提供</w:t>
            </w:r>
            <w:r>
              <w:rPr>
                <w:rFonts w:hint="eastAsia" w:ascii="宋体" w:hAnsi="宋体" w:eastAsia="宋体" w:cs="宋体"/>
                <w:b/>
                <w:bCs/>
                <w:color w:val="auto"/>
                <w:spacing w:val="10"/>
                <w:sz w:val="24"/>
                <w:szCs w:val="24"/>
                <w:highlight w:val="none"/>
                <w:lang w:eastAsia="zh-CN"/>
              </w:rPr>
              <w:t>）</w:t>
            </w:r>
          </w:p>
        </w:tc>
        <w:tc>
          <w:tcPr>
            <w:tcW w:w="1095" w:type="pct"/>
            <w:tcBorders>
              <w:bottom w:val="single" w:color="auto" w:sz="4" w:space="0"/>
            </w:tcBorders>
            <w:shd w:val="clear" w:color="auto" w:fill="auto"/>
            <w:vAlign w:val="center"/>
          </w:tcPr>
          <w:p w14:paraId="0D21E6C0">
            <w:pPr>
              <w:spacing w:after="50" w:line="360" w:lineRule="auto"/>
              <w:ind w:right="-10" w:rightChars="0"/>
              <w:jc w:val="both"/>
              <w:rPr>
                <w:rFonts w:hint="eastAsia" w:ascii="宋体" w:hAnsi="宋体" w:eastAsia="宋体" w:cs="宋体"/>
                <w:color w:val="auto"/>
                <w:spacing w:val="10"/>
                <w:kern w:val="2"/>
                <w:sz w:val="24"/>
                <w:szCs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257C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tcBorders>
              <w:bottom w:val="single" w:color="auto" w:sz="4" w:space="0"/>
            </w:tcBorders>
            <w:vAlign w:val="center"/>
          </w:tcPr>
          <w:p w14:paraId="23432A6C">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w:t>
            </w:r>
          </w:p>
        </w:tc>
        <w:tc>
          <w:tcPr>
            <w:tcW w:w="942" w:type="pct"/>
            <w:tcBorders>
              <w:bottom w:val="single" w:color="auto" w:sz="4" w:space="0"/>
            </w:tcBorders>
            <w:shd w:val="clear" w:color="auto" w:fill="auto"/>
            <w:vAlign w:val="center"/>
          </w:tcPr>
          <w:p w14:paraId="182B6994">
            <w:pPr>
              <w:spacing w:after="50" w:line="360" w:lineRule="auto"/>
              <w:ind w:right="-10" w:rightChars="0"/>
              <w:jc w:val="both"/>
              <w:rPr>
                <w:rFonts w:hint="eastAsia" w:ascii="宋体" w:hAnsi="宋体" w:eastAsia="宋体" w:cs="宋体"/>
                <w:color w:val="auto"/>
                <w:spacing w:val="10"/>
                <w:kern w:val="2"/>
                <w:sz w:val="24"/>
                <w:szCs w:val="24"/>
                <w:highlight w:val="none"/>
                <w:lang w:val="en-US" w:eastAsia="zh-CN" w:bidi="ar-SA"/>
              </w:rPr>
            </w:pPr>
            <w:r>
              <w:rPr>
                <w:rFonts w:hint="eastAsia" w:ascii="宋体" w:hAnsi="宋体" w:eastAsia="宋体" w:cs="宋体"/>
                <w:color w:val="auto"/>
                <w:spacing w:val="10"/>
                <w:kern w:val="2"/>
                <w:sz w:val="24"/>
                <w:szCs w:val="24"/>
                <w:highlight w:val="none"/>
                <w:lang w:val="en-US" w:eastAsia="zh-CN" w:bidi="ar-SA"/>
              </w:rPr>
              <w:t>联合体协议书（如有）</w:t>
            </w:r>
          </w:p>
        </w:tc>
        <w:tc>
          <w:tcPr>
            <w:tcW w:w="2600" w:type="pct"/>
            <w:tcBorders>
              <w:bottom w:val="single" w:color="auto" w:sz="4" w:space="0"/>
            </w:tcBorders>
            <w:shd w:val="clear" w:color="auto" w:fill="auto"/>
            <w:vAlign w:val="center"/>
          </w:tcPr>
          <w:p w14:paraId="5CE1F272">
            <w:pPr>
              <w:spacing w:after="50" w:line="360" w:lineRule="auto"/>
              <w:ind w:right="-10" w:rightChars="0"/>
              <w:jc w:val="center"/>
              <w:rPr>
                <w:rFonts w:hint="eastAsia" w:asciiTheme="minorEastAsia" w:hAnsiTheme="minorEastAsia" w:eastAsiaTheme="minorEastAsia"/>
                <w:color w:val="auto"/>
                <w:sz w:val="24"/>
                <w:szCs w:val="28"/>
                <w:highlight w:val="none"/>
                <w:lang w:eastAsia="zh-CN"/>
              </w:rPr>
            </w:pPr>
            <w:r>
              <w:rPr>
                <w:rFonts w:hint="eastAsia" w:asciiTheme="minorEastAsia" w:hAnsiTheme="minorEastAsia" w:eastAsiaTheme="minorEastAsia"/>
                <w:color w:val="auto"/>
                <w:sz w:val="24"/>
                <w:szCs w:val="28"/>
                <w:highlight w:val="none"/>
                <w:lang w:eastAsia="zh-CN"/>
              </w:rPr>
              <w:t>格式、填写要求符合磋商文件规定并加盖供应商电子签章</w:t>
            </w:r>
          </w:p>
        </w:tc>
        <w:tc>
          <w:tcPr>
            <w:tcW w:w="1095" w:type="pct"/>
            <w:tcBorders>
              <w:bottom w:val="single" w:color="auto" w:sz="4" w:space="0"/>
            </w:tcBorders>
            <w:shd w:val="clear" w:color="auto" w:fill="auto"/>
            <w:vAlign w:val="center"/>
          </w:tcPr>
          <w:p w14:paraId="3D132878">
            <w:pPr>
              <w:spacing w:after="50" w:line="360" w:lineRule="auto"/>
              <w:ind w:right="-10" w:rightChars="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详见第六章响应文件格式。</w:t>
            </w:r>
          </w:p>
        </w:tc>
      </w:tr>
      <w:tr w14:paraId="265D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tcBorders>
              <w:bottom w:val="single" w:color="auto" w:sz="4" w:space="0"/>
            </w:tcBorders>
            <w:vAlign w:val="center"/>
          </w:tcPr>
          <w:p w14:paraId="29BF3BFB">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7</w:t>
            </w:r>
          </w:p>
        </w:tc>
        <w:tc>
          <w:tcPr>
            <w:tcW w:w="942" w:type="pct"/>
            <w:tcBorders>
              <w:bottom w:val="single" w:color="auto" w:sz="4" w:space="0"/>
            </w:tcBorders>
            <w:shd w:val="clear" w:color="auto" w:fill="auto"/>
            <w:vAlign w:val="center"/>
          </w:tcPr>
          <w:p w14:paraId="1EA89C3D">
            <w:pPr>
              <w:spacing w:after="50" w:line="360" w:lineRule="auto"/>
              <w:ind w:right="-10" w:rightChars="0"/>
              <w:jc w:val="center"/>
              <w:rPr>
                <w:rFonts w:hint="eastAsia"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lang w:val="en-US" w:eastAsia="zh-CN"/>
              </w:rPr>
              <w:t>磋商响应函</w:t>
            </w:r>
          </w:p>
        </w:tc>
        <w:tc>
          <w:tcPr>
            <w:tcW w:w="2600" w:type="pct"/>
            <w:tcBorders>
              <w:bottom w:val="single" w:color="auto" w:sz="4" w:space="0"/>
            </w:tcBorders>
            <w:shd w:val="clear" w:color="auto" w:fill="auto"/>
            <w:vAlign w:val="center"/>
          </w:tcPr>
          <w:p w14:paraId="13C660EB">
            <w:pPr>
              <w:spacing w:after="50" w:line="360" w:lineRule="auto"/>
              <w:ind w:right="-10" w:rightChars="0"/>
              <w:jc w:val="center"/>
              <w:rPr>
                <w:rFonts w:hint="eastAsia"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电子签章</w:t>
            </w:r>
          </w:p>
        </w:tc>
        <w:tc>
          <w:tcPr>
            <w:tcW w:w="1095" w:type="pct"/>
            <w:tcBorders>
              <w:bottom w:val="single" w:color="auto" w:sz="4" w:space="0"/>
            </w:tcBorders>
            <w:shd w:val="clear" w:color="auto" w:fill="auto"/>
            <w:vAlign w:val="center"/>
          </w:tcPr>
          <w:p w14:paraId="301DB32E">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28DE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tcBorders>
              <w:bottom w:val="single" w:color="auto" w:sz="4" w:space="0"/>
            </w:tcBorders>
            <w:vAlign w:val="center"/>
          </w:tcPr>
          <w:p w14:paraId="5A41E252">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w:t>
            </w:r>
          </w:p>
        </w:tc>
        <w:tc>
          <w:tcPr>
            <w:tcW w:w="942" w:type="pct"/>
            <w:tcBorders>
              <w:bottom w:val="single" w:color="auto" w:sz="4" w:space="0"/>
            </w:tcBorders>
            <w:shd w:val="clear" w:color="auto" w:fill="auto"/>
            <w:vAlign w:val="center"/>
          </w:tcPr>
          <w:p w14:paraId="022402AB">
            <w:pPr>
              <w:spacing w:after="50" w:line="360" w:lineRule="auto"/>
              <w:ind w:right="-10" w:rightChars="0"/>
              <w:jc w:val="center"/>
              <w:rPr>
                <w:rFonts w:hint="eastAsia" w:ascii="宋体" w:hAnsi="宋体" w:eastAsia="宋体" w:cs="宋体"/>
                <w:color w:val="auto"/>
                <w:spacing w:val="10"/>
                <w:kern w:val="2"/>
                <w:sz w:val="24"/>
                <w:szCs w:val="24"/>
                <w:highlight w:val="none"/>
                <w:lang w:val="en-US" w:eastAsia="zh-CN" w:bidi="ar-SA"/>
              </w:rPr>
            </w:pPr>
            <w:r>
              <w:rPr>
                <w:rFonts w:hint="eastAsia" w:asciiTheme="minorEastAsia" w:hAnsiTheme="minorEastAsia" w:eastAsiaTheme="minorEastAsia"/>
                <w:color w:val="auto"/>
                <w:sz w:val="24"/>
                <w:szCs w:val="28"/>
                <w:highlight w:val="none"/>
              </w:rPr>
              <w:t>授权书</w:t>
            </w:r>
          </w:p>
        </w:tc>
        <w:tc>
          <w:tcPr>
            <w:tcW w:w="2600" w:type="pct"/>
            <w:tcBorders>
              <w:bottom w:val="single" w:color="auto" w:sz="4" w:space="0"/>
            </w:tcBorders>
            <w:shd w:val="clear" w:color="auto" w:fill="auto"/>
            <w:vAlign w:val="center"/>
          </w:tcPr>
          <w:p w14:paraId="33BD4C68">
            <w:pPr>
              <w:spacing w:after="50" w:line="360" w:lineRule="auto"/>
              <w:ind w:right="-10" w:rightChars="0"/>
              <w:jc w:val="center"/>
              <w:rPr>
                <w:rFonts w:hint="eastAsia" w:ascii="宋体" w:hAnsi="宋体" w:eastAsia="宋体" w:cs="宋体"/>
                <w:color w:val="auto"/>
                <w:spacing w:val="10"/>
                <w:kern w:val="2"/>
                <w:sz w:val="24"/>
                <w:szCs w:val="24"/>
                <w:highlight w:val="none"/>
                <w:lang w:val="en-US" w:eastAsia="zh-CN" w:bidi="ar-SA"/>
              </w:rPr>
            </w:pPr>
            <w:r>
              <w:rPr>
                <w:rFonts w:hint="eastAsia" w:asciiTheme="minorEastAsia" w:hAnsiTheme="minorEastAsia" w:eastAsiaTheme="minorEastAsia"/>
                <w:color w:val="auto"/>
                <w:sz w:val="24"/>
                <w:szCs w:val="28"/>
                <w:highlight w:val="none"/>
              </w:rPr>
              <w:t>格式、填写要求符合</w:t>
            </w:r>
            <w:r>
              <w:rPr>
                <w:rFonts w:hint="eastAsia" w:ascii="宋体" w:hAnsi="宋体" w:eastAsia="宋体" w:cs="宋体"/>
                <w:color w:val="auto"/>
                <w:spacing w:val="10"/>
                <w:sz w:val="24"/>
                <w:szCs w:val="24"/>
                <w:highlight w:val="none"/>
                <w:lang w:val="en-US" w:eastAsia="zh-CN"/>
              </w:rPr>
              <w:t>磋商</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szCs w:val="28"/>
                <w:highlight w:val="none"/>
              </w:rPr>
              <w:t>电子签章</w:t>
            </w:r>
          </w:p>
        </w:tc>
        <w:tc>
          <w:tcPr>
            <w:tcW w:w="1095" w:type="pct"/>
            <w:tcBorders>
              <w:bottom w:val="single" w:color="auto" w:sz="4" w:space="0"/>
            </w:tcBorders>
            <w:shd w:val="clear" w:color="auto" w:fill="auto"/>
            <w:vAlign w:val="center"/>
          </w:tcPr>
          <w:p w14:paraId="207C02F2">
            <w:pPr>
              <w:adjustRightInd w:val="0"/>
              <w:snapToGrid w:val="0"/>
              <w:spacing w:line="360" w:lineRule="auto"/>
              <w:ind w:right="-10" w:rightChars="0"/>
              <w:jc w:val="center"/>
              <w:rPr>
                <w:rFonts w:hint="eastAsia" w:ascii="宋体" w:hAnsi="宋体" w:eastAsia="宋体" w:cs="宋体"/>
                <w:b w:val="0"/>
                <w:bCs w:val="0"/>
                <w:color w:val="auto"/>
                <w:kern w:val="2"/>
                <w:sz w:val="24"/>
                <w:szCs w:val="24"/>
                <w:highlight w:val="none"/>
                <w:lang w:val="en-US" w:eastAsia="zh-CN" w:bidi="ar-SA"/>
              </w:rPr>
            </w:pPr>
            <w:r>
              <w:rPr>
                <w:rFonts w:hint="eastAsia" w:asciiTheme="minorEastAsia" w:hAnsiTheme="minorEastAsia" w:eastAsiaTheme="minorEastAsia"/>
                <w:color w:val="auto"/>
                <w:sz w:val="24"/>
                <w:highlight w:val="none"/>
              </w:rPr>
              <w:t>法定代表人参加</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的无需此件，提供身份证明即可。详见第六章</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文件格式</w:t>
            </w:r>
            <w:r>
              <w:rPr>
                <w:rFonts w:hint="eastAsia" w:asciiTheme="minorEastAsia" w:hAnsiTheme="minorEastAsia" w:eastAsiaTheme="minorEastAsia"/>
                <w:color w:val="auto"/>
                <w:sz w:val="24"/>
                <w:highlight w:val="none"/>
                <w:lang w:eastAsia="zh-CN"/>
              </w:rPr>
              <w:t>。</w:t>
            </w:r>
          </w:p>
        </w:tc>
      </w:tr>
      <w:tr w14:paraId="3708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Align w:val="center"/>
          </w:tcPr>
          <w:p w14:paraId="0BFFA575">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9</w:t>
            </w:r>
          </w:p>
        </w:tc>
        <w:tc>
          <w:tcPr>
            <w:tcW w:w="942" w:type="pct"/>
            <w:shd w:val="clear" w:color="auto" w:fill="auto"/>
            <w:vAlign w:val="center"/>
          </w:tcPr>
          <w:p w14:paraId="7C5459E6">
            <w:pPr>
              <w:spacing w:after="50" w:line="360" w:lineRule="auto"/>
              <w:ind w:right="-10" w:rightChars="0"/>
              <w:jc w:val="center"/>
              <w:rPr>
                <w:rFonts w:hint="eastAsia" w:ascii="宋体" w:hAnsi="宋体" w:eastAsia="宋体" w:cs="宋体"/>
                <w:color w:val="auto"/>
                <w:spacing w:val="10"/>
                <w:kern w:val="2"/>
                <w:sz w:val="24"/>
                <w:szCs w:val="24"/>
                <w:highlight w:val="none"/>
                <w:lang w:val="en-US" w:eastAsia="zh-CN" w:bidi="ar-SA"/>
              </w:rPr>
            </w:pP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报价</w:t>
            </w:r>
          </w:p>
        </w:tc>
        <w:tc>
          <w:tcPr>
            <w:tcW w:w="2600" w:type="pct"/>
            <w:shd w:val="clear" w:color="auto" w:fill="auto"/>
            <w:vAlign w:val="center"/>
          </w:tcPr>
          <w:p w14:paraId="0031EBD4">
            <w:pPr>
              <w:spacing w:after="50" w:line="360" w:lineRule="auto"/>
              <w:ind w:right="-10" w:rightChars="0"/>
              <w:jc w:val="center"/>
              <w:rPr>
                <w:rFonts w:hint="eastAsia" w:ascii="宋体" w:hAnsi="宋体" w:eastAsia="宋体" w:cs="宋体"/>
                <w:color w:val="auto"/>
                <w:spacing w:val="10"/>
                <w:kern w:val="2"/>
                <w:sz w:val="24"/>
                <w:szCs w:val="24"/>
                <w:highlight w:val="none"/>
                <w:lang w:val="en-US" w:eastAsia="zh-CN" w:bidi="ar-SA"/>
              </w:rPr>
            </w:pPr>
            <w:r>
              <w:rPr>
                <w:rFonts w:hint="eastAsia" w:asciiTheme="minorEastAsia" w:hAnsiTheme="minorEastAsia" w:eastAsiaTheme="minorEastAsia"/>
                <w:color w:val="auto"/>
                <w:sz w:val="24"/>
                <w:szCs w:val="28"/>
                <w:highlight w:val="none"/>
              </w:rPr>
              <w:t>符合</w:t>
            </w:r>
            <w:r>
              <w:rPr>
                <w:rFonts w:hint="eastAsia" w:ascii="宋体" w:hAnsi="宋体" w:eastAsia="宋体" w:cs="宋体"/>
                <w:color w:val="auto"/>
                <w:spacing w:val="10"/>
                <w:sz w:val="24"/>
                <w:szCs w:val="24"/>
                <w:highlight w:val="none"/>
                <w:lang w:val="en-US" w:eastAsia="zh-CN"/>
              </w:rPr>
              <w:t>磋商</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095" w:type="pct"/>
            <w:shd w:val="clear" w:color="auto" w:fill="auto"/>
            <w:vAlign w:val="center"/>
          </w:tcPr>
          <w:p w14:paraId="0D2AE422">
            <w:pPr>
              <w:adjustRightInd w:val="0"/>
              <w:snapToGrid w:val="0"/>
              <w:spacing w:line="360" w:lineRule="auto"/>
              <w:ind w:right="-10" w:rightChars="0"/>
              <w:jc w:val="center"/>
              <w:rPr>
                <w:rFonts w:hint="eastAsia" w:ascii="宋体" w:hAnsi="宋体" w:eastAsia="宋体" w:cs="宋体"/>
                <w:b w:val="0"/>
                <w:bCs w:val="0"/>
                <w:color w:val="auto"/>
                <w:kern w:val="2"/>
                <w:sz w:val="24"/>
                <w:szCs w:val="24"/>
                <w:highlight w:val="none"/>
                <w:lang w:val="en-US" w:eastAsia="zh-CN" w:bidi="ar-SA"/>
              </w:rPr>
            </w:pPr>
            <w:r>
              <w:rPr>
                <w:rFonts w:hint="eastAsia" w:asciiTheme="minorEastAsia" w:hAnsiTheme="minorEastAsia" w:eastAsiaTheme="minorEastAsia"/>
                <w:color w:val="auto"/>
                <w:sz w:val="24"/>
                <w:highlight w:val="none"/>
              </w:rPr>
              <w:t>详见第六章</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文件格式</w:t>
            </w:r>
            <w:r>
              <w:rPr>
                <w:rFonts w:hint="eastAsia" w:asciiTheme="minorEastAsia" w:hAnsiTheme="minorEastAsia" w:eastAsiaTheme="minorEastAsia"/>
                <w:color w:val="auto"/>
                <w:sz w:val="24"/>
                <w:highlight w:val="none"/>
                <w:lang w:eastAsia="zh-CN"/>
              </w:rPr>
              <w:t>。</w:t>
            </w:r>
          </w:p>
        </w:tc>
      </w:tr>
      <w:tr w14:paraId="56CD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Align w:val="center"/>
          </w:tcPr>
          <w:p w14:paraId="122F7642">
            <w:pPr>
              <w:adjustRightInd w:val="0"/>
              <w:snapToGrid w:val="0"/>
              <w:spacing w:line="360" w:lineRule="auto"/>
              <w:ind w:right="-10" w:rightChars="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10</w:t>
            </w:r>
          </w:p>
        </w:tc>
        <w:tc>
          <w:tcPr>
            <w:tcW w:w="942" w:type="pct"/>
            <w:shd w:val="clear" w:color="auto" w:fill="auto"/>
            <w:vAlign w:val="center"/>
          </w:tcPr>
          <w:p w14:paraId="69E28C0D">
            <w:pPr>
              <w:spacing w:after="50" w:line="360" w:lineRule="auto"/>
              <w:ind w:right="-10" w:rightChars="0"/>
              <w:jc w:val="center"/>
              <w:rPr>
                <w:rFonts w:hint="eastAsia"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lang w:val="en-US" w:eastAsia="zh-CN"/>
              </w:rPr>
              <w:t>商务响应情况</w:t>
            </w:r>
          </w:p>
        </w:tc>
        <w:tc>
          <w:tcPr>
            <w:tcW w:w="2600" w:type="pct"/>
            <w:shd w:val="clear" w:color="auto" w:fill="auto"/>
            <w:vAlign w:val="center"/>
          </w:tcPr>
          <w:p w14:paraId="551E6396">
            <w:pPr>
              <w:spacing w:after="50" w:line="360" w:lineRule="auto"/>
              <w:ind w:right="-10" w:rightChars="0"/>
              <w:jc w:val="center"/>
              <w:rPr>
                <w:rFonts w:hint="eastAsia"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符合磋商文件采购需求中对付款方式、服务地点、服务期限等实质性要求</w:t>
            </w:r>
          </w:p>
        </w:tc>
        <w:tc>
          <w:tcPr>
            <w:tcW w:w="1095" w:type="pct"/>
            <w:shd w:val="clear" w:color="auto" w:fill="auto"/>
            <w:vAlign w:val="center"/>
          </w:tcPr>
          <w:p w14:paraId="0F372ABF">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rPr>
              <w:t>详见第六章响应文件格式。</w:t>
            </w:r>
          </w:p>
        </w:tc>
      </w:tr>
      <w:tr w14:paraId="268F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Align w:val="center"/>
          </w:tcPr>
          <w:p w14:paraId="651AD332">
            <w:pPr>
              <w:adjustRightInd w:val="0"/>
              <w:snapToGrid w:val="0"/>
              <w:spacing w:line="360" w:lineRule="auto"/>
              <w:ind w:right="-10" w:rightChars="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11</w:t>
            </w:r>
          </w:p>
        </w:tc>
        <w:tc>
          <w:tcPr>
            <w:tcW w:w="942" w:type="pct"/>
            <w:shd w:val="clear" w:color="auto" w:fill="auto"/>
            <w:vAlign w:val="center"/>
          </w:tcPr>
          <w:p w14:paraId="007DB32C">
            <w:pPr>
              <w:spacing w:after="50" w:line="360" w:lineRule="auto"/>
              <w:ind w:right="-10" w:rightChars="0"/>
              <w:jc w:val="center"/>
              <w:rPr>
                <w:rFonts w:hint="eastAsia" w:ascii="宋体" w:hAnsi="宋体" w:eastAsia="宋体" w:cs="宋体"/>
                <w:color w:val="auto"/>
                <w:spacing w:val="10"/>
                <w:kern w:val="2"/>
                <w:sz w:val="24"/>
                <w:szCs w:val="24"/>
                <w:highlight w:val="none"/>
                <w:lang w:val="en-US" w:eastAsia="zh-CN" w:bidi="ar-SA"/>
              </w:rPr>
            </w:pPr>
            <w:r>
              <w:rPr>
                <w:rFonts w:hint="eastAsia" w:asciiTheme="minorEastAsia" w:hAnsiTheme="minorEastAsia" w:eastAsiaTheme="minorEastAsia"/>
                <w:color w:val="auto"/>
                <w:sz w:val="24"/>
                <w:szCs w:val="28"/>
                <w:highlight w:val="none"/>
              </w:rPr>
              <w:t>其他要求</w:t>
            </w:r>
          </w:p>
        </w:tc>
        <w:tc>
          <w:tcPr>
            <w:tcW w:w="2600" w:type="pct"/>
            <w:shd w:val="clear" w:color="auto" w:fill="auto"/>
            <w:vAlign w:val="center"/>
          </w:tcPr>
          <w:p w14:paraId="0BBED11E">
            <w:pPr>
              <w:spacing w:after="50" w:line="360" w:lineRule="auto"/>
              <w:ind w:right="-10" w:rightChars="0"/>
              <w:jc w:val="center"/>
              <w:rPr>
                <w:rFonts w:hint="eastAsia" w:ascii="宋体" w:hAnsi="宋体" w:eastAsia="宋体" w:cs="宋体"/>
                <w:color w:val="auto"/>
                <w:spacing w:val="10"/>
                <w:kern w:val="2"/>
                <w:sz w:val="24"/>
                <w:szCs w:val="24"/>
                <w:highlight w:val="none"/>
                <w:lang w:val="en-US" w:eastAsia="zh-CN" w:bidi="ar-SA"/>
              </w:rPr>
            </w:pPr>
            <w:r>
              <w:rPr>
                <w:rFonts w:hint="eastAsia" w:asciiTheme="minorEastAsia" w:hAnsiTheme="minorEastAsia" w:eastAsiaTheme="minorEastAsia"/>
                <w:color w:val="auto"/>
                <w:sz w:val="24"/>
                <w:szCs w:val="28"/>
                <w:highlight w:val="none"/>
              </w:rPr>
              <w:t>符合法律、行政法规规定的其他条件或</w:t>
            </w: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文件列明的其他</w:t>
            </w:r>
            <w:r>
              <w:rPr>
                <w:rFonts w:hint="eastAsia" w:asciiTheme="minorEastAsia" w:hAnsiTheme="minorEastAsia" w:eastAsiaTheme="minorEastAsia"/>
                <w:color w:val="auto"/>
                <w:sz w:val="24"/>
                <w:szCs w:val="28"/>
                <w:highlight w:val="none"/>
                <w:lang w:val="en-US" w:eastAsia="zh-CN"/>
              </w:rPr>
              <w:t>实质性</w:t>
            </w:r>
            <w:r>
              <w:rPr>
                <w:rFonts w:hint="eastAsia" w:asciiTheme="minorEastAsia" w:hAnsiTheme="minorEastAsia" w:eastAsiaTheme="minorEastAsia"/>
                <w:color w:val="auto"/>
                <w:sz w:val="24"/>
                <w:szCs w:val="28"/>
                <w:highlight w:val="none"/>
              </w:rPr>
              <w:t>要求</w:t>
            </w:r>
          </w:p>
        </w:tc>
        <w:tc>
          <w:tcPr>
            <w:tcW w:w="1095" w:type="pct"/>
            <w:vAlign w:val="center"/>
          </w:tcPr>
          <w:p w14:paraId="01017BCD">
            <w:pPr>
              <w:adjustRightInd w:val="0"/>
              <w:snapToGrid w:val="0"/>
              <w:spacing w:line="360" w:lineRule="auto"/>
              <w:ind w:right="-10" w:rightChars="0"/>
              <w:jc w:val="center"/>
              <w:rPr>
                <w:rFonts w:hint="eastAsia" w:asciiTheme="minorEastAsia" w:hAnsiTheme="minorEastAsia" w:eastAsiaTheme="minorEastAsia"/>
                <w:color w:val="auto"/>
                <w:sz w:val="24"/>
                <w:highlight w:val="none"/>
              </w:rPr>
            </w:pPr>
          </w:p>
        </w:tc>
      </w:tr>
    </w:tbl>
    <w:p w14:paraId="6D2AFF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4732968C">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2.2综合评分</w:t>
      </w:r>
    </w:p>
    <w:p w14:paraId="13B025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磋商小组按照下表对</w:t>
      </w:r>
      <w:r>
        <w:rPr>
          <w:rFonts w:hint="eastAsia" w:ascii="宋体" w:hAnsi="宋体" w:eastAsia="宋体"/>
          <w:color w:val="auto"/>
          <w:sz w:val="24"/>
          <w:highlight w:val="none"/>
        </w:rPr>
        <w:t>进入综合评分的所有供应商的</w:t>
      </w:r>
      <w:r>
        <w:rPr>
          <w:rFonts w:hint="eastAsia" w:asciiTheme="minorEastAsia" w:hAnsiTheme="minorEastAsia" w:eastAsiaTheme="minorEastAsia"/>
          <w:color w:val="auto"/>
          <w:sz w:val="24"/>
          <w:highlight w:val="none"/>
        </w:rPr>
        <w:t>响应文件进行综合评分。</w:t>
      </w:r>
    </w:p>
    <w:p w14:paraId="0529A605">
      <w:pPr>
        <w:spacing w:line="360" w:lineRule="auto"/>
        <w:ind w:firstLine="435"/>
        <w:rPr>
          <w:color w:val="auto"/>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1720"/>
        <w:gridCol w:w="3745"/>
        <w:gridCol w:w="1582"/>
      </w:tblGrid>
      <w:tr w14:paraId="40DD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5" w:type="pct"/>
            <w:tcBorders>
              <w:top w:val="single" w:color="auto" w:sz="4" w:space="0"/>
              <w:left w:val="single" w:color="auto" w:sz="4" w:space="0"/>
              <w:bottom w:val="single" w:color="auto" w:sz="4" w:space="0"/>
              <w:right w:val="single" w:color="auto" w:sz="4" w:space="0"/>
            </w:tcBorders>
            <w:vAlign w:val="center"/>
          </w:tcPr>
          <w:p w14:paraId="5DE26EB4">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1009" w:type="pct"/>
            <w:tcBorders>
              <w:top w:val="single" w:color="auto" w:sz="4" w:space="0"/>
              <w:left w:val="single" w:color="auto" w:sz="4" w:space="0"/>
              <w:bottom w:val="single" w:color="auto" w:sz="4" w:space="0"/>
              <w:right w:val="single" w:color="auto" w:sz="4" w:space="0"/>
            </w:tcBorders>
            <w:vAlign w:val="center"/>
          </w:tcPr>
          <w:p w14:paraId="707439E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tc>
        <w:tc>
          <w:tcPr>
            <w:tcW w:w="2197" w:type="pct"/>
            <w:tcBorders>
              <w:top w:val="single" w:color="auto" w:sz="4" w:space="0"/>
              <w:left w:val="single" w:color="auto" w:sz="4" w:space="0"/>
              <w:bottom w:val="single" w:color="auto" w:sz="4" w:space="0"/>
              <w:right w:val="single" w:color="auto" w:sz="4" w:space="0"/>
            </w:tcBorders>
            <w:vAlign w:val="center"/>
          </w:tcPr>
          <w:p w14:paraId="3793DE71">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928" w:type="pct"/>
            <w:tcBorders>
              <w:top w:val="single" w:color="auto" w:sz="4" w:space="0"/>
              <w:left w:val="single" w:color="auto" w:sz="4" w:space="0"/>
              <w:bottom w:val="single" w:color="auto" w:sz="4" w:space="0"/>
              <w:right w:val="single" w:color="auto" w:sz="4" w:space="0"/>
            </w:tcBorders>
            <w:vAlign w:val="center"/>
          </w:tcPr>
          <w:p w14:paraId="1274877F">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分值范围</w:t>
            </w:r>
          </w:p>
        </w:tc>
      </w:tr>
      <w:tr w14:paraId="1986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5" w:type="pct"/>
            <w:vMerge w:val="restart"/>
            <w:tcBorders>
              <w:top w:val="single" w:color="auto" w:sz="4" w:space="0"/>
              <w:left w:val="single" w:color="auto" w:sz="4" w:space="0"/>
              <w:right w:val="single" w:color="auto" w:sz="4" w:space="0"/>
            </w:tcBorders>
            <w:vAlign w:val="center"/>
          </w:tcPr>
          <w:p w14:paraId="0012907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技术资信分</w:t>
            </w:r>
          </w:p>
          <w:p w14:paraId="7EFAD1C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70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tc>
        <w:tc>
          <w:tcPr>
            <w:tcW w:w="4134" w:type="pct"/>
            <w:gridSpan w:val="3"/>
            <w:tcBorders>
              <w:top w:val="single" w:color="auto" w:sz="4" w:space="0"/>
              <w:left w:val="single" w:color="auto" w:sz="4" w:space="0"/>
              <w:bottom w:val="single" w:color="auto" w:sz="4" w:space="0"/>
              <w:right w:val="single" w:color="auto" w:sz="4" w:space="0"/>
            </w:tcBorders>
            <w:vAlign w:val="center"/>
          </w:tcPr>
          <w:p w14:paraId="2D2E6FD3">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val="0"/>
                <w:color w:val="auto"/>
                <w:sz w:val="24"/>
                <w:szCs w:val="24"/>
                <w:highlight w:val="none"/>
                <w:lang w:val="en-US" w:eastAsia="zh-CN"/>
              </w:rPr>
              <w:t>资信部分</w:t>
            </w:r>
          </w:p>
        </w:tc>
      </w:tr>
      <w:tr w14:paraId="4EDD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4156E60F">
            <w:pPr>
              <w:spacing w:line="360" w:lineRule="auto"/>
              <w:jc w:val="center"/>
              <w:rPr>
                <w:rFonts w:hint="eastAsia" w:ascii="宋体" w:hAnsi="宋体" w:eastAsia="宋体" w:cs="宋体"/>
                <w:color w:val="auto"/>
                <w:sz w:val="24"/>
                <w:szCs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071E7B28">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业绩</w:t>
            </w:r>
          </w:p>
          <w:p w14:paraId="5A799ED5">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color w:val="auto"/>
                <w:sz w:val="24"/>
                <w:szCs w:val="24"/>
                <w:highlight w:val="none"/>
                <w:lang w:val="zh-CN" w:eastAsia="zh-CN"/>
              </w:rPr>
              <w:t>（联合体参与的，联合体任意一方提供）</w:t>
            </w:r>
          </w:p>
        </w:tc>
        <w:tc>
          <w:tcPr>
            <w:tcW w:w="2197" w:type="pct"/>
            <w:tcBorders>
              <w:top w:val="single" w:color="auto" w:sz="4" w:space="0"/>
              <w:left w:val="single" w:color="auto" w:sz="4" w:space="0"/>
              <w:bottom w:val="single" w:color="auto" w:sz="4" w:space="0"/>
              <w:right w:val="single" w:color="auto" w:sz="4" w:space="0"/>
            </w:tcBorders>
            <w:vAlign w:val="center"/>
          </w:tcPr>
          <w:p w14:paraId="6B4CC7F3">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自2020年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rPr>
              <w:t>月1日至投标截止时间前（以合同签订时间或审计通知时间为准），</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val="zh-CN"/>
              </w:rPr>
              <w:t>具有水利水电工程跟踪审计（或结算审计或全过程造价咨询）项目业绩</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lang w:val="zh-CN"/>
              </w:rPr>
              <w:t>，得2分。本项满分2分。</w:t>
            </w:r>
          </w:p>
          <w:p w14:paraId="16A4C7F6">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注：（1）响应</w:t>
            </w:r>
            <w:r>
              <w:rPr>
                <w:rFonts w:hint="eastAsia" w:ascii="宋体" w:hAnsi="宋体" w:eastAsia="宋体" w:cs="宋体"/>
                <w:sz w:val="24"/>
                <w:szCs w:val="24"/>
                <w:highlight w:val="none"/>
                <w:lang w:val="zh-CN" w:eastAsia="zh-CN"/>
              </w:rPr>
              <w:t>文件中同时提供①合同（或审计通知书）、②合同甲方盖章的造价成果文件关键页或合同甲方出具的履约完成证明或行业主管部门出具的履约完成证明材料、</w:t>
            </w:r>
            <w:r>
              <w:rPr>
                <w:rFonts w:hint="eastAsia" w:ascii="宋体" w:hAnsi="宋体" w:eastAsia="宋体" w:cs="宋体"/>
                <w:sz w:val="24"/>
                <w:szCs w:val="24"/>
                <w:highlight w:val="none"/>
                <w:lang w:val="en-US" w:eastAsia="zh-CN"/>
              </w:rPr>
              <w:t>③水行政主管部门的项目初步设计批复</w:t>
            </w:r>
            <w:r>
              <w:rPr>
                <w:rFonts w:hint="eastAsia" w:ascii="宋体" w:hAnsi="宋体" w:eastAsia="宋体" w:cs="宋体"/>
                <w:sz w:val="24"/>
                <w:szCs w:val="24"/>
                <w:highlight w:val="none"/>
                <w:lang w:val="zh-CN" w:eastAsia="zh-CN"/>
              </w:rPr>
              <w:t>。若上述资料中未能体现时间、项目类型等关键评审内容，可补充提供由水行政主管部门出具的加盖公章的证明文件。</w:t>
            </w:r>
          </w:p>
          <w:p w14:paraId="52D934A3">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sz w:val="24"/>
                <w:szCs w:val="24"/>
                <w:highlight w:val="none"/>
                <w:lang w:val="en-US" w:eastAsia="zh-CN"/>
              </w:rPr>
              <w:t>（2）提供的项目业绩只计算评标分值对应的项目数量，按照排列顺序从首个业绩开始评审至对应数量，超出部分不进行评审。对应数量内业绩不符合磋商文件要求不得分的，不再补充评审超出部分业绩。如：提供1个业绩即得满分的，按照响应文件排序评审第一项业绩，其余超出部分不再评审。</w:t>
            </w:r>
          </w:p>
        </w:tc>
        <w:tc>
          <w:tcPr>
            <w:tcW w:w="928" w:type="pct"/>
            <w:tcBorders>
              <w:top w:val="single" w:color="auto" w:sz="4" w:space="0"/>
              <w:left w:val="single" w:color="auto" w:sz="4" w:space="0"/>
              <w:bottom w:val="single" w:color="auto" w:sz="4" w:space="0"/>
              <w:right w:val="single" w:color="auto" w:sz="4" w:space="0"/>
            </w:tcBorders>
            <w:vAlign w:val="center"/>
          </w:tcPr>
          <w:p w14:paraId="15370AC7">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0-2分</w:t>
            </w:r>
          </w:p>
        </w:tc>
      </w:tr>
      <w:tr w14:paraId="60D1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13AC0412">
            <w:pPr>
              <w:spacing w:line="360" w:lineRule="auto"/>
              <w:jc w:val="center"/>
              <w:rPr>
                <w:rFonts w:hint="eastAsia" w:ascii="宋体" w:hAnsi="宋体" w:eastAsia="宋体" w:cs="宋体"/>
                <w:color w:val="auto"/>
                <w:sz w:val="24"/>
                <w:szCs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19CF9595">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w:t>
            </w:r>
          </w:p>
          <w:p w14:paraId="13ACACD5">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p w14:paraId="22860B48">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sz w:val="24"/>
                <w:szCs w:val="24"/>
                <w:highlight w:val="none"/>
              </w:rPr>
              <w:t>（联合体参与的，联合体牵头方提供）</w:t>
            </w:r>
          </w:p>
        </w:tc>
        <w:tc>
          <w:tcPr>
            <w:tcW w:w="2197" w:type="pct"/>
            <w:tcBorders>
              <w:top w:val="single" w:color="auto" w:sz="4" w:space="0"/>
              <w:left w:val="single" w:color="auto" w:sz="4" w:space="0"/>
              <w:bottom w:val="single" w:color="auto" w:sz="4" w:space="0"/>
              <w:right w:val="single" w:color="auto" w:sz="4" w:space="0"/>
            </w:tcBorders>
            <w:vAlign w:val="center"/>
          </w:tcPr>
          <w:p w14:paraId="2AF20B98">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自2020年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rPr>
              <w:t>月1日至投标截止时间前（以合同签订时间或审计通知时间为准），</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val="zh-CN"/>
              </w:rPr>
              <w:t>拟派项目负责人具有水利水电工程跟踪审计（或结算审计或全过程造价咨询）项目业绩的，得2分。本项满分2分。</w:t>
            </w:r>
          </w:p>
          <w:p w14:paraId="74E55549">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注：</w:t>
            </w:r>
            <w:r>
              <w:rPr>
                <w:rFonts w:hint="eastAsia" w:ascii="宋体" w:hAnsi="宋体" w:eastAsia="宋体" w:cs="宋体"/>
                <w:sz w:val="24"/>
                <w:szCs w:val="24"/>
                <w:highlight w:val="none"/>
                <w:lang w:val="en-US" w:eastAsia="zh-CN"/>
              </w:rPr>
              <w:t>（1）响应文件中同时提供①合同（或审计通知书）、②合同甲方盖章的造价成果文件关键页或合同甲方出具的履约完成证明或行业主管部门出具的履约完成证明材料</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③水行政主管部门的项目初步设计批复。若上述资料中未能体现时间、项目类型、项目负责人姓名等关键评审内容，可补充提供由</w:t>
            </w:r>
            <w:r>
              <w:rPr>
                <w:rFonts w:hint="eastAsia" w:ascii="宋体" w:hAnsi="宋体" w:eastAsia="宋体" w:cs="宋体"/>
                <w:sz w:val="24"/>
                <w:szCs w:val="24"/>
                <w:highlight w:val="none"/>
                <w:lang w:val="zh-CN" w:eastAsia="zh-CN"/>
              </w:rPr>
              <w:t>水行政主管部门</w:t>
            </w:r>
            <w:r>
              <w:rPr>
                <w:rFonts w:hint="eastAsia" w:ascii="宋体" w:hAnsi="宋体" w:eastAsia="宋体" w:cs="宋体"/>
                <w:sz w:val="24"/>
                <w:szCs w:val="24"/>
                <w:highlight w:val="none"/>
                <w:lang w:val="en-US" w:eastAsia="zh-CN"/>
              </w:rPr>
              <w:t>出具的加盖公章的证明文件。</w:t>
            </w:r>
          </w:p>
          <w:p w14:paraId="4475A6CF">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供的项目业绩只计算评标分值对应的项目数量，按照排列顺序从首个业绩开始评审至对应数量，超出部分不进行评审。对应数量内业绩不符合磋商文件要求不得分的，不再补充评审超出部分业绩。如：提供1个业绩即得满分的，按照响应文件排序评审第一项业绩，其余超出部分不再评审。</w:t>
            </w:r>
          </w:p>
          <w:p w14:paraId="6E594F68">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sz w:val="24"/>
                <w:szCs w:val="24"/>
                <w:highlight w:val="none"/>
                <w:lang w:val="en-US" w:eastAsia="zh-CN"/>
              </w:rPr>
              <w:t>（3）供应商业绩与项目负责人业绩为同一业绩的，不重复计分。</w:t>
            </w:r>
          </w:p>
        </w:tc>
        <w:tc>
          <w:tcPr>
            <w:tcW w:w="928" w:type="pct"/>
            <w:tcBorders>
              <w:top w:val="single" w:color="auto" w:sz="4" w:space="0"/>
              <w:left w:val="single" w:color="auto" w:sz="4" w:space="0"/>
              <w:bottom w:val="single" w:color="auto" w:sz="4" w:space="0"/>
              <w:right w:val="single" w:color="auto" w:sz="4" w:space="0"/>
            </w:tcBorders>
            <w:vAlign w:val="center"/>
          </w:tcPr>
          <w:p w14:paraId="2AF0BF1B">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0-2分</w:t>
            </w:r>
          </w:p>
        </w:tc>
      </w:tr>
      <w:tr w14:paraId="47ED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865" w:type="pct"/>
            <w:vMerge w:val="continue"/>
            <w:tcBorders>
              <w:left w:val="single" w:color="auto" w:sz="4" w:space="0"/>
              <w:right w:val="single" w:color="auto" w:sz="4" w:space="0"/>
            </w:tcBorders>
            <w:vAlign w:val="center"/>
          </w:tcPr>
          <w:p w14:paraId="33E89289">
            <w:pPr>
              <w:spacing w:line="360" w:lineRule="auto"/>
              <w:ind w:firstLine="435"/>
              <w:jc w:val="center"/>
              <w:rPr>
                <w:rFonts w:hint="eastAsia" w:ascii="宋体" w:hAnsi="宋体" w:eastAsia="宋体" w:cs="宋体"/>
                <w:b/>
                <w:bCs/>
                <w:color w:val="auto"/>
                <w:sz w:val="24"/>
                <w:szCs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31B887D">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项目组人员的整体水平</w:t>
            </w:r>
          </w:p>
        </w:tc>
        <w:tc>
          <w:tcPr>
            <w:tcW w:w="2197" w:type="pct"/>
            <w:tcBorders>
              <w:top w:val="single" w:color="auto" w:sz="4" w:space="0"/>
              <w:left w:val="single" w:color="auto" w:sz="4" w:space="0"/>
              <w:bottom w:val="single" w:color="auto" w:sz="4" w:space="0"/>
              <w:right w:val="single" w:color="auto" w:sz="4" w:space="0"/>
            </w:tcBorders>
            <w:vAlign w:val="center"/>
          </w:tcPr>
          <w:p w14:paraId="043440BE">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（1）项目组成员（含项目负责人）中，每有一人具有高级工程师及以上职称的得2分，同一个人不累计计分。本项满分6分。</w:t>
            </w:r>
          </w:p>
          <w:p w14:paraId="0E41DFCC">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注：投标文件中同时提供人员配备名单（格式自拟）、相应人员有效身份证（含正反页）、相应人员职称证书。</w:t>
            </w:r>
          </w:p>
        </w:tc>
        <w:tc>
          <w:tcPr>
            <w:tcW w:w="928" w:type="pct"/>
            <w:tcBorders>
              <w:top w:val="single" w:color="auto" w:sz="4" w:space="0"/>
              <w:left w:val="single" w:color="auto" w:sz="4" w:space="0"/>
              <w:bottom w:val="single" w:color="auto" w:sz="4" w:space="0"/>
              <w:right w:val="single" w:color="auto" w:sz="4" w:space="0"/>
            </w:tcBorders>
            <w:vAlign w:val="center"/>
          </w:tcPr>
          <w:p w14:paraId="655BDDB9">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0-6分</w:t>
            </w:r>
          </w:p>
        </w:tc>
      </w:tr>
      <w:tr w14:paraId="19CA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restart"/>
            <w:tcBorders>
              <w:left w:val="single" w:color="auto" w:sz="4" w:space="0"/>
              <w:right w:val="single" w:color="auto" w:sz="4" w:space="0"/>
            </w:tcBorders>
            <w:vAlign w:val="center"/>
          </w:tcPr>
          <w:p w14:paraId="5E00004B">
            <w:pPr>
              <w:spacing w:line="360" w:lineRule="auto"/>
              <w:ind w:firstLine="435"/>
              <w:jc w:val="center"/>
              <w:rPr>
                <w:rFonts w:hint="eastAsia" w:ascii="宋体" w:hAnsi="宋体" w:eastAsia="宋体" w:cs="宋体"/>
                <w:b/>
                <w:bCs/>
                <w:color w:val="auto"/>
                <w:sz w:val="24"/>
                <w:szCs w:val="24"/>
                <w:highlight w:val="none"/>
              </w:rPr>
            </w:pPr>
          </w:p>
        </w:tc>
        <w:tc>
          <w:tcPr>
            <w:tcW w:w="4134" w:type="pct"/>
            <w:gridSpan w:val="3"/>
            <w:tcBorders>
              <w:top w:val="single" w:color="auto" w:sz="4" w:space="0"/>
              <w:left w:val="single" w:color="auto" w:sz="4" w:space="0"/>
              <w:bottom w:val="single" w:color="auto" w:sz="4" w:space="0"/>
              <w:right w:val="single" w:color="auto" w:sz="4" w:space="0"/>
            </w:tcBorders>
            <w:vAlign w:val="center"/>
          </w:tcPr>
          <w:p w14:paraId="568E151D">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技术部分</w:t>
            </w:r>
          </w:p>
        </w:tc>
      </w:tr>
      <w:tr w14:paraId="1B26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2F3C61D3">
            <w:pPr>
              <w:spacing w:line="360" w:lineRule="auto"/>
              <w:ind w:firstLine="435"/>
              <w:jc w:val="center"/>
              <w:rPr>
                <w:rFonts w:hint="eastAsia" w:ascii="宋体" w:hAnsi="宋体" w:eastAsia="宋体" w:cs="宋体"/>
                <w:b/>
                <w:bCs/>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2574D0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1.难点、重点分析</w:t>
            </w:r>
          </w:p>
        </w:tc>
        <w:tc>
          <w:tcPr>
            <w:tcW w:w="3745" w:type="dxa"/>
            <w:tcBorders>
              <w:top w:val="single" w:color="auto" w:sz="4" w:space="0"/>
              <w:left w:val="single" w:color="auto" w:sz="4" w:space="0"/>
              <w:bottom w:val="single" w:color="auto" w:sz="4" w:space="0"/>
              <w:right w:val="single" w:color="auto" w:sz="4" w:space="0"/>
            </w:tcBorders>
            <w:vAlign w:val="center"/>
          </w:tcPr>
          <w:p w14:paraId="5794B3CE">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针对本工程特点，进行跟踪审计难点、重点分析，制定相应的方案措施。</w:t>
            </w:r>
          </w:p>
          <w:p w14:paraId="477DFCF2">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（1）重点及难点分析及处理措施内容完整、有着详细分析和处理措施，方案内容全面，可行性、针对性强，完全满足采购需求得 5 分；</w:t>
            </w:r>
          </w:p>
          <w:p w14:paraId="294FA9B8">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（2）重点及难点分析及处理措施内容简单、有相应针对重点难点的分析和处理措施，方案内容全面，但出现了不适用本项目特性的内容的，得3分；</w:t>
            </w:r>
          </w:p>
          <w:p w14:paraId="2C6E7837">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（3）重点及难点分析及处理措施内容、有简单的技术分析和处理措施，对各个环节的保障措施、安全措施等缺项或关键点缺失的，得1分；</w:t>
            </w:r>
          </w:p>
          <w:p w14:paraId="12F4A2B8">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（4）未提供的不得分。</w:t>
            </w:r>
          </w:p>
        </w:tc>
        <w:tc>
          <w:tcPr>
            <w:tcW w:w="1582" w:type="dxa"/>
            <w:tcBorders>
              <w:top w:val="single" w:color="auto" w:sz="4" w:space="0"/>
              <w:left w:val="single" w:color="auto" w:sz="4" w:space="0"/>
              <w:bottom w:val="single" w:color="auto" w:sz="4" w:space="0"/>
              <w:right w:val="single" w:color="auto" w:sz="4" w:space="0"/>
            </w:tcBorders>
            <w:vAlign w:val="center"/>
          </w:tcPr>
          <w:p w14:paraId="267B1787">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0-5分</w:t>
            </w:r>
          </w:p>
        </w:tc>
      </w:tr>
      <w:tr w14:paraId="2CE8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48C13182">
            <w:pPr>
              <w:spacing w:line="360" w:lineRule="auto"/>
              <w:ind w:firstLine="435"/>
              <w:jc w:val="center"/>
              <w:rPr>
                <w:rFonts w:hint="eastAsia" w:ascii="宋体" w:hAnsi="宋体" w:eastAsia="宋体" w:cs="宋体"/>
                <w:b/>
                <w:bCs/>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6D2C27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2.主要工作内容</w:t>
            </w:r>
          </w:p>
        </w:tc>
        <w:tc>
          <w:tcPr>
            <w:tcW w:w="3745" w:type="dxa"/>
            <w:tcBorders>
              <w:top w:val="single" w:color="auto" w:sz="4" w:space="0"/>
              <w:left w:val="single" w:color="auto" w:sz="4" w:space="0"/>
              <w:bottom w:val="single" w:color="auto" w:sz="4" w:space="0"/>
              <w:right w:val="single" w:color="auto" w:sz="4" w:space="0"/>
            </w:tcBorders>
            <w:vAlign w:val="center"/>
          </w:tcPr>
          <w:p w14:paraId="57978977">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（1）实施项目跟踪审计的主要工作内容完整详实，表述清晰的得5分；</w:t>
            </w:r>
          </w:p>
          <w:p w14:paraId="4E09BBE7">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（2）实施项目跟踪审计的主要工作覆盖全面，内容完整详实，表述适当的得3分；</w:t>
            </w:r>
          </w:p>
          <w:p w14:paraId="048760CB">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（3）实施项目跟踪审计的主要工作内容有待完善，要点突出不够明显，具体细节有待完善的得1分；</w:t>
            </w:r>
          </w:p>
          <w:p w14:paraId="179154D2">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lang w:val="en-US" w:eastAsia="zh-CN" w:bidi="ar"/>
              </w:rPr>
              <w:t>（4）未提供相应内容的不得分。</w:t>
            </w:r>
          </w:p>
        </w:tc>
        <w:tc>
          <w:tcPr>
            <w:tcW w:w="1582" w:type="dxa"/>
            <w:tcBorders>
              <w:top w:val="single" w:color="auto" w:sz="4" w:space="0"/>
              <w:left w:val="single" w:color="auto" w:sz="4" w:space="0"/>
              <w:bottom w:val="single" w:color="auto" w:sz="4" w:space="0"/>
              <w:right w:val="single" w:color="auto" w:sz="4" w:space="0"/>
            </w:tcBorders>
            <w:vAlign w:val="center"/>
          </w:tcPr>
          <w:p w14:paraId="15A6F3A1">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0-5分</w:t>
            </w:r>
          </w:p>
        </w:tc>
      </w:tr>
      <w:tr w14:paraId="64CB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2B7F4244">
            <w:pPr>
              <w:spacing w:line="360" w:lineRule="auto"/>
              <w:ind w:firstLine="435"/>
              <w:jc w:val="center"/>
              <w:rPr>
                <w:rFonts w:hint="eastAsia" w:ascii="宋体" w:hAnsi="宋体" w:eastAsia="宋体" w:cs="宋体"/>
                <w:b/>
                <w:bCs/>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25F7C3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3.各阶段工作方法和实施程序</w:t>
            </w:r>
          </w:p>
        </w:tc>
        <w:tc>
          <w:tcPr>
            <w:tcW w:w="3745" w:type="dxa"/>
            <w:tcBorders>
              <w:top w:val="single" w:color="auto" w:sz="4" w:space="0"/>
              <w:left w:val="single" w:color="auto" w:sz="4" w:space="0"/>
              <w:bottom w:val="single" w:color="auto" w:sz="4" w:space="0"/>
              <w:right w:val="single" w:color="auto" w:sz="4" w:space="0"/>
            </w:tcBorders>
            <w:vAlign w:val="center"/>
          </w:tcPr>
          <w:p w14:paraId="11C5776E">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（1）各阶段工作方法和实施程序内容详细、完整，实施措施合理的得5分；</w:t>
            </w:r>
          </w:p>
          <w:p w14:paraId="7FEA3EC7">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（2）各阶段工作方法和实施程序内容完整，符合实际需求的得3分；</w:t>
            </w:r>
          </w:p>
          <w:p w14:paraId="431A6156">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（3）各阶段工作方法和实施程序内容简单、条理不清晰，存在不足的得1分；</w:t>
            </w:r>
          </w:p>
          <w:p w14:paraId="7F3E5F0F">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lang w:val="en-US" w:eastAsia="zh-CN" w:bidi="ar"/>
              </w:rPr>
              <w:t>（4）未提供不得分。</w:t>
            </w:r>
          </w:p>
        </w:tc>
        <w:tc>
          <w:tcPr>
            <w:tcW w:w="1582" w:type="dxa"/>
            <w:tcBorders>
              <w:top w:val="single" w:color="auto" w:sz="4" w:space="0"/>
              <w:left w:val="single" w:color="auto" w:sz="4" w:space="0"/>
              <w:bottom w:val="single" w:color="auto" w:sz="4" w:space="0"/>
              <w:right w:val="single" w:color="auto" w:sz="4" w:space="0"/>
            </w:tcBorders>
            <w:vAlign w:val="center"/>
          </w:tcPr>
          <w:p w14:paraId="4AB6AF6F">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0-5分</w:t>
            </w:r>
          </w:p>
        </w:tc>
      </w:tr>
      <w:tr w14:paraId="310A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76EA78B9">
            <w:pPr>
              <w:spacing w:line="360" w:lineRule="auto"/>
              <w:ind w:firstLine="435"/>
              <w:jc w:val="center"/>
              <w:rPr>
                <w:rFonts w:hint="eastAsia" w:ascii="宋体" w:hAnsi="宋体" w:eastAsia="宋体" w:cs="宋体"/>
                <w:b/>
                <w:bCs/>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2FACA1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4.安全管理措施</w:t>
            </w:r>
          </w:p>
        </w:tc>
        <w:tc>
          <w:tcPr>
            <w:tcW w:w="3745" w:type="dxa"/>
            <w:tcBorders>
              <w:top w:val="single" w:color="auto" w:sz="4" w:space="0"/>
              <w:left w:val="single" w:color="auto" w:sz="4" w:space="0"/>
              <w:bottom w:val="single" w:color="auto" w:sz="4" w:space="0"/>
              <w:right w:val="single" w:color="auto" w:sz="4" w:space="0"/>
            </w:tcBorders>
            <w:vAlign w:val="center"/>
          </w:tcPr>
          <w:p w14:paraId="3633147F">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根据现场实际情况结合本项目特点，对项目实施过程制定合理安全管理方案。</w:t>
            </w:r>
          </w:p>
          <w:p w14:paraId="7222968C">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（1）内容完整周密，表述清晰的得5分；</w:t>
            </w:r>
          </w:p>
          <w:p w14:paraId="2391B30A">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（2）内容全面且完整详实，表述适当的得3分；</w:t>
            </w:r>
          </w:p>
          <w:p w14:paraId="0E12626A">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（3）内容须进一步完善，要点突出不明显，具体细节有待完善的得1分；</w:t>
            </w:r>
          </w:p>
          <w:p w14:paraId="39FB264D">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（4）未提供相应内容的不得分。</w:t>
            </w:r>
          </w:p>
        </w:tc>
        <w:tc>
          <w:tcPr>
            <w:tcW w:w="1582" w:type="dxa"/>
            <w:tcBorders>
              <w:top w:val="single" w:color="auto" w:sz="4" w:space="0"/>
              <w:left w:val="single" w:color="auto" w:sz="4" w:space="0"/>
              <w:bottom w:val="single" w:color="auto" w:sz="4" w:space="0"/>
              <w:right w:val="single" w:color="auto" w:sz="4" w:space="0"/>
            </w:tcBorders>
            <w:vAlign w:val="center"/>
          </w:tcPr>
          <w:p w14:paraId="4B0995CA">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0-5分</w:t>
            </w:r>
          </w:p>
        </w:tc>
      </w:tr>
      <w:tr w14:paraId="1652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16BFCEA6">
            <w:pPr>
              <w:spacing w:line="360" w:lineRule="auto"/>
              <w:ind w:firstLine="435"/>
              <w:jc w:val="center"/>
              <w:rPr>
                <w:rFonts w:hint="eastAsia" w:ascii="宋体" w:hAnsi="宋体" w:eastAsia="宋体" w:cs="宋体"/>
                <w:b/>
                <w:bCs/>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751C53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5.</w:t>
            </w:r>
            <w:bookmarkStart w:id="109" w:name="_GoBack"/>
            <w:r>
              <w:rPr>
                <w:rFonts w:hint="eastAsia" w:ascii="宋体" w:hAnsi="宋体" w:eastAsia="宋体" w:cs="宋体"/>
                <w:color w:val="auto"/>
                <w:kern w:val="0"/>
                <w:sz w:val="24"/>
                <w:szCs w:val="24"/>
                <w:highlight w:val="none"/>
                <w:lang w:val="en-US" w:eastAsia="zh-CN" w:bidi="ar"/>
              </w:rPr>
              <w:t>质量保证措施</w:t>
            </w:r>
            <w:bookmarkEnd w:id="109"/>
          </w:p>
        </w:tc>
        <w:tc>
          <w:tcPr>
            <w:tcW w:w="3745" w:type="dxa"/>
            <w:tcBorders>
              <w:top w:val="single" w:color="auto" w:sz="4" w:space="0"/>
              <w:left w:val="single" w:color="auto" w:sz="4" w:space="0"/>
              <w:bottom w:val="single" w:color="auto" w:sz="4" w:space="0"/>
              <w:right w:val="single" w:color="auto" w:sz="4" w:space="0"/>
            </w:tcBorders>
            <w:vAlign w:val="center"/>
          </w:tcPr>
          <w:p w14:paraId="60F7B704">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根据各供应商针对本项目实际情况制定的质量保证措施，包括但不限于档案管理制度、成果文件质量控制制度、项目小组工作职责分工等。</w:t>
            </w:r>
          </w:p>
          <w:p w14:paraId="433FAE5F">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（1）内容健全周密，实施措施合理的得5分；</w:t>
            </w:r>
          </w:p>
          <w:p w14:paraId="60D977C6">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（2）内容完整，符合实际需求的得3分；</w:t>
            </w:r>
          </w:p>
          <w:p w14:paraId="66E51596">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（3）内容简单、条理不清晰，存在不足的得1分；</w:t>
            </w:r>
          </w:p>
          <w:p w14:paraId="28FECA25">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（4）未提供不得分。</w:t>
            </w:r>
          </w:p>
        </w:tc>
        <w:tc>
          <w:tcPr>
            <w:tcW w:w="1582" w:type="dxa"/>
            <w:tcBorders>
              <w:top w:val="single" w:color="auto" w:sz="4" w:space="0"/>
              <w:left w:val="single" w:color="auto" w:sz="4" w:space="0"/>
              <w:bottom w:val="single" w:color="auto" w:sz="4" w:space="0"/>
              <w:right w:val="single" w:color="auto" w:sz="4" w:space="0"/>
            </w:tcBorders>
            <w:vAlign w:val="center"/>
          </w:tcPr>
          <w:p w14:paraId="42145835">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0-5分</w:t>
            </w:r>
          </w:p>
        </w:tc>
      </w:tr>
      <w:tr w14:paraId="4316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30E72608">
            <w:pPr>
              <w:spacing w:line="360" w:lineRule="auto"/>
              <w:ind w:firstLine="435"/>
              <w:jc w:val="center"/>
              <w:rPr>
                <w:rFonts w:hint="eastAsia" w:ascii="宋体" w:hAnsi="宋体" w:eastAsia="宋体" w:cs="宋体"/>
                <w:b/>
                <w:bCs/>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1CCDFB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6.合同管理措施</w:t>
            </w:r>
          </w:p>
        </w:tc>
        <w:tc>
          <w:tcPr>
            <w:tcW w:w="3745" w:type="dxa"/>
            <w:tcBorders>
              <w:top w:val="single" w:color="auto" w:sz="4" w:space="0"/>
              <w:left w:val="single" w:color="auto" w:sz="4" w:space="0"/>
              <w:bottom w:val="single" w:color="auto" w:sz="4" w:space="0"/>
              <w:right w:val="single" w:color="auto" w:sz="4" w:space="0"/>
            </w:tcBorders>
            <w:vAlign w:val="center"/>
          </w:tcPr>
          <w:p w14:paraId="5580AD80">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根据各供应商针对本项目实际情况制定的合同管理措施进行评审。</w:t>
            </w:r>
          </w:p>
          <w:p w14:paraId="44E75F36">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（1）内容详细、完整，实施措施合理的得5分；</w:t>
            </w:r>
          </w:p>
          <w:p w14:paraId="5138E121">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（2）内容完整，符合实际需求的得3分；</w:t>
            </w:r>
          </w:p>
          <w:p w14:paraId="74C867E6">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（3）内容简单、条理不清晰，存在不足的得1分；</w:t>
            </w:r>
          </w:p>
          <w:p w14:paraId="1ED481A8">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（4）未提供不得分。</w:t>
            </w:r>
          </w:p>
        </w:tc>
        <w:tc>
          <w:tcPr>
            <w:tcW w:w="1582" w:type="dxa"/>
            <w:tcBorders>
              <w:top w:val="single" w:color="auto" w:sz="4" w:space="0"/>
              <w:left w:val="single" w:color="auto" w:sz="4" w:space="0"/>
              <w:bottom w:val="single" w:color="auto" w:sz="4" w:space="0"/>
              <w:right w:val="single" w:color="auto" w:sz="4" w:space="0"/>
            </w:tcBorders>
            <w:vAlign w:val="center"/>
          </w:tcPr>
          <w:p w14:paraId="663A884E">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0-5分</w:t>
            </w:r>
          </w:p>
        </w:tc>
      </w:tr>
      <w:tr w14:paraId="5828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656AB2F7">
            <w:pPr>
              <w:spacing w:line="360" w:lineRule="auto"/>
              <w:ind w:firstLine="435"/>
              <w:jc w:val="center"/>
              <w:rPr>
                <w:rFonts w:hint="eastAsia" w:ascii="宋体" w:hAnsi="宋体" w:eastAsia="宋体" w:cs="宋体"/>
                <w:b/>
                <w:bCs/>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6D9245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7.资料信息管理措施</w:t>
            </w:r>
          </w:p>
        </w:tc>
        <w:tc>
          <w:tcPr>
            <w:tcW w:w="3745" w:type="dxa"/>
            <w:tcBorders>
              <w:top w:val="single" w:color="auto" w:sz="4" w:space="0"/>
              <w:left w:val="single" w:color="auto" w:sz="4" w:space="0"/>
              <w:bottom w:val="single" w:color="auto" w:sz="4" w:space="0"/>
              <w:right w:val="single" w:color="auto" w:sz="4" w:space="0"/>
            </w:tcBorders>
            <w:vAlign w:val="center"/>
          </w:tcPr>
          <w:p w14:paraId="7DEE16CB">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根据各供应商针对本项目实际情况制定的资料信息管理措施进行评审。</w:t>
            </w:r>
          </w:p>
          <w:p w14:paraId="15572D35">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（1）内容详细、完整，实施措施合理的得5分；</w:t>
            </w:r>
          </w:p>
          <w:p w14:paraId="1713CB4C">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（2）内容完整，符合实际需求的得3分；</w:t>
            </w:r>
          </w:p>
          <w:p w14:paraId="65425716">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（3）内容简单、条理不清晰，存在不足的得1分；</w:t>
            </w:r>
          </w:p>
          <w:p w14:paraId="0225FC2D">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（4）未提供不得分。</w:t>
            </w:r>
          </w:p>
        </w:tc>
        <w:tc>
          <w:tcPr>
            <w:tcW w:w="1582" w:type="dxa"/>
            <w:tcBorders>
              <w:top w:val="single" w:color="auto" w:sz="4" w:space="0"/>
              <w:left w:val="single" w:color="auto" w:sz="4" w:space="0"/>
              <w:bottom w:val="single" w:color="auto" w:sz="4" w:space="0"/>
              <w:right w:val="single" w:color="auto" w:sz="4" w:space="0"/>
            </w:tcBorders>
            <w:vAlign w:val="center"/>
          </w:tcPr>
          <w:p w14:paraId="65D61219">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0-5分</w:t>
            </w:r>
          </w:p>
        </w:tc>
      </w:tr>
      <w:tr w14:paraId="5525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7EEE6D6A">
            <w:pPr>
              <w:spacing w:line="360" w:lineRule="auto"/>
              <w:ind w:firstLine="435"/>
              <w:jc w:val="center"/>
              <w:rPr>
                <w:rFonts w:hint="eastAsia" w:ascii="宋体" w:hAnsi="宋体" w:eastAsia="宋体" w:cs="宋体"/>
                <w:b/>
                <w:bCs/>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3DC427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8.公司内控制度、质量控制体系及配合委托方管理措施</w:t>
            </w:r>
          </w:p>
        </w:tc>
        <w:tc>
          <w:tcPr>
            <w:tcW w:w="3745" w:type="dxa"/>
            <w:tcBorders>
              <w:top w:val="single" w:color="auto" w:sz="4" w:space="0"/>
              <w:left w:val="single" w:color="auto" w:sz="4" w:space="0"/>
              <w:bottom w:val="single" w:color="auto" w:sz="4" w:space="0"/>
              <w:right w:val="single" w:color="auto" w:sz="4" w:space="0"/>
            </w:tcBorders>
            <w:vAlign w:val="center"/>
          </w:tcPr>
          <w:p w14:paraId="25BDA91A">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根据各供应商针对本项目制定的公司内控制度、质量控制体系及配合委托方管理措施进行评审：</w:t>
            </w:r>
          </w:p>
          <w:p w14:paraId="42C9706A">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（1）所制定的措施有效，内容详细、完整，并结合自身经验，给出完善、细致的合理化建议的，得5分；</w:t>
            </w:r>
          </w:p>
          <w:p w14:paraId="1B215946">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（2）所制定的措施能充分结合项目实际情况，计划合理，并结合自身经验，给出相应合理化建议的，得3分；</w:t>
            </w:r>
          </w:p>
          <w:p w14:paraId="47D2EAE3">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（3）所制定的措施理解与认识不到位或内容有缺失，仍需进一步完善的，得1分；</w:t>
            </w:r>
          </w:p>
          <w:p w14:paraId="5924AF9B">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（4）未提供不得分。</w:t>
            </w:r>
          </w:p>
        </w:tc>
        <w:tc>
          <w:tcPr>
            <w:tcW w:w="1582" w:type="dxa"/>
            <w:tcBorders>
              <w:top w:val="single" w:color="auto" w:sz="4" w:space="0"/>
              <w:left w:val="single" w:color="auto" w:sz="4" w:space="0"/>
              <w:bottom w:val="single" w:color="auto" w:sz="4" w:space="0"/>
              <w:right w:val="single" w:color="auto" w:sz="4" w:space="0"/>
            </w:tcBorders>
            <w:vAlign w:val="center"/>
          </w:tcPr>
          <w:p w14:paraId="0F6A1CA6">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0-5分</w:t>
            </w:r>
          </w:p>
        </w:tc>
      </w:tr>
      <w:tr w14:paraId="4621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63BB02C0">
            <w:pPr>
              <w:spacing w:line="360" w:lineRule="auto"/>
              <w:ind w:firstLine="435"/>
              <w:jc w:val="center"/>
              <w:rPr>
                <w:rFonts w:hint="eastAsia" w:ascii="宋体" w:hAnsi="宋体" w:eastAsia="宋体" w:cs="宋体"/>
                <w:b/>
                <w:bCs/>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621A93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9.审计过程中异常情况分析及预防措施</w:t>
            </w:r>
          </w:p>
        </w:tc>
        <w:tc>
          <w:tcPr>
            <w:tcW w:w="3745" w:type="dxa"/>
            <w:tcBorders>
              <w:top w:val="single" w:color="auto" w:sz="4" w:space="0"/>
              <w:left w:val="single" w:color="auto" w:sz="4" w:space="0"/>
              <w:bottom w:val="single" w:color="auto" w:sz="4" w:space="0"/>
              <w:right w:val="single" w:color="auto" w:sz="4" w:space="0"/>
            </w:tcBorders>
            <w:vAlign w:val="center"/>
          </w:tcPr>
          <w:p w14:paraId="0EAB4BD0">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根据各投标人提供的针对本项目实际情况制定的检测过程中异常或不合格情况分析及预防措施进行评审：</w:t>
            </w:r>
          </w:p>
          <w:p w14:paraId="16C3C3AA">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所制定的异常情况分析及预防措施能充分结合项目实际情况，计划周密，措施有效，内容详细、完整，能够完全满足采购人对服务水平和规范管理的要求，并结合自身经验，给出完善、细致的合理化建议的，得5分；</w:t>
            </w:r>
          </w:p>
          <w:p w14:paraId="32D5CB7F">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（2）所制定的异常情况分析及预防措施能充分结合项目实际情况，计划合理，能满足采购人对服务水平和规范管理的要求，并结合自身经验，给出相应合理化建议的，得3分；</w:t>
            </w:r>
          </w:p>
          <w:p w14:paraId="77376178">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（3）对本项目的异常情况分析及预防措施理解与认识不到位或内容有缺失，仍需进一步完善的，得1分；</w:t>
            </w:r>
          </w:p>
          <w:p w14:paraId="4B32E6DF">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（4）未提供不得分。</w:t>
            </w:r>
          </w:p>
        </w:tc>
        <w:tc>
          <w:tcPr>
            <w:tcW w:w="1582" w:type="dxa"/>
            <w:tcBorders>
              <w:top w:val="single" w:color="auto" w:sz="4" w:space="0"/>
              <w:left w:val="single" w:color="auto" w:sz="4" w:space="0"/>
              <w:bottom w:val="single" w:color="auto" w:sz="4" w:space="0"/>
              <w:right w:val="single" w:color="auto" w:sz="4" w:space="0"/>
            </w:tcBorders>
            <w:vAlign w:val="center"/>
          </w:tcPr>
          <w:p w14:paraId="594C4233">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0-5分</w:t>
            </w:r>
          </w:p>
        </w:tc>
      </w:tr>
      <w:tr w14:paraId="67DB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661C1F53">
            <w:pPr>
              <w:spacing w:line="360" w:lineRule="auto"/>
              <w:ind w:firstLine="435"/>
              <w:jc w:val="center"/>
              <w:rPr>
                <w:rFonts w:hint="eastAsia" w:ascii="宋体" w:hAnsi="宋体" w:eastAsia="宋体" w:cs="宋体"/>
                <w:b/>
                <w:bCs/>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491D98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10.合理化建议</w:t>
            </w:r>
          </w:p>
        </w:tc>
        <w:tc>
          <w:tcPr>
            <w:tcW w:w="3745" w:type="dxa"/>
            <w:tcBorders>
              <w:top w:val="single" w:color="auto" w:sz="4" w:space="0"/>
              <w:left w:val="single" w:color="auto" w:sz="4" w:space="0"/>
              <w:bottom w:val="single" w:color="auto" w:sz="4" w:space="0"/>
              <w:right w:val="single" w:color="auto" w:sz="4" w:space="0"/>
            </w:tcBorders>
            <w:vAlign w:val="center"/>
          </w:tcPr>
          <w:p w14:paraId="07876095">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根据投标人提供的针对本项目的合理化建议进行评审：</w:t>
            </w:r>
          </w:p>
          <w:p w14:paraId="1D29A452">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1.针对本工程特点，列出对本工程的跟踪审计建议，建议科学合理并且有具体的保证措施。各项措施周全、具体、有效的得5分；</w:t>
            </w:r>
          </w:p>
          <w:p w14:paraId="7B627383">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2.针对本工程特点，列出本工程的跟踪审计建议，建议合理并且有具体的保证措施。各项措施内容清晰、完善的得3分；</w:t>
            </w:r>
          </w:p>
          <w:p w14:paraId="077BE536">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3.针对本工程特点，列出本工程的建议及保证措施，但关键点缺失、有待完善的得1分；</w:t>
            </w:r>
          </w:p>
          <w:p w14:paraId="6ED135C6">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4.不合格的或未提供的不得分。</w:t>
            </w:r>
          </w:p>
        </w:tc>
        <w:tc>
          <w:tcPr>
            <w:tcW w:w="1582" w:type="dxa"/>
            <w:tcBorders>
              <w:top w:val="single" w:color="auto" w:sz="4" w:space="0"/>
              <w:left w:val="single" w:color="auto" w:sz="4" w:space="0"/>
              <w:bottom w:val="single" w:color="auto" w:sz="4" w:space="0"/>
              <w:right w:val="single" w:color="auto" w:sz="4" w:space="0"/>
            </w:tcBorders>
            <w:vAlign w:val="center"/>
          </w:tcPr>
          <w:p w14:paraId="7224542C">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0-5分</w:t>
            </w:r>
          </w:p>
        </w:tc>
      </w:tr>
      <w:tr w14:paraId="0B9E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5CE66C1B">
            <w:pPr>
              <w:spacing w:line="360" w:lineRule="auto"/>
              <w:ind w:firstLine="435"/>
              <w:jc w:val="center"/>
              <w:rPr>
                <w:rFonts w:hint="eastAsia" w:ascii="宋体" w:hAnsi="宋体" w:eastAsia="宋体" w:cs="宋体"/>
                <w:b/>
                <w:bCs/>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79356F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11.服务承诺</w:t>
            </w:r>
          </w:p>
        </w:tc>
        <w:tc>
          <w:tcPr>
            <w:tcW w:w="3745" w:type="dxa"/>
            <w:tcBorders>
              <w:top w:val="single" w:color="auto" w:sz="4" w:space="0"/>
              <w:left w:val="single" w:color="auto" w:sz="4" w:space="0"/>
              <w:bottom w:val="single" w:color="auto" w:sz="4" w:space="0"/>
              <w:right w:val="single" w:color="auto" w:sz="4" w:space="0"/>
            </w:tcBorders>
            <w:vAlign w:val="center"/>
          </w:tcPr>
          <w:p w14:paraId="54713D40">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投标人根据本项目需求，针对性的提出服务承诺及方案，由评标委员会按下述评分标准进行评审：</w:t>
            </w:r>
          </w:p>
          <w:p w14:paraId="17C5DAA3">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（1）服务承诺详尽细致，有针对本项目提出的内容的得5分；</w:t>
            </w:r>
          </w:p>
          <w:p w14:paraId="17245B97">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（2）服务承诺内容满足本项目服务内容的得3分；</w:t>
            </w:r>
          </w:p>
          <w:p w14:paraId="57880C46">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（3）服务承诺有待进一步完善的得1分；</w:t>
            </w:r>
          </w:p>
          <w:p w14:paraId="019C97A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（4）未提供相关内容的不得分。</w:t>
            </w:r>
          </w:p>
        </w:tc>
        <w:tc>
          <w:tcPr>
            <w:tcW w:w="1582" w:type="dxa"/>
            <w:tcBorders>
              <w:top w:val="single" w:color="auto" w:sz="4" w:space="0"/>
              <w:left w:val="single" w:color="auto" w:sz="4" w:space="0"/>
              <w:bottom w:val="single" w:color="auto" w:sz="4" w:space="0"/>
              <w:right w:val="single" w:color="auto" w:sz="4" w:space="0"/>
            </w:tcBorders>
            <w:vAlign w:val="center"/>
          </w:tcPr>
          <w:p w14:paraId="4B930EF2">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0-5分</w:t>
            </w:r>
          </w:p>
        </w:tc>
      </w:tr>
      <w:tr w14:paraId="51A3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4FB3A4D9">
            <w:pPr>
              <w:spacing w:line="360" w:lineRule="auto"/>
              <w:ind w:firstLine="435"/>
              <w:jc w:val="center"/>
              <w:rPr>
                <w:rFonts w:hint="eastAsia" w:ascii="宋体" w:hAnsi="宋体" w:eastAsia="宋体" w:cs="宋体"/>
                <w:b/>
                <w:bCs/>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0CCD2492">
            <w:pPr>
              <w:pStyle w:val="2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12.廉洁自律措施</w:t>
            </w:r>
          </w:p>
        </w:tc>
        <w:tc>
          <w:tcPr>
            <w:tcW w:w="3745" w:type="dxa"/>
            <w:tcBorders>
              <w:top w:val="single" w:color="auto" w:sz="4" w:space="0"/>
              <w:left w:val="single" w:color="auto" w:sz="4" w:space="0"/>
              <w:bottom w:val="single" w:color="auto" w:sz="4" w:space="0"/>
              <w:right w:val="single" w:color="auto" w:sz="4" w:space="0"/>
            </w:tcBorders>
            <w:shd w:val="clear" w:color="auto" w:fill="auto"/>
            <w:vAlign w:val="center"/>
          </w:tcPr>
          <w:p w14:paraId="265C60DB">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投标人根据本项目需求，制定廉洁自律措施。</w:t>
            </w:r>
          </w:p>
          <w:p w14:paraId="1924818B">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（1）所制定的措施叙述全面、完整的得5分；</w:t>
            </w:r>
          </w:p>
          <w:p w14:paraId="1B0021DF">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（2）所制定的措施完整详实，表述适当的得3分；</w:t>
            </w:r>
          </w:p>
          <w:p w14:paraId="178D8E3B">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（3）所制定的措施内容有待完善，具体细节不足的得1分；</w:t>
            </w:r>
          </w:p>
          <w:p w14:paraId="00CA714A">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（4）未提供相应内容的不得分。</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14:paraId="1B06EE36">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0-5分</w:t>
            </w:r>
          </w:p>
        </w:tc>
      </w:tr>
      <w:tr w14:paraId="34BE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tcBorders>
              <w:left w:val="single" w:color="auto" w:sz="4" w:space="0"/>
              <w:right w:val="single" w:color="auto" w:sz="4" w:space="0"/>
            </w:tcBorders>
            <w:vAlign w:val="center"/>
          </w:tcPr>
          <w:p w14:paraId="387F18A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5A980084">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tc>
        <w:tc>
          <w:tcPr>
            <w:tcW w:w="4134" w:type="pct"/>
            <w:gridSpan w:val="3"/>
            <w:tcBorders>
              <w:top w:val="single" w:color="auto" w:sz="4" w:space="0"/>
              <w:left w:val="single" w:color="auto" w:sz="4" w:space="0"/>
              <w:bottom w:val="single" w:color="auto" w:sz="4" w:space="0"/>
              <w:right w:val="single" w:color="auto" w:sz="4" w:space="0"/>
            </w:tcBorders>
            <w:vAlign w:val="center"/>
          </w:tcPr>
          <w:p w14:paraId="6C8B3D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价格分统一采用低价优先法，即满足磋商文件要求且最后报价最低的供应商的价格为磋商基准价，其价格分为满分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分。其他供应商的价格分统一按照下列公式计算：</w:t>
            </w:r>
          </w:p>
          <w:p w14:paraId="73611942">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磋商报价得分＝（磋商基准价/最后磋商报价）×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30 </w:t>
            </w:r>
            <w:r>
              <w:rPr>
                <w:rFonts w:hint="eastAsia" w:ascii="宋体" w:hAnsi="宋体" w:eastAsia="宋体" w:cs="宋体"/>
                <w:color w:val="auto"/>
                <w:sz w:val="24"/>
                <w:szCs w:val="24"/>
                <w:highlight w:val="none"/>
              </w:rPr>
              <w:t>％×100</w:t>
            </w:r>
          </w:p>
        </w:tc>
      </w:tr>
    </w:tbl>
    <w:p w14:paraId="066FCE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分值汇总</w:t>
      </w:r>
    </w:p>
    <w:p w14:paraId="4CB7E9A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763A3A70">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2）将每个供应商的技术资信分加上根据上述标准计算出的价格分，即为该供应商的综合总得分</w:t>
      </w:r>
      <w:r>
        <w:rPr>
          <w:rFonts w:hint="eastAsia" w:asciiTheme="minorEastAsia" w:hAnsiTheme="minorEastAsia" w:eastAsiaTheme="minorEastAsia"/>
          <w:color w:val="auto"/>
          <w:sz w:val="24"/>
          <w:highlight w:val="none"/>
          <w:lang w:eastAsia="zh-CN"/>
        </w:rPr>
        <w:t>。</w:t>
      </w:r>
    </w:p>
    <w:p w14:paraId="371A9EDF">
      <w:pPr>
        <w:spacing w:line="360" w:lineRule="auto"/>
        <w:ind w:firstLine="435"/>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三、无效条款</w:t>
      </w:r>
    </w:p>
    <w:p w14:paraId="61C92D65">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3.1响应文件有下列情形之一的,其响应文件拒收:</w:t>
      </w:r>
    </w:p>
    <w:p w14:paraId="0AC107FB">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（1）未在提交首次响应文件截止时间前通过网上招标投标系统递交有效电子响应文件的，网上开标系统不予接收。出现上述情况的，响应将被拒绝。</w:t>
      </w:r>
    </w:p>
    <w:p w14:paraId="49336D61">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供应商接到远程解密指令后，须在规定时间内解密。因供应商自身原因导致响应文件在规定时间内未能解密、解密失败或解密超时，响应文件无效；解密时间：从本项目响应文件提交截止时间开始计时，至完成响应文件解密时间，不得超过60分钟，否则响应文件将被拒绝。</w:t>
      </w:r>
    </w:p>
    <w:p w14:paraId="30FA8425">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8.2供应商有下列情形之一的,资格审查后其投标作无效响应处理：</w:t>
      </w:r>
    </w:p>
    <w:p w14:paraId="106FFDE1">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（1）为本项目提供采购代理服务的；</w:t>
      </w:r>
    </w:p>
    <w:p w14:paraId="491B1775">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（2）供应商与在本项目代理机构存在相互任职或工作的；</w:t>
      </w:r>
    </w:p>
    <w:p w14:paraId="26909929">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（3）磋商公告写明专门面向中小企业采购，供应商提供的服务非中小企业承接的；</w:t>
      </w:r>
    </w:p>
    <w:p w14:paraId="3C812479">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（4）要求供应商以联合体形式参加采购活动，供应商非联合体或者联合协议中中小企业合同金额未达到应当达到的比例；</w:t>
      </w:r>
    </w:p>
    <w:p w14:paraId="0EAB6360">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(5)要求获得采购合同的供应商向中小企业分包，供应商未提供分包意向协议或者分包意向协议中中小企业合同金额未达到应当达到的比例；</w:t>
      </w:r>
    </w:p>
    <w:p w14:paraId="2B14ED14">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(6)评标专家无法查看并检验电子响应文件中相关资料的；</w:t>
      </w:r>
    </w:p>
    <w:p w14:paraId="3B08CFA9">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(7)联合体投标未提交联合体协议的；</w:t>
      </w:r>
    </w:p>
    <w:p w14:paraId="31D48C01">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(8)被责令停产停业的；</w:t>
      </w:r>
    </w:p>
    <w:p w14:paraId="058C5682">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(9)被暂停或取消参与政府采购项目资格的；</w:t>
      </w:r>
    </w:p>
    <w:p w14:paraId="7E834236">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(10)供应商单位负责人为同一人或者存在直接控股、管理关系的不同单位的；</w:t>
      </w:r>
    </w:p>
    <w:p w14:paraId="40EB4BEE">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(11)供应商基本资格条件和特定资格条件中有一项及以上不符合要求的；</w:t>
      </w:r>
    </w:p>
    <w:p w14:paraId="5FCB0988">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 xml:space="preserve">(12)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 </w:t>
      </w:r>
    </w:p>
    <w:p w14:paraId="01278434">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 xml:space="preserve">(13)供应商投标MAC地址或供应商联系人或联系电话相同的，由磋商小组否决其响应，并报告监管部门作不良行为处理和进一步调查； </w:t>
      </w:r>
    </w:p>
    <w:p w14:paraId="5DE7E0EF">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 xml:space="preserve">(14)供应商单方面出现其他供应商材料的； </w:t>
      </w:r>
    </w:p>
    <w:p w14:paraId="773D2D98">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(15)其它情形，经磋商小组提出按无效响应处理，并经公共资源交易监督部门核准的；</w:t>
      </w:r>
    </w:p>
    <w:p w14:paraId="05164364">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(16)磋商文件规定的其它无效响应情形。</w:t>
      </w:r>
    </w:p>
    <w:p w14:paraId="38B8E0AD">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8.3 供应商有下列情形之一的,符合性审查后其投标按无效响应处理：</w:t>
      </w:r>
    </w:p>
    <w:p w14:paraId="6E14AF60">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（1）响应文件签章不全，经磋商小组一致认定对开评标内容有实质性影响并经公共资源交易监督部门核准的；</w:t>
      </w:r>
    </w:p>
    <w:p w14:paraId="3C4A53CE">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（2）未按规定的格式填写导致实质性内容不全以及实质上不响应，或者关键字迹模糊、无法辨认； 经公共资源交易监督部门核准的；</w:t>
      </w:r>
    </w:p>
    <w:p w14:paraId="0E423A16">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（3）同一供应商提交两个以上不同的响应文件或者响应报价，但磋商文件规定提交备选方案的除外；</w:t>
      </w:r>
    </w:p>
    <w:p w14:paraId="140D969F">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（4）响应文件没有对磋商文件的实质性要求和条件作出响应；</w:t>
      </w:r>
    </w:p>
    <w:p w14:paraId="0C7B2083">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（5）报价超出规定的最高限价或公布的采购预算的或供应商的报价各项单价高于磋商文件给定的单价最高限价；</w:t>
      </w:r>
    </w:p>
    <w:p w14:paraId="5DC6482E">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（6）不按磋商小组要求澄清、说明或补正的，或者措施小组根据磋商文件的规定对响应文件的计算错误进行修正后，供应商不接受修正的报价的。</w:t>
      </w:r>
    </w:p>
    <w:p w14:paraId="0173B42E">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（7）其它情形，经磋商小组委提出按无效响应处理，并经公共资源交易监督部门核准的；</w:t>
      </w:r>
    </w:p>
    <w:p w14:paraId="58FABF6C">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（8）响应文件含有采购人不能接受的附加条件的；</w:t>
      </w:r>
    </w:p>
    <w:p w14:paraId="2548A9CE">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（9）磋商文件规定的其它无效响应情形。</w:t>
      </w:r>
    </w:p>
    <w:p w14:paraId="455E41AB">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8.4 供应商有下列情形之一的, 详细评审后其投标按无效响应处理：</w:t>
      </w:r>
    </w:p>
    <w:p w14:paraId="229ABA95">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（1）产品不符合必须强制执行的国家标准的；</w:t>
      </w:r>
    </w:p>
    <w:p w14:paraId="5C4BE0BD">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（2）供应商有串通投标、弄虚作假、行贿等违法行为；</w:t>
      </w:r>
    </w:p>
    <w:p w14:paraId="2E03426E">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（3）响应文件含有违反国家法律、法规的内容，或附有采购人不能接受的条件的；</w:t>
      </w:r>
    </w:p>
    <w:p w14:paraId="4042717F">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（4）报价明显低于其他供应商，且不能证明报价合理性的响应无效；</w:t>
      </w:r>
    </w:p>
    <w:p w14:paraId="7F525D64">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（5）拒不确认磋商小组评审修正的投标无效；</w:t>
      </w:r>
    </w:p>
    <w:p w14:paraId="41036C7E">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（6）其它情形，经磋商小组提出按无效响应处理，并经公共资源交易监督部门核准的；</w:t>
      </w:r>
    </w:p>
    <w:p w14:paraId="1744F652">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（7）磋商文件规定的其它无效响应情形。</w:t>
      </w:r>
    </w:p>
    <w:p w14:paraId="0E856D96">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08250DA">
      <w:pPr>
        <w:spacing w:line="360" w:lineRule="auto"/>
        <w:jc w:val="center"/>
        <w:outlineLvl w:val="0"/>
        <w:rPr>
          <w:rFonts w:asciiTheme="minorEastAsia" w:hAnsiTheme="minorEastAsia" w:eastAsiaTheme="minorEastAsia"/>
          <w:b/>
          <w:color w:val="auto"/>
          <w:sz w:val="28"/>
          <w:highlight w:val="none"/>
        </w:rPr>
      </w:pPr>
      <w:bookmarkStart w:id="34" w:name="_Toc17167"/>
      <w:bookmarkStart w:id="35" w:name="_Toc6037"/>
      <w:bookmarkStart w:id="36" w:name="_Toc63440929"/>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34"/>
      <w:bookmarkEnd w:id="35"/>
      <w:bookmarkEnd w:id="36"/>
    </w:p>
    <w:p w14:paraId="60E697BC">
      <w:pPr>
        <w:spacing w:line="480" w:lineRule="auto"/>
        <w:jc w:val="center"/>
        <w:rPr>
          <w:rFonts w:asciiTheme="minorEastAsia" w:hAnsiTheme="minorEastAsia" w:eastAsiaTheme="minorEastAsia"/>
          <w:b/>
          <w:color w:val="auto"/>
          <w:sz w:val="24"/>
          <w:highlight w:val="none"/>
        </w:rPr>
      </w:pPr>
    </w:p>
    <w:p w14:paraId="4F31B161">
      <w:pPr>
        <w:spacing w:line="480" w:lineRule="auto"/>
        <w:jc w:val="center"/>
        <w:rPr>
          <w:rFonts w:asciiTheme="minorEastAsia" w:hAnsiTheme="minorEastAsia" w:eastAsiaTheme="minorEastAsia"/>
          <w:b/>
          <w:color w:val="auto"/>
          <w:sz w:val="24"/>
          <w:highlight w:val="none"/>
        </w:rPr>
      </w:pPr>
    </w:p>
    <w:p w14:paraId="7516B2BB">
      <w:pPr>
        <w:spacing w:line="480" w:lineRule="auto"/>
        <w:jc w:val="center"/>
        <w:rPr>
          <w:rFonts w:asciiTheme="minorEastAsia" w:hAnsiTheme="minorEastAsia" w:eastAsiaTheme="minorEastAsia"/>
          <w:b/>
          <w:color w:val="auto"/>
          <w:sz w:val="24"/>
          <w:highlight w:val="none"/>
        </w:rPr>
      </w:pPr>
    </w:p>
    <w:p w14:paraId="13B7B920">
      <w:pPr>
        <w:spacing w:line="480" w:lineRule="auto"/>
        <w:jc w:val="center"/>
        <w:outlineLvl w:val="1"/>
        <w:rPr>
          <w:rFonts w:asciiTheme="minorEastAsia" w:hAnsiTheme="minorEastAsia" w:eastAsiaTheme="minorEastAsia"/>
          <w:b/>
          <w:color w:val="auto"/>
          <w:sz w:val="32"/>
          <w:szCs w:val="32"/>
          <w:highlight w:val="none"/>
        </w:rPr>
      </w:pPr>
      <w:bookmarkStart w:id="37" w:name="_Toc9456"/>
      <w:r>
        <w:rPr>
          <w:rFonts w:hint="eastAsia" w:asciiTheme="minorEastAsia" w:hAnsiTheme="minorEastAsia" w:eastAsiaTheme="minorEastAsia"/>
          <w:b/>
          <w:color w:val="auto"/>
          <w:sz w:val="32"/>
          <w:szCs w:val="32"/>
          <w:highlight w:val="none"/>
          <w:lang w:val="en-US" w:eastAsia="zh-CN"/>
        </w:rPr>
        <w:t>咨询</w:t>
      </w:r>
      <w:r>
        <w:rPr>
          <w:rFonts w:asciiTheme="minorEastAsia" w:hAnsiTheme="minorEastAsia" w:eastAsiaTheme="minorEastAsia"/>
          <w:b/>
          <w:color w:val="auto"/>
          <w:sz w:val="32"/>
          <w:szCs w:val="32"/>
          <w:highlight w:val="none"/>
        </w:rPr>
        <w:t>合同</w:t>
      </w:r>
      <w:r>
        <w:rPr>
          <w:rFonts w:hint="eastAsia" w:asciiTheme="minorEastAsia" w:hAnsiTheme="minorEastAsia" w:eastAsiaTheme="minorEastAsia"/>
          <w:b/>
          <w:color w:val="auto"/>
          <w:sz w:val="32"/>
          <w:szCs w:val="32"/>
          <w:highlight w:val="none"/>
          <w:lang w:eastAsia="zh-CN"/>
        </w:rPr>
        <w:t>（</w:t>
      </w:r>
      <w:r>
        <w:rPr>
          <w:rFonts w:hint="eastAsia" w:asciiTheme="minorEastAsia" w:hAnsiTheme="minorEastAsia" w:eastAsiaTheme="minorEastAsia"/>
          <w:b/>
          <w:color w:val="auto"/>
          <w:sz w:val="32"/>
          <w:szCs w:val="32"/>
          <w:highlight w:val="none"/>
        </w:rPr>
        <w:t>参考范本</w:t>
      </w:r>
      <w:r>
        <w:rPr>
          <w:rFonts w:hint="eastAsia" w:asciiTheme="minorEastAsia" w:hAnsiTheme="minorEastAsia" w:eastAsiaTheme="minorEastAsia"/>
          <w:b/>
          <w:color w:val="auto"/>
          <w:sz w:val="32"/>
          <w:szCs w:val="32"/>
          <w:highlight w:val="none"/>
          <w:lang w:eastAsia="zh-CN"/>
        </w:rPr>
        <w:t>）</w:t>
      </w:r>
      <w:bookmarkEnd w:id="37"/>
    </w:p>
    <w:p w14:paraId="5FDAA566">
      <w:pPr>
        <w:spacing w:line="480" w:lineRule="auto"/>
        <w:jc w:val="center"/>
        <w:outlineLvl w:val="1"/>
        <w:rPr>
          <w:rFonts w:asciiTheme="minorEastAsia" w:hAnsiTheme="minorEastAsia" w:eastAsiaTheme="minorEastAsia"/>
          <w:b/>
          <w:color w:val="auto"/>
          <w:sz w:val="32"/>
          <w:szCs w:val="32"/>
          <w:highlight w:val="none"/>
        </w:rPr>
      </w:pPr>
    </w:p>
    <w:p w14:paraId="0FC55E50">
      <w:pPr>
        <w:spacing w:line="480" w:lineRule="auto"/>
        <w:jc w:val="center"/>
        <w:rPr>
          <w:rFonts w:asciiTheme="minorEastAsia" w:hAnsiTheme="minorEastAsia" w:eastAsiaTheme="minorEastAsia"/>
          <w:b/>
          <w:color w:val="auto"/>
          <w:sz w:val="24"/>
          <w:highlight w:val="none"/>
        </w:rPr>
      </w:pPr>
    </w:p>
    <w:p w14:paraId="1F20BF1C">
      <w:pPr>
        <w:spacing w:line="480" w:lineRule="auto"/>
        <w:jc w:val="center"/>
        <w:rPr>
          <w:rFonts w:asciiTheme="minorEastAsia" w:hAnsiTheme="minorEastAsia" w:eastAsiaTheme="minorEastAsia"/>
          <w:b/>
          <w:color w:val="auto"/>
          <w:sz w:val="24"/>
          <w:highlight w:val="none"/>
        </w:rPr>
      </w:pPr>
    </w:p>
    <w:p w14:paraId="1839D3CB">
      <w:pPr>
        <w:spacing w:line="480" w:lineRule="auto"/>
        <w:jc w:val="center"/>
        <w:rPr>
          <w:rFonts w:asciiTheme="minorEastAsia" w:hAnsiTheme="minorEastAsia" w:eastAsiaTheme="minorEastAsia"/>
          <w:b/>
          <w:color w:val="auto"/>
          <w:sz w:val="24"/>
          <w:highlight w:val="none"/>
        </w:rPr>
      </w:pPr>
    </w:p>
    <w:p w14:paraId="4F595FDE">
      <w:pPr>
        <w:spacing w:line="360" w:lineRule="auto"/>
        <w:jc w:val="center"/>
        <w:outlineLvl w:val="1"/>
        <w:rPr>
          <w:rFonts w:asciiTheme="minorEastAsia" w:hAnsiTheme="minorEastAsia" w:eastAsiaTheme="minorEastAsia"/>
          <w:b/>
          <w:color w:val="auto"/>
          <w:sz w:val="24"/>
          <w:highlight w:val="none"/>
        </w:rPr>
      </w:pPr>
    </w:p>
    <w:p w14:paraId="068DCCEC">
      <w:pPr>
        <w:spacing w:line="480" w:lineRule="auto"/>
        <w:jc w:val="center"/>
        <w:rPr>
          <w:rFonts w:asciiTheme="minorEastAsia" w:hAnsiTheme="minorEastAsia" w:eastAsiaTheme="minorEastAsia"/>
          <w:b/>
          <w:color w:val="auto"/>
          <w:sz w:val="24"/>
          <w:highlight w:val="none"/>
        </w:rPr>
      </w:pPr>
    </w:p>
    <w:p w14:paraId="56EE9B30">
      <w:pPr>
        <w:spacing w:line="480" w:lineRule="auto"/>
        <w:jc w:val="center"/>
        <w:rPr>
          <w:rFonts w:asciiTheme="minorEastAsia" w:hAnsiTheme="minorEastAsia" w:eastAsiaTheme="minorEastAsia"/>
          <w:b/>
          <w:color w:val="auto"/>
          <w:sz w:val="24"/>
          <w:highlight w:val="none"/>
        </w:rPr>
      </w:pPr>
    </w:p>
    <w:p w14:paraId="59EDF169">
      <w:pPr>
        <w:spacing w:line="480" w:lineRule="auto"/>
        <w:jc w:val="center"/>
        <w:rPr>
          <w:rFonts w:asciiTheme="minorEastAsia" w:hAnsiTheme="minorEastAsia" w:eastAsiaTheme="minorEastAsia"/>
          <w:b/>
          <w:color w:val="auto"/>
          <w:sz w:val="24"/>
          <w:highlight w:val="none"/>
        </w:rPr>
      </w:pPr>
    </w:p>
    <w:p w14:paraId="31F3C10D">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lang w:val="en-US" w:eastAsia="zh-CN"/>
        </w:rPr>
        <w:t xml:space="preserve">                                    </w:t>
      </w:r>
    </w:p>
    <w:p w14:paraId="34DB6B2E">
      <w:pPr>
        <w:spacing w:before="120" w:line="480" w:lineRule="auto"/>
        <w:ind w:left="96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项目编号：</w:t>
      </w:r>
      <w:r>
        <w:rPr>
          <w:rFonts w:hint="eastAsia" w:asciiTheme="minorEastAsia" w:hAnsiTheme="minorEastAsia" w:eastAsiaTheme="minorEastAsia"/>
          <w:color w:val="auto"/>
          <w:sz w:val="24"/>
          <w:highlight w:val="none"/>
          <w:u w:val="single"/>
          <w:lang w:val="en-US" w:eastAsia="zh-CN"/>
        </w:rPr>
        <w:t xml:space="preserve">                                    </w:t>
      </w:r>
    </w:p>
    <w:p w14:paraId="79961ADA">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p>
    <w:p w14:paraId="0901FC87">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乙方（成交供应商）：</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0842A06C">
      <w:pPr>
        <w:spacing w:before="120" w:line="48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766B79D0">
      <w:pPr>
        <w:spacing w:before="120" w:line="480" w:lineRule="auto"/>
        <w:ind w:firstLine="960" w:firstLineChars="4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10093170">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1F65987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center"/>
        <w:textAlignment w:val="baseline"/>
        <w:outlineLvl w:val="1"/>
        <w:rPr>
          <w:rFonts w:hint="eastAsia" w:ascii="宋体" w:hAnsi="宋体" w:eastAsia="宋体" w:cs="Arial"/>
          <w:b/>
          <w:bCs w:val="0"/>
          <w:color w:val="000000"/>
          <w:kern w:val="0"/>
          <w:sz w:val="36"/>
          <w:szCs w:val="36"/>
          <w:highlight w:val="none"/>
        </w:rPr>
      </w:pPr>
      <w:r>
        <w:rPr>
          <w:rFonts w:hint="eastAsia" w:ascii="宋体" w:hAnsi="宋体" w:eastAsia="宋体" w:cs="宋体"/>
          <w:b/>
          <w:bCs w:val="0"/>
          <w:snapToGrid/>
          <w:color w:val="000000"/>
          <w:kern w:val="0"/>
          <w:sz w:val="36"/>
          <w:szCs w:val="36"/>
          <w:highlight w:val="none"/>
          <w:lang w:val="en-US" w:eastAsia="zh-CN" w:bidi="ar"/>
        </w:rPr>
        <w:t>第一部分</w:t>
      </w:r>
      <w:r>
        <w:rPr>
          <w:rFonts w:hint="eastAsia" w:ascii="宋体" w:hAnsi="宋体" w:eastAsia="宋体" w:cs="Arial"/>
          <w:b/>
          <w:bCs w:val="0"/>
          <w:snapToGrid/>
          <w:color w:val="000000"/>
          <w:kern w:val="0"/>
          <w:sz w:val="36"/>
          <w:szCs w:val="36"/>
          <w:highlight w:val="none"/>
          <w:lang w:val="en-US" w:eastAsia="zh-CN" w:bidi="ar"/>
        </w:rPr>
        <w:t xml:space="preserve">  </w:t>
      </w:r>
      <w:r>
        <w:rPr>
          <w:rFonts w:hint="eastAsia" w:ascii="宋体" w:hAnsi="宋体" w:eastAsia="宋体" w:cs="宋体"/>
          <w:b/>
          <w:bCs w:val="0"/>
          <w:snapToGrid/>
          <w:color w:val="000000"/>
          <w:kern w:val="0"/>
          <w:sz w:val="36"/>
          <w:szCs w:val="36"/>
          <w:highlight w:val="none"/>
          <w:lang w:val="en-US" w:eastAsia="zh-CN" w:bidi="ar"/>
        </w:rPr>
        <w:t>合同协议书</w:t>
      </w:r>
    </w:p>
    <w:p w14:paraId="70AE624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Arial"/>
          <w:color w:val="000000"/>
          <w:kern w:val="0"/>
          <w:sz w:val="24"/>
          <w:szCs w:val="24"/>
          <w:highlight w:val="none"/>
        </w:rPr>
      </w:pPr>
      <w:r>
        <w:rPr>
          <w:rFonts w:hint="eastAsia" w:ascii="仿宋" w:hAnsi="仿宋" w:eastAsia="仿宋" w:cs="Arial"/>
          <w:snapToGrid/>
          <w:color w:val="000000"/>
          <w:kern w:val="0"/>
          <w:sz w:val="24"/>
          <w:szCs w:val="24"/>
          <w:highlight w:val="none"/>
          <w:lang w:val="en-US" w:eastAsia="zh-CN" w:bidi="ar"/>
        </w:rPr>
        <w:t xml:space="preserve"> </w:t>
      </w:r>
    </w:p>
    <w:p w14:paraId="43C17D8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Arial"/>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委托人（全称）：</w:t>
      </w:r>
      <w:r>
        <w:rPr>
          <w:rFonts w:hint="eastAsia" w:ascii="宋体" w:hAnsi="宋体" w:eastAsia="宋体" w:cs="宋体"/>
          <w:b/>
          <w:bCs w:val="0"/>
          <w:snapToGrid/>
          <w:color w:val="000000"/>
          <w:kern w:val="0"/>
          <w:sz w:val="21"/>
          <w:szCs w:val="21"/>
          <w:highlight w:val="none"/>
          <w:u w:val="single"/>
          <w:lang w:val="en-US" w:eastAsia="zh-CN" w:bidi="ar"/>
        </w:rPr>
        <w:t xml:space="preserve">                                        </w:t>
      </w:r>
    </w:p>
    <w:p w14:paraId="648A7A2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Arial"/>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咨询人（全称）：</w:t>
      </w:r>
      <w:r>
        <w:rPr>
          <w:rFonts w:hint="eastAsia" w:ascii="宋体" w:hAnsi="宋体" w:eastAsia="宋体" w:cs="宋体"/>
          <w:b/>
          <w:bCs w:val="0"/>
          <w:snapToGrid/>
          <w:color w:val="000000"/>
          <w:kern w:val="0"/>
          <w:sz w:val="21"/>
          <w:szCs w:val="21"/>
          <w:highlight w:val="none"/>
          <w:u w:val="single"/>
          <w:lang w:val="en-US" w:eastAsia="zh-CN" w:bidi="ar"/>
        </w:rPr>
        <w:t xml:space="preserve">                                  </w:t>
      </w:r>
    </w:p>
    <w:p w14:paraId="50A57EE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宋体"/>
          <w:snapToGrid/>
          <w:color w:val="000000"/>
          <w:kern w:val="0"/>
          <w:sz w:val="21"/>
          <w:szCs w:val="21"/>
          <w:highlight w:val="none"/>
          <w:lang w:val="en-US" w:eastAsia="zh-CN" w:bidi="ar"/>
        </w:rPr>
        <w:t>根据《中华人民共和国民法典》及有关法律规定，遵循平等、自愿、公平和诚实信用的原则，双方就</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有关事项协商一致，共同达成如下协议：</w:t>
      </w:r>
    </w:p>
    <w:p w14:paraId="7E42941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2"/>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一、工程概况</w:t>
      </w:r>
    </w:p>
    <w:p w14:paraId="084821C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宋体"/>
          <w:snapToGrid/>
          <w:color w:val="000000"/>
          <w:kern w:val="0"/>
          <w:sz w:val="21"/>
          <w:szCs w:val="21"/>
          <w:highlight w:val="none"/>
          <w:lang w:val="en-US" w:eastAsia="zh-CN" w:bidi="ar"/>
        </w:rPr>
        <w:t xml:space="preserve">1. </w:t>
      </w:r>
      <w:r>
        <w:rPr>
          <w:rFonts w:hint="eastAsia" w:ascii="宋体" w:hAnsi="宋体" w:eastAsia="宋体" w:cs="宋体"/>
          <w:bCs/>
          <w:snapToGrid/>
          <w:color w:val="000000"/>
          <w:kern w:val="0"/>
          <w:sz w:val="21"/>
          <w:szCs w:val="21"/>
          <w:highlight w:val="none"/>
          <w:lang w:val="en-US" w:eastAsia="zh-CN" w:bidi="ar"/>
        </w:rPr>
        <w:t>工程名称</w:t>
      </w:r>
      <w:r>
        <w:rPr>
          <w:rFonts w:hint="eastAsia" w:ascii="宋体" w:hAnsi="宋体" w:eastAsia="宋体" w:cs="宋体"/>
          <w:snapToGrid/>
          <w:color w:val="000000"/>
          <w:kern w:val="0"/>
          <w:sz w:val="21"/>
          <w:szCs w:val="21"/>
          <w:highlight w:val="non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351F02F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bCs/>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 xml:space="preserve">2. </w:t>
      </w:r>
      <w:r>
        <w:rPr>
          <w:rFonts w:hint="eastAsia" w:ascii="宋体" w:hAnsi="宋体" w:eastAsia="宋体" w:cs="宋体"/>
          <w:bCs/>
          <w:snapToGrid/>
          <w:color w:val="000000"/>
          <w:kern w:val="0"/>
          <w:sz w:val="21"/>
          <w:szCs w:val="21"/>
          <w:highlight w:val="none"/>
          <w:lang w:val="en-US" w:eastAsia="zh-CN" w:bidi="ar"/>
        </w:rPr>
        <w:t>工程地点：</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1D29E93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bCs/>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3. 工程规模：</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68F1737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2"/>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二、咨询业务范围</w:t>
      </w:r>
    </w:p>
    <w:p w14:paraId="5582EC1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宋体"/>
          <w:snapToGrid/>
          <w:color w:val="000000"/>
          <w:kern w:val="0"/>
          <w:sz w:val="21"/>
          <w:szCs w:val="21"/>
          <w:highlight w:val="none"/>
          <w:u w:val="single"/>
          <w:lang w:val="en-US" w:eastAsia="zh-CN" w:bidi="ar"/>
        </w:rPr>
        <w:t>主要工作内容包括但不限于：（1）现场跟踪审计，包括施工图的工程量价核算、工程中期支付造价审核、工程变更的工程量价审核及工程索赔洽商审核等；（2）合同工程完工结算审计，配合完成竣工决算审计等。为建设单位合理使用资金提供技术支持与服务,具体跟踪审计服务范围以委托人签发的任务单为准。</w:t>
      </w:r>
    </w:p>
    <w:p w14:paraId="3A2DD1E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bCs/>
          <w:color w:val="000000"/>
          <w:kern w:val="0"/>
          <w:sz w:val="21"/>
          <w:szCs w:val="21"/>
          <w:highlight w:val="none"/>
        </w:rPr>
      </w:pPr>
      <w:r>
        <w:rPr>
          <w:rFonts w:hint="eastAsia" w:ascii="宋体" w:hAnsi="宋体" w:eastAsia="宋体" w:cs="宋体"/>
          <w:snapToGrid/>
          <w:color w:val="000000"/>
          <w:kern w:val="0"/>
          <w:sz w:val="21"/>
          <w:szCs w:val="21"/>
          <w:highlight w:val="none"/>
          <w:u w:val="single"/>
          <w:lang w:val="en-US" w:eastAsia="zh-CN" w:bidi="ar"/>
        </w:rPr>
        <w:t>咨询人按照相关审计准则和委托人相关工作要求，采取检查、观察、询问、外部调查、重新计算、重新操作、分析等方法，实施审计工作，编制审计工作记录，收集审计证据，提交审计取证单和审计工作底稿，提交审计报告</w:t>
      </w:r>
      <w:r>
        <w:rPr>
          <w:rFonts w:hint="eastAsia" w:ascii="宋体" w:hAnsi="宋体" w:eastAsia="宋体" w:cs="宋体"/>
          <w:snapToGrid/>
          <w:color w:val="000000"/>
          <w:kern w:val="0"/>
          <w:sz w:val="21"/>
          <w:szCs w:val="21"/>
          <w:highlight w:val="none"/>
          <w:lang w:val="en-US" w:eastAsia="zh-CN" w:bidi="ar"/>
        </w:rPr>
        <w:t>。</w:t>
      </w:r>
      <w:r>
        <w:rPr>
          <w:rFonts w:hint="eastAsia" w:ascii="宋体" w:hAnsi="宋体" w:eastAsia="宋体" w:cs="Arial"/>
          <w:bCs/>
          <w:snapToGrid/>
          <w:color w:val="000000"/>
          <w:kern w:val="0"/>
          <w:sz w:val="21"/>
          <w:szCs w:val="21"/>
          <w:highlight w:val="none"/>
          <w:lang w:val="en-US" w:eastAsia="zh-CN" w:bidi="ar"/>
        </w:rPr>
        <w:t xml:space="preserve"> </w:t>
      </w:r>
    </w:p>
    <w:p w14:paraId="1AC9B73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2"/>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三、咨询期限</w:t>
      </w:r>
    </w:p>
    <w:p w14:paraId="1A2C906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宋体"/>
          <w:snapToGrid/>
          <w:color w:val="000000"/>
          <w:kern w:val="0"/>
          <w:sz w:val="21"/>
          <w:szCs w:val="21"/>
          <w:highlight w:val="none"/>
          <w:u w:val="single"/>
          <w:lang w:val="en-US" w:eastAsia="zh-CN" w:bidi="ar"/>
        </w:rPr>
        <w:t>从合同签订之日起，至整个项目竣工验收合格，并将全部审计资料移交至采购人为止。</w:t>
      </w:r>
    </w:p>
    <w:p w14:paraId="3A0A5A2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2"/>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四、质量标准</w:t>
      </w:r>
    </w:p>
    <w:p w14:paraId="6F54AFC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工程造价咨询成果文件质量符合</w:t>
      </w:r>
      <w:r>
        <w:rPr>
          <w:rFonts w:hint="eastAsia" w:ascii="宋体" w:hAnsi="宋体" w:eastAsia="宋体" w:cs="宋体"/>
          <w:snapToGrid/>
          <w:color w:val="000000"/>
          <w:kern w:val="0"/>
          <w:sz w:val="21"/>
          <w:szCs w:val="21"/>
          <w:highlight w:val="none"/>
          <w:u w:val="single"/>
          <w:lang w:val="en-US" w:eastAsia="zh-CN" w:bidi="ar"/>
        </w:rPr>
        <w:t>现行国家或行业工程计价有关规定、标准、规范的要求</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标准。</w:t>
      </w:r>
    </w:p>
    <w:p w14:paraId="1316765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2"/>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五、咨询酬金</w:t>
      </w:r>
      <w:r>
        <w:rPr>
          <w:rFonts w:hint="eastAsia" w:ascii="宋体" w:hAnsi="宋体" w:eastAsia="宋体" w:cs="Arial"/>
          <w:snapToGrid/>
          <w:color w:val="000000"/>
          <w:kern w:val="0"/>
          <w:sz w:val="21"/>
          <w:szCs w:val="21"/>
          <w:highlight w:val="none"/>
          <w:lang w:val="en-US" w:eastAsia="zh-CN" w:bidi="ar"/>
        </w:rPr>
        <w:t xml:space="preserve"> </w:t>
      </w:r>
    </w:p>
    <w:p w14:paraId="1B2B7C8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Arial"/>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1、酬金数额：</w:t>
      </w:r>
      <w:r>
        <w:rPr>
          <w:rFonts w:hint="eastAsia" w:ascii="宋体" w:hAnsi="宋体" w:eastAsia="宋体" w:cs="Arial"/>
          <w:b/>
          <w:bCs w:val="0"/>
          <w:snapToGrid/>
          <w:color w:val="000000"/>
          <w:kern w:val="0"/>
          <w:sz w:val="21"/>
          <w:szCs w:val="21"/>
          <w:highlight w:val="none"/>
          <w:lang w:val="en-US" w:eastAsia="zh-CN" w:bidi="ar"/>
        </w:rPr>
        <w:t xml:space="preserve"> </w:t>
      </w:r>
      <w:r>
        <w:rPr>
          <w:rFonts w:hint="eastAsia" w:ascii="宋体" w:hAnsi="宋体" w:eastAsia="宋体" w:cs="Arial"/>
          <w:b/>
          <w:bCs w:val="0"/>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lang w:val="en-US" w:eastAsia="zh-CN" w:bidi="ar"/>
        </w:rPr>
        <w:t>。</w:t>
      </w:r>
    </w:p>
    <w:p w14:paraId="4EB2BB4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Arial"/>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2、支付方式及程序：</w:t>
      </w:r>
    </w:p>
    <w:p w14:paraId="0B5219B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Arial"/>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（1）支付方式：</w:t>
      </w:r>
      <w:r>
        <w:rPr>
          <w:rFonts w:hint="eastAsia" w:ascii="宋体" w:hAnsi="宋体" w:eastAsia="宋体" w:cs="宋体"/>
          <w:b/>
          <w:bCs w:val="0"/>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lang w:val="en-US" w:eastAsia="zh-CN" w:bidi="ar"/>
        </w:rPr>
        <w:t>。</w:t>
      </w:r>
    </w:p>
    <w:p w14:paraId="34D9FB6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Arial"/>
          <w:b/>
          <w:bCs w:val="0"/>
          <w:color w:val="000000"/>
          <w:kern w:val="0"/>
          <w:sz w:val="21"/>
          <w:szCs w:val="21"/>
          <w:highlight w:val="none"/>
          <w:u w:val="single"/>
        </w:rPr>
      </w:pPr>
      <w:r>
        <w:rPr>
          <w:rFonts w:hint="eastAsia" w:ascii="宋体" w:hAnsi="宋体" w:eastAsia="宋体" w:cs="宋体"/>
          <w:b/>
          <w:bCs w:val="0"/>
          <w:snapToGrid/>
          <w:color w:val="000000"/>
          <w:kern w:val="0"/>
          <w:sz w:val="21"/>
          <w:szCs w:val="21"/>
          <w:highlight w:val="none"/>
          <w:lang w:val="en-US" w:eastAsia="zh-CN" w:bidi="ar"/>
        </w:rPr>
        <w:t>（2）支付程序：</w:t>
      </w:r>
      <w:r>
        <w:rPr>
          <w:rFonts w:hint="eastAsia" w:ascii="宋体" w:hAnsi="宋体" w:eastAsia="宋体" w:cs="宋体"/>
          <w:b/>
          <w:bCs w:val="0"/>
          <w:snapToGrid/>
          <w:color w:val="000000"/>
          <w:kern w:val="0"/>
          <w:sz w:val="21"/>
          <w:szCs w:val="21"/>
          <w:highlight w:val="none"/>
          <w:u w:val="single"/>
          <w:lang w:val="en-US" w:eastAsia="zh-CN" w:bidi="ar"/>
        </w:rPr>
        <w:t>咨询人向委托人递交支付申请，委托人审核同意后向咨询人支付跟踪审计服务费。</w:t>
      </w:r>
    </w:p>
    <w:p w14:paraId="6DF5BFF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2"/>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六、合同文件构成</w:t>
      </w:r>
    </w:p>
    <w:p w14:paraId="2C7D082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本协议书与下列文件一起构成造价咨询合同文件：</w:t>
      </w:r>
    </w:p>
    <w:p w14:paraId="405CE35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（1）中标通知书；</w:t>
      </w:r>
    </w:p>
    <w:p w14:paraId="0B8853B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（2）投标函及其附录；</w:t>
      </w:r>
      <w:r>
        <w:rPr>
          <w:rFonts w:hint="eastAsia" w:ascii="宋体" w:hAnsi="宋体" w:eastAsia="宋体" w:cs="Arial"/>
          <w:snapToGrid/>
          <w:color w:val="000000"/>
          <w:kern w:val="0"/>
          <w:sz w:val="21"/>
          <w:szCs w:val="21"/>
          <w:highlight w:val="none"/>
          <w:lang w:val="en-US" w:eastAsia="zh-CN" w:bidi="ar"/>
        </w:rPr>
        <w:t xml:space="preserve"> </w:t>
      </w:r>
    </w:p>
    <w:p w14:paraId="6381B51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（3）专用合同条款；</w:t>
      </w:r>
    </w:p>
    <w:p w14:paraId="2B02E8E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（4）通用合同条款。</w:t>
      </w:r>
    </w:p>
    <w:p w14:paraId="3113159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在合同订立及履行过程中形成的与合同有关的文件均构成合同文件组成部分。</w:t>
      </w:r>
    </w:p>
    <w:p w14:paraId="44D4D83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上述各项合同文件包括合同当事人就该项合同文件所作出的补充和修改，属于同一类内容的文件，应以最新签署的为准。</w:t>
      </w:r>
    </w:p>
    <w:p w14:paraId="63B3ED7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2"/>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七、词语含义</w:t>
      </w:r>
    </w:p>
    <w:p w14:paraId="0C66F49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本协议书中词语含义与第二部分通用合同条款中赋予的含义相同。</w:t>
      </w:r>
    </w:p>
    <w:p w14:paraId="0DF3804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2"/>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八、签订时间</w:t>
      </w:r>
    </w:p>
    <w:p w14:paraId="5B758F6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bCs/>
          <w:snapToGrid/>
          <w:color w:val="000000"/>
          <w:kern w:val="0"/>
          <w:sz w:val="21"/>
          <w:szCs w:val="21"/>
          <w:highlight w:val="none"/>
          <w:lang w:val="en-US" w:eastAsia="zh-CN" w:bidi="ar"/>
        </w:rPr>
        <w:t>本合同于</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年</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月</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日</w:t>
      </w:r>
      <w:r>
        <w:rPr>
          <w:rFonts w:hint="eastAsia" w:ascii="宋体" w:hAnsi="宋体" w:eastAsia="宋体" w:cs="宋体"/>
          <w:bCs/>
          <w:snapToGrid/>
          <w:color w:val="000000"/>
          <w:kern w:val="0"/>
          <w:sz w:val="21"/>
          <w:szCs w:val="21"/>
          <w:highlight w:val="none"/>
          <w:lang w:val="en-US" w:eastAsia="zh-CN" w:bidi="ar"/>
        </w:rPr>
        <w:t>签订</w:t>
      </w:r>
      <w:r>
        <w:rPr>
          <w:rFonts w:hint="eastAsia" w:ascii="宋体" w:hAnsi="宋体" w:eastAsia="宋体" w:cs="宋体"/>
          <w:snapToGrid/>
          <w:color w:val="000000"/>
          <w:kern w:val="0"/>
          <w:sz w:val="21"/>
          <w:szCs w:val="21"/>
          <w:highlight w:val="none"/>
          <w:lang w:val="en-US" w:eastAsia="zh-CN" w:bidi="ar"/>
        </w:rPr>
        <w:t>。</w:t>
      </w:r>
    </w:p>
    <w:p w14:paraId="541666D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2"/>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九、签订地点</w:t>
      </w:r>
    </w:p>
    <w:p w14:paraId="2AE427D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bCs/>
          <w:snapToGrid/>
          <w:color w:val="000000"/>
          <w:kern w:val="0"/>
          <w:sz w:val="21"/>
          <w:szCs w:val="21"/>
          <w:highlight w:val="none"/>
          <w:lang w:val="en-US" w:eastAsia="zh-CN" w:bidi="ar"/>
        </w:rPr>
        <w:t>本合同在</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签订。</w:t>
      </w:r>
    </w:p>
    <w:p w14:paraId="5CDFDFD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2"/>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十、补充协议</w:t>
      </w:r>
    </w:p>
    <w:p w14:paraId="5B58D69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1、合同未尽事宜，合同当事人另行签订补充协议，补充协议是合同的组成部分。</w:t>
      </w:r>
    </w:p>
    <w:p w14:paraId="3EC8144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2"/>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十一、合同生效</w:t>
      </w:r>
    </w:p>
    <w:p w14:paraId="07C5FDD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本合同协议书经双方法定代表人或其授权代表人签名并加盖本单位公章后合同生效。</w:t>
      </w:r>
    </w:p>
    <w:p w14:paraId="0FAE7FF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2"/>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十二、合同份数</w:t>
      </w:r>
    </w:p>
    <w:p w14:paraId="3F056B6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本合同一式</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份，均具有同等法律效力，委托人</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份，咨询人</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份。</w:t>
      </w:r>
    </w:p>
    <w:p w14:paraId="17E0BE7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bCs/>
          <w:color w:val="000000"/>
          <w:kern w:val="0"/>
          <w:sz w:val="21"/>
          <w:szCs w:val="21"/>
          <w:highlight w:val="none"/>
        </w:rPr>
      </w:pPr>
      <w:r>
        <w:rPr>
          <w:rFonts w:hint="eastAsia" w:ascii="宋体" w:hAnsi="宋体" w:eastAsia="宋体" w:cs="Arial"/>
          <w:bCs/>
          <w:snapToGrid/>
          <w:color w:val="000000"/>
          <w:kern w:val="0"/>
          <w:sz w:val="21"/>
          <w:szCs w:val="21"/>
          <w:highlight w:val="none"/>
          <w:lang w:val="en-US" w:eastAsia="zh-CN" w:bidi="ar"/>
        </w:rPr>
        <w:t xml:space="preserve"> </w:t>
      </w:r>
    </w:p>
    <w:p w14:paraId="424AC56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bCs/>
          <w:color w:val="000000"/>
          <w:kern w:val="0"/>
          <w:sz w:val="21"/>
          <w:szCs w:val="21"/>
          <w:highlight w:val="none"/>
        </w:rPr>
      </w:pPr>
      <w:r>
        <w:rPr>
          <w:rFonts w:hint="eastAsia" w:ascii="宋体" w:hAnsi="宋体" w:eastAsia="宋体" w:cs="Arial"/>
          <w:bCs/>
          <w:snapToGrid/>
          <w:color w:val="000000"/>
          <w:kern w:val="0"/>
          <w:sz w:val="21"/>
          <w:szCs w:val="21"/>
          <w:highlight w:val="none"/>
          <w:lang w:val="en-US" w:eastAsia="zh-CN" w:bidi="ar"/>
        </w:rPr>
        <w:t xml:space="preserve"> </w:t>
      </w:r>
    </w:p>
    <w:p w14:paraId="6F55D30F">
      <w:pPr>
        <w:keepNext w:val="0"/>
        <w:keepLines w:val="0"/>
        <w:widowControl/>
        <w:suppressLineNumbers w:val="0"/>
        <w:tabs>
          <w:tab w:val="left" w:pos="4830"/>
        </w:tabs>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委托人：</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(公章)                         咨询人：  (公章)</w:t>
      </w:r>
    </w:p>
    <w:p w14:paraId="66FDCAA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Arial"/>
          <w:snapToGrid/>
          <w:color w:val="000000"/>
          <w:kern w:val="0"/>
          <w:sz w:val="21"/>
          <w:szCs w:val="21"/>
          <w:highlight w:val="none"/>
          <w:lang w:val="en-US" w:eastAsia="zh-CN" w:bidi="ar"/>
        </w:rPr>
        <w:t xml:space="preserve"> </w:t>
      </w:r>
    </w:p>
    <w:p w14:paraId="1CAA6F2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法定代表人或其委托代理人：</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法定代表人或其委托代理人：</w:t>
      </w:r>
    </w:p>
    <w:p w14:paraId="6CAEAB4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（签字）</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（签字）</w:t>
      </w:r>
    </w:p>
    <w:p w14:paraId="0E310D7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地</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址：</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地</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址：</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p>
    <w:p w14:paraId="4DDB44F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邮政编码：</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 xml:space="preserve"> 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邮政编码：</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p>
    <w:p w14:paraId="764342D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电</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话：</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电</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话：</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p>
    <w:p w14:paraId="1E6D77C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传</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真：</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传</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真：</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p>
    <w:p w14:paraId="3E3A4F1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电子信箱：</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电子信箱：</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p>
    <w:p w14:paraId="6DDA89D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开户银行：</w:t>
      </w:r>
      <w:r>
        <w:rPr>
          <w:rFonts w:hint="eastAsia" w:ascii="宋体" w:hAnsi="宋体" w:eastAsia="宋体" w:cs="宋体"/>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开户银行：</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p>
    <w:p w14:paraId="1AC7F83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账</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号：</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账</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号：</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p>
    <w:p w14:paraId="43CE247A">
      <w:pPr>
        <w:keepNext w:val="0"/>
        <w:keepLines w:val="0"/>
        <w:widowControl/>
        <w:suppressLineNumbers w:val="0"/>
        <w:tabs>
          <w:tab w:val="right" w:leader="dot" w:pos="8778"/>
        </w:tabs>
        <w:kinsoku w:val="0"/>
        <w:autoSpaceDE w:val="0"/>
        <w:autoSpaceDN w:val="0"/>
        <w:adjustRightInd w:val="0"/>
        <w:snapToGrid w:val="0"/>
        <w:spacing w:before="0" w:beforeAutospacing="0" w:after="0" w:afterAutospacing="0" w:line="360" w:lineRule="auto"/>
        <w:ind w:left="0" w:right="0" w:firstLine="480" w:firstLineChars="200"/>
        <w:jc w:val="center"/>
        <w:textAlignment w:val="baseline"/>
        <w:rPr>
          <w:rFonts w:hint="eastAsia" w:ascii="宋体" w:hAnsi="宋体" w:eastAsia="宋体" w:cs="Arial"/>
          <w:smallCaps/>
          <w:color w:val="000000"/>
          <w:kern w:val="0"/>
          <w:sz w:val="24"/>
          <w:szCs w:val="24"/>
          <w:highlight w:val="none"/>
        </w:rPr>
      </w:pPr>
      <w:r>
        <w:rPr>
          <w:rFonts w:hint="eastAsia" w:ascii="宋体" w:hAnsi="宋体" w:eastAsia="宋体" w:cs="Arial"/>
          <w:smallCaps/>
          <w:snapToGrid/>
          <w:color w:val="000000"/>
          <w:kern w:val="0"/>
          <w:sz w:val="24"/>
          <w:szCs w:val="24"/>
          <w:highlight w:val="none"/>
          <w:lang w:val="en-US" w:eastAsia="zh-CN" w:bidi="ar"/>
        </w:rPr>
        <w:t xml:space="preserve"> </w:t>
      </w:r>
    </w:p>
    <w:p w14:paraId="49B6A686">
      <w:pPr>
        <w:keepNext w:val="0"/>
        <w:keepLines w:val="0"/>
        <w:widowControl/>
        <w:suppressLineNumbers w:val="0"/>
        <w:tabs>
          <w:tab w:val="right" w:leader="dot" w:pos="8778"/>
        </w:tabs>
        <w:kinsoku w:val="0"/>
        <w:autoSpaceDE w:val="0"/>
        <w:autoSpaceDN w:val="0"/>
        <w:adjustRightInd w:val="0"/>
        <w:snapToGrid w:val="0"/>
        <w:spacing w:before="0" w:beforeAutospacing="0" w:after="0" w:afterAutospacing="0" w:line="360" w:lineRule="auto"/>
        <w:ind w:left="0" w:right="0" w:firstLine="480" w:firstLineChars="200"/>
        <w:jc w:val="center"/>
        <w:textAlignment w:val="baseline"/>
        <w:rPr>
          <w:rFonts w:hint="eastAsia" w:ascii="宋体" w:hAnsi="宋体" w:eastAsia="宋体" w:cs="Arial"/>
          <w:smallCaps/>
          <w:color w:val="000000"/>
          <w:kern w:val="0"/>
          <w:sz w:val="24"/>
          <w:szCs w:val="24"/>
          <w:highlight w:val="none"/>
        </w:rPr>
      </w:pPr>
      <w:r>
        <w:rPr>
          <w:rFonts w:hint="eastAsia" w:ascii="宋体" w:hAnsi="宋体" w:eastAsia="宋体" w:cs="Arial"/>
          <w:smallCaps/>
          <w:snapToGrid/>
          <w:color w:val="000000"/>
          <w:kern w:val="0"/>
          <w:sz w:val="24"/>
          <w:szCs w:val="24"/>
          <w:highlight w:val="none"/>
          <w:lang w:val="en-US" w:eastAsia="zh-CN" w:bidi="ar"/>
        </w:rPr>
        <w:br w:type="page"/>
      </w:r>
    </w:p>
    <w:p w14:paraId="0C491D3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center"/>
        <w:textAlignment w:val="baseline"/>
        <w:outlineLvl w:val="1"/>
        <w:rPr>
          <w:rFonts w:hint="eastAsia" w:ascii="宋体" w:hAnsi="宋体" w:eastAsia="宋体" w:cs="Arial"/>
          <w:b/>
          <w:bCs w:val="0"/>
          <w:color w:val="000000"/>
          <w:kern w:val="0"/>
          <w:sz w:val="36"/>
          <w:szCs w:val="36"/>
          <w:highlight w:val="none"/>
        </w:rPr>
      </w:pPr>
      <w:r>
        <w:rPr>
          <w:rFonts w:hint="eastAsia" w:ascii="宋体" w:hAnsi="宋体" w:eastAsia="宋体" w:cs="宋体"/>
          <w:b/>
          <w:bCs w:val="0"/>
          <w:snapToGrid/>
          <w:color w:val="000000"/>
          <w:kern w:val="0"/>
          <w:sz w:val="36"/>
          <w:szCs w:val="36"/>
          <w:highlight w:val="none"/>
          <w:lang w:val="en-US" w:eastAsia="zh-CN" w:bidi="ar"/>
        </w:rPr>
        <w:t>第二部分</w:t>
      </w:r>
      <w:r>
        <w:rPr>
          <w:rFonts w:hint="eastAsia" w:ascii="宋体" w:hAnsi="宋体" w:eastAsia="宋体" w:cs="Arial"/>
          <w:b/>
          <w:bCs w:val="0"/>
          <w:snapToGrid/>
          <w:color w:val="000000"/>
          <w:kern w:val="0"/>
          <w:sz w:val="36"/>
          <w:szCs w:val="36"/>
          <w:highlight w:val="none"/>
          <w:lang w:val="en-US" w:eastAsia="zh-CN" w:bidi="ar"/>
        </w:rPr>
        <w:t xml:space="preserve">  </w:t>
      </w:r>
      <w:r>
        <w:rPr>
          <w:rFonts w:hint="eastAsia" w:ascii="宋体" w:hAnsi="宋体" w:eastAsia="宋体" w:cs="宋体"/>
          <w:b/>
          <w:bCs w:val="0"/>
          <w:snapToGrid/>
          <w:color w:val="000000"/>
          <w:kern w:val="0"/>
          <w:sz w:val="36"/>
          <w:szCs w:val="36"/>
          <w:highlight w:val="none"/>
          <w:lang w:val="en-US" w:eastAsia="zh-CN" w:bidi="ar"/>
        </w:rPr>
        <w:t>通用合同条款</w:t>
      </w:r>
    </w:p>
    <w:p w14:paraId="49449D0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2"/>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一般约定</w:t>
      </w:r>
    </w:p>
    <w:p w14:paraId="307C098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1.1 词语定义与解释</w:t>
      </w:r>
    </w:p>
    <w:p w14:paraId="6374548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合同协议书、通用合同条款、专用合同条款中的下列词语具有本款所赋予的含义：</w:t>
      </w:r>
    </w:p>
    <w:p w14:paraId="2646C94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1.1.1 委托人：是指与咨询人签订合同协议书的当事人及取得该当事人资格的合法继承人。</w:t>
      </w:r>
    </w:p>
    <w:p w14:paraId="6514BB2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1.1.2 咨询人：是指与委托人签订合同协议书的，具有相应工程造价咨询资质的当事人及取得该当事人资格的合法继承人。</w:t>
      </w:r>
    </w:p>
    <w:p w14:paraId="40F0667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1.1.3 第三人：是指除委托人、咨询人以外与本咨询业务有关的当事人。</w:t>
      </w:r>
    </w:p>
    <w:p w14:paraId="574CFF4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1.1.4 工程造价咨询：是指咨询人接受委托人的委托，运用工程造价的专业技能，为建设项目决策、设计、交易、实施、结算等各个阶段工程计价和工程造价管理提供的有偿服务。</w:t>
      </w:r>
    </w:p>
    <w:p w14:paraId="6009777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 xml:space="preserve">1.1.5 工程造价咨询成果文件：是指咨询人在承担工程造价咨询业务时，为委托人出具的具有法律责任，反映各阶段工程造价确定与控制成果的文件。包括：投资估算书、设计概算书、施工图预算书、竣工结算书、工程量清单、招标控制价、工程计量与支付、工程索赔、工程造价鉴定意见书等文件。 </w:t>
      </w:r>
    </w:p>
    <w:p w14:paraId="3517ED7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1.1.6 综合误差率：是指工程造价咨询成果文件中审查出的编制错误的累计金额与最终修正后造价总额的比率。</w:t>
      </w:r>
    </w:p>
    <w:p w14:paraId="42346E2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1.1.7 酬金：是指咨询人履行本合同义务，委托人按照本合同约定给付咨询人的金额。</w:t>
      </w:r>
    </w:p>
    <w:p w14:paraId="3C2616F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1.1.8 费用：是指不包含在酬金之内应由委托人承担的经济支出。</w:t>
      </w:r>
    </w:p>
    <w:p w14:paraId="3069263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1.1.9 书面形式：是指合同书、信件和数据电文等可以有形地表现所载内容的形式。</w:t>
      </w:r>
    </w:p>
    <w:p w14:paraId="3B1146C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1.2 语言文字</w:t>
      </w:r>
    </w:p>
    <w:p w14:paraId="753D398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合同以中国的汉语简体文字编写、解释和说明。合同当事人在专用合同条款中约定使用两种以上语言时，汉语为优先解释和说明合同的语言。</w:t>
      </w:r>
    </w:p>
    <w:p w14:paraId="161E302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1.3 法律</w:t>
      </w:r>
    </w:p>
    <w:p w14:paraId="7D8E8BE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合同所称法律是指中华人民共和国法律、行政法规、部门规章，以及本省地方性法规、规章等。</w:t>
      </w:r>
    </w:p>
    <w:p w14:paraId="1EE1893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合同当事人可以在专用合同条款中约定合同适用的其他规范性文件。</w:t>
      </w:r>
    </w:p>
    <w:p w14:paraId="776ED3F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1.4 标准和规范</w:t>
      </w:r>
    </w:p>
    <w:p w14:paraId="4B47EB4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适用于工程造价咨询的国家标准、行业标准、本省地方性标准，以及相应的规范、规程等，合同当事人有特别要求的，应在专用合同条款中约定。</w:t>
      </w:r>
    </w:p>
    <w:p w14:paraId="2364761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1.5 合同文件的优先顺序</w:t>
      </w:r>
    </w:p>
    <w:p w14:paraId="0140285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组成合同的各项文件应互相解释，互为说明。除专用合同条款另有约定外，解释合同文件的优先顺序如下：</w:t>
      </w:r>
    </w:p>
    <w:p w14:paraId="016DD16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（1）合同协议书；</w:t>
      </w:r>
    </w:p>
    <w:p w14:paraId="7F51E6B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（2）中标通知书（如果有）；</w:t>
      </w:r>
    </w:p>
    <w:p w14:paraId="354D444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（3）投标函及其附录（如果有）；</w:t>
      </w:r>
    </w:p>
    <w:p w14:paraId="78B3711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（4）专用合同条款；</w:t>
      </w:r>
    </w:p>
    <w:p w14:paraId="68000CE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（5）通用合同条款。</w:t>
      </w:r>
    </w:p>
    <w:p w14:paraId="3FCE353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上述各项合同文件包括合同当事人就该项合同文件所作出的补充和修改，属于同一类内容的文件，应以最新签署的为准。</w:t>
      </w:r>
    </w:p>
    <w:p w14:paraId="39A4FB2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在合同订立及履行过程中形成的与合同有关的文件均构成合同文件组成部分，并根据其性质确定优先解释顺序。</w:t>
      </w:r>
    </w:p>
    <w:p w14:paraId="493B0EB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1.6 联络</w:t>
      </w:r>
    </w:p>
    <w:p w14:paraId="7C87F85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1.6.1 与合同有关的通知、批准、证明、证书、指示、指令、要求、请求、同意、意见、确定和决定等，均应采用书面形式，并应在合同约定的期限内送达接收人和送达地点。</w:t>
      </w:r>
    </w:p>
    <w:p w14:paraId="4EB0862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1.6.2 委托人和咨询人应在专用合同条款中约定各自的送达接收人、送达地点、电子邮箱。任何一方合同当事人指定的接收人或送达地点或电子邮箱发生变动的，应提前3天以书面形式通知对方。</w:t>
      </w:r>
    </w:p>
    <w:p w14:paraId="32A7343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1.6.3 委托人和咨询人应当及时签收另一方送达至送达地点和指定接收人的来往信函。拒不签收的，由此增加的费用和延误的咨询期限由拒绝接收一方承担。</w:t>
      </w:r>
    </w:p>
    <w:p w14:paraId="7BEB2A8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1.7 守法诚信</w:t>
      </w:r>
    </w:p>
    <w:p w14:paraId="53F3764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咨询人从事工程造价咨询活动，应当遵循独立、客观、公正、诚实信用的原则，不得损害社会公共利益和他人的合法权益。除委托人书面同意外，咨询人及其工程造价专业人员不得从与实施工程造价咨询业务有关的第三人处获得任何经济利益。</w:t>
      </w:r>
    </w:p>
    <w:p w14:paraId="24B3F3E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1.8 保密</w:t>
      </w:r>
    </w:p>
    <w:p w14:paraId="2039805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双方不得泄露对方申明的保密资料，亦不得泄露与实施工程造价咨询业务有关的第三人所提供的保密资料，保密事项在专用合同条款中约定。</w:t>
      </w:r>
    </w:p>
    <w:p w14:paraId="52454FD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2"/>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2. 委托人</w:t>
      </w:r>
    </w:p>
    <w:p w14:paraId="3F04B81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2.1 委托人代表</w:t>
      </w:r>
    </w:p>
    <w:p w14:paraId="3B09B83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委托人应授权一名熟悉工程情况的代表，负责与咨询人联系。委托人应在专用合同条款中明确委托人代表的姓名、职务、联系方式及授权范围等事项。委托人代表经委托人授权后代表委托人履行合同。委托人更换委托人代表的，应提前7天书面通知咨询人。</w:t>
      </w:r>
    </w:p>
    <w:p w14:paraId="1606A05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2.2 提供资料</w:t>
      </w:r>
    </w:p>
    <w:p w14:paraId="113FE56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委托人向咨询人提供的工程造价咨询所需要的资料名称及提供时间在专用合同条款中约定，委托人对其提供资料的真实性、准确性和完整性负责。</w:t>
      </w:r>
    </w:p>
    <w:p w14:paraId="7A4196B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在合同履行过程中，咨询人需要委托人和第三人提供工程造价咨询所需要的最新资料的，除专用合同条款另有约定外，委托人应尽其努力在相应咨询工作开展前的合理期限内提供，合理期限应以不影响咨询人的正常咨询工作为限。</w:t>
      </w:r>
    </w:p>
    <w:p w14:paraId="114869C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委托人未能按合同约定及时向咨询人提供咨询资料的，由委托人承担由此增加的费用和延误的咨询期限。</w:t>
      </w:r>
    </w:p>
    <w:p w14:paraId="723CC9F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2.3 提供工作条件</w:t>
      </w:r>
    </w:p>
    <w:p w14:paraId="4E65826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2.3.1 委托人应负责与本工程造价咨询业务有关的第三人的协调，为咨询人履行本合同提供必要的外部条件。</w:t>
      </w:r>
    </w:p>
    <w:p w14:paraId="11813AA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2.3.2 咨询人接受委托实施施工阶段全过程造价管理咨询工作的，委托人应当在施工现场为咨询人提供必要的办公用房、办公家具，供咨询人使用。</w:t>
      </w:r>
    </w:p>
    <w:p w14:paraId="582AE57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2.4 答复</w:t>
      </w:r>
    </w:p>
    <w:p w14:paraId="10F674A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2.4.1 委托人应在专用合同条款约定的时间内，对咨询人以书面形式提交并要求作出决定的事宜，给予书面答复。委托人逾期未答复，影响咨询工作正常开展的，由委托人承担由此增加的费用和延误的咨询期限。</w:t>
      </w:r>
    </w:p>
    <w:p w14:paraId="4CE4D0D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2.4.2 除专用合同条款另有约定外，对咨询人以书面形式提交并要求第三人作出决定的事宜，由委托人送达第三人，第三人在合理期限内未答复，影响咨询工作正常开展的，由委托人承担由此增加的费用和延误的咨询期限。</w:t>
      </w:r>
    </w:p>
    <w:p w14:paraId="7610832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2.5 支付酬金</w:t>
      </w:r>
    </w:p>
    <w:p w14:paraId="04C40DE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委托人应按合同约定，向咨询人支付酬金。</w:t>
      </w:r>
    </w:p>
    <w:p w14:paraId="017C7DC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2"/>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3. 咨询人</w:t>
      </w:r>
    </w:p>
    <w:p w14:paraId="306A38B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3.1 咨询人的一般义务</w:t>
      </w:r>
    </w:p>
    <w:p w14:paraId="12B82BC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3.1.1 向委托人提供与工程造价咨询业务有关的资料，包括工程造价咨询企业资质证书、承担本合同咨询业务的工程造价专业人员任命文件、工程造价咨询实施方案等。</w:t>
      </w:r>
    </w:p>
    <w:p w14:paraId="1F37C6A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3.1.2 踏勘现场，了解情况，收集、整理工程造价咨询项目有关的基础资料和编制依据，进行有效性、合规性核对，保证工程计价基础资料和编制依据的全面性、真实性和有效性。</w:t>
      </w:r>
    </w:p>
    <w:p w14:paraId="4EB38FD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3.1.3 按照咨询合同约定的工作范围和内容，编制、审核、审定工程造价咨询成果文件，并在专用合同条款约定的时间内，向委托人提交符合国家、行业规定及合同约定的工程造价咨询成果文件。</w:t>
      </w:r>
    </w:p>
    <w:p w14:paraId="5744ABF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3.1.4 组织咨询服务回访，听取委托人对服务质量的评价意见，及时进行总结，提出相应的改进措施。</w:t>
      </w:r>
    </w:p>
    <w:p w14:paraId="01D8821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3.1.5 收集工程造价咨询业务中形成的工程造价咨询过程文件和工程造价咨询成果文件，整理立卷后建立档案。</w:t>
      </w:r>
    </w:p>
    <w:p w14:paraId="7FFF3E3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3.2 项目负责人</w:t>
      </w:r>
    </w:p>
    <w:p w14:paraId="494851D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项目负责人应是咨询人正式聘用，并取得造价工程师注册证书的人员。咨询人应在专用合同条款中明确其任命的咨询项目负责人的姓名、身份证号、注册执业证书编号、联系方式及授权范围等事项，项目负责人经咨询人授权后代表咨询人履行合同。</w:t>
      </w:r>
    </w:p>
    <w:p w14:paraId="23BB1FF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3.3 工程造价专业人员</w:t>
      </w:r>
    </w:p>
    <w:p w14:paraId="390D383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3.3.1 除专用合同条款另有约定外，咨询人应当在本合同签订后的7天内，提交任命的承担本合同咨询业务的工程造价专业人员注册证书和资格证书，以及为工程造价专业人员缴纳的社会保险有效证明，供委托人核验。咨询人违反约定的，应按照专用合同条款的约定，承担违约责任。</w:t>
      </w:r>
    </w:p>
    <w:p w14:paraId="70F97B9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3.3.2 在合同履行过程中，工程造价专业人员应保持相对稳定，以保证咨询工作正常进行。咨询人更换工程造价专业人员时，应提前7天书面通知委托人，并征得委托人书面同意。未经委托人书面同意，咨询人不得擅自更换工程造价专业人员。咨询人擅自更换工程造价专业人员的，应按照专用合同条款的约定，承担违约责任。</w:t>
      </w:r>
    </w:p>
    <w:p w14:paraId="4F58429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3.3.3 咨询人承担施工阶段全过程造价管理咨询业务的，应安排工程造价专业人员进驻施工现场，且每月在施工现场时间不得少于专用合同条款约定的天数。工程造价专业人员确需离开施工现场时，应征得委托人同意。咨询人违反约定的，应按照专用合同条款的约定，承担违约责任。</w:t>
      </w:r>
    </w:p>
    <w:p w14:paraId="46EA2F8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3.3.4 委托人要求咨询人撤换不能按照合同约定履行职责及义务的工程造价专业人员的，咨询人应当撤换。咨询人无正当理由拒绝撤换的，应按照专用合同条款的约定，承担违约责任。</w:t>
      </w:r>
    </w:p>
    <w:p w14:paraId="2725C3B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2"/>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4. 咨询业务范围和工作内容</w:t>
      </w:r>
    </w:p>
    <w:p w14:paraId="21EC8C9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4.1 咨询业务范围</w:t>
      </w:r>
    </w:p>
    <w:p w14:paraId="50FFF28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合同当事人应在合同协议书中约定选择下列工程造价咨询业务中的一项或数项业务，并可在合同协议书中约定其他工程造价咨询业务。</w:t>
      </w:r>
    </w:p>
    <w:p w14:paraId="0ECE15C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（1）投资估算的编制或审核；</w:t>
      </w:r>
    </w:p>
    <w:p w14:paraId="4057B7F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（2）设计概算的编制或审核；</w:t>
      </w:r>
    </w:p>
    <w:p w14:paraId="6B0ACE8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（3）施工图预算的编制或审核；</w:t>
      </w:r>
    </w:p>
    <w:p w14:paraId="765DD76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（4）工程量清单的编制或审核；</w:t>
      </w:r>
    </w:p>
    <w:p w14:paraId="3432D9D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（5）招标控制价的编制或审核；</w:t>
      </w:r>
    </w:p>
    <w:p w14:paraId="4FE6E5B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（6）投标报价的编制；</w:t>
      </w:r>
    </w:p>
    <w:p w14:paraId="7F19C55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（7）工程结算的编制或审核；</w:t>
      </w:r>
    </w:p>
    <w:p w14:paraId="07F25BB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（8）竣工决算的编制或审核；</w:t>
      </w:r>
    </w:p>
    <w:p w14:paraId="4094356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（9）施工阶段全过程造价管理咨询；</w:t>
      </w:r>
    </w:p>
    <w:p w14:paraId="56DA181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（10）工程造价鉴定。</w:t>
      </w:r>
    </w:p>
    <w:p w14:paraId="570EC8D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4.2 咨询工作内容</w:t>
      </w:r>
    </w:p>
    <w:p w14:paraId="3889C08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工程造价咨询工作内容，由合同当事人在专用合同条款中约定。</w:t>
      </w:r>
    </w:p>
    <w:p w14:paraId="2FD62E1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2"/>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5. 咨询期限</w:t>
      </w:r>
    </w:p>
    <w:p w14:paraId="15642BE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5.1 咨询期限开始</w:t>
      </w:r>
    </w:p>
    <w:p w14:paraId="4B908A6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咨询人应按照合同约定的时间开展咨询工作，因委托人提供咨询资料延后等原因，导致咨询工作未能按照计划开始日期开展的，咨询开始日期和结束日期相应顺延。</w:t>
      </w:r>
    </w:p>
    <w:p w14:paraId="5594E9B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5.2 咨询期限延误</w:t>
      </w:r>
    </w:p>
    <w:p w14:paraId="0B71A80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4"/>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5.2.1 因委托人原因导致咨询期限延误</w:t>
      </w:r>
    </w:p>
    <w:p w14:paraId="220209A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在合同履行过程中，因下列情况导致咨询期限延误和费用增加的，由委托人承担由此延误的期限和增加的费用：</w:t>
      </w:r>
    </w:p>
    <w:p w14:paraId="5E00DD4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（1）委托人未能按合同约定向咨询人提供工程造价咨询所需要的资料或所提供咨询资料不符合合同约定的；</w:t>
      </w:r>
    </w:p>
    <w:p w14:paraId="145227E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（2）委托人未能按合同约定提供咨询工作条件，影响咨询工作正常开展的；</w:t>
      </w:r>
    </w:p>
    <w:p w14:paraId="635C7AF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（3）委托人未能在合理期限内对咨询人以书面形式提交并要求作出决定的事宜，给予书面答复，影响咨询工作正常开展的；</w:t>
      </w:r>
    </w:p>
    <w:p w14:paraId="12E9F7A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（4）委托人未能按合同约定分段支付酬金的；</w:t>
      </w:r>
    </w:p>
    <w:p w14:paraId="5ADA4DA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（5）工程暂停施工或工期延误，影响咨询工作正常开展的；</w:t>
      </w:r>
    </w:p>
    <w:p w14:paraId="439A01E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（6）专用合同条款中约定的其他情形。</w:t>
      </w:r>
    </w:p>
    <w:p w14:paraId="6DF53D9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4"/>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5.2.2 因咨询人原因导致咨询期限延误</w:t>
      </w:r>
    </w:p>
    <w:p w14:paraId="70F58DA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b/>
          <w:bCs/>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因咨询人原因造成咨询期限延误的，咨询人应承担由此给委托人造成的损失，合同双方可在专用合同条款中约定逾期完成咨询业务违约金的计算方法和逾期完成咨询业务违约金的上限。咨询人支付逾期完成咨询业务违约金后，不免除咨询人继续完成咨询业务的义务。</w:t>
      </w:r>
    </w:p>
    <w:p w14:paraId="721E48F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4"/>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5.2.3 因第三人原因导致咨询期限延误</w:t>
      </w:r>
    </w:p>
    <w:p w14:paraId="52F700C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在合同履行过程中，因下列情况导致咨询期限延误和费用增加的，由委托人承担由此延误的期限和增加的费用：</w:t>
      </w:r>
    </w:p>
    <w:p w14:paraId="44E135B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（1）第三人未能在合理期限内提供工程造价咨询所需要的资料或所提供咨询资料不符合合同约定的；</w:t>
      </w:r>
    </w:p>
    <w:p w14:paraId="60768D2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（2）第三人未能在合理期限内对咨询人以书面形式提交并要求作出决定的事宜，给予书面答复，影响咨询工作正常开展的；</w:t>
      </w:r>
    </w:p>
    <w:p w14:paraId="17D1881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（3）专用合同条款中约定的其他情形。</w:t>
      </w:r>
    </w:p>
    <w:p w14:paraId="48A7E89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5.3 工程造价咨询成果文件交付期限</w:t>
      </w:r>
    </w:p>
    <w:p w14:paraId="71146F6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5.3.1 咨询人应在合同约定的期限内完成咨询工作，并按专用合同条款约定的份数,向委托人提交工程造价咨询成果文件。除专用合同条款另有约定外，委托人应在收到咨询人提交的工程造价咨询成果文件后14天内完成确认。委托人对工程造价咨询成果文件有异议的，咨询人应进行复核；经复核确实存在误差的，咨询人应修正，并提交修正后的工程造价咨询成果文件。委托人逾期未确认也未提出修改意见的, 工程造价咨询成果文件视为已被认可。</w:t>
      </w:r>
    </w:p>
    <w:p w14:paraId="009BF0E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5.3.2 在施工阶段全过程造价管理咨询工作中，因咨询人原因未能在合理的期限内完成工程计量与支付、合同价款调整等文件编制或审核，给委托人造成损失的，应按照专用合同条款的约定，承担违约责任。</w:t>
      </w:r>
    </w:p>
    <w:p w14:paraId="74E9A66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5.3.3 咨询人提交的工程造价咨询成果文件需要第三人共同确认的，确因特殊原因不能共同签署时，咨询人应单独出具工程造价咨询成果文件，并承担相应法律责任。</w:t>
      </w:r>
    </w:p>
    <w:p w14:paraId="0F3FB9C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2"/>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6. 咨询质量</w:t>
      </w:r>
    </w:p>
    <w:p w14:paraId="738405C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6.1 质量要求</w:t>
      </w:r>
    </w:p>
    <w:p w14:paraId="2835B6A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咨询人出具的工程造价咨询成果文件质量应符合现行国家或行业工程计价有关规定、标准、规范的要求。</w:t>
      </w:r>
    </w:p>
    <w:p w14:paraId="3B56AF4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委托人要求的工程造价咨询成果文件质量标准高于现行国家或行业标准的，应在专用合同条款中约定具体的质量标准，并相应增加咨询酬金。</w:t>
      </w:r>
    </w:p>
    <w:p w14:paraId="5ED4BFF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6.2 质量保证措施</w:t>
      </w:r>
    </w:p>
    <w:p w14:paraId="35427B5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咨询人应建立相应的质量管理体系，并通过计划管理、流程控制保证工程造价咨询成果文件质量。</w:t>
      </w:r>
    </w:p>
    <w:p w14:paraId="6B3EE2B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6.3 质量不合格处理</w:t>
      </w:r>
    </w:p>
    <w:p w14:paraId="231A082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因咨询人原因造成工程造价咨询成果文件质量未达到合同约定标准的，委托人有权要求咨询人采取补救措施，直至达到本合同要求的质量标准，并可根据工程造价咨询成果文件综合误差率相应减少咨询酬金。委托人已支付全部酬金的，有权要求咨询人退还相应减少的酬金。减少酬金计算方法在专用合同条款中约定。</w:t>
      </w:r>
    </w:p>
    <w:p w14:paraId="27D4C6B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因咨询人原因造成工程造价咨询成果文件质量未达到合同约定标准给委托人造成损失的，咨询人应承担违约责任，合同双方可在专用合同条款中约定因质量不合格产生的损失赔偿额的计算方法。</w:t>
      </w:r>
    </w:p>
    <w:p w14:paraId="684CDD9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2"/>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7. 咨询酬金</w:t>
      </w:r>
    </w:p>
    <w:p w14:paraId="60B05DF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7.1 酬金计算方式</w:t>
      </w:r>
    </w:p>
    <w:p w14:paraId="4C0F0F2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除专用合同条款另有约定外，合同当事人应在合同协议书或专用合同条款中选择下列酬金计算方式之一：</w:t>
      </w:r>
    </w:p>
    <w:p w14:paraId="2A2A27A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4"/>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7.1.1 固定酬金</w:t>
      </w:r>
    </w:p>
    <w:p w14:paraId="0302912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合同当事人在合同协议书中约定咨询酬金金额。</w:t>
      </w:r>
    </w:p>
    <w:p w14:paraId="2EDB087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4"/>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7.1.2 基本酬金加绩效酬金</w:t>
      </w:r>
    </w:p>
    <w:p w14:paraId="1935228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合同当事人可以在专用合同条款中约定按以下计算方式确定委托人支付给咨询人的基本酬金和绩效酬金金额：</w:t>
      </w:r>
    </w:p>
    <w:p w14:paraId="03C795F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（1）以咨询人编审的工程造价咨询成果文件总价为基数，乘以专用合同条款约定的基本酬金比例，计算确定基本酬金金额。</w:t>
      </w:r>
    </w:p>
    <w:p w14:paraId="7517826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（2）委托人除支付咨询人基本酬金外，如咨询人审核的工程造价成果文件有审减（增）额的，可以审减（增）额为基数，乘以专用合同条款约定的绩效酬金比例，计算确定绩效酬金金额。</w:t>
      </w:r>
    </w:p>
    <w:p w14:paraId="4D548F9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7.2 预付酬金</w:t>
      </w:r>
    </w:p>
    <w:p w14:paraId="2100EA1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咨询合同期限超过6个月的咨询业务，委托人应预付咨询人酬金，预付酬金的支付比例或金额、支付期限在专用合同条款中约定。预付酬金应用于支付承担本合同咨询业务的工程造价专业人员工资。委托人逾期支付预付酬金的，应按照专用合同条款的约定，承担违约责任。</w:t>
      </w:r>
    </w:p>
    <w:p w14:paraId="4E5B3FC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7.3 酬金分段结算与支付</w:t>
      </w:r>
    </w:p>
    <w:p w14:paraId="440DCD5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7.3.1合同当事人应在专用合同条款中约定酬金分段结算与支付的比例或金额。咨询人应按照专用合同条款约定的期限或咨询业务进度节点向委托人提交酬金分段结算与支付申请书。</w:t>
      </w:r>
    </w:p>
    <w:p w14:paraId="52F3F16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7.3.2 除专用合同条款另有约定外，委托人应自收到咨询人提交的酬金分段结算与支付申请书之日起14天内审核确认，并完成支付。委托人逾期支付的，按照中国人民银行发布的同期同类贷款基准利率支付违约金。</w:t>
      </w:r>
    </w:p>
    <w:p w14:paraId="0C6F938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7.4 酬金结清与支付</w:t>
      </w:r>
    </w:p>
    <w:p w14:paraId="7C508ED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7.4.1 除专用合同条款另有约定外，咨询人应自提交的工程造价咨询成果文件经委托人确认后14天内，向委托人提交酬金结清与支付申请书。</w:t>
      </w:r>
    </w:p>
    <w:p w14:paraId="2E2C33C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7.4.2 除专用合同条款另有约定外，委托人应自收到咨询人提交的酬金结清与支付申请书之日起14天内审核确认，委托人逾期未审核确认也未提出异议的, 酬金结清与支付申请视为已被认可。</w:t>
      </w:r>
    </w:p>
    <w:p w14:paraId="37C8742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7.4.3 除专用合同条款另有约定外，委托人应自审核确认酬金结清与支付申请书之日起14天内将结清未支付的酬金一次性支付给咨询人。委托人逾期支付的，按照中国人民银行发布的同期同类贷款基准利率支付违约金。</w:t>
      </w:r>
    </w:p>
    <w:p w14:paraId="0986FF8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7.4.4 委托人对咨询人提交的酬金结清与支付申请书有异议时，应当在收到咨询人提交的酬金结清与支付申请书后14天内，以书面形式向咨询人发出异议通知。无异议部分的款项应按期支付，有异议部分的款项按照第10条〔争议解决〕的约定处理。</w:t>
      </w:r>
    </w:p>
    <w:p w14:paraId="4302CDD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7.5 费用支付</w:t>
      </w:r>
    </w:p>
    <w:p w14:paraId="04119C7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因工程建设需要，由咨询人配合委托人组织的外出询价、考察以及聘请相关专家等发生的费用由委托人支付。</w:t>
      </w:r>
    </w:p>
    <w:p w14:paraId="1C6D337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2"/>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8. 变更</w:t>
      </w:r>
    </w:p>
    <w:p w14:paraId="2A20296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8.1 变更的范围</w:t>
      </w:r>
    </w:p>
    <w:p w14:paraId="749B7E9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合同履行过程中发生以下情形的，应按照本条约定进行变更：</w:t>
      </w:r>
    </w:p>
    <w:p w14:paraId="73C42F8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（1）扩大或缩小工程规模的；</w:t>
      </w:r>
    </w:p>
    <w:p w14:paraId="27DF442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（2）增加或减少咨询业务范围和工作内容的；</w:t>
      </w:r>
    </w:p>
    <w:p w14:paraId="1E281D6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（3）提高或降低咨询质量标准的；</w:t>
      </w:r>
    </w:p>
    <w:p w14:paraId="4CDFE6C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（4）专用合同条款中约定的其他情形。</w:t>
      </w:r>
    </w:p>
    <w:p w14:paraId="2BAD37B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8.2 变更引起的咨询酬金和期限调整</w:t>
      </w:r>
    </w:p>
    <w:p w14:paraId="44D1156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8.2.1 变更引起的咨询酬金和期限调整，由咨询人根据变更导致咨询工作量变化大小，与委托人协商后做可共同接受的修改。合同当事人也可在专用合同条款中约定变更引起的咨询酬金和期限调整的计算方法。</w:t>
      </w:r>
    </w:p>
    <w:p w14:paraId="11447F2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8.2.2 咨询人应在收到委托人下达的变更指示后14天内，向委托人提交变更引起的咨询酬金和期限调整申请。委托人应在咨询人提交申请后14天内审批完毕。委托人逾期未完成审批或未提出异议的，视为认可咨询人提交的变更申请。</w:t>
      </w:r>
    </w:p>
    <w:p w14:paraId="5B8D478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8.3 咨询人的合理化建议</w:t>
      </w:r>
    </w:p>
    <w:p w14:paraId="78AB704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咨询人可以向委托人提出合理化建议并说明实施该建议对工程造价和工期的影响。</w:t>
      </w:r>
    </w:p>
    <w:p w14:paraId="72A0BCA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合理化建议降低了工程造价或者提高了工程经济效益，使委托人受益的，委托人可对咨询人给予奖励。除专用合同条款另有约定外，合理化建议的奖励金额，以合理化建议给委托人带来的受益额为基数，乘以专用合同条款约定的奖励金额的比率计算确定。</w:t>
      </w:r>
    </w:p>
    <w:p w14:paraId="339144D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2"/>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9. 违约</w:t>
      </w:r>
    </w:p>
    <w:p w14:paraId="5913D54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9.1 委托人违约</w:t>
      </w:r>
    </w:p>
    <w:p w14:paraId="245C9F0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委托人未能按照合同约定履行合同义务的，咨询人可向委托人发出通知，要求委托人采取有效措施纠正违约行为。委托人应承担因其违约给咨询人增加的费用和延误的咨询期限，并按专用合同条款的约定承担违约责任。</w:t>
      </w:r>
    </w:p>
    <w:p w14:paraId="329BCBC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除专用合同条款另有约定外，委托人收到咨询人通知后56天内仍不纠正其违约行为且影响咨询工作正常开展的，咨询人有权解除合同。委托人应在解除合同后28天内按专用合同条款的约定完成已完咨询业务酬金结算和付款。合同当事人未能就解除合同后的结清达成一致的，按照第10条〔争议解决〕的约定处理。</w:t>
      </w:r>
    </w:p>
    <w:p w14:paraId="2D2D485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9.2 咨询人违约</w:t>
      </w:r>
    </w:p>
    <w:p w14:paraId="7B6393B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咨询人未能按照合同约定履行合同义务的，委托人可向咨询人发出整改通知，要求其在指定的合理期限内改正。咨询人应承担因其违约行为而增加的费用和延误的咨询期限，并按专用合同条款的约定承担违约责任。</w:t>
      </w:r>
    </w:p>
    <w:p w14:paraId="09E7E52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除专用合同条款另有约定外，委托人发出整改通知后，咨询人在指定的合理期限内仍不纠正违约行为，委托人有权解除合同。合同当事人应在解除合同后28天内按专用合同条款的约定完成已完咨询业务酬金结算和付款。合同当事人未能就解除合同后的结清达成一致的，按照第10条〔争议解决〕的约定处理。</w:t>
      </w:r>
    </w:p>
    <w:p w14:paraId="5327DC2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9.3 第三人造成的违约</w:t>
      </w:r>
    </w:p>
    <w:p w14:paraId="3AA4F03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在合同履行过程中，一方当事人因第三人的原因造成违约的，应当向对方当事人承担违约责任。一方当事人和第三人之间的纠纷，依照法律规定或者按照约定解决。</w:t>
      </w:r>
    </w:p>
    <w:p w14:paraId="78E5A86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2"/>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10. 争议解决</w:t>
      </w:r>
    </w:p>
    <w:p w14:paraId="4F7814C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10.1 和解</w:t>
      </w:r>
    </w:p>
    <w:p w14:paraId="2E5C945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合同当事人可以就争议自行和解，自行和解达成协议的经双方签字并盖章后作为合同补充文件，双方均应遵照执行。</w:t>
      </w:r>
    </w:p>
    <w:p w14:paraId="01D50DB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10.2 调解</w:t>
      </w:r>
    </w:p>
    <w:p w14:paraId="31A2B8F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合同当事人可以就争议请求工程造价管理部门、行业协会或其他第三方进行调解，调解达成协议的，经双方签字并盖章后作为合同补充文件，双方均应遵照执行。</w:t>
      </w:r>
    </w:p>
    <w:p w14:paraId="399AA6A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10.3 仲裁或诉讼</w:t>
      </w:r>
    </w:p>
    <w:p w14:paraId="537DD20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因合同及合同有关事项产生的争议，合同当事人可以在专用合同条款中约定下列任意一种方式解决争议：</w:t>
      </w:r>
    </w:p>
    <w:p w14:paraId="5B24CA8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（1）向约定的仲裁委员会申请仲裁；</w:t>
      </w:r>
    </w:p>
    <w:p w14:paraId="7E9B246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（2）向有管辖权的人民法院起诉。</w:t>
      </w:r>
    </w:p>
    <w:p w14:paraId="1AF013D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10.4 争议解决条款效力</w:t>
      </w:r>
    </w:p>
    <w:p w14:paraId="15A10E5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4"/>
          <w:szCs w:val="24"/>
          <w:highlight w:val="none"/>
        </w:rPr>
      </w:pPr>
      <w:r>
        <w:rPr>
          <w:rFonts w:hint="eastAsia" w:ascii="宋体" w:hAnsi="宋体" w:eastAsia="宋体" w:cs="宋体"/>
          <w:snapToGrid/>
          <w:color w:val="000000"/>
          <w:kern w:val="0"/>
          <w:sz w:val="21"/>
          <w:szCs w:val="21"/>
          <w:highlight w:val="none"/>
          <w:lang w:val="en-US" w:eastAsia="zh-CN" w:bidi="ar"/>
        </w:rPr>
        <w:t>合同有关争议解决的条款独立存在，合同的变更、解除、终止、无效或者被撤销均不影响其效力。</w:t>
      </w:r>
    </w:p>
    <w:p w14:paraId="6630281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Arial"/>
          <w:color w:val="000000"/>
          <w:kern w:val="0"/>
          <w:sz w:val="24"/>
          <w:szCs w:val="24"/>
          <w:highlight w:val="none"/>
        </w:rPr>
      </w:pPr>
      <w:r>
        <w:rPr>
          <w:rFonts w:hint="eastAsia" w:ascii="宋体" w:hAnsi="宋体" w:eastAsia="宋体" w:cs="Arial"/>
          <w:snapToGrid/>
          <w:color w:val="000000"/>
          <w:kern w:val="0"/>
          <w:sz w:val="24"/>
          <w:szCs w:val="24"/>
          <w:highlight w:val="none"/>
          <w:lang w:val="en-US" w:eastAsia="zh-CN" w:bidi="ar"/>
        </w:rPr>
        <w:t xml:space="preserve"> </w:t>
      </w:r>
    </w:p>
    <w:p w14:paraId="5D791E4E">
      <w:pPr>
        <w:rPr>
          <w:rFonts w:hint="eastAsia" w:ascii="宋体" w:hAnsi="宋体" w:eastAsia="宋体" w:cs="宋体"/>
          <w:b/>
          <w:bCs w:val="0"/>
          <w:snapToGrid/>
          <w:color w:val="000000"/>
          <w:kern w:val="0"/>
          <w:sz w:val="36"/>
          <w:szCs w:val="36"/>
          <w:highlight w:val="none"/>
          <w:lang w:val="en-US" w:eastAsia="zh-CN" w:bidi="ar"/>
        </w:rPr>
      </w:pPr>
      <w:r>
        <w:rPr>
          <w:rFonts w:hint="eastAsia" w:ascii="宋体" w:hAnsi="宋体" w:eastAsia="宋体" w:cs="宋体"/>
          <w:b/>
          <w:bCs w:val="0"/>
          <w:snapToGrid/>
          <w:color w:val="000000"/>
          <w:kern w:val="0"/>
          <w:sz w:val="36"/>
          <w:szCs w:val="36"/>
          <w:highlight w:val="none"/>
          <w:lang w:val="en-US" w:eastAsia="zh-CN" w:bidi="ar"/>
        </w:rPr>
        <w:br w:type="page"/>
      </w:r>
    </w:p>
    <w:p w14:paraId="6960054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center"/>
        <w:textAlignment w:val="baseline"/>
        <w:outlineLvl w:val="1"/>
        <w:rPr>
          <w:rFonts w:hint="eastAsia" w:ascii="宋体" w:hAnsi="宋体" w:eastAsia="宋体" w:cs="Arial"/>
          <w:b/>
          <w:bCs w:val="0"/>
          <w:color w:val="000000"/>
          <w:kern w:val="0"/>
          <w:sz w:val="36"/>
          <w:szCs w:val="36"/>
          <w:highlight w:val="none"/>
        </w:rPr>
      </w:pPr>
      <w:r>
        <w:rPr>
          <w:rFonts w:hint="eastAsia" w:ascii="宋体" w:hAnsi="宋体" w:eastAsia="宋体" w:cs="宋体"/>
          <w:b/>
          <w:bCs w:val="0"/>
          <w:snapToGrid/>
          <w:color w:val="000000"/>
          <w:kern w:val="0"/>
          <w:sz w:val="36"/>
          <w:szCs w:val="36"/>
          <w:highlight w:val="none"/>
          <w:lang w:val="en-US" w:eastAsia="zh-CN" w:bidi="ar"/>
        </w:rPr>
        <w:t>第三部分</w:t>
      </w:r>
      <w:r>
        <w:rPr>
          <w:rFonts w:hint="eastAsia" w:ascii="宋体" w:hAnsi="宋体" w:eastAsia="宋体" w:cs="Arial"/>
          <w:b/>
          <w:bCs w:val="0"/>
          <w:snapToGrid/>
          <w:color w:val="000000"/>
          <w:kern w:val="0"/>
          <w:sz w:val="36"/>
          <w:szCs w:val="36"/>
          <w:highlight w:val="none"/>
          <w:lang w:val="en-US" w:eastAsia="zh-CN" w:bidi="ar"/>
        </w:rPr>
        <w:t xml:space="preserve">  </w:t>
      </w:r>
      <w:r>
        <w:rPr>
          <w:rFonts w:hint="eastAsia" w:ascii="宋体" w:hAnsi="宋体" w:eastAsia="宋体" w:cs="宋体"/>
          <w:b/>
          <w:bCs w:val="0"/>
          <w:snapToGrid/>
          <w:color w:val="000000"/>
          <w:kern w:val="0"/>
          <w:sz w:val="36"/>
          <w:szCs w:val="36"/>
          <w:highlight w:val="none"/>
          <w:lang w:val="en-US" w:eastAsia="zh-CN" w:bidi="ar"/>
        </w:rPr>
        <w:t>专用合同条款</w:t>
      </w:r>
    </w:p>
    <w:p w14:paraId="1D115EB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2"/>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1. 一般约定</w:t>
      </w:r>
    </w:p>
    <w:p w14:paraId="2375F94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1.3法律</w:t>
      </w:r>
    </w:p>
    <w:p w14:paraId="37BA1DB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适用于合同的其他规范性文件：</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b/>
          <w:bCs w:val="0"/>
          <w:snapToGrid/>
          <w:color w:val="000000"/>
          <w:kern w:val="0"/>
          <w:sz w:val="21"/>
          <w:szCs w:val="21"/>
          <w:highlight w:val="none"/>
          <w:u w:val="single"/>
          <w:lang w:val="en-US" w:eastAsia="zh-CN" w:bidi="ar"/>
        </w:rPr>
        <w:t>国家及地方现行的规范文件</w:t>
      </w:r>
      <w:r>
        <w:rPr>
          <w:rFonts w:hint="eastAsia" w:ascii="宋体" w:hAnsi="宋体" w:eastAsia="宋体" w:cs="宋体"/>
          <w:snapToGrid/>
          <w:color w:val="000000"/>
          <w:kern w:val="0"/>
          <w:sz w:val="21"/>
          <w:szCs w:val="21"/>
          <w:highlight w:val="none"/>
          <w:lang w:val="en-US" w:eastAsia="zh-CN" w:bidi="ar"/>
        </w:rPr>
        <w:t>。</w:t>
      </w:r>
    </w:p>
    <w:p w14:paraId="3755F7D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1.4 标准和规范</w:t>
      </w:r>
    </w:p>
    <w:p w14:paraId="50C8281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适用于工程造价咨询的标准规范包括：</w:t>
      </w:r>
      <w:r>
        <w:rPr>
          <w:rFonts w:hint="eastAsia" w:ascii="宋体" w:hAnsi="宋体" w:eastAsia="宋体" w:cs="宋体"/>
          <w:b/>
          <w:bCs w:val="0"/>
          <w:snapToGrid/>
          <w:color w:val="000000"/>
          <w:kern w:val="0"/>
          <w:sz w:val="21"/>
          <w:szCs w:val="21"/>
          <w:highlight w:val="none"/>
          <w:u w:val="single"/>
          <w:lang w:val="en-US" w:eastAsia="zh-CN" w:bidi="ar"/>
        </w:rPr>
        <w:t>国家及地方现行的规范文件</w:t>
      </w:r>
      <w:r>
        <w:rPr>
          <w:rFonts w:hint="eastAsia" w:ascii="宋体" w:hAnsi="宋体" w:eastAsia="宋体" w:cs="宋体"/>
          <w:snapToGrid/>
          <w:color w:val="000000"/>
          <w:kern w:val="0"/>
          <w:sz w:val="21"/>
          <w:szCs w:val="21"/>
          <w:highlight w:val="none"/>
          <w:lang w:val="en-US" w:eastAsia="zh-CN" w:bidi="ar"/>
        </w:rPr>
        <w:t>。</w:t>
      </w:r>
    </w:p>
    <w:p w14:paraId="7963981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1.5 合同文件的优先顺序</w:t>
      </w:r>
    </w:p>
    <w:p w14:paraId="64AA96F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合同文件组成及优先顺序为：</w:t>
      </w:r>
    </w:p>
    <w:p w14:paraId="55FA1EF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（1）合同协议书；</w:t>
      </w:r>
    </w:p>
    <w:p w14:paraId="70CACDE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（2）中标通知书；</w:t>
      </w:r>
    </w:p>
    <w:p w14:paraId="106575E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（3）投标函及其附录；</w:t>
      </w:r>
    </w:p>
    <w:p w14:paraId="29A4FFB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（4）专用合同条款；</w:t>
      </w:r>
    </w:p>
    <w:p w14:paraId="1AA2C15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（5）通用合同条款。</w:t>
      </w:r>
    </w:p>
    <w:p w14:paraId="605399C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1.6 联络</w:t>
      </w:r>
    </w:p>
    <w:p w14:paraId="224CFD1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bCs/>
          <w:snapToGrid/>
          <w:color w:val="000000"/>
          <w:kern w:val="0"/>
          <w:sz w:val="21"/>
          <w:szCs w:val="21"/>
          <w:highlight w:val="none"/>
          <w:lang w:val="en-US" w:eastAsia="zh-CN" w:bidi="ar"/>
        </w:rPr>
        <w:t>1.6.1</w:t>
      </w:r>
      <w:r>
        <w:rPr>
          <w:rFonts w:hint="eastAsia" w:ascii="宋体" w:hAnsi="宋体" w:eastAsia="宋体" w:cs="宋体"/>
          <w:snapToGrid/>
          <w:color w:val="000000"/>
          <w:kern w:val="0"/>
          <w:sz w:val="21"/>
          <w:szCs w:val="21"/>
          <w:highlight w:val="none"/>
          <w:lang w:val="en-US" w:eastAsia="zh-CN" w:bidi="ar"/>
        </w:rPr>
        <w:t>委托人和咨询人应当在</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 xml:space="preserve">3    </w:t>
      </w:r>
      <w:r>
        <w:rPr>
          <w:rFonts w:hint="eastAsia" w:ascii="宋体" w:hAnsi="宋体" w:eastAsia="宋体" w:cs="宋体"/>
          <w:snapToGrid/>
          <w:color w:val="000000"/>
          <w:kern w:val="0"/>
          <w:sz w:val="21"/>
          <w:szCs w:val="21"/>
          <w:highlight w:val="none"/>
          <w:lang w:val="en-US" w:eastAsia="zh-CN" w:bidi="ar"/>
        </w:rPr>
        <w:t>天内将与合同有关的通知、批准、证明、证书、指示、指令、要求、请求、同意、意见、确定和决定等书面函件送达对方当事人。</w:t>
      </w:r>
    </w:p>
    <w:p w14:paraId="4DC43E1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4"/>
        <w:rPr>
          <w:rFonts w:hint="eastAsia" w:ascii="宋体" w:hAnsi="宋体" w:eastAsia="宋体" w:cs="Arial"/>
          <w:color w:val="000000"/>
          <w:kern w:val="0"/>
          <w:sz w:val="21"/>
          <w:szCs w:val="21"/>
          <w:highlight w:val="none"/>
        </w:rPr>
      </w:pPr>
      <w:r>
        <w:rPr>
          <w:rFonts w:hint="eastAsia" w:ascii="宋体" w:hAnsi="宋体" w:eastAsia="宋体" w:cs="宋体"/>
          <w:bCs/>
          <w:snapToGrid/>
          <w:color w:val="000000"/>
          <w:kern w:val="0"/>
          <w:sz w:val="21"/>
          <w:szCs w:val="21"/>
          <w:highlight w:val="none"/>
          <w:lang w:val="en-US" w:eastAsia="zh-CN" w:bidi="ar"/>
        </w:rPr>
        <w:t>1.6.2</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委托人接收文件的地点：</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b/>
          <w:bCs w:val="0"/>
          <w:snapToGrid/>
          <w:color w:val="000000"/>
          <w:kern w:val="0"/>
          <w:sz w:val="21"/>
          <w:szCs w:val="21"/>
          <w:highlight w:val="none"/>
          <w:u w:val="single"/>
          <w:lang w:val="en-US" w:eastAsia="zh-CN" w:bidi="ar"/>
        </w:rPr>
        <w:t>（签约时填入）</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snapToGrid/>
          <w:color w:val="000000"/>
          <w:kern w:val="0"/>
          <w:sz w:val="21"/>
          <w:szCs w:val="21"/>
          <w:highlight w:val="none"/>
          <w:lang w:val="en-US" w:eastAsia="zh-CN" w:bidi="ar"/>
        </w:rPr>
        <w:t>；</w:t>
      </w:r>
    </w:p>
    <w:p w14:paraId="6248E7E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宋体"/>
          <w:snapToGrid/>
          <w:color w:val="000000"/>
          <w:kern w:val="0"/>
          <w:sz w:val="21"/>
          <w:szCs w:val="21"/>
          <w:highlight w:val="none"/>
          <w:lang w:val="en-US" w:eastAsia="zh-CN" w:bidi="ar"/>
        </w:rPr>
        <w:t>委托人指定的接收人为：</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b/>
          <w:bCs w:val="0"/>
          <w:snapToGrid/>
          <w:color w:val="000000"/>
          <w:kern w:val="0"/>
          <w:sz w:val="21"/>
          <w:szCs w:val="21"/>
          <w:highlight w:val="none"/>
          <w:u w:val="single"/>
          <w:lang w:val="en-US" w:eastAsia="zh-CN" w:bidi="ar"/>
        </w:rPr>
        <w:t>（签约时填入）</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snapToGrid/>
          <w:color w:val="000000"/>
          <w:kern w:val="0"/>
          <w:sz w:val="21"/>
          <w:szCs w:val="21"/>
          <w:highlight w:val="none"/>
          <w:lang w:val="en-US" w:eastAsia="zh-CN" w:bidi="ar"/>
        </w:rPr>
        <w:t>；</w:t>
      </w:r>
    </w:p>
    <w:p w14:paraId="394A855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委托人指定的电子邮箱：</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（签约时填入）</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仿宋_GB2312"/>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7EA6806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咨询人接收文件的地点：</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b/>
          <w:bCs w:val="0"/>
          <w:snapToGrid/>
          <w:color w:val="000000"/>
          <w:kern w:val="0"/>
          <w:sz w:val="21"/>
          <w:szCs w:val="21"/>
          <w:highlight w:val="none"/>
          <w:u w:val="single"/>
          <w:lang w:val="en-US" w:eastAsia="zh-CN" w:bidi="ar"/>
        </w:rPr>
        <w:t>（签约时填入）</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仿宋_GB2312"/>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snapToGrid/>
          <w:color w:val="000000"/>
          <w:kern w:val="0"/>
          <w:sz w:val="21"/>
          <w:szCs w:val="21"/>
          <w:highlight w:val="none"/>
          <w:lang w:val="en-US" w:eastAsia="zh-CN" w:bidi="ar"/>
        </w:rPr>
        <w:t>；</w:t>
      </w:r>
    </w:p>
    <w:p w14:paraId="25C682F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宋体"/>
          <w:snapToGrid/>
          <w:color w:val="000000"/>
          <w:kern w:val="0"/>
          <w:sz w:val="21"/>
          <w:szCs w:val="21"/>
          <w:highlight w:val="none"/>
          <w:lang w:val="en-US" w:eastAsia="zh-CN" w:bidi="ar"/>
        </w:rPr>
        <w:t>咨询人指定的接收人为：</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b/>
          <w:bCs w:val="0"/>
          <w:snapToGrid/>
          <w:color w:val="000000"/>
          <w:kern w:val="0"/>
          <w:sz w:val="21"/>
          <w:szCs w:val="21"/>
          <w:highlight w:val="none"/>
          <w:u w:val="single"/>
          <w:lang w:val="en-US" w:eastAsia="zh-CN" w:bidi="ar"/>
        </w:rPr>
        <w:t>（签约时填入）</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仿宋_GB2312"/>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snapToGrid/>
          <w:color w:val="000000"/>
          <w:kern w:val="0"/>
          <w:sz w:val="21"/>
          <w:szCs w:val="21"/>
          <w:highlight w:val="none"/>
          <w:lang w:val="en-US" w:eastAsia="zh-CN" w:bidi="ar"/>
        </w:rPr>
        <w:t>；</w:t>
      </w:r>
    </w:p>
    <w:p w14:paraId="054AD87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咨询人指定的电子邮箱：</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（签约时填入）</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仿宋_GB2312"/>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0A170EC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2"/>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2. 委托人</w:t>
      </w:r>
      <w:r>
        <w:rPr>
          <w:rFonts w:hint="eastAsia" w:ascii="宋体" w:hAnsi="宋体" w:eastAsia="宋体" w:cs="仿宋_GB2312"/>
          <w:b/>
          <w:bCs w:val="0"/>
          <w:snapToGrid/>
          <w:color w:val="000000"/>
          <w:kern w:val="0"/>
          <w:sz w:val="21"/>
          <w:szCs w:val="21"/>
          <w:highlight w:val="none"/>
          <w:lang w:val="en-US" w:eastAsia="zh-CN" w:bidi="ar"/>
        </w:rPr>
        <w:t xml:space="preserve">  </w:t>
      </w:r>
    </w:p>
    <w:p w14:paraId="66AF013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2.1 委托人代表</w:t>
      </w:r>
    </w:p>
    <w:p w14:paraId="1D0EE68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委托人代表：</w:t>
      </w:r>
    </w:p>
    <w:p w14:paraId="76F5894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姓</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名：</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b/>
          <w:bCs w:val="0"/>
          <w:snapToGrid/>
          <w:color w:val="000000"/>
          <w:kern w:val="0"/>
          <w:sz w:val="21"/>
          <w:szCs w:val="21"/>
          <w:highlight w:val="none"/>
          <w:u w:val="single"/>
          <w:lang w:val="en-US" w:eastAsia="zh-CN" w:bidi="ar"/>
        </w:rPr>
        <w:t>（签约时填入）</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snapToGrid/>
          <w:color w:val="000000"/>
          <w:kern w:val="0"/>
          <w:sz w:val="21"/>
          <w:szCs w:val="21"/>
          <w:highlight w:val="none"/>
          <w:lang w:val="en-US" w:eastAsia="zh-CN" w:bidi="ar"/>
        </w:rPr>
        <w:t>；</w:t>
      </w:r>
    </w:p>
    <w:p w14:paraId="56F3852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身份证号：</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b/>
          <w:bCs w:val="0"/>
          <w:snapToGrid/>
          <w:color w:val="000000"/>
          <w:kern w:val="0"/>
          <w:sz w:val="21"/>
          <w:szCs w:val="21"/>
          <w:highlight w:val="none"/>
          <w:u w:val="single"/>
          <w:lang w:val="en-US" w:eastAsia="zh-CN" w:bidi="ar"/>
        </w:rPr>
        <w:t>（签约时填入）</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仿宋_GB2312"/>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snapToGrid/>
          <w:color w:val="000000"/>
          <w:kern w:val="0"/>
          <w:sz w:val="21"/>
          <w:szCs w:val="21"/>
          <w:highlight w:val="none"/>
          <w:lang w:val="en-US" w:eastAsia="zh-CN" w:bidi="ar"/>
        </w:rPr>
        <w:t>；</w:t>
      </w:r>
    </w:p>
    <w:p w14:paraId="5C56E12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职</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务：</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b/>
          <w:bCs w:val="0"/>
          <w:snapToGrid/>
          <w:color w:val="000000"/>
          <w:kern w:val="0"/>
          <w:sz w:val="21"/>
          <w:szCs w:val="21"/>
          <w:highlight w:val="none"/>
          <w:u w:val="single"/>
          <w:lang w:val="en-US" w:eastAsia="zh-CN" w:bidi="ar"/>
        </w:rPr>
        <w:t>（签约时填入）</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snapToGrid/>
          <w:color w:val="000000"/>
          <w:kern w:val="0"/>
          <w:sz w:val="21"/>
          <w:szCs w:val="21"/>
          <w:highlight w:val="none"/>
          <w:lang w:val="en-US" w:eastAsia="zh-CN" w:bidi="ar"/>
        </w:rPr>
        <w:t>；</w:t>
      </w:r>
    </w:p>
    <w:p w14:paraId="35F8268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联系电话：</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b/>
          <w:bCs w:val="0"/>
          <w:snapToGrid/>
          <w:color w:val="000000"/>
          <w:kern w:val="0"/>
          <w:sz w:val="21"/>
          <w:szCs w:val="21"/>
          <w:highlight w:val="none"/>
          <w:u w:val="single"/>
          <w:lang w:val="en-US" w:eastAsia="zh-CN" w:bidi="ar"/>
        </w:rPr>
        <w:t>（签约时填入）</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 xml:space="preserve">       </w:t>
      </w:r>
      <w:r>
        <w:rPr>
          <w:rFonts w:hint="eastAsia" w:ascii="宋体" w:hAnsi="宋体" w:eastAsia="宋体" w:cs="仿宋_GB2312"/>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snapToGrid/>
          <w:color w:val="000000"/>
          <w:kern w:val="0"/>
          <w:sz w:val="21"/>
          <w:szCs w:val="21"/>
          <w:highlight w:val="none"/>
          <w:lang w:val="en-US" w:eastAsia="zh-CN" w:bidi="ar"/>
        </w:rPr>
        <w:t>；</w:t>
      </w:r>
    </w:p>
    <w:p w14:paraId="17181DA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电子信箱：</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b/>
          <w:bCs w:val="0"/>
          <w:snapToGrid/>
          <w:color w:val="000000"/>
          <w:kern w:val="0"/>
          <w:sz w:val="21"/>
          <w:szCs w:val="21"/>
          <w:highlight w:val="none"/>
          <w:u w:val="single"/>
          <w:lang w:val="en-US" w:eastAsia="zh-CN" w:bidi="ar"/>
        </w:rPr>
        <w:t>（签约时填入）</w:t>
      </w:r>
      <w:r>
        <w:rPr>
          <w:rFonts w:hint="eastAsia" w:ascii="宋体" w:hAnsi="宋体" w:eastAsia="宋体" w:cs="宋体"/>
          <w:snapToGrid/>
          <w:color w:val="000000"/>
          <w:kern w:val="0"/>
          <w:sz w:val="21"/>
          <w:szCs w:val="21"/>
          <w:highlight w:val="none"/>
          <w:u w:val="single"/>
          <w:lang w:val="en-US" w:eastAsia="zh-CN" w:bidi="ar"/>
        </w:rPr>
        <w:t>               </w:t>
      </w:r>
      <w:r>
        <w:rPr>
          <w:rFonts w:hint="eastAsia" w:ascii="宋体" w:hAnsi="宋体" w:eastAsia="宋体" w:cs="宋体"/>
          <w:snapToGrid/>
          <w:color w:val="000000"/>
          <w:kern w:val="0"/>
          <w:sz w:val="21"/>
          <w:szCs w:val="21"/>
          <w:highlight w:val="none"/>
          <w:lang w:val="en-US" w:eastAsia="zh-CN" w:bidi="ar"/>
        </w:rPr>
        <w:t>；</w:t>
      </w:r>
    </w:p>
    <w:p w14:paraId="5F3947A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通信地址：</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b/>
          <w:bCs w:val="0"/>
          <w:snapToGrid/>
          <w:color w:val="000000"/>
          <w:kern w:val="0"/>
          <w:sz w:val="21"/>
          <w:szCs w:val="21"/>
          <w:highlight w:val="none"/>
          <w:u w:val="single"/>
          <w:lang w:val="en-US" w:eastAsia="zh-CN" w:bidi="ar"/>
        </w:rPr>
        <w:t xml:space="preserve">（签约时填入）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049378F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b/>
          <w:bCs w:val="0"/>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委托人对委托人代表的授权范围如下：</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b/>
          <w:bCs w:val="0"/>
          <w:snapToGrid/>
          <w:color w:val="000000"/>
          <w:kern w:val="0"/>
          <w:sz w:val="21"/>
          <w:szCs w:val="21"/>
          <w:highlight w:val="none"/>
          <w:u w:val="single"/>
          <w:lang w:val="en-US" w:eastAsia="zh-CN" w:bidi="ar"/>
        </w:rPr>
        <w:t>（签约时填入）</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55697EF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2.2 提供资料</w:t>
      </w:r>
    </w:p>
    <w:p w14:paraId="343C6D7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宋体"/>
          <w:snapToGrid/>
          <w:color w:val="000000"/>
          <w:kern w:val="0"/>
          <w:sz w:val="21"/>
          <w:szCs w:val="21"/>
          <w:highlight w:val="none"/>
          <w:lang w:val="en-US" w:eastAsia="zh-CN" w:bidi="ar"/>
        </w:rPr>
        <w:t>委托人向咨询人提供的资料包括：</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b/>
          <w:bCs w:val="0"/>
          <w:snapToGrid/>
          <w:color w:val="000000"/>
          <w:kern w:val="0"/>
          <w:sz w:val="21"/>
          <w:szCs w:val="21"/>
          <w:highlight w:val="none"/>
          <w:u w:val="single"/>
          <w:lang w:val="en-US" w:eastAsia="zh-CN" w:bidi="ar"/>
        </w:rPr>
        <w:t>施工图纸及其他相关资料</w:t>
      </w:r>
      <w:r>
        <w:rPr>
          <w:rFonts w:hint="eastAsia" w:ascii="宋体" w:hAnsi="宋体" w:eastAsia="宋体" w:cs="宋体"/>
          <w:snapToGrid/>
          <w:color w:val="000000"/>
          <w:kern w:val="0"/>
          <w:sz w:val="21"/>
          <w:szCs w:val="21"/>
          <w:highlight w:val="none"/>
          <w:lang w:val="en-US" w:eastAsia="zh-CN" w:bidi="ar"/>
        </w:rPr>
        <w:t>。</w:t>
      </w:r>
    </w:p>
    <w:p w14:paraId="5F948AB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委托人向咨询人提供资料的期限为：</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b/>
          <w:bCs w:val="0"/>
          <w:snapToGrid/>
          <w:color w:val="000000"/>
          <w:kern w:val="0"/>
          <w:sz w:val="21"/>
          <w:szCs w:val="21"/>
          <w:highlight w:val="none"/>
          <w:u w:val="single"/>
          <w:lang w:val="en-US" w:eastAsia="zh-CN" w:bidi="ar"/>
        </w:rPr>
        <w:t>/</w:t>
      </w:r>
      <w:r>
        <w:rPr>
          <w:rFonts w:hint="eastAsia" w:ascii="宋体" w:hAnsi="宋体" w:eastAsia="宋体" w:cs="宋体"/>
          <w:snapToGrid/>
          <w:color w:val="000000"/>
          <w:kern w:val="0"/>
          <w:sz w:val="21"/>
          <w:szCs w:val="21"/>
          <w:highlight w:val="none"/>
          <w:lang w:val="en-US" w:eastAsia="zh-CN" w:bidi="ar"/>
        </w:rPr>
        <w:t>。</w:t>
      </w:r>
    </w:p>
    <w:p w14:paraId="21D24FA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宋体"/>
          <w:snapToGrid/>
          <w:color w:val="000000"/>
          <w:kern w:val="0"/>
          <w:sz w:val="21"/>
          <w:szCs w:val="21"/>
          <w:highlight w:val="none"/>
          <w:lang w:val="en-US" w:eastAsia="zh-CN" w:bidi="ar"/>
        </w:rPr>
        <w:t>关于委托人向咨询人提供资料的特别约定：</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另行约定</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u w:val="single"/>
          <w:lang w:val="en-US" w:eastAsia="zh-CN" w:bidi="ar"/>
        </w:rPr>
        <w:t xml:space="preserve"> </w:t>
      </w:r>
    </w:p>
    <w:p w14:paraId="15906F6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2.4 答复</w:t>
      </w:r>
    </w:p>
    <w:p w14:paraId="15E6743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2.4.1 委托人对咨询人以书面形式提交并要求作出决定事宜的答复期限为：</w:t>
      </w:r>
      <w:r>
        <w:rPr>
          <w:rFonts w:hint="eastAsia" w:ascii="宋体" w:hAnsi="宋体" w:eastAsia="宋体" w:cs="宋体"/>
          <w:snapToGrid/>
          <w:color w:val="000000"/>
          <w:kern w:val="0"/>
          <w:sz w:val="21"/>
          <w:szCs w:val="21"/>
          <w:highlight w:val="none"/>
          <w:u w:val="single"/>
          <w:lang w:val="en-US" w:eastAsia="zh-CN" w:bidi="ar"/>
        </w:rPr>
        <w:t xml:space="preserve"> 7日内</w:t>
      </w:r>
      <w:r>
        <w:rPr>
          <w:rFonts w:hint="eastAsia" w:ascii="宋体" w:hAnsi="宋体" w:eastAsia="宋体" w:cs="宋体"/>
          <w:snapToGrid/>
          <w:color w:val="000000"/>
          <w:kern w:val="0"/>
          <w:sz w:val="21"/>
          <w:szCs w:val="21"/>
          <w:highlight w:val="none"/>
          <w:lang w:val="en-US" w:eastAsia="zh-CN" w:bidi="ar"/>
        </w:rPr>
        <w:t>。</w:t>
      </w:r>
    </w:p>
    <w:p w14:paraId="5EBD603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宋体"/>
          <w:snapToGrid/>
          <w:color w:val="000000"/>
          <w:kern w:val="0"/>
          <w:sz w:val="21"/>
          <w:szCs w:val="21"/>
          <w:highlight w:val="none"/>
          <w:lang w:val="en-US" w:eastAsia="zh-CN" w:bidi="ar"/>
        </w:rPr>
        <w:t>2.4.2 关于咨询人以书面形式提交并要求第三人作出决定的事宜，由委托人送达第三人的特别约定：</w:t>
      </w:r>
      <w:r>
        <w:rPr>
          <w:rFonts w:hint="eastAsia" w:ascii="宋体" w:hAnsi="宋体" w:eastAsia="宋体" w:cs="宋体"/>
          <w:b/>
          <w:bCs w:val="0"/>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064EBA2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2"/>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3. 咨询人</w:t>
      </w:r>
    </w:p>
    <w:p w14:paraId="12CCAD3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3.1 咨询人的一般义务</w:t>
      </w:r>
    </w:p>
    <w:p w14:paraId="2E871DD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仿宋_GB2312"/>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增加以下内容</w:t>
      </w:r>
    </w:p>
    <w:p w14:paraId="4CE7007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仿宋_GB2312"/>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（1）协助收集和复核审计所需的有关材料，具备基本审计条件后即开展审计工作。</w:t>
      </w:r>
    </w:p>
    <w:p w14:paraId="73D0998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仿宋_GB2312"/>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（2）安排项目人员实施工程项目跟踪审计，按规定向委托人提交工作底稿和审计证据和审计报告。</w:t>
      </w:r>
    </w:p>
    <w:p w14:paraId="4E2DA9B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仿宋_GB2312"/>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（3）接受并服从委托人按照相关规定实施的关于廉政纪律、保密、业务流程、工作效率、工作质量、服务态度等方面的监督和约束。</w:t>
      </w:r>
    </w:p>
    <w:p w14:paraId="6DB7D55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仿宋_GB2312"/>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4）所完成的审计事项，保证效率、程序、质量和服务符合委托方要求。咨询人应提供优质服务，保证服务质量，且不能低于合同规定的范围和种类。咨询人在收到委托人关于服务质量问题的通知后3天内，应迅速查处并答复。如果咨询人在收到通知后3天后没有弥补缺陷，委托人可采取必要的补救措施，但风险和费用将由咨询人承担。</w:t>
      </w:r>
    </w:p>
    <w:p w14:paraId="0B99C49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仿宋_GB2312"/>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（5）咨询人须为其咨询团队配备在现场工作的交通车辆，项目咨询团队成员的住宿、交通、办公生活等自行解决。</w:t>
      </w:r>
    </w:p>
    <w:p w14:paraId="1B7E19B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3.2 项目负责人</w:t>
      </w:r>
    </w:p>
    <w:p w14:paraId="1709161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姓</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名：</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b/>
          <w:bCs w:val="0"/>
          <w:snapToGrid/>
          <w:color w:val="000000"/>
          <w:kern w:val="0"/>
          <w:sz w:val="21"/>
          <w:szCs w:val="21"/>
          <w:highlight w:val="none"/>
          <w:u w:val="single"/>
          <w:lang w:val="en-US" w:eastAsia="zh-CN" w:bidi="ar"/>
        </w:rPr>
        <w:t>（签约时填入）</w:t>
      </w:r>
      <w:r>
        <w:rPr>
          <w:rFonts w:hint="eastAsia" w:ascii="宋体" w:hAnsi="宋体" w:eastAsia="宋体" w:cs="仿宋_GB2312"/>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snapToGrid/>
          <w:color w:val="000000"/>
          <w:kern w:val="0"/>
          <w:sz w:val="21"/>
          <w:szCs w:val="21"/>
          <w:highlight w:val="none"/>
          <w:lang w:val="en-US" w:eastAsia="zh-CN" w:bidi="ar"/>
        </w:rPr>
        <w:t>；</w:t>
      </w:r>
    </w:p>
    <w:p w14:paraId="5618D23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身份证号：</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b/>
          <w:bCs w:val="0"/>
          <w:snapToGrid/>
          <w:color w:val="000000"/>
          <w:kern w:val="0"/>
          <w:sz w:val="21"/>
          <w:szCs w:val="21"/>
          <w:highlight w:val="none"/>
          <w:u w:val="single"/>
          <w:lang w:val="en-US" w:eastAsia="zh-CN" w:bidi="ar"/>
        </w:rPr>
        <w:t>（签约时填入）</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snapToGrid/>
          <w:color w:val="000000"/>
          <w:kern w:val="0"/>
          <w:sz w:val="21"/>
          <w:szCs w:val="21"/>
          <w:highlight w:val="none"/>
          <w:lang w:val="en-US" w:eastAsia="zh-CN" w:bidi="ar"/>
        </w:rPr>
        <w:t>；</w:t>
      </w:r>
    </w:p>
    <w:p w14:paraId="034FEC8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造价工程师注册证书号：</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b/>
          <w:bCs w:val="0"/>
          <w:snapToGrid/>
          <w:color w:val="000000"/>
          <w:kern w:val="0"/>
          <w:sz w:val="21"/>
          <w:szCs w:val="21"/>
          <w:highlight w:val="none"/>
          <w:u w:val="single"/>
          <w:lang w:val="en-US" w:eastAsia="zh-CN" w:bidi="ar"/>
        </w:rPr>
        <w:t>（签约时填入）</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snapToGrid/>
          <w:color w:val="000000"/>
          <w:kern w:val="0"/>
          <w:sz w:val="21"/>
          <w:szCs w:val="21"/>
          <w:highlight w:val="none"/>
          <w:lang w:val="en-US" w:eastAsia="zh-CN" w:bidi="ar"/>
        </w:rPr>
        <w:t>；</w:t>
      </w:r>
    </w:p>
    <w:p w14:paraId="3BA9890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联系电话：</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b/>
          <w:bCs w:val="0"/>
          <w:snapToGrid/>
          <w:color w:val="000000"/>
          <w:kern w:val="0"/>
          <w:sz w:val="21"/>
          <w:szCs w:val="21"/>
          <w:highlight w:val="none"/>
          <w:u w:val="single"/>
          <w:lang w:val="en-US" w:eastAsia="zh-CN" w:bidi="ar"/>
        </w:rPr>
        <w:t>（签约时填入）</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           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snapToGrid/>
          <w:color w:val="000000"/>
          <w:kern w:val="0"/>
          <w:sz w:val="21"/>
          <w:szCs w:val="21"/>
          <w:highlight w:val="none"/>
          <w:lang w:val="en-US" w:eastAsia="zh-CN" w:bidi="ar"/>
        </w:rPr>
        <w:t>；</w:t>
      </w:r>
    </w:p>
    <w:p w14:paraId="4AE7612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电子信箱：</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b/>
          <w:bCs w:val="0"/>
          <w:snapToGrid/>
          <w:color w:val="000000"/>
          <w:kern w:val="0"/>
          <w:sz w:val="21"/>
          <w:szCs w:val="21"/>
          <w:highlight w:val="none"/>
          <w:u w:val="single"/>
          <w:lang w:val="en-US" w:eastAsia="zh-CN" w:bidi="ar"/>
        </w:rPr>
        <w:t>（签约时填入）</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w:t>
      </w:r>
      <w:r>
        <w:rPr>
          <w:rFonts w:hint="eastAsia" w:ascii="宋体" w:hAnsi="宋体" w:eastAsia="宋体" w:cs="宋体"/>
          <w:snapToGrid/>
          <w:color w:val="000000"/>
          <w:kern w:val="0"/>
          <w:sz w:val="21"/>
          <w:szCs w:val="21"/>
          <w:highlight w:val="none"/>
          <w:u w:val="single"/>
          <w:lang w:val="en-US" w:eastAsia="zh-CN" w:bidi="ar"/>
        </w:rPr>
        <w:t>           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snapToGrid/>
          <w:color w:val="000000"/>
          <w:kern w:val="0"/>
          <w:sz w:val="21"/>
          <w:szCs w:val="21"/>
          <w:highlight w:val="none"/>
          <w:lang w:val="en-US" w:eastAsia="zh-CN" w:bidi="ar"/>
        </w:rPr>
        <w:t>；</w:t>
      </w:r>
    </w:p>
    <w:p w14:paraId="310FF76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通信地址：</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b/>
          <w:bCs w:val="0"/>
          <w:snapToGrid/>
          <w:color w:val="000000"/>
          <w:kern w:val="0"/>
          <w:sz w:val="21"/>
          <w:szCs w:val="21"/>
          <w:highlight w:val="none"/>
          <w:u w:val="single"/>
          <w:lang w:val="en-US" w:eastAsia="zh-CN" w:bidi="ar"/>
        </w:rPr>
        <w:t>（签约时填入）</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宋体"/>
          <w:snapToGrid/>
          <w:color w:val="000000"/>
          <w:kern w:val="0"/>
          <w:sz w:val="21"/>
          <w:szCs w:val="21"/>
          <w:highlight w:val="none"/>
          <w:lang w:val="en-US" w:eastAsia="zh-CN" w:bidi="ar"/>
        </w:rPr>
        <w:t>；</w:t>
      </w:r>
    </w:p>
    <w:p w14:paraId="086C08D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宋体"/>
          <w:snapToGrid/>
          <w:color w:val="000000"/>
          <w:kern w:val="0"/>
          <w:sz w:val="21"/>
          <w:szCs w:val="21"/>
          <w:highlight w:val="none"/>
          <w:lang w:val="en-US" w:eastAsia="zh-CN" w:bidi="ar"/>
        </w:rPr>
        <w:t>咨询人对项目负责人的授权范围如下：</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（签约时填入）</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61C51C8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3.3 工程造价专业人员</w:t>
      </w:r>
    </w:p>
    <w:p w14:paraId="1A620A9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bCs/>
          <w:snapToGrid/>
          <w:color w:val="000000"/>
          <w:kern w:val="0"/>
          <w:sz w:val="21"/>
          <w:szCs w:val="21"/>
          <w:highlight w:val="none"/>
          <w:lang w:val="en-US" w:eastAsia="zh-CN" w:bidi="ar"/>
        </w:rPr>
        <w:t>3.3.1</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咨询人提交工程造价专业人员任命文件及其注册证书或资格证书的期限：</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13CCDD0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咨询人为工程造价专业人员缴纳的社会保险有效证明不实的：</w:t>
      </w:r>
      <w:r>
        <w:rPr>
          <w:rFonts w:hint="eastAsia" w:ascii="宋体" w:hAnsi="宋体" w:eastAsia="宋体" w:cs="宋体"/>
          <w:snapToGrid/>
          <w:color w:val="000000"/>
          <w:kern w:val="0"/>
          <w:sz w:val="21"/>
          <w:szCs w:val="21"/>
          <w:highlight w:val="none"/>
          <w:u w:val="single"/>
          <w:lang w:val="en-US" w:eastAsia="zh-CN" w:bidi="ar"/>
        </w:rPr>
        <w:t>委托人有权终止合同的履行，并要求咨询人承担给委托人造成的损失</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7A8D36F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仿宋_GB2312"/>
          <w:b/>
          <w:bCs w:val="0"/>
          <w:color w:val="000000"/>
          <w:kern w:val="0"/>
          <w:sz w:val="21"/>
          <w:szCs w:val="21"/>
          <w:highlight w:val="none"/>
          <w:u w:val="single"/>
        </w:rPr>
      </w:pPr>
      <w:r>
        <w:rPr>
          <w:rFonts w:hint="eastAsia" w:ascii="宋体" w:hAnsi="宋体" w:eastAsia="宋体" w:cs="宋体"/>
          <w:bCs/>
          <w:snapToGrid/>
          <w:color w:val="000000"/>
          <w:kern w:val="0"/>
          <w:sz w:val="21"/>
          <w:szCs w:val="21"/>
          <w:highlight w:val="none"/>
          <w:lang w:val="en-US" w:eastAsia="zh-CN" w:bidi="ar"/>
        </w:rPr>
        <w:t>3.3.2</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咨询人擅自更换工程造价专业人员的违约责任：</w:t>
      </w:r>
      <w:r>
        <w:rPr>
          <w:rFonts w:hint="eastAsia" w:ascii="宋体" w:hAnsi="宋体" w:eastAsia="宋体" w:cs="宋体"/>
          <w:b/>
          <w:bCs w:val="0"/>
          <w:snapToGrid/>
          <w:color w:val="000000"/>
          <w:kern w:val="0"/>
          <w:sz w:val="21"/>
          <w:szCs w:val="21"/>
          <w:highlight w:val="none"/>
          <w:u w:val="single"/>
          <w:lang w:val="en-US" w:eastAsia="zh-CN" w:bidi="ar"/>
        </w:rPr>
        <w:t>项目负责人及项目组人员原则上不得更换，如要更换，须委托人批准，但不得低于投标文件所报人员的标准及资格、阅历及经验要求。除因重大疾病、死亡、调离所在单位、辞职、犯罪、移民、不可抗力等特殊情况外，更换项目负责人咨询人须承担违约金10万元/人次，更换造价工程师的，须承担违约金5万/人次，更换其他造价人员须承担违约金3万元/人次。擅自更换的，受托人应承担上述双倍的违约金，同时委托人有权单方解除合同。</w:t>
      </w:r>
    </w:p>
    <w:p w14:paraId="38CB857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bCs/>
          <w:snapToGrid/>
          <w:color w:val="000000"/>
          <w:kern w:val="0"/>
          <w:sz w:val="21"/>
          <w:szCs w:val="21"/>
          <w:highlight w:val="none"/>
          <w:lang w:val="en-US" w:eastAsia="zh-CN" w:bidi="ar"/>
        </w:rPr>
        <w:t>3.3.3</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咨询人安排的工程造价专业人员每月在施工现场的时间要求：</w:t>
      </w:r>
      <w:r>
        <w:rPr>
          <w:rFonts w:hint="eastAsia" w:ascii="宋体" w:hAnsi="宋体" w:eastAsia="宋体" w:cs="宋体"/>
          <w:b/>
          <w:bCs w:val="0"/>
          <w:snapToGrid/>
          <w:color w:val="000000"/>
          <w:kern w:val="0"/>
          <w:sz w:val="21"/>
          <w:szCs w:val="21"/>
          <w:highlight w:val="none"/>
          <w:u w:val="single"/>
          <w:lang w:val="en-US" w:eastAsia="zh-CN" w:bidi="ar"/>
        </w:rPr>
        <w:t>项目负责人每周驻场不少于1日，且必须亲自参加本项目的审计工作及委托人安排参加的有关会议；工程造价专业人员（至少包括1名一级造价工程师和1名造价人员）每周驻场不少于2日，如委托人需要则必须保证人员到场，按周进行考核</w:t>
      </w:r>
      <w:r>
        <w:rPr>
          <w:rFonts w:hint="eastAsia" w:ascii="宋体" w:hAnsi="宋体" w:eastAsia="宋体" w:cs="宋体"/>
          <w:snapToGrid/>
          <w:color w:val="000000"/>
          <w:kern w:val="0"/>
          <w:sz w:val="21"/>
          <w:szCs w:val="21"/>
          <w:highlight w:val="none"/>
          <w:lang w:val="en-US" w:eastAsia="zh-CN" w:bidi="ar"/>
        </w:rPr>
        <w:t>。</w:t>
      </w:r>
    </w:p>
    <w:p w14:paraId="7310394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工程造价专业人员未经批准，擅自离开施工现场的违约责任：</w:t>
      </w:r>
      <w:r>
        <w:rPr>
          <w:rFonts w:hint="eastAsia" w:ascii="宋体" w:hAnsi="宋体" w:eastAsia="宋体" w:cs="宋体"/>
          <w:b/>
          <w:bCs w:val="0"/>
          <w:snapToGrid/>
          <w:color w:val="000000"/>
          <w:kern w:val="0"/>
          <w:sz w:val="21"/>
          <w:szCs w:val="21"/>
          <w:highlight w:val="none"/>
          <w:u w:val="single"/>
          <w:lang w:val="en-US" w:eastAsia="zh-CN" w:bidi="ar"/>
        </w:rPr>
        <w:t>项目负责人每缺席1日或缺席相关会议须承担2000元/天（次）违约金；其他工程造价专业人员每缺席1日或缺席相关会议须承担1000元/天（次）违约金。</w:t>
      </w:r>
    </w:p>
    <w:p w14:paraId="4A07C39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bCs/>
          <w:snapToGrid/>
          <w:color w:val="000000"/>
          <w:kern w:val="0"/>
          <w:sz w:val="21"/>
          <w:szCs w:val="21"/>
          <w:highlight w:val="none"/>
          <w:lang w:val="en-US" w:eastAsia="zh-CN" w:bidi="ar"/>
        </w:rPr>
        <w:t>3.3.4</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咨询人无正当理由拒绝撤换工程造价专业人员的违约责任：</w:t>
      </w:r>
      <w:r>
        <w:rPr>
          <w:rFonts w:hint="eastAsia" w:ascii="宋体" w:hAnsi="宋体" w:eastAsia="宋体" w:cs="宋体"/>
          <w:b/>
          <w:bCs w:val="0"/>
          <w:snapToGrid/>
          <w:color w:val="000000"/>
          <w:kern w:val="0"/>
          <w:sz w:val="21"/>
          <w:szCs w:val="21"/>
          <w:highlight w:val="none"/>
          <w:u w:val="single"/>
          <w:lang w:val="en-US" w:eastAsia="zh-CN" w:bidi="ar"/>
        </w:rPr>
        <w:t>委托人有权终止合同，咨询人还需承担已完成工作相应咨询酬金的10%的违约金</w:t>
      </w:r>
      <w:r>
        <w:rPr>
          <w:rFonts w:hint="eastAsia" w:ascii="宋体" w:hAnsi="宋体" w:eastAsia="宋体" w:cs="宋体"/>
          <w:snapToGrid/>
          <w:color w:val="000000"/>
          <w:kern w:val="0"/>
          <w:sz w:val="21"/>
          <w:szCs w:val="21"/>
          <w:highlight w:val="none"/>
          <w:lang w:val="en-US" w:eastAsia="zh-CN" w:bidi="ar"/>
        </w:rPr>
        <w:t>。</w:t>
      </w:r>
    </w:p>
    <w:p w14:paraId="204815E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增加3.3.5</w:t>
      </w:r>
    </w:p>
    <w:p w14:paraId="4297FAE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委托人认为受托人的造价人员无法满足工作需要时，受托人应无条件增加，且人员的资格条件等不低于招标文件的要求。</w:t>
      </w:r>
    </w:p>
    <w:p w14:paraId="4178CE8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2"/>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4. 咨询业务范围和工作内容</w:t>
      </w:r>
    </w:p>
    <w:p w14:paraId="49E8EE6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4.2 咨询工作内容</w:t>
      </w:r>
    </w:p>
    <w:p w14:paraId="306A8AF3">
      <w:pPr>
        <w:keepNext w:val="0"/>
        <w:keepLines w:val="0"/>
        <w:widowControl/>
        <w:suppressLineNumbers w:val="0"/>
        <w:kinsoku w:val="0"/>
        <w:autoSpaceDE w:val="0"/>
        <w:autoSpaceDN w:val="0"/>
        <w:adjustRightInd w:val="0"/>
        <w:snapToGrid w:val="0"/>
        <w:spacing w:before="0" w:beforeAutospacing="0" w:after="0" w:afterAutospacing="0"/>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工程造价咨询工作内容包括：</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4B6DE90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2"/>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5. 咨询期限</w:t>
      </w:r>
    </w:p>
    <w:p w14:paraId="0624950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5.2 咨询期限延误</w:t>
      </w:r>
    </w:p>
    <w:p w14:paraId="4F56404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4"/>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5.2.1 因委托人原因导致咨询期限延误</w:t>
      </w:r>
    </w:p>
    <w:p w14:paraId="17BFE74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宋体"/>
          <w:snapToGrid/>
          <w:color w:val="000000"/>
          <w:kern w:val="0"/>
          <w:sz w:val="21"/>
          <w:szCs w:val="21"/>
          <w:highlight w:val="none"/>
          <w:lang w:val="en-US" w:eastAsia="zh-CN" w:bidi="ar"/>
        </w:rPr>
        <w:t>（6）因委托人原因导致咨询期限延误的其他情形：</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执行国家规定</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724CB64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4"/>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5.2.2 因咨询人原因导致咨询期限延误</w:t>
      </w:r>
    </w:p>
    <w:p w14:paraId="65B3899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因咨询人原因造成咨询期限延误，逾期完成咨询业务违约金的计算方法为：</w:t>
      </w:r>
      <w:r>
        <w:rPr>
          <w:rFonts w:hint="eastAsia" w:ascii="宋体" w:hAnsi="宋体" w:eastAsia="宋体" w:cs="宋体"/>
          <w:b/>
          <w:bCs/>
          <w:snapToGrid/>
          <w:color w:val="000000"/>
          <w:kern w:val="0"/>
          <w:sz w:val="21"/>
          <w:szCs w:val="21"/>
          <w:highlight w:val="none"/>
          <w:u w:val="single"/>
          <w:lang w:val="en-US" w:eastAsia="zh-CN" w:bidi="ar"/>
        </w:rPr>
        <w:t>中期计量计价等咨询期限为监理审核之后14日，</w:t>
      </w:r>
      <w:r>
        <w:rPr>
          <w:rFonts w:hint="eastAsia" w:ascii="宋体" w:hAnsi="宋体" w:eastAsia="宋体" w:cs="宋体"/>
          <w:b/>
          <w:bCs w:val="0"/>
          <w:snapToGrid/>
          <w:color w:val="000000"/>
          <w:kern w:val="0"/>
          <w:sz w:val="21"/>
          <w:szCs w:val="21"/>
          <w:highlight w:val="none"/>
          <w:u w:val="single"/>
          <w:lang w:val="en-US" w:eastAsia="zh-CN" w:bidi="ar"/>
        </w:rPr>
        <w:t>逾期7日内按1000元/日承担违约金，逾期超过7日按照2000元/日承担违约金</w:t>
      </w:r>
      <w:r>
        <w:rPr>
          <w:rFonts w:hint="eastAsia" w:ascii="宋体" w:hAnsi="宋体" w:eastAsia="宋体" w:cs="宋体"/>
          <w:snapToGrid/>
          <w:color w:val="000000"/>
          <w:kern w:val="0"/>
          <w:sz w:val="21"/>
          <w:szCs w:val="21"/>
          <w:highlight w:val="none"/>
          <w:lang w:val="en-US" w:eastAsia="zh-CN" w:bidi="ar"/>
        </w:rPr>
        <w:t>。</w:t>
      </w:r>
    </w:p>
    <w:p w14:paraId="6077F5A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仿宋_GB2312"/>
          <w:b/>
          <w:bCs w:val="0"/>
          <w:color w:val="000000"/>
          <w:kern w:val="0"/>
          <w:sz w:val="21"/>
          <w:szCs w:val="21"/>
          <w:highlight w:val="none"/>
          <w:u w:val="single"/>
        </w:rPr>
      </w:pPr>
      <w:r>
        <w:rPr>
          <w:rFonts w:hint="eastAsia" w:ascii="宋体" w:hAnsi="宋体" w:eastAsia="宋体" w:cs="宋体"/>
          <w:snapToGrid/>
          <w:color w:val="000000"/>
          <w:kern w:val="0"/>
          <w:sz w:val="21"/>
          <w:szCs w:val="21"/>
          <w:highlight w:val="none"/>
          <w:lang w:val="en-US" w:eastAsia="zh-CN" w:bidi="ar"/>
        </w:rPr>
        <w:t>因咨询人原因造成咨询期限延误，逾期完成咨询业务违约金的上限：</w:t>
      </w:r>
      <w:r>
        <w:rPr>
          <w:rFonts w:hint="eastAsia" w:ascii="宋体" w:hAnsi="宋体" w:eastAsia="宋体" w:cs="宋体"/>
          <w:b/>
          <w:bCs w:val="0"/>
          <w:snapToGrid/>
          <w:color w:val="000000"/>
          <w:kern w:val="0"/>
          <w:sz w:val="21"/>
          <w:szCs w:val="21"/>
          <w:highlight w:val="none"/>
          <w:u w:val="single"/>
          <w:lang w:val="en-US" w:eastAsia="zh-CN" w:bidi="ar"/>
        </w:rPr>
        <w:t>合同价的10% 。</w:t>
      </w:r>
    </w:p>
    <w:p w14:paraId="15E1770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Arial"/>
          <w:b/>
          <w:bCs/>
          <w:color w:val="000000"/>
          <w:kern w:val="0"/>
          <w:sz w:val="21"/>
          <w:szCs w:val="21"/>
          <w:highlight w:val="none"/>
        </w:rPr>
      </w:pPr>
      <w:r>
        <w:rPr>
          <w:rFonts w:hint="eastAsia" w:ascii="宋体" w:hAnsi="宋体" w:eastAsia="宋体" w:cs="宋体"/>
          <w:b/>
          <w:bCs/>
          <w:snapToGrid/>
          <w:color w:val="000000"/>
          <w:kern w:val="0"/>
          <w:sz w:val="21"/>
          <w:szCs w:val="21"/>
          <w:highlight w:val="none"/>
          <w:lang w:val="en-US" w:eastAsia="zh-CN" w:bidi="ar"/>
        </w:rPr>
        <w:t>因咨询人原因造成咨询逾期次数超过3次的，委托人有权单方面解除合同；如解除合同，咨询人须退回全部已收取的咨询酬金。</w:t>
      </w:r>
    </w:p>
    <w:p w14:paraId="55BC2EB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4"/>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5.2.3 因第三人原因导致咨询期限延误</w:t>
      </w:r>
    </w:p>
    <w:p w14:paraId="06ED266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宋体"/>
          <w:snapToGrid/>
          <w:color w:val="000000"/>
          <w:kern w:val="0"/>
          <w:sz w:val="21"/>
          <w:szCs w:val="21"/>
          <w:highlight w:val="none"/>
          <w:lang w:val="en-US" w:eastAsia="zh-CN" w:bidi="ar"/>
        </w:rPr>
        <w:t>（3）因第三人原因导致咨询期限延误的其他情形：</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另行约定</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4246A6C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3"/>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5.3 工程造价咨询成果文件交付期限</w:t>
      </w:r>
    </w:p>
    <w:p w14:paraId="2C9A58C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bCs/>
          <w:color w:val="000000"/>
          <w:kern w:val="0"/>
          <w:sz w:val="21"/>
          <w:szCs w:val="21"/>
          <w:highlight w:val="none"/>
        </w:rPr>
      </w:pPr>
      <w:r>
        <w:rPr>
          <w:rFonts w:hint="eastAsia" w:ascii="宋体" w:hAnsi="宋体" w:eastAsia="宋体" w:cs="宋体"/>
          <w:bCs/>
          <w:snapToGrid/>
          <w:color w:val="000000"/>
          <w:kern w:val="0"/>
          <w:sz w:val="21"/>
          <w:szCs w:val="21"/>
          <w:highlight w:val="none"/>
          <w:lang w:val="en-US" w:eastAsia="zh-CN" w:bidi="ar"/>
        </w:rPr>
        <w:t>5.3.1</w:t>
      </w:r>
      <w:r>
        <w:rPr>
          <w:rFonts w:hint="eastAsia" w:ascii="宋体" w:hAnsi="宋体" w:eastAsia="宋体" w:cs="宋体"/>
          <w:snapToGrid/>
          <w:color w:val="000000"/>
          <w:kern w:val="0"/>
          <w:sz w:val="21"/>
          <w:szCs w:val="21"/>
          <w:highlight w:val="none"/>
          <w:lang w:val="en-US" w:eastAsia="zh-CN" w:bidi="ar"/>
        </w:rPr>
        <w:t>咨询人向委托人提交工程造价咨询成果文件的份数</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 xml:space="preserve">6份    </w:t>
      </w:r>
      <w:r>
        <w:rPr>
          <w:rFonts w:hint="eastAsia" w:ascii="宋体" w:hAnsi="宋体" w:eastAsia="宋体" w:cs="宋体"/>
          <w:snapToGrid/>
          <w:color w:val="000000"/>
          <w:kern w:val="0"/>
          <w:sz w:val="21"/>
          <w:szCs w:val="21"/>
          <w:highlight w:val="none"/>
          <w:lang w:val="en-US" w:eastAsia="zh-CN" w:bidi="ar"/>
        </w:rPr>
        <w:t>。</w:t>
      </w:r>
    </w:p>
    <w:p w14:paraId="4534D92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委托人在收到咨询人提交的工程造价咨询成果文件后确认或提出修改意见的期限：</w:t>
      </w:r>
      <w:r>
        <w:rPr>
          <w:rFonts w:hint="eastAsia" w:ascii="宋体" w:hAnsi="宋体" w:eastAsia="宋体" w:cs="宋体"/>
          <w:snapToGrid/>
          <w:color w:val="000000"/>
          <w:kern w:val="0"/>
          <w:sz w:val="21"/>
          <w:szCs w:val="21"/>
          <w:highlight w:val="none"/>
          <w:u w:val="single"/>
          <w:lang w:val="en-US" w:eastAsia="zh-CN" w:bidi="ar"/>
        </w:rPr>
        <w:t>1</w:t>
      </w:r>
      <w:r>
        <w:rPr>
          <w:rFonts w:hint="eastAsia" w:ascii="宋体" w:hAnsi="宋体" w:eastAsia="宋体" w:cs="宋体"/>
          <w:b/>
          <w:bCs w:val="0"/>
          <w:snapToGrid/>
          <w:color w:val="000000"/>
          <w:kern w:val="0"/>
          <w:sz w:val="21"/>
          <w:szCs w:val="21"/>
          <w:highlight w:val="none"/>
          <w:u w:val="single"/>
          <w:lang w:val="en-US" w:eastAsia="zh-CN" w:bidi="ar"/>
        </w:rPr>
        <w:t xml:space="preserve">4日内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5DC9EBC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bCs/>
          <w:snapToGrid/>
          <w:color w:val="000000"/>
          <w:kern w:val="0"/>
          <w:sz w:val="21"/>
          <w:szCs w:val="21"/>
          <w:highlight w:val="none"/>
          <w:lang w:val="en-US" w:eastAsia="zh-CN" w:bidi="ar"/>
        </w:rPr>
        <w:t>5.3.2</w:t>
      </w:r>
      <w:r>
        <w:rPr>
          <w:rFonts w:hint="eastAsia" w:ascii="宋体" w:hAnsi="宋体" w:eastAsia="宋体" w:cs="宋体"/>
          <w:snapToGrid/>
          <w:color w:val="000000"/>
          <w:kern w:val="0"/>
          <w:sz w:val="21"/>
          <w:szCs w:val="21"/>
          <w:highlight w:val="none"/>
          <w:lang w:val="en-US" w:eastAsia="zh-CN" w:bidi="ar"/>
        </w:rPr>
        <w:t>因咨询人原因未能在约定期限内完成工程计量与支付、合同价款调整、结算报告等文件编制或审核，给委托人造成损失的违约责任：</w:t>
      </w:r>
      <w:r>
        <w:rPr>
          <w:rFonts w:hint="eastAsia" w:ascii="宋体" w:hAnsi="宋体" w:eastAsia="宋体" w:cs="宋体"/>
          <w:b/>
          <w:bCs w:val="0"/>
          <w:snapToGrid/>
          <w:color w:val="000000"/>
          <w:kern w:val="0"/>
          <w:sz w:val="21"/>
          <w:szCs w:val="21"/>
          <w:highlight w:val="none"/>
          <w:u w:val="single"/>
          <w:lang w:val="en-US" w:eastAsia="zh-CN" w:bidi="ar"/>
        </w:rPr>
        <w:t>咨询人承担已完成工作相应咨询酬金的10%的的违约金</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2B73754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2"/>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6. 咨询质量</w:t>
      </w:r>
    </w:p>
    <w:p w14:paraId="1CF5C94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6.1 质量要求</w:t>
      </w:r>
    </w:p>
    <w:p w14:paraId="3322914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工程造价咨询成果文件质量标准：</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现行国家或行业工程计价有关规定、标准、规范的要求</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4912023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6.3 质量不合格处理</w:t>
      </w:r>
    </w:p>
    <w:p w14:paraId="5713DBA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宋体"/>
          <w:snapToGrid/>
          <w:color w:val="000000"/>
          <w:kern w:val="0"/>
          <w:sz w:val="21"/>
          <w:szCs w:val="21"/>
          <w:highlight w:val="none"/>
          <w:lang w:val="en-US" w:eastAsia="zh-CN" w:bidi="ar"/>
        </w:rPr>
        <w:t>因咨询人原因造成工程造价咨询成果文件质量未达到合同约定标准，委托人相应减少咨询酬金的计算方法为：</w:t>
      </w:r>
      <w:r>
        <w:rPr>
          <w:rFonts w:hint="eastAsia" w:ascii="宋体" w:hAnsi="宋体" w:eastAsia="宋体" w:cs="宋体"/>
          <w:snapToGrid/>
          <w:color w:val="000000"/>
          <w:kern w:val="0"/>
          <w:sz w:val="21"/>
          <w:szCs w:val="21"/>
          <w:highlight w:val="none"/>
          <w:u w:val="single"/>
          <w:lang w:val="en-US" w:eastAsia="zh-CN" w:bidi="ar"/>
        </w:rPr>
        <w:t>审计结算成果</w:t>
      </w:r>
      <w:r>
        <w:rPr>
          <w:rFonts w:hint="eastAsia" w:ascii="宋体" w:hAnsi="宋体" w:eastAsia="宋体" w:cs="宋体"/>
          <w:b/>
          <w:bCs/>
          <w:snapToGrid/>
          <w:color w:val="000000"/>
          <w:kern w:val="0"/>
          <w:sz w:val="21"/>
          <w:szCs w:val="21"/>
          <w:highlight w:val="none"/>
          <w:u w:val="single"/>
          <w:lang w:val="en-US" w:eastAsia="zh-CN" w:bidi="ar"/>
        </w:rPr>
        <w:t>与政府有关部门竣工决算审定结果</w:t>
      </w:r>
      <w:r>
        <w:rPr>
          <w:rFonts w:hint="eastAsia" w:ascii="宋体" w:hAnsi="宋体" w:eastAsia="宋体" w:cs="宋体"/>
          <w:snapToGrid/>
          <w:color w:val="000000"/>
          <w:kern w:val="0"/>
          <w:sz w:val="21"/>
          <w:szCs w:val="21"/>
          <w:highlight w:val="none"/>
          <w:u w:val="single"/>
          <w:lang w:val="en-US" w:eastAsia="zh-CN" w:bidi="ar"/>
        </w:rPr>
        <w:t>误差超过±3%，咨询人承担5万元违约金。</w:t>
      </w:r>
    </w:p>
    <w:p w14:paraId="6653110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因咨询人原因造成工程造价咨询成果文件质量不合格产生的损失赔偿额的计算方法为：</w:t>
      </w:r>
    </w:p>
    <w:p w14:paraId="532564E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b/>
          <w:bCs/>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 xml:space="preserve">6.3.1 </w:t>
      </w:r>
      <w:r>
        <w:rPr>
          <w:rFonts w:hint="eastAsia" w:ascii="宋体" w:hAnsi="宋体" w:eastAsia="宋体" w:cs="宋体"/>
          <w:b/>
          <w:bCs/>
          <w:snapToGrid/>
          <w:color w:val="000000"/>
          <w:kern w:val="0"/>
          <w:sz w:val="21"/>
          <w:szCs w:val="21"/>
          <w:highlight w:val="none"/>
          <w:lang w:val="en-US" w:eastAsia="zh-CN" w:bidi="ar"/>
        </w:rPr>
        <w:t>各级巡察、稽查、审计每发现1次咨询人的咨询报告有明显错误的（如工程量偏差、综合单价明显错误、进度款计算数额错误等），咨询人承担10000元/次违约金。</w:t>
      </w:r>
    </w:p>
    <w:p w14:paraId="0C52FC7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b/>
          <w:bCs/>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6.3.2因咨询人工作失误给委托人造成损失的，承担相应赔偿责任，</w:t>
      </w:r>
      <w:r>
        <w:rPr>
          <w:rFonts w:hint="eastAsia" w:ascii="宋体" w:hAnsi="宋体" w:eastAsia="宋体" w:cs="宋体"/>
          <w:b/>
          <w:bCs/>
          <w:snapToGrid/>
          <w:color w:val="000000"/>
          <w:kern w:val="0"/>
          <w:sz w:val="21"/>
          <w:szCs w:val="21"/>
          <w:highlight w:val="none"/>
          <w:lang w:val="en-US" w:eastAsia="zh-CN" w:bidi="ar"/>
        </w:rPr>
        <w:t>并承担相应违约金（违约金=损失金额*中标费率）。</w:t>
      </w:r>
    </w:p>
    <w:p w14:paraId="55C2AC9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2"/>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7. 咨询酬金</w:t>
      </w:r>
    </w:p>
    <w:p w14:paraId="0DE6AEA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7.1 酬金计算方式</w:t>
      </w:r>
    </w:p>
    <w:p w14:paraId="38B049F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宋体"/>
          <w:snapToGrid/>
          <w:color w:val="000000"/>
          <w:kern w:val="0"/>
          <w:sz w:val="21"/>
          <w:szCs w:val="21"/>
          <w:highlight w:val="none"/>
          <w:lang w:val="en-US" w:eastAsia="zh-CN" w:bidi="ar"/>
        </w:rPr>
        <w:t>7.1.2 基本酬金加绩效酬金：</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详见合同协议书约定</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172DA08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7.2 预付酬金</w:t>
      </w:r>
    </w:p>
    <w:p w14:paraId="63070E0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预付酬金支付比例或金额：</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7C800B8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仿宋_GB2312"/>
          <w:b/>
          <w:bCs w:val="0"/>
          <w:color w:val="000000"/>
          <w:kern w:val="0"/>
          <w:sz w:val="21"/>
          <w:szCs w:val="21"/>
          <w:highlight w:val="none"/>
          <w:u w:val="single"/>
        </w:rPr>
      </w:pPr>
      <w:r>
        <w:rPr>
          <w:rFonts w:hint="eastAsia" w:ascii="宋体" w:hAnsi="宋体" w:eastAsia="宋体" w:cs="宋体"/>
          <w:snapToGrid/>
          <w:color w:val="000000"/>
          <w:kern w:val="0"/>
          <w:sz w:val="21"/>
          <w:szCs w:val="21"/>
          <w:highlight w:val="none"/>
          <w:lang w:val="en-US" w:eastAsia="zh-CN" w:bidi="ar"/>
        </w:rPr>
        <w:t>预付酬金支付期限：</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5BD585C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宋体"/>
          <w:snapToGrid/>
          <w:color w:val="000000"/>
          <w:kern w:val="0"/>
          <w:sz w:val="21"/>
          <w:szCs w:val="21"/>
          <w:highlight w:val="none"/>
          <w:lang w:val="en-US" w:eastAsia="zh-CN" w:bidi="ar"/>
        </w:rPr>
        <w:t>委托人逾期支付预付酬金的违约金的计算方式：</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68D839A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7.3 酬金分段结算与支付</w:t>
      </w:r>
    </w:p>
    <w:p w14:paraId="20FC8F7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bCs/>
          <w:snapToGrid/>
          <w:color w:val="000000"/>
          <w:kern w:val="0"/>
          <w:sz w:val="21"/>
          <w:szCs w:val="21"/>
          <w:highlight w:val="none"/>
          <w:lang w:val="en-US" w:eastAsia="zh-CN" w:bidi="ar"/>
        </w:rPr>
        <w:t>7.3.1</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酬金分段结算与支付的比例或金额：</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6ABF550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宋体"/>
          <w:snapToGrid/>
          <w:color w:val="000000"/>
          <w:kern w:val="0"/>
          <w:sz w:val="21"/>
          <w:szCs w:val="21"/>
          <w:highlight w:val="none"/>
          <w:lang w:val="en-US" w:eastAsia="zh-CN" w:bidi="ar"/>
        </w:rPr>
        <w:t>咨询人提交酬金分段结算与支付申请书的期限：</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7291912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仿宋_GB2312"/>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7.3.2 委托人审核确认酬金分段结算与支付申请书并完成酬金支付的期限：</w:t>
      </w:r>
      <w:r>
        <w:rPr>
          <w:rFonts w:hint="eastAsia" w:ascii="宋体" w:hAnsi="宋体" w:eastAsia="宋体" w:cs="宋体"/>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0CDF3FC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7.4 酬金结清与支付</w:t>
      </w:r>
    </w:p>
    <w:p w14:paraId="5CB989D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宋体"/>
          <w:bCs/>
          <w:snapToGrid/>
          <w:color w:val="000000"/>
          <w:kern w:val="0"/>
          <w:sz w:val="21"/>
          <w:szCs w:val="21"/>
          <w:highlight w:val="none"/>
          <w:lang w:val="en-US" w:eastAsia="zh-CN" w:bidi="ar"/>
        </w:rPr>
        <w:t>7.4.1</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咨询人提交酬金结清与支付申请书的期限：</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p>
    <w:p w14:paraId="16331A6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宋体"/>
          <w:bCs/>
          <w:snapToGrid/>
          <w:color w:val="000000"/>
          <w:kern w:val="0"/>
          <w:sz w:val="21"/>
          <w:szCs w:val="21"/>
          <w:highlight w:val="none"/>
          <w:lang w:val="en-US" w:eastAsia="zh-CN" w:bidi="ar"/>
        </w:rPr>
        <w:t>7.4.2</w:t>
      </w:r>
      <w:r>
        <w:rPr>
          <w:rFonts w:hint="eastAsia" w:ascii="宋体" w:hAnsi="宋体" w:eastAsia="宋体" w:cs="Arial"/>
          <w:snapToGrid/>
          <w:color w:val="000000"/>
          <w:kern w:val="0"/>
          <w:sz w:val="21"/>
          <w:szCs w:val="21"/>
          <w:highlight w:val="non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委托人审核确认酬金结清与支付申请书的期限：</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p>
    <w:p w14:paraId="50D6A14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7.4.3 委托人完成酬金支付的期限：</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6CD1C43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宋体"/>
          <w:snapToGrid/>
          <w:color w:val="000000"/>
          <w:kern w:val="0"/>
          <w:sz w:val="21"/>
          <w:szCs w:val="21"/>
          <w:highlight w:val="none"/>
          <w:lang w:val="en-US" w:eastAsia="zh-CN" w:bidi="ar"/>
        </w:rPr>
        <w:t>7.4.4费用支付条件及方式：</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详见合同协议书约定</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p>
    <w:p w14:paraId="7259362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2"/>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8. 变更</w:t>
      </w:r>
    </w:p>
    <w:p w14:paraId="093E1FD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8.1 变更的范围</w:t>
      </w:r>
    </w:p>
    <w:p w14:paraId="118C7E8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outlineLvl w:val="4"/>
        <w:rPr>
          <w:rFonts w:hint="eastAsia" w:ascii="宋体" w:hAnsi="宋体" w:eastAsia="宋体" w:cs="Arial"/>
          <w:color w:val="000000"/>
          <w:kern w:val="0"/>
          <w:sz w:val="21"/>
          <w:szCs w:val="21"/>
          <w:highlight w:val="none"/>
          <w:u w:val="single"/>
        </w:rPr>
      </w:pPr>
      <w:r>
        <w:rPr>
          <w:rFonts w:hint="eastAsia" w:ascii="宋体" w:hAnsi="宋体" w:eastAsia="宋体" w:cs="宋体"/>
          <w:snapToGrid/>
          <w:color w:val="000000"/>
          <w:kern w:val="0"/>
          <w:sz w:val="21"/>
          <w:szCs w:val="21"/>
          <w:highlight w:val="none"/>
          <w:lang w:val="en-US" w:eastAsia="zh-CN" w:bidi="ar"/>
        </w:rPr>
        <w:t>（4）变更的其他情形：</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另行约定</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u w:val="single"/>
          <w:lang w:val="en-US" w:eastAsia="zh-CN" w:bidi="ar"/>
        </w:rPr>
        <w:t xml:space="preserve">   </w:t>
      </w:r>
    </w:p>
    <w:p w14:paraId="44280DE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8.2 变更引起的咨询酬金和期限调整</w:t>
      </w:r>
    </w:p>
    <w:p w14:paraId="545E419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宋体"/>
          <w:snapToGrid/>
          <w:color w:val="000000"/>
          <w:kern w:val="0"/>
          <w:sz w:val="21"/>
          <w:szCs w:val="21"/>
          <w:highlight w:val="none"/>
          <w:lang w:val="en-US" w:eastAsia="zh-CN" w:bidi="ar"/>
        </w:rPr>
        <w:t xml:space="preserve">8.2.1 变更引起咨询酬金调整的计算方法: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p>
    <w:p w14:paraId="67D5D39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宋体"/>
          <w:snapToGrid/>
          <w:color w:val="000000"/>
          <w:kern w:val="0"/>
          <w:sz w:val="21"/>
          <w:szCs w:val="21"/>
          <w:highlight w:val="none"/>
          <w:lang w:val="en-US" w:eastAsia="zh-CN" w:bidi="ar"/>
        </w:rPr>
        <w:t xml:space="preserve">变更引起咨询期限调整的计算方法: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p>
    <w:p w14:paraId="3784AED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8.3 咨询人的合理化建议</w:t>
      </w:r>
    </w:p>
    <w:p w14:paraId="0B1AA1B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合理化建议奖励金额的比率：</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p>
    <w:p w14:paraId="7660893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u w:val="single"/>
        </w:rPr>
      </w:pPr>
      <w:r>
        <w:rPr>
          <w:rFonts w:hint="eastAsia" w:ascii="宋体" w:hAnsi="宋体" w:eastAsia="宋体" w:cs="宋体"/>
          <w:snapToGrid/>
          <w:color w:val="000000"/>
          <w:kern w:val="0"/>
          <w:sz w:val="21"/>
          <w:szCs w:val="21"/>
          <w:highlight w:val="none"/>
          <w:lang w:val="en-US" w:eastAsia="zh-CN" w:bidi="ar"/>
        </w:rPr>
        <w:t>合理化建议奖励的其他计算方法：</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p>
    <w:p w14:paraId="366A61C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2"/>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9. 违约</w:t>
      </w:r>
    </w:p>
    <w:p w14:paraId="346682F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9.1 委托人违约</w:t>
      </w:r>
    </w:p>
    <w:p w14:paraId="4D0D99C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关于委托人违约解除合同的特别约定：</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w:t>
      </w:r>
    </w:p>
    <w:p w14:paraId="6851FF3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因委托人违约解除合同的，关于已完咨询业务酬金结算和付款的约定：</w:t>
      </w:r>
      <w:r>
        <w:rPr>
          <w:rFonts w:hint="eastAsia" w:ascii="宋体" w:hAnsi="宋体" w:eastAsia="宋体" w:cs="宋体"/>
          <w:b/>
          <w:bCs w:val="0"/>
          <w:snapToGrid/>
          <w:color w:val="000000"/>
          <w:kern w:val="0"/>
          <w:sz w:val="21"/>
          <w:szCs w:val="21"/>
          <w:highlight w:val="none"/>
          <w:u w:val="single"/>
          <w:lang w:val="en-US" w:eastAsia="zh-CN" w:bidi="ar"/>
        </w:rPr>
        <w:t>由双方另行协商</w:t>
      </w:r>
      <w:r>
        <w:rPr>
          <w:rFonts w:hint="eastAsia" w:ascii="宋体" w:hAnsi="宋体" w:eastAsia="宋体" w:cs="宋体"/>
          <w:snapToGrid/>
          <w:color w:val="000000"/>
          <w:kern w:val="0"/>
          <w:sz w:val="21"/>
          <w:szCs w:val="21"/>
          <w:highlight w:val="none"/>
          <w:lang w:val="en-US" w:eastAsia="zh-CN" w:bidi="ar"/>
        </w:rPr>
        <w:t>。</w:t>
      </w:r>
    </w:p>
    <w:p w14:paraId="6CCCA4A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9.2 咨询人违约</w:t>
      </w:r>
    </w:p>
    <w:p w14:paraId="5DE8ECA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关于咨询人违约解除合同的特别约定：</w:t>
      </w:r>
    </w:p>
    <w:p w14:paraId="380EE91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仿宋_GB2312"/>
          <w:b/>
          <w:bCs w:val="0"/>
          <w:color w:val="000000"/>
          <w:kern w:val="0"/>
          <w:sz w:val="21"/>
          <w:szCs w:val="21"/>
          <w:highlight w:val="none"/>
          <w:u w:val="single"/>
        </w:rPr>
      </w:pPr>
      <w:r>
        <w:rPr>
          <w:rFonts w:hint="eastAsia" w:ascii="宋体" w:hAnsi="宋体" w:eastAsia="宋体" w:cs="宋体"/>
          <w:b/>
          <w:bCs w:val="0"/>
          <w:snapToGrid/>
          <w:color w:val="000000"/>
          <w:kern w:val="0"/>
          <w:sz w:val="21"/>
          <w:szCs w:val="21"/>
          <w:highlight w:val="none"/>
          <w:u w:val="single"/>
          <w:lang w:val="en-US" w:eastAsia="zh-CN" w:bidi="ar"/>
        </w:rPr>
        <w:t>（1）咨询人不得将该项目转让或分包，如委托人发现咨询人在投标文件中承诺的驻场人员与实际驻场人员不一致，视为咨询人分包，委托人要求咨询人承担违约责任，并有权单方面解除合同。</w:t>
      </w:r>
    </w:p>
    <w:p w14:paraId="512FE59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仿宋_GB2312"/>
          <w:b/>
          <w:bCs w:val="0"/>
          <w:color w:val="000000"/>
          <w:kern w:val="0"/>
          <w:sz w:val="21"/>
          <w:szCs w:val="21"/>
          <w:highlight w:val="none"/>
          <w:u w:val="single"/>
        </w:rPr>
      </w:pPr>
      <w:r>
        <w:rPr>
          <w:rFonts w:hint="eastAsia" w:ascii="宋体" w:hAnsi="宋体" w:eastAsia="宋体" w:cs="宋体"/>
          <w:b/>
          <w:bCs w:val="0"/>
          <w:snapToGrid/>
          <w:color w:val="000000"/>
          <w:kern w:val="0"/>
          <w:sz w:val="21"/>
          <w:szCs w:val="21"/>
          <w:highlight w:val="none"/>
          <w:u w:val="single"/>
          <w:lang w:val="en-US" w:eastAsia="zh-CN" w:bidi="ar"/>
        </w:rPr>
        <w:t>（2）咨询人在项目实施期间，未按照合同约定实施，委托人有权要求其改正一次，不按期整改的，委托人要求咨询人承担返工产生的一切费用，并有权解除合同。</w:t>
      </w:r>
    </w:p>
    <w:p w14:paraId="04578FD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仿宋_GB2312"/>
          <w:b/>
          <w:bCs w:val="0"/>
          <w:color w:val="000000"/>
          <w:kern w:val="0"/>
          <w:sz w:val="21"/>
          <w:szCs w:val="21"/>
          <w:highlight w:val="none"/>
          <w:u w:val="single"/>
        </w:rPr>
      </w:pPr>
      <w:r>
        <w:rPr>
          <w:rFonts w:hint="eastAsia" w:ascii="宋体" w:hAnsi="宋体" w:eastAsia="宋体" w:cs="宋体"/>
          <w:b/>
          <w:bCs w:val="0"/>
          <w:snapToGrid/>
          <w:color w:val="000000"/>
          <w:kern w:val="0"/>
          <w:sz w:val="21"/>
          <w:szCs w:val="21"/>
          <w:highlight w:val="none"/>
          <w:u w:val="single"/>
          <w:lang w:val="en-US" w:eastAsia="zh-CN" w:bidi="ar"/>
        </w:rPr>
        <w:t>（3）咨询人逾期提交成果达三十日，委托人要求咨询人承担违约责任，并有权单方面解除合同。</w:t>
      </w:r>
    </w:p>
    <w:p w14:paraId="64E4F12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仿宋_GB2312"/>
          <w:b/>
          <w:bCs w:val="0"/>
          <w:color w:val="000000"/>
          <w:kern w:val="0"/>
          <w:sz w:val="21"/>
          <w:szCs w:val="21"/>
          <w:highlight w:val="none"/>
          <w:u w:val="single"/>
        </w:rPr>
      </w:pPr>
      <w:r>
        <w:rPr>
          <w:rFonts w:hint="eastAsia" w:ascii="宋体" w:hAnsi="宋体" w:eastAsia="宋体" w:cs="宋体"/>
          <w:b/>
          <w:bCs w:val="0"/>
          <w:snapToGrid/>
          <w:color w:val="000000"/>
          <w:kern w:val="0"/>
          <w:sz w:val="21"/>
          <w:szCs w:val="21"/>
          <w:highlight w:val="none"/>
          <w:u w:val="single"/>
          <w:lang w:val="en-US" w:eastAsia="zh-CN" w:bidi="ar"/>
        </w:rPr>
        <w:t>(4)咨询人滥用职权、与施工单位串通、徇私舞弊、玩忽职守应按情节轻重给予处罚，报送行业主管部门建议记“不良行为”、列入“黑名单”。情节严重，造成国家重大损失的，移送司法机关追究刑事责任。</w:t>
      </w:r>
    </w:p>
    <w:p w14:paraId="09FCA00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因咨询人违约解除合同的，关于已完咨询业务酬金结算和付款的约定：</w:t>
      </w:r>
      <w:r>
        <w:rPr>
          <w:rFonts w:hint="eastAsia" w:ascii="宋体" w:hAnsi="宋体" w:eastAsia="宋体" w:cs="宋体"/>
          <w:b/>
          <w:bCs w:val="0"/>
          <w:snapToGrid/>
          <w:color w:val="000000"/>
          <w:kern w:val="0"/>
          <w:sz w:val="21"/>
          <w:szCs w:val="21"/>
          <w:highlight w:val="none"/>
          <w:u w:val="single"/>
          <w:lang w:val="en-US" w:eastAsia="zh-CN" w:bidi="ar"/>
        </w:rPr>
        <w:t>由双方另行协商</w:t>
      </w:r>
      <w:r>
        <w:rPr>
          <w:rFonts w:hint="eastAsia" w:ascii="宋体" w:hAnsi="宋体" w:eastAsia="宋体" w:cs="宋体"/>
          <w:snapToGrid/>
          <w:color w:val="000000"/>
          <w:kern w:val="0"/>
          <w:sz w:val="21"/>
          <w:szCs w:val="21"/>
          <w:highlight w:val="none"/>
          <w:lang w:val="en-US" w:eastAsia="zh-CN" w:bidi="ar"/>
        </w:rPr>
        <w:t>。</w:t>
      </w:r>
    </w:p>
    <w:p w14:paraId="2D37485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2"/>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10. 争议解决</w:t>
      </w:r>
    </w:p>
    <w:p w14:paraId="4E94A17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2" w:firstLineChars="200"/>
        <w:jc w:val="left"/>
        <w:textAlignment w:val="baseline"/>
        <w:outlineLvl w:val="3"/>
        <w:rPr>
          <w:rFonts w:hint="eastAsia" w:ascii="宋体" w:hAnsi="宋体" w:eastAsia="宋体" w:cs="仿宋_GB2312"/>
          <w:b/>
          <w:bCs w:val="0"/>
          <w:color w:val="000000"/>
          <w:kern w:val="0"/>
          <w:sz w:val="21"/>
          <w:szCs w:val="21"/>
          <w:highlight w:val="none"/>
        </w:rPr>
      </w:pPr>
      <w:r>
        <w:rPr>
          <w:rFonts w:hint="eastAsia" w:ascii="宋体" w:hAnsi="宋体" w:eastAsia="宋体" w:cs="宋体"/>
          <w:b/>
          <w:bCs w:val="0"/>
          <w:snapToGrid/>
          <w:color w:val="000000"/>
          <w:kern w:val="0"/>
          <w:sz w:val="21"/>
          <w:szCs w:val="21"/>
          <w:highlight w:val="none"/>
          <w:lang w:val="en-US" w:eastAsia="zh-CN" w:bidi="ar"/>
        </w:rPr>
        <w:t>10.3 仲裁或诉讼</w:t>
      </w:r>
    </w:p>
    <w:p w14:paraId="41B786E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因合同及合同有关事项发生的争议，按下列第</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b/>
          <w:bCs w:val="0"/>
          <w:snapToGrid/>
          <w:color w:val="000000"/>
          <w:kern w:val="0"/>
          <w:sz w:val="21"/>
          <w:szCs w:val="21"/>
          <w:highlight w:val="none"/>
          <w:u w:val="single"/>
          <w:lang w:val="en-US" w:eastAsia="zh-CN" w:bidi="ar"/>
        </w:rPr>
        <w:t>（2）</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种方式解决：</w:t>
      </w:r>
    </w:p>
    <w:p w14:paraId="1650CDE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Arial"/>
          <w:color w:val="000000"/>
          <w:kern w:val="0"/>
          <w:sz w:val="21"/>
          <w:szCs w:val="21"/>
          <w:highlight w:val="none"/>
        </w:rPr>
      </w:pPr>
      <w:r>
        <w:rPr>
          <w:rFonts w:hint="eastAsia" w:ascii="宋体" w:hAnsi="宋体" w:eastAsia="宋体" w:cs="宋体"/>
          <w:snapToGrid/>
          <w:color w:val="000000"/>
          <w:kern w:val="0"/>
          <w:sz w:val="21"/>
          <w:szCs w:val="21"/>
          <w:highlight w:val="none"/>
          <w:lang w:val="en-US" w:eastAsia="zh-CN" w:bidi="ar"/>
        </w:rPr>
        <w:t>（1）向</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仲裁委员会申请仲裁；</w:t>
      </w:r>
    </w:p>
    <w:p w14:paraId="145DAEA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20" w:firstLineChars="200"/>
        <w:jc w:val="left"/>
        <w:textAlignment w:val="baseline"/>
        <w:rPr>
          <w:highlight w:val="none"/>
        </w:rPr>
      </w:pPr>
      <w:r>
        <w:rPr>
          <w:rFonts w:hint="eastAsia" w:ascii="宋体" w:hAnsi="宋体" w:eastAsia="宋体" w:cs="宋体"/>
          <w:snapToGrid/>
          <w:color w:val="000000"/>
          <w:kern w:val="0"/>
          <w:sz w:val="21"/>
          <w:szCs w:val="21"/>
          <w:highlight w:val="none"/>
          <w:lang w:val="en-US" w:eastAsia="zh-CN" w:bidi="ar"/>
        </w:rPr>
        <w:t>（2）向</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u w:val="single"/>
          <w:lang w:val="en-US" w:eastAsia="zh-CN" w:bidi="ar"/>
        </w:rPr>
        <w:t>工程所在地</w:t>
      </w:r>
      <w:r>
        <w:rPr>
          <w:rFonts w:hint="eastAsia" w:ascii="宋体" w:hAnsi="宋体" w:eastAsia="宋体" w:cs="仿宋_GB2312"/>
          <w:b/>
          <w:bCs w:val="0"/>
          <w:snapToGrid/>
          <w:color w:val="000000"/>
          <w:kern w:val="0"/>
          <w:sz w:val="21"/>
          <w:szCs w:val="21"/>
          <w:highlight w:val="none"/>
          <w:u w:val="single"/>
          <w:lang w:val="en-US" w:eastAsia="zh-CN" w:bidi="ar"/>
        </w:rPr>
        <w:t xml:space="preserve"> </w:t>
      </w:r>
      <w:r>
        <w:rPr>
          <w:rFonts w:hint="eastAsia" w:ascii="宋体" w:hAnsi="宋体" w:eastAsia="宋体" w:cs="Arial"/>
          <w:snapToGrid/>
          <w:color w:val="000000"/>
          <w:kern w:val="0"/>
          <w:sz w:val="21"/>
          <w:szCs w:val="21"/>
          <w:highlight w:val="none"/>
          <w:u w:val="single"/>
          <w:lang w:val="en-US" w:eastAsia="zh-CN" w:bidi="ar"/>
        </w:rPr>
        <w:t xml:space="preserve">  </w:t>
      </w:r>
      <w:r>
        <w:rPr>
          <w:rFonts w:hint="eastAsia" w:ascii="宋体" w:hAnsi="宋体" w:eastAsia="宋体" w:cs="宋体"/>
          <w:snapToGrid/>
          <w:color w:val="000000"/>
          <w:kern w:val="0"/>
          <w:sz w:val="21"/>
          <w:szCs w:val="21"/>
          <w:highlight w:val="none"/>
          <w:lang w:val="en-US" w:eastAsia="zh-CN" w:bidi="ar"/>
        </w:rPr>
        <w:t>人民法院起诉。</w:t>
      </w:r>
    </w:p>
    <w:p w14:paraId="46B0A278">
      <w:pPr>
        <w:spacing w:line="360" w:lineRule="auto"/>
        <w:rPr>
          <w:rFonts w:asciiTheme="minorEastAsia" w:hAnsiTheme="minorEastAsia" w:eastAsiaTheme="minorEastAsia" w:cstheme="minorEastAsia"/>
          <w:color w:val="auto"/>
          <w:sz w:val="28"/>
          <w:szCs w:val="27"/>
          <w:highlight w:val="none"/>
        </w:rPr>
      </w:pPr>
      <w:r>
        <w:rPr>
          <w:rFonts w:hint="eastAsia" w:asciiTheme="minorEastAsia" w:hAnsiTheme="minorEastAsia" w:eastAsiaTheme="minorEastAsia" w:cstheme="minorEastAsia"/>
          <w:color w:val="auto"/>
          <w:sz w:val="28"/>
          <w:szCs w:val="27"/>
          <w:highlight w:val="none"/>
        </w:rPr>
        <w:br w:type="page"/>
      </w:r>
    </w:p>
    <w:p w14:paraId="192C0ED1">
      <w:pPr>
        <w:spacing w:line="360" w:lineRule="auto"/>
        <w:jc w:val="center"/>
        <w:outlineLvl w:val="0"/>
        <w:rPr>
          <w:rFonts w:asciiTheme="minorEastAsia" w:hAnsiTheme="minorEastAsia" w:eastAsiaTheme="minorEastAsia"/>
          <w:b/>
          <w:color w:val="auto"/>
          <w:sz w:val="28"/>
          <w:highlight w:val="none"/>
        </w:rPr>
      </w:pPr>
      <w:bookmarkStart w:id="38" w:name="_Toc2430"/>
      <w:bookmarkStart w:id="39" w:name="_Toc25148"/>
      <w:bookmarkStart w:id="40" w:name="_Toc16475"/>
      <w:r>
        <w:rPr>
          <w:rFonts w:hint="eastAsia" w:asciiTheme="minorEastAsia" w:hAnsiTheme="minorEastAsia" w:eastAsiaTheme="minorEastAsia"/>
          <w:b/>
          <w:color w:val="auto"/>
          <w:sz w:val="28"/>
          <w:highlight w:val="none"/>
        </w:rPr>
        <w:t>第六章  响应文件格式</w:t>
      </w:r>
      <w:bookmarkEnd w:id="38"/>
      <w:bookmarkEnd w:id="39"/>
      <w:bookmarkEnd w:id="40"/>
    </w:p>
    <w:p w14:paraId="22B512D6">
      <w:pPr>
        <w:spacing w:line="900" w:lineRule="exact"/>
        <w:jc w:val="center"/>
        <w:rPr>
          <w:rFonts w:asciiTheme="minorEastAsia" w:hAnsiTheme="minorEastAsia" w:eastAsiaTheme="minorEastAsia"/>
          <w:b/>
          <w:color w:val="auto"/>
          <w:sz w:val="72"/>
          <w:highlight w:val="none"/>
        </w:rPr>
      </w:pPr>
    </w:p>
    <w:p w14:paraId="2A760AD2">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31C70137">
      <w:pPr>
        <w:spacing w:line="900" w:lineRule="exact"/>
        <w:jc w:val="center"/>
        <w:rPr>
          <w:rFonts w:asciiTheme="minorEastAsia" w:hAnsiTheme="minorEastAsia" w:eastAsiaTheme="minorEastAsia"/>
          <w:b/>
          <w:color w:val="auto"/>
          <w:sz w:val="72"/>
          <w:highlight w:val="none"/>
        </w:rPr>
      </w:pPr>
    </w:p>
    <w:p w14:paraId="1A61D115">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26588355">
      <w:pPr>
        <w:spacing w:line="900" w:lineRule="exact"/>
        <w:jc w:val="center"/>
        <w:rPr>
          <w:rFonts w:asciiTheme="minorEastAsia" w:hAnsiTheme="minorEastAsia" w:eastAsiaTheme="minorEastAsia"/>
          <w:b/>
          <w:color w:val="auto"/>
          <w:sz w:val="72"/>
          <w:highlight w:val="none"/>
        </w:rPr>
      </w:pPr>
    </w:p>
    <w:p w14:paraId="1C2D6683">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2A2E9D33">
      <w:pPr>
        <w:spacing w:line="900" w:lineRule="exact"/>
        <w:jc w:val="center"/>
        <w:rPr>
          <w:rFonts w:asciiTheme="minorEastAsia" w:hAnsiTheme="minorEastAsia" w:eastAsiaTheme="minorEastAsia"/>
          <w:b/>
          <w:color w:val="auto"/>
          <w:sz w:val="72"/>
          <w:highlight w:val="none"/>
        </w:rPr>
      </w:pPr>
    </w:p>
    <w:p w14:paraId="5AFDC727">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5B85C17E">
      <w:pPr>
        <w:spacing w:after="156" w:afterLines="50"/>
        <w:jc w:val="center"/>
        <w:rPr>
          <w:rFonts w:asciiTheme="minorEastAsia" w:hAnsiTheme="minorEastAsia" w:eastAsiaTheme="minorEastAsia"/>
          <w:b/>
          <w:color w:val="auto"/>
          <w:sz w:val="72"/>
          <w:highlight w:val="none"/>
        </w:rPr>
      </w:pPr>
    </w:p>
    <w:p w14:paraId="7AD1396E">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center"/>
        <w:textAlignment w:val="auto"/>
        <w:outlineLvl w:val="9"/>
        <w:rPr>
          <w:rFonts w:hint="default" w:ascii="宋体" w:hAnsi="宋体" w:eastAsia="宋体"/>
          <w:color w:val="auto"/>
          <w:sz w:val="24"/>
          <w:szCs w:val="18"/>
          <w:highlight w:val="none"/>
          <w:lang w:val="en-US" w:eastAsia="zh-CN"/>
        </w:rPr>
      </w:pPr>
    </w:p>
    <w:p w14:paraId="40EE5A73">
      <w:pPr>
        <w:spacing w:after="156" w:afterLines="50" w:line="500" w:lineRule="exact"/>
        <w:jc w:val="both"/>
        <w:rPr>
          <w:rFonts w:asciiTheme="minorEastAsia" w:hAnsiTheme="minorEastAsia" w:eastAsiaTheme="minorEastAsia"/>
          <w:b/>
          <w:color w:val="auto"/>
          <w:sz w:val="72"/>
          <w:highlight w:val="none"/>
        </w:rPr>
      </w:pPr>
    </w:p>
    <w:p w14:paraId="70D9474D">
      <w:pPr>
        <w:spacing w:after="156" w:afterLines="50" w:line="500" w:lineRule="exact"/>
        <w:jc w:val="center"/>
        <w:rPr>
          <w:rFonts w:asciiTheme="minorEastAsia" w:hAnsiTheme="minorEastAsia" w:eastAsiaTheme="minorEastAsia"/>
          <w:b/>
          <w:color w:val="auto"/>
          <w:sz w:val="28"/>
          <w:szCs w:val="28"/>
          <w:highlight w:val="none"/>
        </w:rPr>
      </w:pPr>
    </w:p>
    <w:p w14:paraId="323DE5E3">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6B01918D">
      <w:pPr>
        <w:tabs>
          <w:tab w:val="left" w:pos="2410"/>
        </w:tabs>
        <w:autoSpaceDE w:val="0"/>
        <w:autoSpaceDN w:val="0"/>
        <w:adjustRightInd w:val="0"/>
        <w:snapToGrid w:val="0"/>
        <w:spacing w:line="360" w:lineRule="auto"/>
        <w:ind w:firstLine="643" w:firstLineChars="2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5D3C640E">
      <w:pPr>
        <w:tabs>
          <w:tab w:val="left" w:pos="2410"/>
        </w:tabs>
        <w:autoSpaceDE w:val="0"/>
        <w:autoSpaceDN w:val="0"/>
        <w:adjustRightInd w:val="0"/>
        <w:snapToGrid w:val="0"/>
        <w:spacing w:line="360" w:lineRule="auto"/>
        <w:ind w:firstLine="643" w:firstLineChars="2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供 应 商</w:t>
      </w:r>
      <w:r>
        <w:rPr>
          <w:rFonts w:hint="eastAsia" w:asciiTheme="minorEastAsia" w:hAnsiTheme="minorEastAsia" w:eastAsiaTheme="minorEastAsia"/>
          <w:b/>
          <w:color w:val="auto"/>
          <w:sz w:val="32"/>
          <w:highlight w:val="none"/>
        </w:rPr>
        <w:t>：</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03D63126">
      <w:pPr>
        <w:spacing w:after="156" w:afterLines="50" w:line="500" w:lineRule="exact"/>
        <w:jc w:val="center"/>
        <w:outlineLvl w:val="9"/>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41" w:name="_Toc8037"/>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41"/>
    </w:p>
    <w:p w14:paraId="339AAE02">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616186D4">
      <w:pPr>
        <w:spacing w:line="360" w:lineRule="auto"/>
        <w:jc w:val="center"/>
        <w:outlineLvl w:val="1"/>
        <w:rPr>
          <w:rFonts w:asciiTheme="minorEastAsia" w:hAnsiTheme="minorEastAsia" w:eastAsiaTheme="minorEastAsia"/>
          <w:b/>
          <w:color w:val="auto"/>
          <w:sz w:val="24"/>
          <w:highlight w:val="none"/>
        </w:rPr>
      </w:pPr>
      <w:bookmarkStart w:id="42" w:name="_Toc461053086"/>
      <w:bookmarkStart w:id="43" w:name="_Toc461056631"/>
      <w:bookmarkStart w:id="44" w:name="_Toc5881"/>
      <w:bookmarkStart w:id="45" w:name="_Toc520983587"/>
      <w:bookmarkStart w:id="46" w:name="_Toc26791"/>
      <w:r>
        <w:rPr>
          <w:rFonts w:hint="eastAsia" w:asciiTheme="minorEastAsia" w:hAnsiTheme="minorEastAsia" w:eastAsiaTheme="minorEastAsia"/>
          <w:b/>
          <w:color w:val="auto"/>
          <w:sz w:val="24"/>
          <w:highlight w:val="none"/>
        </w:rPr>
        <w:t>一</w:t>
      </w:r>
      <w:bookmarkEnd w:id="42"/>
      <w:bookmarkEnd w:id="43"/>
      <w:r>
        <w:rPr>
          <w:rFonts w:hint="eastAsia" w:asciiTheme="minorEastAsia" w:hAnsiTheme="minorEastAsia" w:eastAsiaTheme="minorEastAsia"/>
          <w:b/>
          <w:color w:val="auto"/>
          <w:sz w:val="24"/>
          <w:highlight w:val="none"/>
        </w:rPr>
        <w:t>、报价表格式</w:t>
      </w:r>
      <w:bookmarkEnd w:id="44"/>
      <w:bookmarkEnd w:id="45"/>
      <w:bookmarkEnd w:id="46"/>
    </w:p>
    <w:p w14:paraId="37C47F77">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p w14:paraId="5D0CA5FB">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2D06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6111D9CC">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037AEEDB">
            <w:pPr>
              <w:spacing w:line="360" w:lineRule="auto"/>
              <w:rPr>
                <w:rFonts w:ascii="宋体" w:hAnsi="宋体" w:eastAsia="宋体"/>
                <w:b/>
                <w:color w:val="auto"/>
                <w:sz w:val="24"/>
                <w:highlight w:val="none"/>
              </w:rPr>
            </w:pPr>
          </w:p>
        </w:tc>
      </w:tr>
      <w:tr w14:paraId="17FF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C343762">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磋商范围</w:t>
            </w:r>
          </w:p>
        </w:tc>
        <w:tc>
          <w:tcPr>
            <w:tcW w:w="3557" w:type="pct"/>
            <w:tcBorders>
              <w:left w:val="single" w:color="auto" w:sz="4" w:space="0"/>
            </w:tcBorders>
            <w:vAlign w:val="center"/>
          </w:tcPr>
          <w:p w14:paraId="6AF23C53">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 xml:space="preserve">全部 </w:t>
            </w:r>
          </w:p>
        </w:tc>
      </w:tr>
      <w:tr w14:paraId="20B0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0F68DE9D">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79BD1F4F">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6B8204D9">
            <w:pPr>
              <w:snapToGrid w:val="0"/>
              <w:spacing w:line="360" w:lineRule="auto"/>
              <w:rPr>
                <w:rFonts w:ascii="宋体" w:hAnsi="宋体" w:eastAsia="宋体"/>
                <w:color w:val="auto"/>
                <w:sz w:val="24"/>
                <w:szCs w:val="28"/>
                <w:highlight w:val="none"/>
              </w:rPr>
            </w:pPr>
          </w:p>
          <w:p w14:paraId="178047D3">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24AA1EEE">
            <w:pPr>
              <w:spacing w:line="360" w:lineRule="auto"/>
              <w:ind w:right="-670"/>
              <w:rPr>
                <w:rFonts w:hint="eastAsia"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1F0689D0">
            <w:pPr>
              <w:snapToGrid w:val="0"/>
              <w:spacing w:line="360" w:lineRule="auto"/>
              <w:rPr>
                <w:rFonts w:ascii="宋体" w:hAnsi="宋体" w:eastAsia="宋体"/>
                <w:b/>
                <w:color w:val="auto"/>
                <w:sz w:val="24"/>
                <w:highlight w:val="none"/>
              </w:rPr>
            </w:pPr>
          </w:p>
        </w:tc>
      </w:tr>
      <w:tr w14:paraId="5F53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6682C0E2">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4F75DD58">
            <w:pPr>
              <w:spacing w:line="360" w:lineRule="auto"/>
              <w:rPr>
                <w:rFonts w:ascii="宋体" w:hAnsi="宋体" w:eastAsia="宋体"/>
                <w:b/>
                <w:color w:val="auto"/>
                <w:sz w:val="24"/>
                <w:highlight w:val="none"/>
              </w:rPr>
            </w:pPr>
          </w:p>
        </w:tc>
      </w:tr>
    </w:tbl>
    <w:p w14:paraId="519B2B1C">
      <w:pPr>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5D339F0D">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612DB85">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2C94478A">
      <w:pPr>
        <w:adjustRightInd w:val="0"/>
        <w:snapToGrid w:val="0"/>
        <w:spacing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szCs w:val="28"/>
          <w:highlight w:val="none"/>
        </w:rPr>
        <w:t>1.本表内容根据磋商文件要求包括了服务及其配套的设计、采购、制造、检测、试验、运输、保险、仓储、税费以及现场落地、安装及安装耗损、调试、培训、技术服务（包括技术资料、图纸的提供）质保期内的售后服务保障等所有费用。</w:t>
      </w:r>
    </w:p>
    <w:p w14:paraId="0EFBE9EE">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2.特殊事项在备注中注明。</w:t>
      </w:r>
    </w:p>
    <w:p w14:paraId="06C83B4A">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ascii="宋体" w:hAnsi="宋体" w:eastAsia="宋体"/>
          <w:b/>
          <w:bCs/>
          <w:color w:val="auto"/>
          <w:sz w:val="24"/>
          <w:szCs w:val="28"/>
          <w:highlight w:val="none"/>
          <w:lang w:val="en-US" w:eastAsia="zh-CN"/>
        </w:rPr>
        <w:t>3</w:t>
      </w:r>
      <w:r>
        <w:rPr>
          <w:rFonts w:hint="eastAsia" w:ascii="宋体" w:hAnsi="宋体" w:eastAsia="宋体"/>
          <w:b/>
          <w:bCs/>
          <w:color w:val="auto"/>
          <w:sz w:val="24"/>
          <w:szCs w:val="28"/>
          <w:highlight w:val="none"/>
        </w:rPr>
        <w:t>.表中大写金额（费率）与小写金额（费率）不一致的，以大写金额（费率）为准。</w:t>
      </w:r>
    </w:p>
    <w:p w14:paraId="279D1545">
      <w:pPr>
        <w:widowControl/>
        <w:jc w:val="left"/>
        <w:rPr>
          <w:rFonts w:ascii="宋体" w:hAnsi="宋体" w:eastAsia="宋体"/>
          <w:b/>
          <w:bCs/>
          <w:color w:val="auto"/>
          <w:sz w:val="24"/>
          <w:szCs w:val="28"/>
          <w:highlight w:val="none"/>
        </w:rPr>
      </w:pPr>
      <w:r>
        <w:rPr>
          <w:rFonts w:ascii="宋体" w:hAnsi="宋体" w:eastAsia="宋体"/>
          <w:b/>
          <w:bCs/>
          <w:color w:val="auto"/>
          <w:sz w:val="24"/>
          <w:szCs w:val="28"/>
          <w:highlight w:val="none"/>
        </w:rPr>
        <w:br w:type="page"/>
      </w:r>
    </w:p>
    <w:p w14:paraId="1FE83015">
      <w:pPr>
        <w:spacing w:line="360" w:lineRule="auto"/>
        <w:jc w:val="center"/>
        <w:outlineLvl w:val="1"/>
        <w:rPr>
          <w:rFonts w:asciiTheme="minorEastAsia" w:hAnsiTheme="minorEastAsia" w:eastAsiaTheme="minorEastAsia"/>
          <w:b/>
          <w:color w:val="auto"/>
          <w:sz w:val="24"/>
          <w:highlight w:val="none"/>
        </w:rPr>
      </w:pPr>
      <w:bookmarkStart w:id="47" w:name="_Toc461056632"/>
      <w:bookmarkStart w:id="48" w:name="_Toc461053087"/>
      <w:bookmarkStart w:id="49" w:name="_Toc32436"/>
      <w:bookmarkStart w:id="50" w:name="_Toc28695"/>
      <w:bookmarkStart w:id="51" w:name="_Toc520983588"/>
      <w:r>
        <w:rPr>
          <w:rFonts w:hint="eastAsia" w:asciiTheme="minorEastAsia" w:hAnsiTheme="minorEastAsia" w:eastAsiaTheme="minorEastAsia"/>
          <w:b/>
          <w:color w:val="auto"/>
          <w:sz w:val="24"/>
          <w:highlight w:val="none"/>
        </w:rPr>
        <w:t>二</w:t>
      </w:r>
      <w:bookmarkEnd w:id="47"/>
      <w:bookmarkEnd w:id="48"/>
      <w:r>
        <w:rPr>
          <w:rFonts w:hint="eastAsia" w:asciiTheme="minorEastAsia" w:hAnsiTheme="minorEastAsia" w:eastAsiaTheme="minorEastAsia"/>
          <w:b/>
          <w:color w:val="auto"/>
          <w:sz w:val="24"/>
          <w:highlight w:val="none"/>
        </w:rPr>
        <w:t>、最后承诺报价表</w:t>
      </w:r>
      <w:bookmarkEnd w:id="49"/>
      <w:bookmarkEnd w:id="50"/>
      <w:bookmarkEnd w:id="51"/>
    </w:p>
    <w:p w14:paraId="6406E3F9">
      <w:pPr>
        <w:spacing w:before="156" w:beforeLines="50" w:after="156" w:afterLines="50" w:line="360" w:lineRule="auto"/>
        <w:ind w:firstLine="236" w:firstLineChars="98"/>
        <w:jc w:val="center"/>
        <w:rPr>
          <w:rFonts w:ascii="宋体" w:hAnsi="宋体" w:eastAsia="宋体"/>
          <w:b/>
          <w:color w:val="auto"/>
          <w:sz w:val="24"/>
          <w:szCs w:val="28"/>
          <w:highlight w:val="none"/>
        </w:rPr>
      </w:pPr>
      <w:r>
        <w:rPr>
          <w:rFonts w:hint="eastAsia" w:ascii="宋体" w:hAnsi="宋体" w:eastAsia="宋体"/>
          <w:b/>
          <w:color w:val="auto"/>
          <w:sz w:val="24"/>
          <w:szCs w:val="28"/>
          <w:highlight w:val="none"/>
        </w:rPr>
        <w:t>（第</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rPr>
        <w:t>次报价书）</w:t>
      </w:r>
    </w:p>
    <w:p w14:paraId="54F89C98">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p w14:paraId="53EBF9E8">
      <w:pPr>
        <w:snapToGrid w:val="0"/>
        <w:spacing w:after="156" w:afterLines="50" w:line="360" w:lineRule="auto"/>
        <w:jc w:val="left"/>
        <w:rPr>
          <w:rFonts w:ascii="宋体" w:hAnsi="宋体" w:eastAsia="宋体"/>
          <w:b/>
          <w:bCs/>
          <w:color w:val="auto"/>
          <w:sz w:val="24"/>
          <w:szCs w:val="28"/>
          <w:highlight w:val="non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5F4C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FB746A3">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04C5D0D0">
            <w:pPr>
              <w:spacing w:line="360" w:lineRule="auto"/>
              <w:rPr>
                <w:rFonts w:ascii="宋体" w:hAnsi="宋体" w:eastAsia="宋体"/>
                <w:b/>
                <w:color w:val="auto"/>
                <w:sz w:val="24"/>
                <w:highlight w:val="none"/>
              </w:rPr>
            </w:pPr>
          </w:p>
        </w:tc>
      </w:tr>
      <w:tr w14:paraId="75BC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5481CEC">
            <w:pPr>
              <w:spacing w:line="360" w:lineRule="exact"/>
              <w:jc w:val="center"/>
              <w:rPr>
                <w:rFonts w:ascii="宋体" w:hAnsi="宋体" w:eastAsia="宋体"/>
                <w:b/>
                <w:color w:val="auto"/>
                <w:sz w:val="24"/>
                <w:highlight w:val="none"/>
              </w:rPr>
            </w:pPr>
            <w:r>
              <w:rPr>
                <w:rFonts w:hint="eastAsia" w:ascii="宋体" w:hAnsi="宋体" w:eastAsia="宋体"/>
                <w:b/>
                <w:bCs/>
                <w:color w:val="auto"/>
                <w:sz w:val="24"/>
                <w:szCs w:val="28"/>
                <w:highlight w:val="none"/>
              </w:rPr>
              <w:t>磋商</w:t>
            </w:r>
            <w:r>
              <w:rPr>
                <w:rFonts w:hint="eastAsia" w:ascii="宋体" w:hAnsi="宋体" w:eastAsia="宋体"/>
                <w:b/>
                <w:color w:val="auto"/>
                <w:sz w:val="24"/>
                <w:highlight w:val="none"/>
              </w:rPr>
              <w:t>范围</w:t>
            </w:r>
          </w:p>
        </w:tc>
        <w:tc>
          <w:tcPr>
            <w:tcW w:w="3557" w:type="pct"/>
            <w:tcBorders>
              <w:left w:val="single" w:color="auto" w:sz="4" w:space="0"/>
            </w:tcBorders>
            <w:vAlign w:val="center"/>
          </w:tcPr>
          <w:p w14:paraId="02D63E9B">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w:t>
            </w:r>
          </w:p>
        </w:tc>
      </w:tr>
      <w:tr w14:paraId="6E4F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1443" w:type="pct"/>
            <w:tcBorders>
              <w:top w:val="single" w:color="auto" w:sz="4" w:space="0"/>
            </w:tcBorders>
            <w:vAlign w:val="center"/>
          </w:tcPr>
          <w:p w14:paraId="500FFA4B">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最后报价</w:t>
            </w:r>
          </w:p>
          <w:p w14:paraId="63B13AC3">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72DAAF97">
            <w:pPr>
              <w:snapToGrid w:val="0"/>
              <w:spacing w:line="360" w:lineRule="auto"/>
              <w:rPr>
                <w:rFonts w:ascii="宋体" w:hAnsi="宋体" w:eastAsia="宋体"/>
                <w:color w:val="auto"/>
                <w:sz w:val="24"/>
                <w:szCs w:val="28"/>
                <w:highlight w:val="none"/>
              </w:rPr>
            </w:pPr>
          </w:p>
          <w:p w14:paraId="5E859A77">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6067EAD8">
            <w:pPr>
              <w:spacing w:line="360" w:lineRule="auto"/>
              <w:ind w:right="-670"/>
              <w:rPr>
                <w:rFonts w:ascii="宋体" w:hAnsi="宋体" w:eastAsia="宋体"/>
                <w:b/>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7671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1443" w:type="pct"/>
            <w:vAlign w:val="center"/>
          </w:tcPr>
          <w:p w14:paraId="4E0E8E7B">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04CB9E59">
            <w:pPr>
              <w:spacing w:line="360" w:lineRule="auto"/>
              <w:rPr>
                <w:rFonts w:ascii="宋体" w:hAnsi="宋体" w:eastAsia="宋体"/>
                <w:b/>
                <w:color w:val="auto"/>
                <w:sz w:val="24"/>
                <w:highlight w:val="none"/>
              </w:rPr>
            </w:pPr>
            <w:r>
              <w:rPr>
                <w:rFonts w:hint="eastAsia" w:ascii="宋体" w:hAnsi="宋体" w:eastAsia="宋体"/>
                <w:b/>
                <w:i/>
                <w:color w:val="auto"/>
                <w:sz w:val="24"/>
                <w:highlight w:val="none"/>
              </w:rPr>
              <w:t>（此处可补充磋商小组根据与供应商磋商情况变动的磋商文件的内容，包括采购需求中的技术、服务要求以及合同草案条款。）</w:t>
            </w:r>
          </w:p>
        </w:tc>
      </w:tr>
      <w:tr w14:paraId="1D99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3B5EE217">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磋商小组</w:t>
            </w:r>
            <w:r>
              <w:rPr>
                <w:rFonts w:ascii="宋体" w:hAnsi="宋体" w:eastAsia="宋体"/>
                <w:b/>
                <w:bCs/>
                <w:color w:val="auto"/>
                <w:sz w:val="24"/>
                <w:szCs w:val="28"/>
                <w:highlight w:val="none"/>
              </w:rPr>
              <w:t>签字</w:t>
            </w:r>
          </w:p>
        </w:tc>
        <w:tc>
          <w:tcPr>
            <w:tcW w:w="3557" w:type="pct"/>
          </w:tcPr>
          <w:p w14:paraId="4E1052C1">
            <w:pPr>
              <w:spacing w:line="360" w:lineRule="auto"/>
              <w:rPr>
                <w:rFonts w:ascii="宋体" w:hAnsi="宋体" w:eastAsia="宋体"/>
                <w:b/>
                <w:color w:val="auto"/>
                <w:sz w:val="24"/>
                <w:highlight w:val="none"/>
              </w:rPr>
            </w:pPr>
          </w:p>
        </w:tc>
      </w:tr>
    </w:tbl>
    <w:p w14:paraId="5C9D49C4">
      <w:pPr>
        <w:spacing w:line="360" w:lineRule="auto"/>
        <w:ind w:firstLine="3600" w:firstLineChars="1500"/>
        <w:jc w:val="left"/>
        <w:rPr>
          <w:rFonts w:ascii="宋体" w:hAnsi="宋体" w:eastAsia="宋体"/>
          <w:color w:val="auto"/>
          <w:sz w:val="24"/>
          <w:highlight w:val="none"/>
        </w:rPr>
      </w:pPr>
      <w:r>
        <w:rPr>
          <w:rFonts w:hint="eastAsia" w:ascii="宋体" w:hAnsi="宋体" w:eastAsia="宋体"/>
          <w:color w:val="auto"/>
          <w:sz w:val="24"/>
          <w:highlight w:val="none"/>
        </w:rPr>
        <w:t>供应商公章或授权代表签字：</w:t>
      </w:r>
      <w:r>
        <w:rPr>
          <w:rFonts w:hint="eastAsia" w:ascii="宋体" w:hAnsi="宋体" w:eastAsia="宋体"/>
          <w:color w:val="auto"/>
          <w:sz w:val="24"/>
          <w:highlight w:val="none"/>
          <w:u w:val="single"/>
        </w:rPr>
        <w:t xml:space="preserve">             </w:t>
      </w:r>
    </w:p>
    <w:p w14:paraId="1C22B33E">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4AB2CBC">
      <w:pPr>
        <w:spacing w:line="360" w:lineRule="auto"/>
        <w:jc w:val="left"/>
        <w:rPr>
          <w:rFonts w:hint="eastAsia" w:ascii="宋体" w:hAnsi="宋体" w:eastAsia="宋体"/>
          <w:b/>
          <w:bCs/>
          <w:color w:val="auto"/>
          <w:sz w:val="24"/>
          <w:highlight w:val="none"/>
        </w:rPr>
      </w:pPr>
      <w:r>
        <w:rPr>
          <w:rFonts w:hint="eastAsia" w:ascii="宋体" w:hAnsi="宋体" w:eastAsia="宋体"/>
          <w:b/>
          <w:bCs/>
          <w:color w:val="auto"/>
          <w:sz w:val="24"/>
          <w:highlight w:val="none"/>
        </w:rPr>
        <w:t>注：</w:t>
      </w:r>
    </w:p>
    <w:p w14:paraId="3365380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bCs/>
          <w:color w:val="auto"/>
          <w:sz w:val="24"/>
          <w:highlight w:val="none"/>
        </w:rPr>
      </w:pPr>
      <w:r>
        <w:rPr>
          <w:rFonts w:hint="eastAsia" w:ascii="宋体" w:hAnsi="宋体" w:eastAsia="宋体"/>
          <w:b/>
          <w:bCs/>
          <w:color w:val="auto"/>
          <w:sz w:val="24"/>
          <w:highlight w:val="none"/>
          <w:lang w:val="en-US" w:eastAsia="zh-CN"/>
        </w:rPr>
        <w:t>1.</w:t>
      </w:r>
      <w:r>
        <w:rPr>
          <w:rFonts w:hint="eastAsia" w:ascii="宋体" w:hAnsi="宋体" w:eastAsia="宋体"/>
          <w:b/>
          <w:bCs/>
          <w:color w:val="auto"/>
          <w:sz w:val="24"/>
          <w:highlight w:val="none"/>
        </w:rPr>
        <w:t>本页《报价表》由供应商在接到报价通知后依据磋商情况填写,并在规定时间内提交。</w:t>
      </w:r>
      <w:r>
        <w:rPr>
          <w:rFonts w:hint="eastAsia" w:ascii="宋体" w:hAnsi="宋体" w:eastAsia="宋体"/>
          <w:color w:val="auto"/>
          <w:sz w:val="24"/>
          <w:highlight w:val="none"/>
        </w:rPr>
        <w:t>考虑磋商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w:t>
      </w:r>
      <w:r>
        <w:rPr>
          <w:rFonts w:hint="eastAsia" w:ascii="宋体" w:hAnsi="宋体" w:eastAsia="宋体"/>
          <w:bCs/>
          <w:color w:val="auto"/>
          <w:sz w:val="24"/>
          <w:highlight w:val="none"/>
        </w:rPr>
        <w:t>此优惠率调整原则适用于合同内价格的计算及项目增减、变更时价格的计算。</w:t>
      </w:r>
    </w:p>
    <w:p w14:paraId="0DDED8B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eastAsia="宋体"/>
          <w:bCs/>
          <w:color w:val="auto"/>
          <w:sz w:val="24"/>
          <w:highlight w:val="none"/>
        </w:rPr>
      </w:pPr>
      <w:r>
        <w:rPr>
          <w:rFonts w:hint="eastAsia" w:ascii="宋体" w:hAnsi="宋体" w:eastAsia="宋体"/>
          <w:b/>
          <w:bCs/>
          <w:color w:val="auto"/>
          <w:sz w:val="24"/>
          <w:szCs w:val="28"/>
          <w:highlight w:val="none"/>
          <w:lang w:val="en-US" w:eastAsia="zh-CN"/>
        </w:rPr>
        <w:t>2</w:t>
      </w:r>
      <w:r>
        <w:rPr>
          <w:rFonts w:hint="eastAsia" w:ascii="宋体" w:hAnsi="宋体" w:eastAsia="宋体"/>
          <w:b/>
          <w:bCs/>
          <w:color w:val="auto"/>
          <w:sz w:val="24"/>
          <w:szCs w:val="28"/>
          <w:highlight w:val="none"/>
        </w:rPr>
        <w:t>.表中大写金额</w:t>
      </w:r>
      <w:r>
        <w:rPr>
          <w:rFonts w:hint="eastAsia" w:ascii="宋体" w:hAnsi="宋体" w:eastAsia="宋体"/>
          <w:b/>
          <w:bCs/>
          <w:color w:val="auto"/>
          <w:sz w:val="24"/>
          <w:szCs w:val="28"/>
          <w:highlight w:val="none"/>
          <w:lang w:eastAsia="zh-CN"/>
        </w:rPr>
        <w:t>（</w:t>
      </w:r>
      <w:r>
        <w:rPr>
          <w:rFonts w:hint="eastAsia" w:ascii="宋体" w:hAnsi="宋体" w:eastAsia="宋体"/>
          <w:b/>
          <w:bCs/>
          <w:color w:val="auto"/>
          <w:sz w:val="24"/>
          <w:szCs w:val="28"/>
          <w:highlight w:val="none"/>
          <w:lang w:val="en-US" w:eastAsia="zh-CN"/>
        </w:rPr>
        <w:t>费率</w:t>
      </w:r>
      <w:r>
        <w:rPr>
          <w:rFonts w:hint="eastAsia" w:ascii="宋体" w:hAnsi="宋体" w:eastAsia="宋体"/>
          <w:b/>
          <w:bCs/>
          <w:color w:val="auto"/>
          <w:sz w:val="24"/>
          <w:szCs w:val="28"/>
          <w:highlight w:val="none"/>
          <w:lang w:eastAsia="zh-CN"/>
        </w:rPr>
        <w:t>）</w:t>
      </w:r>
      <w:r>
        <w:rPr>
          <w:rFonts w:hint="eastAsia" w:ascii="宋体" w:hAnsi="宋体" w:eastAsia="宋体"/>
          <w:b/>
          <w:bCs/>
          <w:color w:val="auto"/>
          <w:sz w:val="24"/>
          <w:szCs w:val="28"/>
          <w:highlight w:val="none"/>
        </w:rPr>
        <w:t>与小写金额（费率）不一致的，以大写金额（费率）为准。</w:t>
      </w:r>
    </w:p>
    <w:p w14:paraId="4CDBBD08">
      <w:pPr>
        <w:widowControl/>
        <w:jc w:val="left"/>
        <w:rPr>
          <w:rFonts w:ascii="宋体" w:hAnsi="宋体" w:eastAsia="宋体"/>
          <w:bCs/>
          <w:color w:val="auto"/>
          <w:sz w:val="24"/>
          <w:highlight w:val="none"/>
        </w:rPr>
      </w:pPr>
      <w:r>
        <w:rPr>
          <w:rFonts w:ascii="宋体" w:hAnsi="宋体" w:eastAsia="宋体"/>
          <w:bCs/>
          <w:color w:val="auto"/>
          <w:sz w:val="24"/>
          <w:highlight w:val="none"/>
        </w:rPr>
        <w:br w:type="page"/>
      </w:r>
    </w:p>
    <w:p w14:paraId="68C6CC6F">
      <w:pPr>
        <w:spacing w:line="360" w:lineRule="auto"/>
        <w:jc w:val="center"/>
        <w:outlineLvl w:val="1"/>
        <w:rPr>
          <w:rFonts w:hint="eastAsia" w:asciiTheme="minorEastAsia" w:hAnsiTheme="minorEastAsia" w:eastAsiaTheme="minorEastAsia"/>
          <w:b/>
          <w:color w:val="auto"/>
          <w:sz w:val="24"/>
          <w:highlight w:val="none"/>
        </w:rPr>
      </w:pPr>
      <w:bookmarkStart w:id="52" w:name="_Toc11500"/>
      <w:bookmarkStart w:id="53" w:name="_Toc520983591"/>
      <w:bookmarkStart w:id="54" w:name="_Toc32385"/>
      <w:r>
        <w:rPr>
          <w:rFonts w:hint="eastAsia" w:asciiTheme="minorEastAsia" w:hAnsiTheme="minorEastAsia" w:eastAsiaTheme="minorEastAsia"/>
          <w:b/>
          <w:color w:val="auto"/>
          <w:sz w:val="24"/>
          <w:highlight w:val="none"/>
        </w:rPr>
        <w:t>三、磋商响应函</w:t>
      </w:r>
      <w:bookmarkEnd w:id="52"/>
      <w:bookmarkEnd w:id="53"/>
      <w:bookmarkEnd w:id="54"/>
    </w:p>
    <w:p w14:paraId="587176E5">
      <w:pPr>
        <w:spacing w:line="360" w:lineRule="auto"/>
        <w:jc w:val="center"/>
        <w:outlineLvl w:val="1"/>
        <w:rPr>
          <w:rFonts w:asciiTheme="minorEastAsia" w:hAnsiTheme="minorEastAsia" w:eastAsiaTheme="minorEastAsia"/>
          <w:b w:val="0"/>
          <w:bCs/>
          <w:color w:val="auto"/>
          <w:sz w:val="24"/>
          <w:highlight w:val="none"/>
        </w:rPr>
      </w:pPr>
      <w:r>
        <w:rPr>
          <w:rFonts w:hint="eastAsia" w:asciiTheme="minorEastAsia" w:hAnsiTheme="minorEastAsia" w:eastAsiaTheme="minorEastAsia"/>
          <w:b w:val="0"/>
          <w:bCs/>
          <w:i/>
          <w:iCs/>
          <w:color w:val="auto"/>
          <w:sz w:val="24"/>
          <w:highlight w:val="none"/>
        </w:rPr>
        <w:t>（联合体参与的，联合体</w:t>
      </w:r>
      <w:r>
        <w:rPr>
          <w:rFonts w:hint="eastAsia" w:asciiTheme="minorEastAsia" w:hAnsiTheme="minorEastAsia" w:eastAsiaTheme="minorEastAsia"/>
          <w:b w:val="0"/>
          <w:bCs/>
          <w:i/>
          <w:iCs/>
          <w:color w:val="auto"/>
          <w:sz w:val="24"/>
          <w:highlight w:val="none"/>
          <w:lang w:val="en-US" w:eastAsia="zh-CN"/>
        </w:rPr>
        <w:t>双</w:t>
      </w:r>
      <w:r>
        <w:rPr>
          <w:rFonts w:hint="eastAsia" w:asciiTheme="minorEastAsia" w:hAnsiTheme="minorEastAsia" w:eastAsiaTheme="minorEastAsia"/>
          <w:b w:val="0"/>
          <w:bCs/>
          <w:i/>
          <w:iCs/>
          <w:color w:val="auto"/>
          <w:sz w:val="24"/>
          <w:highlight w:val="none"/>
        </w:rPr>
        <w:t>方</w:t>
      </w:r>
      <w:r>
        <w:rPr>
          <w:rFonts w:hint="eastAsia" w:asciiTheme="minorEastAsia" w:hAnsiTheme="minorEastAsia" w:eastAsiaTheme="minorEastAsia"/>
          <w:b w:val="0"/>
          <w:bCs/>
          <w:i/>
          <w:iCs/>
          <w:color w:val="auto"/>
          <w:sz w:val="24"/>
          <w:highlight w:val="none"/>
          <w:lang w:val="en-US" w:eastAsia="zh-CN"/>
        </w:rPr>
        <w:t>均须</w:t>
      </w:r>
      <w:r>
        <w:rPr>
          <w:rFonts w:hint="eastAsia" w:asciiTheme="minorEastAsia" w:hAnsiTheme="minorEastAsia" w:eastAsiaTheme="minorEastAsia"/>
          <w:b w:val="0"/>
          <w:bCs/>
          <w:i/>
          <w:iCs/>
          <w:color w:val="auto"/>
          <w:sz w:val="24"/>
          <w:highlight w:val="none"/>
        </w:rPr>
        <w:t>提供）</w:t>
      </w:r>
    </w:p>
    <w:p w14:paraId="21019DAB">
      <w:pPr>
        <w:pStyle w:val="15"/>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val="en-US" w:eastAsia="zh-CN"/>
        </w:rPr>
        <w:t>采购人</w:t>
      </w:r>
    </w:p>
    <w:p w14:paraId="675A8BD8">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55" w:name="_Hlk44287543"/>
      <w:r>
        <w:rPr>
          <w:rFonts w:hint="eastAsia" w:ascii="宋体" w:hAnsi="宋体" w:eastAsia="宋体"/>
          <w:color w:val="auto"/>
          <w:sz w:val="24"/>
          <w:highlight w:val="none"/>
        </w:rPr>
        <w:t>竞争性磋商公告和磋商邀请</w:t>
      </w:r>
      <w:bookmarkEnd w:id="55"/>
      <w:r>
        <w:rPr>
          <w:rFonts w:hint="eastAsia" w:ascii="宋体" w:hAnsi="宋体" w:eastAsia="宋体"/>
          <w:color w:val="auto"/>
          <w:sz w:val="24"/>
          <w:highlight w:val="none"/>
        </w:rPr>
        <w:t>，我方兹宣布同意如下：</w:t>
      </w:r>
    </w:p>
    <w:p w14:paraId="1EE2174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我方根据</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文件的规定，严格履行合同的责任和义务,并保证于买方要求的日期内完成，并通过买方验收。</w:t>
      </w:r>
    </w:p>
    <w:p w14:paraId="2280369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文件，包括</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附件及更正公告</w:t>
      </w:r>
      <w:r>
        <w:rPr>
          <w:rFonts w:hint="eastAsia" w:asciiTheme="minorEastAsia" w:hAnsiTheme="minorEastAsia" w:eastAsiaTheme="minorEastAsia"/>
          <w:color w:val="auto"/>
          <w:sz w:val="24"/>
          <w:highlight w:val="none"/>
        </w:rPr>
        <w:t>（如有）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我方正式认可并遵守本次</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文件，并对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文件各项条款、规定及要求均无异议。</w:t>
      </w:r>
    </w:p>
    <w:p w14:paraId="1F7CFDE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文件规定的</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日期起遵循本</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文件，并在</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文件规定的</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有效期之前均具有约束力。</w:t>
      </w:r>
    </w:p>
    <w:p w14:paraId="040D90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文件所提供的一切资料均真实无误、及时、有效，企业运营正常。由于我方提供资料不实而造成的责任和后果由我方承担。我方同意按照贵方提出的要求，提供与</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有关的任何证据、数据或资料。</w:t>
      </w:r>
    </w:p>
    <w:p w14:paraId="55E74E08">
      <w:pPr>
        <w:spacing w:line="360" w:lineRule="auto"/>
        <w:ind w:firstLine="480" w:firstLineChars="200"/>
        <w:rPr>
          <w:rFonts w:ascii="宋体" w:hAnsi="宋体" w:eastAsia="宋体"/>
          <w:color w:val="auto"/>
          <w:sz w:val="24"/>
          <w:highlight w:val="none"/>
        </w:rPr>
      </w:pPr>
    </w:p>
    <w:p w14:paraId="22DAFD13">
      <w:pPr>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6088C4D2">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2CA3F0B">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5C789A8C">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56" w:name="_Toc21328"/>
      <w:r>
        <w:rPr>
          <w:rFonts w:hint="eastAsia" w:asciiTheme="minorEastAsia" w:hAnsiTheme="minorEastAsia" w:eastAsiaTheme="minorEastAsia"/>
          <w:b/>
          <w:color w:val="auto"/>
          <w:sz w:val="24"/>
          <w:highlight w:val="none"/>
          <w:lang w:val="en-US" w:eastAsia="zh-CN"/>
        </w:rPr>
        <w:t>四、供应商资格声明书</w:t>
      </w:r>
      <w:bookmarkEnd w:id="56"/>
    </w:p>
    <w:p w14:paraId="55D2C44F">
      <w:pPr>
        <w:pStyle w:val="15"/>
        <w:spacing w:line="360" w:lineRule="auto"/>
        <w:jc w:val="center"/>
        <w:rPr>
          <w:rFonts w:hint="eastAsia" w:ascii="宋体" w:hAnsi="宋体"/>
          <w:b w:val="0"/>
          <w:bCs/>
          <w:i/>
          <w:iCs/>
          <w:color w:val="auto"/>
          <w:sz w:val="24"/>
          <w:highlight w:val="none"/>
          <w:u w:val="none"/>
        </w:rPr>
      </w:pPr>
      <w:r>
        <w:rPr>
          <w:rFonts w:hint="eastAsia" w:ascii="宋体" w:hAnsi="宋体"/>
          <w:b w:val="0"/>
          <w:bCs/>
          <w:i/>
          <w:iCs/>
          <w:color w:val="auto"/>
          <w:sz w:val="24"/>
          <w:highlight w:val="none"/>
          <w:u w:val="none"/>
        </w:rPr>
        <w:t>（联合体参与的，联合体双方均须提供）</w:t>
      </w:r>
    </w:p>
    <w:p w14:paraId="722D3C7E">
      <w:pPr>
        <w:pStyle w:val="15"/>
        <w:spacing w:line="360" w:lineRule="auto"/>
        <w:rPr>
          <w:rFonts w:hint="eastAsia" w:eastAsia="宋体" w:asciiTheme="minorEastAsia" w:hAnsiTheme="minorEastAsia" w:cstheme="minorEastAsia"/>
          <w:color w:val="auto"/>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none"/>
          <w:lang w:val="en-US" w:eastAsia="zh-CN"/>
        </w:rPr>
        <w:t>采购人</w:t>
      </w:r>
    </w:p>
    <w:p w14:paraId="7C7D21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在参与本次项目磋商中，我单位承诺：</w:t>
      </w:r>
    </w:p>
    <w:p w14:paraId="4EF0020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（一）具有良好的商业信誉和健全的财务会计制度；</w:t>
      </w:r>
    </w:p>
    <w:p w14:paraId="068E6BB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（二）具有履行合同所必需的设备和专业技术能力；</w:t>
      </w:r>
    </w:p>
    <w:p w14:paraId="44A44CC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（三）有依法缴纳税收和社会保障资金的良好记录；</w:t>
      </w:r>
    </w:p>
    <w:p w14:paraId="01A425A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587648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4CCEE89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4191"/>
        <w:gridCol w:w="2510"/>
      </w:tblGrid>
      <w:tr w14:paraId="24F9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023A5E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4501" w:type="dxa"/>
          </w:tcPr>
          <w:p w14:paraId="0A023C34">
            <w:pPr>
              <w:pStyle w:val="12"/>
              <w:jc w:val="center"/>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单位名称</w:t>
            </w:r>
          </w:p>
        </w:tc>
        <w:tc>
          <w:tcPr>
            <w:tcW w:w="2681" w:type="dxa"/>
          </w:tcPr>
          <w:p w14:paraId="09BBB59B">
            <w:pPr>
              <w:pStyle w:val="12"/>
              <w:jc w:val="center"/>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相互关系</w:t>
            </w:r>
          </w:p>
        </w:tc>
      </w:tr>
      <w:tr w14:paraId="5348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232A9266">
            <w:pPr>
              <w:pStyle w:val="12"/>
              <w:jc w:val="center"/>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1</w:t>
            </w:r>
          </w:p>
        </w:tc>
        <w:tc>
          <w:tcPr>
            <w:tcW w:w="4501" w:type="dxa"/>
          </w:tcPr>
          <w:p w14:paraId="124BDD44">
            <w:pPr>
              <w:pStyle w:val="12"/>
              <w:jc w:val="center"/>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681" w:type="dxa"/>
          </w:tcPr>
          <w:p w14:paraId="6B8DE227">
            <w:pPr>
              <w:pStyle w:val="12"/>
              <w:jc w:val="center"/>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r w14:paraId="067F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040427E3">
            <w:pPr>
              <w:pStyle w:val="12"/>
              <w:jc w:val="center"/>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2</w:t>
            </w:r>
          </w:p>
        </w:tc>
        <w:tc>
          <w:tcPr>
            <w:tcW w:w="4501" w:type="dxa"/>
          </w:tcPr>
          <w:p w14:paraId="0900AE6D">
            <w:pPr>
              <w:pStyle w:val="12"/>
              <w:jc w:val="center"/>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681" w:type="dxa"/>
          </w:tcPr>
          <w:p w14:paraId="63A38F41">
            <w:pPr>
              <w:pStyle w:val="12"/>
              <w:jc w:val="center"/>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bl>
    <w:p w14:paraId="640E519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47A6BBE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57784C0E">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1ECD5AD6">
      <w:pPr>
        <w:spacing w:line="440" w:lineRule="exact"/>
        <w:ind w:firstLine="4800" w:firstLineChars="2000"/>
        <w:rPr>
          <w:rFonts w:ascii="宋体" w:hAnsi="宋体" w:eastAsia="宋体"/>
          <w:color w:val="auto"/>
          <w:sz w:val="24"/>
          <w:szCs w:val="24"/>
          <w:highlight w:val="none"/>
          <w:u w:val="single"/>
        </w:rPr>
      </w:pPr>
    </w:p>
    <w:p w14:paraId="1E8743C5">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3F2AC9F7">
      <w:pPr>
        <w:spacing w:line="360" w:lineRule="auto"/>
        <w:jc w:val="center"/>
        <w:outlineLvl w:val="1"/>
        <w:rPr>
          <w:rFonts w:asciiTheme="minorEastAsia" w:hAnsiTheme="minorEastAsia" w:eastAsiaTheme="minorEastAsia"/>
          <w:b/>
          <w:color w:val="auto"/>
          <w:sz w:val="24"/>
          <w:highlight w:val="none"/>
        </w:rPr>
      </w:pPr>
      <w:bookmarkStart w:id="57" w:name="_Toc516969106"/>
      <w:bookmarkStart w:id="58" w:name="_Toc31518"/>
      <w:bookmarkStart w:id="59" w:name="_Toc121626298"/>
      <w:bookmarkStart w:id="60" w:name="_Toc520983594"/>
      <w:bookmarkStart w:id="61" w:name="_Toc26922"/>
      <w:bookmarkStart w:id="62" w:name="_Toc204594911"/>
      <w:r>
        <w:rPr>
          <w:rFonts w:hint="eastAsia" w:asciiTheme="minorEastAsia" w:hAnsiTheme="minorEastAsia" w:eastAsiaTheme="minorEastAsia"/>
          <w:b/>
          <w:color w:val="auto"/>
          <w:sz w:val="24"/>
          <w:highlight w:val="none"/>
        </w:rPr>
        <w:t>五、授权书</w:t>
      </w:r>
      <w:bookmarkEnd w:id="57"/>
      <w:bookmarkEnd w:id="58"/>
      <w:bookmarkEnd w:id="59"/>
      <w:bookmarkEnd w:id="60"/>
      <w:bookmarkEnd w:id="61"/>
      <w:bookmarkEnd w:id="62"/>
    </w:p>
    <w:p w14:paraId="43210C10">
      <w:pPr>
        <w:spacing w:line="360" w:lineRule="auto"/>
        <w:jc w:val="center"/>
        <w:rPr>
          <w:rFonts w:asciiTheme="minorEastAsia" w:hAnsiTheme="minorEastAsia" w:eastAsiaTheme="minorEastAsia"/>
          <w:b/>
          <w:color w:val="auto"/>
          <w:sz w:val="24"/>
          <w:highlight w:val="none"/>
        </w:rPr>
      </w:pPr>
    </w:p>
    <w:p w14:paraId="5874F629">
      <w:pPr>
        <w:pStyle w:val="14"/>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5DCD3194">
      <w:pPr>
        <w:pStyle w:val="14"/>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280F87C6">
      <w:pPr>
        <w:pStyle w:val="14"/>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1025310E">
      <w:pPr>
        <w:pStyle w:val="14"/>
        <w:snapToGrid w:val="0"/>
        <w:spacing w:line="360" w:lineRule="auto"/>
        <w:ind w:firstLine="480" w:firstLineChars="200"/>
        <w:jc w:val="left"/>
        <w:rPr>
          <w:rFonts w:hAnsi="宋体" w:eastAsia="宋体"/>
          <w:color w:val="auto"/>
          <w:sz w:val="24"/>
          <w:highlight w:val="none"/>
        </w:rPr>
      </w:pPr>
    </w:p>
    <w:p w14:paraId="54BB87F8">
      <w:pPr>
        <w:pStyle w:val="14"/>
        <w:snapToGrid w:val="0"/>
        <w:spacing w:line="360" w:lineRule="auto"/>
        <w:ind w:firstLine="480" w:firstLineChars="200"/>
        <w:jc w:val="left"/>
        <w:rPr>
          <w:rFonts w:hAnsi="宋体" w:eastAsia="宋体"/>
          <w:color w:val="auto"/>
          <w:sz w:val="24"/>
          <w:highlight w:val="none"/>
        </w:rPr>
      </w:pPr>
    </w:p>
    <w:p w14:paraId="5146BC03">
      <w:pPr>
        <w:pStyle w:val="14"/>
        <w:snapToGrid w:val="0"/>
        <w:spacing w:line="360" w:lineRule="auto"/>
        <w:ind w:firstLine="480" w:firstLineChars="200"/>
        <w:jc w:val="left"/>
        <w:rPr>
          <w:rFonts w:hAnsi="宋体" w:eastAsia="宋体"/>
          <w:color w:val="auto"/>
          <w:sz w:val="24"/>
          <w:highlight w:val="none"/>
        </w:rPr>
      </w:pPr>
    </w:p>
    <w:p w14:paraId="3B1E74AA">
      <w:pPr>
        <w:pStyle w:val="14"/>
        <w:snapToGrid w:val="0"/>
        <w:spacing w:line="360" w:lineRule="auto"/>
        <w:ind w:firstLine="480" w:firstLineChars="200"/>
        <w:jc w:val="left"/>
        <w:rPr>
          <w:rFonts w:hAnsi="宋体" w:eastAsia="宋体"/>
          <w:color w:val="auto"/>
          <w:sz w:val="24"/>
          <w:highlight w:val="none"/>
        </w:rPr>
      </w:pPr>
    </w:p>
    <w:p w14:paraId="0F14A851">
      <w:pPr>
        <w:pStyle w:val="14"/>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5DC9B3BB">
      <w:pPr>
        <w:pStyle w:val="14"/>
        <w:snapToGrid w:val="0"/>
        <w:spacing w:line="360" w:lineRule="auto"/>
        <w:ind w:firstLine="480" w:firstLineChars="200"/>
        <w:jc w:val="left"/>
        <w:rPr>
          <w:rFonts w:hAnsi="宋体" w:eastAsia="宋体"/>
          <w:color w:val="auto"/>
          <w:sz w:val="24"/>
          <w:szCs w:val="28"/>
          <w:highlight w:val="none"/>
        </w:rPr>
      </w:pPr>
    </w:p>
    <w:p w14:paraId="7884E3EC">
      <w:pPr>
        <w:spacing w:line="360" w:lineRule="auto"/>
        <w:ind w:firstLine="360" w:firstLineChars="150"/>
        <w:rPr>
          <w:rFonts w:ascii="宋体" w:hAnsi="宋体" w:eastAsia="宋体"/>
          <w:color w:val="auto"/>
          <w:sz w:val="24"/>
          <w:szCs w:val="28"/>
          <w:highlight w:val="none"/>
        </w:rPr>
      </w:pPr>
      <w:r>
        <w:rPr>
          <w:rFonts w:hint="eastAsia" w:ascii="宋体" w:hAnsi="宋体" w:eastAsia="宋体"/>
          <w:color w:val="auto"/>
          <w:sz w:val="24"/>
          <w:szCs w:val="28"/>
          <w:highlight w:val="none"/>
        </w:rPr>
        <w:t>特此声明。</w:t>
      </w:r>
    </w:p>
    <w:p w14:paraId="0C8DFC4F">
      <w:pPr>
        <w:spacing w:line="360" w:lineRule="auto"/>
        <w:rPr>
          <w:rFonts w:ascii="宋体" w:hAnsi="宋体" w:eastAsia="宋体"/>
          <w:color w:val="auto"/>
          <w:sz w:val="24"/>
          <w:szCs w:val="28"/>
          <w:highlight w:val="none"/>
        </w:rPr>
      </w:pPr>
    </w:p>
    <w:p w14:paraId="0EA3F5AC">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21160F5">
      <w:pPr>
        <w:tabs>
          <w:tab w:val="left" w:pos="630"/>
        </w:tabs>
        <w:spacing w:line="360" w:lineRule="auto"/>
        <w:ind w:firstLine="4800" w:firstLineChars="2000"/>
        <w:rPr>
          <w:rFonts w:ascii="宋体" w:hAnsi="宋体" w:eastAsia="宋体"/>
          <w:color w:val="auto"/>
          <w:sz w:val="24"/>
          <w:szCs w:val="28"/>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0AEDF0A3">
      <w:pPr>
        <w:spacing w:line="360" w:lineRule="auto"/>
        <w:rPr>
          <w:rFonts w:ascii="宋体" w:hAnsi="宋体" w:eastAsia="宋体"/>
          <w:color w:val="auto"/>
          <w:sz w:val="24"/>
          <w:szCs w:val="28"/>
          <w:highlight w:val="none"/>
        </w:rPr>
      </w:pPr>
    </w:p>
    <w:p w14:paraId="6F272CFC">
      <w:pPr>
        <w:spacing w:line="360" w:lineRule="auto"/>
        <w:rPr>
          <w:rFonts w:ascii="宋体" w:hAnsi="宋体" w:eastAsia="宋体"/>
          <w:color w:val="auto"/>
          <w:sz w:val="24"/>
          <w:szCs w:val="28"/>
          <w:highlight w:val="none"/>
        </w:rPr>
      </w:pPr>
    </w:p>
    <w:p w14:paraId="0FD96122">
      <w:pPr>
        <w:pStyle w:val="14"/>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637F1B3B">
      <w:pPr>
        <w:pStyle w:val="14"/>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7763861F">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2.法定代表人参加磋商的无需提供授权书，仅提供身份证明扫描件。</w:t>
      </w:r>
    </w:p>
    <w:p w14:paraId="678BAA07">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60302A4B">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bookmarkStart w:id="63" w:name="_Toc22233"/>
      <w:bookmarkStart w:id="64" w:name="_Toc28033"/>
      <w:r>
        <w:rPr>
          <w:rFonts w:hint="eastAsia" w:asciiTheme="minorEastAsia" w:hAnsiTheme="minorEastAsia" w:eastAsiaTheme="minorEastAsia"/>
          <w:b/>
          <w:color w:val="auto"/>
          <w:sz w:val="24"/>
          <w:highlight w:val="none"/>
        </w:rPr>
        <w:t>六、</w:t>
      </w:r>
      <w:r>
        <w:rPr>
          <w:rFonts w:hint="eastAsia" w:ascii="宋体" w:hAnsi="宋体" w:eastAsia="宋体" w:cs="宋体"/>
          <w:b/>
          <w:bCs w:val="0"/>
          <w:color w:val="auto"/>
          <w:kern w:val="2"/>
          <w:sz w:val="24"/>
          <w:szCs w:val="24"/>
          <w:highlight w:val="none"/>
          <w:lang w:val="en-US" w:eastAsia="zh-CN" w:bidi="ar"/>
        </w:rPr>
        <w:t>诚信响应承诺书</w:t>
      </w:r>
    </w:p>
    <w:p w14:paraId="6264BD3A">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i/>
          <w:iCs/>
          <w:color w:val="auto"/>
          <w:kern w:val="2"/>
          <w:sz w:val="24"/>
          <w:szCs w:val="24"/>
          <w:highlight w:val="none"/>
          <w:lang w:val="en-US" w:eastAsia="zh-CN" w:bidi="ar"/>
        </w:rPr>
      </w:pPr>
      <w:r>
        <w:rPr>
          <w:rFonts w:hint="eastAsia" w:ascii="宋体" w:hAnsi="宋体" w:eastAsia="宋体" w:cs="宋体"/>
          <w:i/>
          <w:iCs/>
          <w:color w:val="auto"/>
          <w:kern w:val="2"/>
          <w:sz w:val="24"/>
          <w:szCs w:val="24"/>
          <w:highlight w:val="none"/>
          <w:lang w:val="en-US" w:eastAsia="zh-CN" w:bidi="ar"/>
        </w:rPr>
        <w:t>（联合体参与的，联合体双方均须提供）</w:t>
      </w:r>
    </w:p>
    <w:p w14:paraId="702EA1CB">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本人以企业法定代表人的身份郑重承诺：</w:t>
      </w:r>
    </w:p>
    <w:p w14:paraId="2975AA45">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一、将遵循公开、公正和诚实信用的原则自愿参加</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项目的磋商响应，所提供的一切材料都是真实、有效、合法的；</w:t>
      </w:r>
    </w:p>
    <w:p w14:paraId="124BED8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67ACB8C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三、不出借、转让资质证书，不让他人挂靠投标，不以他人名义投标或者以其他方式弄虚作假，骗取成交；</w:t>
      </w:r>
    </w:p>
    <w:p w14:paraId="57720F70">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四、不与其他供应商相互串通响应报价，不排挤其他供应商的公平竞争、损害采购人的合法权益；</w:t>
      </w:r>
    </w:p>
    <w:p w14:paraId="60D6729B">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五、不与采购人、采购代理机构或其他供应商串通响应，损害国家利益、社会公共利益或者他人的合法权益；</w:t>
      </w:r>
    </w:p>
    <w:p w14:paraId="760D3958">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六、</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或</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4DB2F6AD">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七、严格遵守会议现场纪律，服从监管人员管理；</w:t>
      </w:r>
    </w:p>
    <w:p w14:paraId="3D50524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八、保证成交后不转包，若有分包征得采购人同意；</w:t>
      </w:r>
    </w:p>
    <w:p w14:paraId="197566B9">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九、保证成交之后，按照响应文件要求提供相关后续服务；</w:t>
      </w:r>
    </w:p>
    <w:p w14:paraId="522A7A6C">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十、保证企业及所属相关人员在本次响应中无行贿等犯罪行为；</w:t>
      </w:r>
    </w:p>
    <w:p w14:paraId="19804EB2">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281BC3F3">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以上内容我已仔细阅读，本公司若有违反承诺内容的行为，自愿接受取消投标或者中标（成交）资格、中标（成交）无效、记入不良行为记录等有关处理，愿意承担法律责任，给采购人人造成损失的，依法承担赔偿责任。</w:t>
      </w:r>
    </w:p>
    <w:p w14:paraId="76B16BA5">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63D7EF8F">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5C5555D4">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开户银行：                      基本账户：</w:t>
      </w:r>
    </w:p>
    <w:p w14:paraId="50F7F3DC">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供应商（签章）：                 法定代表人（签章）：</w:t>
      </w:r>
    </w:p>
    <w:p w14:paraId="558C14D5">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4F8C4E1D">
      <w:pPr>
        <w:keepNext w:val="0"/>
        <w:keepLines w:val="0"/>
        <w:widowControl w:val="0"/>
        <w:suppressLineNumbers w:val="0"/>
        <w:spacing w:before="0" w:beforeAutospacing="0" w:after="0" w:afterAutospacing="0" w:line="560" w:lineRule="exact"/>
        <w:ind w:left="0" w:right="0"/>
        <w:jc w:val="right"/>
        <w:rPr>
          <w:rFonts w:hint="eastAsia" w:ascii="仿宋_GB2312" w:hAnsi="@仿宋_GB2312" w:eastAsia="仿宋_GB2312"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日期：</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年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月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4155451B">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3C612A6E">
      <w:pPr>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br w:type="page"/>
      </w:r>
    </w:p>
    <w:p w14:paraId="0AB8E0FA">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七、磋商</w:t>
      </w:r>
      <w:r>
        <w:rPr>
          <w:rFonts w:hint="eastAsia" w:asciiTheme="minorEastAsia" w:hAnsiTheme="minorEastAsia" w:eastAsiaTheme="minorEastAsia"/>
          <w:b/>
          <w:color w:val="auto"/>
          <w:sz w:val="24"/>
          <w:highlight w:val="none"/>
        </w:rPr>
        <w:t>响应表</w:t>
      </w:r>
      <w:bookmarkEnd w:id="63"/>
      <w:bookmarkEnd w:id="64"/>
    </w:p>
    <w:p w14:paraId="3041E918">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7763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27156D61">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25BBBFC6">
            <w:pPr>
              <w:pStyle w:val="14"/>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7E459604">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磋商文件</w:t>
            </w:r>
            <w:r>
              <w:rPr>
                <w:rFonts w:hint="eastAsia" w:cs="Wingdings" w:asciiTheme="minorEastAsia" w:hAnsiTheme="minorEastAsia"/>
                <w:b/>
                <w:color w:val="auto"/>
                <w:sz w:val="24"/>
                <w:highlight w:val="none"/>
              </w:rPr>
              <w:t>要求</w:t>
            </w:r>
          </w:p>
        </w:tc>
        <w:tc>
          <w:tcPr>
            <w:tcW w:w="1510" w:type="pct"/>
            <w:vAlign w:val="center"/>
          </w:tcPr>
          <w:p w14:paraId="40887B3C">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供应商</w:t>
            </w:r>
            <w:r>
              <w:rPr>
                <w:rFonts w:hint="eastAsia" w:cs="Wingdings" w:asciiTheme="minorEastAsia" w:hAnsiTheme="minorEastAsia"/>
                <w:b/>
                <w:color w:val="auto"/>
                <w:sz w:val="24"/>
                <w:highlight w:val="none"/>
              </w:rPr>
              <w:t>承诺</w:t>
            </w:r>
          </w:p>
        </w:tc>
        <w:tc>
          <w:tcPr>
            <w:tcW w:w="475" w:type="pct"/>
            <w:vAlign w:val="center"/>
          </w:tcPr>
          <w:p w14:paraId="7CB02072">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3784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A5BA62E">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766E0861">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09F6B8F7">
            <w:pPr>
              <w:jc w:val="center"/>
              <w:rPr>
                <w:rFonts w:asciiTheme="minorEastAsia" w:hAnsiTheme="minorEastAsia" w:eastAsiaTheme="minorEastAsia"/>
                <w:color w:val="auto"/>
                <w:sz w:val="24"/>
                <w:highlight w:val="none"/>
              </w:rPr>
            </w:pPr>
          </w:p>
        </w:tc>
        <w:tc>
          <w:tcPr>
            <w:tcW w:w="1510" w:type="pct"/>
            <w:vAlign w:val="center"/>
          </w:tcPr>
          <w:p w14:paraId="14256C1B">
            <w:pPr>
              <w:jc w:val="center"/>
              <w:rPr>
                <w:rFonts w:asciiTheme="minorEastAsia" w:hAnsiTheme="minorEastAsia" w:eastAsiaTheme="minorEastAsia"/>
                <w:color w:val="auto"/>
                <w:sz w:val="24"/>
                <w:highlight w:val="none"/>
              </w:rPr>
            </w:pPr>
          </w:p>
        </w:tc>
        <w:tc>
          <w:tcPr>
            <w:tcW w:w="475" w:type="pct"/>
            <w:vAlign w:val="center"/>
          </w:tcPr>
          <w:p w14:paraId="0BE24828">
            <w:pPr>
              <w:jc w:val="center"/>
              <w:rPr>
                <w:rFonts w:asciiTheme="minorEastAsia" w:hAnsiTheme="minorEastAsia" w:eastAsiaTheme="minorEastAsia"/>
                <w:color w:val="auto"/>
                <w:sz w:val="24"/>
                <w:highlight w:val="none"/>
              </w:rPr>
            </w:pPr>
          </w:p>
        </w:tc>
      </w:tr>
      <w:tr w14:paraId="7B1C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46BAD7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76C60A02">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4D0A1964">
            <w:pPr>
              <w:jc w:val="center"/>
              <w:rPr>
                <w:rFonts w:asciiTheme="minorEastAsia" w:hAnsiTheme="minorEastAsia" w:eastAsiaTheme="minorEastAsia"/>
                <w:color w:val="auto"/>
                <w:sz w:val="24"/>
                <w:highlight w:val="none"/>
              </w:rPr>
            </w:pPr>
          </w:p>
        </w:tc>
        <w:tc>
          <w:tcPr>
            <w:tcW w:w="1510" w:type="pct"/>
            <w:vAlign w:val="center"/>
          </w:tcPr>
          <w:p w14:paraId="70D88132">
            <w:pPr>
              <w:jc w:val="center"/>
              <w:rPr>
                <w:rFonts w:asciiTheme="minorEastAsia" w:hAnsiTheme="minorEastAsia" w:eastAsiaTheme="minorEastAsia"/>
                <w:color w:val="auto"/>
                <w:sz w:val="24"/>
                <w:highlight w:val="none"/>
              </w:rPr>
            </w:pPr>
          </w:p>
        </w:tc>
        <w:tc>
          <w:tcPr>
            <w:tcW w:w="475" w:type="pct"/>
            <w:vAlign w:val="center"/>
          </w:tcPr>
          <w:p w14:paraId="2F433C00">
            <w:pPr>
              <w:jc w:val="center"/>
              <w:rPr>
                <w:rFonts w:asciiTheme="minorEastAsia" w:hAnsiTheme="minorEastAsia" w:eastAsiaTheme="minorEastAsia"/>
                <w:color w:val="auto"/>
                <w:sz w:val="24"/>
                <w:highlight w:val="none"/>
              </w:rPr>
            </w:pPr>
          </w:p>
        </w:tc>
      </w:tr>
      <w:tr w14:paraId="7D92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49CB30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1C381868">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3B853C4B">
            <w:pPr>
              <w:jc w:val="center"/>
              <w:rPr>
                <w:rFonts w:asciiTheme="minorEastAsia" w:hAnsiTheme="minorEastAsia" w:eastAsiaTheme="minorEastAsia"/>
                <w:color w:val="auto"/>
                <w:sz w:val="24"/>
                <w:highlight w:val="none"/>
              </w:rPr>
            </w:pPr>
          </w:p>
        </w:tc>
        <w:tc>
          <w:tcPr>
            <w:tcW w:w="1510" w:type="pct"/>
            <w:vAlign w:val="center"/>
          </w:tcPr>
          <w:p w14:paraId="3F404322">
            <w:pPr>
              <w:pStyle w:val="52"/>
              <w:jc w:val="center"/>
              <w:rPr>
                <w:rFonts w:asciiTheme="minorEastAsia" w:hAnsiTheme="minorEastAsia" w:eastAsiaTheme="minorEastAsia"/>
                <w:color w:val="auto"/>
                <w:highlight w:val="none"/>
              </w:rPr>
            </w:pPr>
          </w:p>
        </w:tc>
        <w:tc>
          <w:tcPr>
            <w:tcW w:w="475" w:type="pct"/>
            <w:vAlign w:val="center"/>
          </w:tcPr>
          <w:p w14:paraId="713F1D69">
            <w:pPr>
              <w:jc w:val="center"/>
              <w:rPr>
                <w:rFonts w:asciiTheme="minorEastAsia" w:hAnsiTheme="minorEastAsia" w:eastAsiaTheme="minorEastAsia"/>
                <w:color w:val="auto"/>
                <w:sz w:val="24"/>
                <w:highlight w:val="none"/>
              </w:rPr>
            </w:pPr>
          </w:p>
        </w:tc>
      </w:tr>
      <w:tr w14:paraId="2275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D35FD05">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1124" w:type="pct"/>
            <w:vAlign w:val="center"/>
          </w:tcPr>
          <w:p w14:paraId="6AABE9D4">
            <w:pPr>
              <w:jc w:val="center"/>
              <w:rPr>
                <w:rFonts w:ascii="宋体" w:hAnsi="宋体" w:eastAsia="宋体"/>
                <w:color w:val="auto"/>
                <w:sz w:val="24"/>
                <w:highlight w:val="none"/>
              </w:rPr>
            </w:pPr>
            <w:r>
              <w:rPr>
                <w:rFonts w:hint="eastAsia" w:ascii="宋体" w:hAnsi="宋体" w:eastAsia="宋体"/>
                <w:color w:val="auto"/>
                <w:sz w:val="24"/>
                <w:highlight w:val="none"/>
              </w:rPr>
              <w:t>“采购需求”所列的所有内容</w:t>
            </w:r>
          </w:p>
        </w:tc>
        <w:tc>
          <w:tcPr>
            <w:tcW w:w="1465" w:type="pct"/>
            <w:vAlign w:val="center"/>
          </w:tcPr>
          <w:p w14:paraId="4E0A9136">
            <w:pPr>
              <w:jc w:val="center"/>
              <w:rPr>
                <w:rFonts w:asciiTheme="minorEastAsia" w:hAnsiTheme="minorEastAsia" w:eastAsiaTheme="minorEastAsia"/>
                <w:color w:val="auto"/>
                <w:sz w:val="24"/>
                <w:highlight w:val="none"/>
              </w:rPr>
            </w:pPr>
          </w:p>
        </w:tc>
        <w:tc>
          <w:tcPr>
            <w:tcW w:w="1510" w:type="pct"/>
            <w:vAlign w:val="center"/>
          </w:tcPr>
          <w:p w14:paraId="0F3BC6C2">
            <w:pPr>
              <w:jc w:val="center"/>
              <w:rPr>
                <w:rFonts w:asciiTheme="minorEastAsia" w:hAnsiTheme="minorEastAsia" w:eastAsiaTheme="minorEastAsia"/>
                <w:color w:val="auto"/>
                <w:sz w:val="24"/>
                <w:highlight w:val="none"/>
              </w:rPr>
            </w:pPr>
          </w:p>
        </w:tc>
        <w:tc>
          <w:tcPr>
            <w:tcW w:w="475" w:type="pct"/>
            <w:vAlign w:val="center"/>
          </w:tcPr>
          <w:p w14:paraId="3ADD7683">
            <w:pPr>
              <w:jc w:val="center"/>
              <w:rPr>
                <w:rFonts w:asciiTheme="minorEastAsia" w:hAnsiTheme="minorEastAsia" w:eastAsiaTheme="minorEastAsia"/>
                <w:color w:val="auto"/>
                <w:sz w:val="24"/>
                <w:highlight w:val="none"/>
              </w:rPr>
            </w:pPr>
          </w:p>
        </w:tc>
      </w:tr>
    </w:tbl>
    <w:p w14:paraId="4B933A44">
      <w:pPr>
        <w:spacing w:line="360" w:lineRule="auto"/>
        <w:ind w:firstLine="4800" w:firstLineChars="2000"/>
        <w:rPr>
          <w:rFonts w:hint="eastAsia" w:ascii="宋体" w:hAnsi="宋体" w:eastAsia="宋体"/>
          <w:color w:val="auto"/>
          <w:sz w:val="24"/>
          <w:highlight w:val="none"/>
          <w:lang w:val="en-US" w:eastAsia="zh-CN"/>
        </w:rPr>
      </w:pPr>
    </w:p>
    <w:p w14:paraId="736E655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0CA6EC5B">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125E8E4E">
      <w:pPr>
        <w:pStyle w:val="15"/>
        <w:spacing w:line="360" w:lineRule="auto"/>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p>
    <w:p w14:paraId="101450E1">
      <w:pPr>
        <w:spacing w:line="360" w:lineRule="auto"/>
        <w:jc w:val="center"/>
        <w:outlineLvl w:val="1"/>
        <w:rPr>
          <w:rFonts w:asciiTheme="minorEastAsia" w:hAnsiTheme="minorEastAsia" w:eastAsiaTheme="minorEastAsia"/>
          <w:b/>
          <w:color w:val="auto"/>
          <w:sz w:val="24"/>
          <w:highlight w:val="none"/>
        </w:rPr>
      </w:pPr>
      <w:bookmarkStart w:id="65" w:name="_Toc29455"/>
      <w:bookmarkStart w:id="66" w:name="_Toc11260"/>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w:t>
      </w:r>
      <w:bookmarkEnd w:id="65"/>
      <w:bookmarkEnd w:id="66"/>
      <w:bookmarkStart w:id="67" w:name="_Toc6445"/>
      <w:bookmarkStart w:id="68" w:name="_Toc17888"/>
      <w:bookmarkStart w:id="69" w:name="_Hlk60608597"/>
      <w:r>
        <w:rPr>
          <w:rFonts w:hint="eastAsia" w:asciiTheme="minorEastAsia" w:hAnsiTheme="minorEastAsia" w:eastAsiaTheme="minorEastAsia"/>
          <w:b/>
          <w:color w:val="auto"/>
          <w:sz w:val="24"/>
          <w:highlight w:val="none"/>
        </w:rPr>
        <w:t>中小企业声明函</w:t>
      </w:r>
      <w:bookmarkEnd w:id="67"/>
      <w:bookmarkEnd w:id="68"/>
    </w:p>
    <w:p w14:paraId="5FE5B7D3">
      <w:pPr>
        <w:pStyle w:val="12"/>
        <w:jc w:val="center"/>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w:t>
      </w:r>
      <w:r>
        <w:rPr>
          <w:rFonts w:hint="eastAsia" w:ascii="宋体" w:hAnsi="宋体" w:eastAsia="宋体"/>
          <w:b w:val="0"/>
          <w:i/>
          <w:color w:val="auto"/>
          <w:sz w:val="24"/>
          <w:highlight w:val="none"/>
          <w:lang w:val="en-US" w:eastAsia="zh-CN"/>
        </w:rPr>
        <w:t>磋商，不需此件，请删去“中小企业声明函”）（联合体参与的，联合体双方均须提供）</w:t>
      </w:r>
    </w:p>
    <w:p w14:paraId="69899D7F">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73390C2D">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0CE53F3B">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2BD2568A">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1751EA9F">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6F4F8C1A">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401ED8C3">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5AADDA59">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bookmarkEnd w:id="69"/>
    <w:p w14:paraId="0311D51F">
      <w:pPr>
        <w:keepNext w:val="0"/>
        <w:keepLines w:val="0"/>
        <w:pageBreakBefore w:val="0"/>
        <w:widowControl w:val="0"/>
        <w:tabs>
          <w:tab w:val="left" w:pos="4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1.从业人员、营业收入、资产总额填报上一年数据，无上一年数据的新成立企业可不填报。</w:t>
      </w:r>
    </w:p>
    <w:p w14:paraId="76F350DB">
      <w:pPr>
        <w:keepNext w:val="0"/>
        <w:keepLines w:val="0"/>
        <w:pageBreakBefore w:val="0"/>
        <w:widowControl w:val="0"/>
        <w:tabs>
          <w:tab w:val="left" w:pos="4620"/>
        </w:tabs>
        <w:kinsoku/>
        <w:wordWrap/>
        <w:overflowPunct/>
        <w:topLinePunct w:val="0"/>
        <w:autoSpaceDE/>
        <w:autoSpaceDN/>
        <w:bidi w:val="0"/>
        <w:adjustRightInd/>
        <w:snapToGrid/>
        <w:spacing w:line="400" w:lineRule="exact"/>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供应商自行登录工业和信息化部官网进行中小企业规模类型自测（查询网址https://www.miit.gov.cn/）。</w:t>
      </w:r>
    </w:p>
    <w:p w14:paraId="094B4CD5">
      <w:pPr>
        <w:keepNext w:val="0"/>
        <w:keepLines w:val="0"/>
        <w:pageBreakBefore w:val="0"/>
        <w:widowControl w:val="0"/>
        <w:tabs>
          <w:tab w:val="left" w:pos="4620"/>
        </w:tabs>
        <w:kinsoku/>
        <w:wordWrap/>
        <w:overflowPunct/>
        <w:topLinePunct w:val="0"/>
        <w:autoSpaceDE/>
        <w:autoSpaceDN/>
        <w:bidi w:val="0"/>
        <w:adjustRightInd/>
        <w:snapToGrid/>
        <w:spacing w:line="400" w:lineRule="exact"/>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74B8E68D">
      <w:pPr>
        <w:keepNext w:val="0"/>
        <w:keepLines w:val="0"/>
        <w:pageBreakBefore w:val="0"/>
        <w:widowControl w:val="0"/>
        <w:tabs>
          <w:tab w:val="left" w:pos="4620"/>
        </w:tabs>
        <w:kinsoku/>
        <w:wordWrap/>
        <w:overflowPunct/>
        <w:topLinePunct w:val="0"/>
        <w:autoSpaceDE/>
        <w:autoSpaceDN/>
        <w:bidi w:val="0"/>
        <w:adjustRightInd/>
        <w:snapToGrid/>
        <w:spacing w:line="400" w:lineRule="exact"/>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2B0BF874">
      <w:pPr>
        <w:keepNext w:val="0"/>
        <w:keepLines w:val="0"/>
        <w:pageBreakBefore w:val="0"/>
        <w:widowControl w:val="0"/>
        <w:tabs>
          <w:tab w:val="left" w:pos="4620"/>
        </w:tabs>
        <w:kinsoku/>
        <w:wordWrap/>
        <w:overflowPunct/>
        <w:topLinePunct w:val="0"/>
        <w:autoSpaceDE/>
        <w:autoSpaceDN/>
        <w:bidi w:val="0"/>
        <w:adjustRightInd/>
        <w:snapToGrid/>
        <w:spacing w:line="400" w:lineRule="exact"/>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[供应商自行登录工业和信息化部官网进行中小企业规模类型自测（查询网址https://www.miit.gov.cn/）]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374DC5C9">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1410A09">
      <w:pPr>
        <w:spacing w:line="360" w:lineRule="auto"/>
        <w:jc w:val="center"/>
        <w:outlineLvl w:val="1"/>
        <w:rPr>
          <w:rFonts w:asciiTheme="minorEastAsia" w:hAnsiTheme="minorEastAsia" w:eastAsiaTheme="minorEastAsia"/>
          <w:b/>
          <w:color w:val="auto"/>
          <w:sz w:val="24"/>
          <w:highlight w:val="none"/>
        </w:rPr>
      </w:pPr>
      <w:bookmarkStart w:id="70" w:name="_Toc17713"/>
      <w:bookmarkStart w:id="71" w:name="_Toc5908"/>
      <w:bookmarkStart w:id="72" w:name="_Hlk60608725"/>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、残疾人福利性单位声明函</w:t>
      </w:r>
      <w:bookmarkEnd w:id="70"/>
      <w:bookmarkEnd w:id="71"/>
    </w:p>
    <w:p w14:paraId="7B42FE5D">
      <w:pPr>
        <w:pStyle w:val="12"/>
        <w:jc w:val="center"/>
        <w:rPr>
          <w:rFonts w:asciiTheme="minorEastAsia" w:hAnsiTheme="minorEastAsia" w:eastAsiaTheme="minorEastAsia"/>
          <w:color w:val="auto"/>
          <w:spacing w:val="6"/>
          <w:sz w:val="24"/>
          <w:szCs w:val="24"/>
          <w:highlight w:val="none"/>
        </w:rPr>
      </w:pPr>
      <w:r>
        <w:rPr>
          <w:rFonts w:hint="eastAsia" w:ascii="宋体" w:hAnsi="宋体" w:eastAsia="宋体"/>
          <w:b w:val="0"/>
          <w:i/>
          <w:color w:val="auto"/>
          <w:sz w:val="24"/>
          <w:highlight w:val="none"/>
          <w:lang w:val="en-US" w:eastAsia="zh-CN"/>
        </w:rPr>
        <w:t>（非残疾人福利性单位磋商，请删去“残疾人福利性单位声明函”）</w:t>
      </w:r>
    </w:p>
    <w:p w14:paraId="5FE4CD1C">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7E1D68E2">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242880A1">
      <w:pPr>
        <w:spacing w:line="360" w:lineRule="auto"/>
        <w:ind w:firstLine="4228" w:firstLineChars="1762"/>
        <w:rPr>
          <w:rFonts w:asciiTheme="minorEastAsia" w:hAnsiTheme="minorEastAsia" w:eastAsiaTheme="minorEastAsia"/>
          <w:color w:val="auto"/>
          <w:sz w:val="24"/>
          <w:szCs w:val="24"/>
          <w:highlight w:val="none"/>
        </w:rPr>
      </w:pPr>
    </w:p>
    <w:p w14:paraId="03D6C101">
      <w:pPr>
        <w:spacing w:line="360" w:lineRule="auto"/>
        <w:ind w:firstLine="4228" w:firstLineChars="1762"/>
        <w:rPr>
          <w:rFonts w:asciiTheme="minorEastAsia" w:hAnsiTheme="minorEastAsia" w:eastAsiaTheme="minorEastAsia"/>
          <w:color w:val="auto"/>
          <w:sz w:val="24"/>
          <w:szCs w:val="24"/>
          <w:highlight w:val="none"/>
        </w:rPr>
      </w:pPr>
    </w:p>
    <w:p w14:paraId="5D5F68B4">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2CAC8021">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bookmarkEnd w:id="72"/>
    <w:p w14:paraId="5C01525C">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48945A3">
      <w:pPr>
        <w:spacing w:line="360" w:lineRule="auto"/>
        <w:jc w:val="center"/>
        <w:outlineLvl w:val="1"/>
        <w:rPr>
          <w:rFonts w:asciiTheme="minorEastAsia" w:hAnsiTheme="minorEastAsia" w:eastAsiaTheme="minorEastAsia"/>
          <w:b/>
          <w:color w:val="auto"/>
          <w:sz w:val="24"/>
          <w:highlight w:val="none"/>
        </w:rPr>
      </w:pPr>
      <w:bookmarkStart w:id="73" w:name="_Toc20592"/>
      <w:bookmarkStart w:id="74" w:name="_Toc2278"/>
      <w:bookmarkStart w:id="75" w:name="_Hlk44283088"/>
      <w:r>
        <w:rPr>
          <w:rFonts w:hint="eastAsia" w:asciiTheme="minorEastAsia" w:hAnsiTheme="minorEastAsia" w:eastAsiaTheme="minorEastAsia"/>
          <w:b/>
          <w:color w:val="auto"/>
          <w:sz w:val="24"/>
          <w:highlight w:val="none"/>
          <w:lang w:val="en-US" w:eastAsia="zh-CN"/>
        </w:rPr>
        <w:t>十</w:t>
      </w:r>
      <w:r>
        <w:rPr>
          <w:rFonts w:hint="eastAsia" w:asciiTheme="minorEastAsia" w:hAnsiTheme="minorEastAsia" w:eastAsiaTheme="minorEastAsia"/>
          <w:b/>
          <w:color w:val="auto"/>
          <w:sz w:val="24"/>
          <w:highlight w:val="none"/>
        </w:rPr>
        <w:t>、诚信履约承诺函</w:t>
      </w:r>
      <w:bookmarkEnd w:id="73"/>
      <w:bookmarkEnd w:id="74"/>
    </w:p>
    <w:p w14:paraId="1B67A09E">
      <w:pPr>
        <w:spacing w:line="360" w:lineRule="auto"/>
        <w:jc w:val="center"/>
        <w:rPr>
          <w:rFonts w:asciiTheme="minorEastAsia" w:hAnsiTheme="minorEastAsia" w:eastAsiaTheme="minorEastAsia"/>
          <w:b w:val="0"/>
          <w:bCs w:val="0"/>
          <w:i/>
          <w:iCs/>
          <w:color w:val="auto"/>
          <w:sz w:val="24"/>
          <w:highlight w:val="none"/>
        </w:rPr>
      </w:pPr>
      <w:r>
        <w:rPr>
          <w:rFonts w:hint="eastAsia" w:asciiTheme="minorEastAsia" w:hAnsiTheme="minorEastAsia" w:eastAsiaTheme="minorEastAsia"/>
          <w:b w:val="0"/>
          <w:bCs w:val="0"/>
          <w:i/>
          <w:iCs/>
          <w:color w:val="auto"/>
          <w:sz w:val="24"/>
          <w:highlight w:val="none"/>
        </w:rPr>
        <w:t>（联合体参与的，联合体双方均须提供）</w:t>
      </w:r>
    </w:p>
    <w:p w14:paraId="7380133A">
      <w:pPr>
        <w:spacing w:line="360" w:lineRule="auto"/>
        <w:rPr>
          <w:rFonts w:hint="eastAsia" w:asciiTheme="minorEastAsia" w:hAnsiTheme="minorEastAsia" w:eastAsiaTheme="minorEastAsia"/>
          <w:b/>
          <w:bCs/>
          <w:color w:val="auto"/>
          <w:sz w:val="24"/>
          <w:highlight w:val="none"/>
          <w:u w:val="single"/>
          <w:lang w:val="en-US"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lang w:val="en-US" w:eastAsia="zh-CN"/>
        </w:rPr>
        <w:t>采购人</w:t>
      </w:r>
    </w:p>
    <w:p w14:paraId="1C5CA96C">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6A10041A">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4BB654E2">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6CF920FC">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212A480F">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329B429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60976D1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11896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本承诺声明：</w:t>
      </w:r>
      <w:r>
        <w:rPr>
          <w:rFonts w:hint="eastAsia" w:asciiTheme="minorEastAsia" w:hAnsiTheme="minorEastAsia" w:eastAsiaTheme="minorEastAsia"/>
          <w:bCs/>
          <w:color w:val="auto"/>
          <w:sz w:val="24"/>
          <w:highlight w:val="none"/>
          <w:u w:val="single"/>
        </w:rPr>
        <w:t xml:space="preserve">                   （供应商名称）</w:t>
      </w:r>
      <w:r>
        <w:rPr>
          <w:rFonts w:hint="eastAsia" w:asciiTheme="minorEastAsia" w:hAnsiTheme="minorEastAsia" w:eastAsiaTheme="minorEastAsia"/>
          <w:bCs/>
          <w:color w:val="auto"/>
          <w:sz w:val="24"/>
          <w:highlight w:val="none"/>
        </w:rPr>
        <w:t>对本招标文件的相关要求完全响应。若有幸成交将严格按照</w:t>
      </w:r>
      <w:r>
        <w:rPr>
          <w:rFonts w:hint="eastAsia" w:asciiTheme="minorEastAsia" w:hAnsiTheme="minorEastAsia" w:eastAsiaTheme="minorEastAsia"/>
          <w:bCs/>
          <w:color w:val="auto"/>
          <w:sz w:val="24"/>
          <w:highlight w:val="none"/>
          <w:lang w:val="en-US" w:eastAsia="zh-CN"/>
        </w:rPr>
        <w:t>采购文件及采购人要求</w:t>
      </w:r>
      <w:r>
        <w:rPr>
          <w:rFonts w:hint="eastAsia" w:asciiTheme="minorEastAsia" w:hAnsiTheme="minorEastAsia" w:eastAsiaTheme="minorEastAsia"/>
          <w:bCs/>
          <w:color w:val="auto"/>
          <w:sz w:val="24"/>
          <w:highlight w:val="none"/>
        </w:rPr>
        <w:t>进行服务。</w:t>
      </w:r>
    </w:p>
    <w:p w14:paraId="7CDF1A96">
      <w:pPr>
        <w:spacing w:line="360" w:lineRule="auto"/>
        <w:rPr>
          <w:rFonts w:asciiTheme="minorEastAsia" w:hAnsiTheme="minorEastAsia" w:eastAsiaTheme="minorEastAsia"/>
          <w:bCs/>
          <w:color w:val="auto"/>
          <w:sz w:val="24"/>
          <w:highlight w:val="none"/>
        </w:rPr>
      </w:pPr>
    </w:p>
    <w:p w14:paraId="4AFB228D">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05D89AE8">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78923899">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75"/>
    <w:p w14:paraId="77B713A4">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76" w:name="_Toc3826"/>
      <w:bookmarkStart w:id="77" w:name="_Toc7807"/>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rPr>
        <w:t>、联合协议</w:t>
      </w:r>
    </w:p>
    <w:p w14:paraId="6033942F">
      <w:pPr>
        <w:pStyle w:val="21"/>
        <w:keepNext w:val="0"/>
        <w:keepLines w:val="0"/>
        <w:widowControl w:val="0"/>
        <w:suppressLineNumbers w:val="0"/>
        <w:spacing w:before="0" w:beforeAutospacing="0" w:after="0" w:afterAutospacing="0" w:line="360" w:lineRule="auto"/>
        <w:ind w:left="0" w:right="0"/>
        <w:jc w:val="center"/>
        <w:rPr>
          <w:rFonts w:hint="eastAsia" w:ascii="宋体" w:hAnsi="宋体" w:eastAsia="宋体" w:cs="Arial"/>
          <w:b/>
          <w:bCs/>
          <w:kern w:val="2"/>
          <w:sz w:val="24"/>
          <w:szCs w:val="24"/>
          <w:highlight w:val="none"/>
        </w:rPr>
      </w:pPr>
      <w:r>
        <w:rPr>
          <w:rFonts w:hint="eastAsia" w:ascii="宋体" w:hAnsi="宋体" w:eastAsia="宋体" w:cs="宋体"/>
          <w:b w:val="0"/>
          <w:bCs/>
          <w:i/>
          <w:iCs w:val="0"/>
          <w:color w:val="FF0000"/>
          <w:kern w:val="2"/>
          <w:sz w:val="24"/>
          <w:szCs w:val="24"/>
          <w:highlight w:val="none"/>
          <w:lang w:val="en-US" w:eastAsia="zh-CN" w:bidi="ar"/>
        </w:rPr>
        <w:t>（不允许联合体磋商或未组成联合体磋商，不需此件，请删去“联合协议”；允许联合体磋商且供应商为联合体磋商的，请将此件制成扫描件上传，同时删去本提示内容）</w:t>
      </w:r>
    </w:p>
    <w:p w14:paraId="2987F9D4">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lang w:val="en-US" w:eastAsia="zh-CN" w:bidi="ar"/>
        </w:rPr>
        <w:t xml:space="preserve"> </w:t>
      </w:r>
    </w:p>
    <w:p w14:paraId="78A1A945">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u w:val="single"/>
        </w:rPr>
      </w:pPr>
      <w:r>
        <w:rPr>
          <w:rFonts w:hint="eastAsia" w:ascii="宋体" w:hAnsi="宋体" w:eastAsia="宋体" w:cs="宋体"/>
          <w:kern w:val="2"/>
          <w:sz w:val="24"/>
          <w:szCs w:val="24"/>
          <w:highlight w:val="none"/>
          <w:lang w:val="en-US" w:eastAsia="zh-CN" w:bidi="ar"/>
        </w:rPr>
        <w:t>联合体成员一名称：</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w:t>
      </w:r>
    </w:p>
    <w:p w14:paraId="74B549FB">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u w:val="single"/>
        </w:rPr>
      </w:pPr>
      <w:r>
        <w:rPr>
          <w:rFonts w:hint="eastAsia" w:ascii="宋体" w:hAnsi="宋体" w:eastAsia="宋体" w:cs="宋体"/>
          <w:kern w:val="2"/>
          <w:sz w:val="24"/>
          <w:szCs w:val="24"/>
          <w:highlight w:val="none"/>
          <w:lang w:val="en-US" w:eastAsia="zh-CN" w:bidi="ar"/>
        </w:rPr>
        <w:t>联合体成员二名称：</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w:t>
      </w:r>
    </w:p>
    <w:p w14:paraId="3B5EA2C3">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u w:val="single"/>
        </w:rPr>
      </w:pPr>
      <w:r>
        <w:rPr>
          <w:rFonts w:hint="eastAsia" w:ascii="宋体" w:hAnsi="宋体" w:eastAsia="宋体" w:cs="宋体"/>
          <w:kern w:val="2"/>
          <w:sz w:val="24"/>
          <w:szCs w:val="24"/>
          <w:highlight w:val="none"/>
          <w:lang w:val="en-US" w:eastAsia="zh-CN" w:bidi="ar"/>
        </w:rPr>
        <w:t>……</w:t>
      </w:r>
    </w:p>
    <w:p w14:paraId="3BFBBC4A">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上述各成员单位经过友好协商，自愿组成联合体，共同参加本项目的磋商，现就联合体参加磋商事宜订立如下协议：</w:t>
      </w:r>
    </w:p>
    <w:p w14:paraId="31196176">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1</w:t>
      </w:r>
      <w:r>
        <w:rPr>
          <w:rFonts w:hint="eastAsia" w:ascii="宋体" w:hAnsi="宋体" w:eastAsia="宋体" w:cs="@仿宋_GB2312"/>
          <w:kern w:val="2"/>
          <w:sz w:val="24"/>
          <w:szCs w:val="24"/>
          <w:highlight w:val="none"/>
          <w:lang w:val="en-US" w:eastAsia="zh-CN" w:bidi="ar"/>
        </w:rPr>
        <w:t>.</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（成员单位名称）为联合体牵头人。</w:t>
      </w:r>
    </w:p>
    <w:p w14:paraId="17FD9A6E">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2</w:t>
      </w:r>
      <w:r>
        <w:rPr>
          <w:rFonts w:hint="eastAsia" w:ascii="宋体" w:hAnsi="宋体" w:eastAsia="宋体" w:cs="@仿宋_GB2312"/>
          <w:kern w:val="2"/>
          <w:sz w:val="24"/>
          <w:szCs w:val="24"/>
          <w:highlight w:val="none"/>
          <w:lang w:val="en-US" w:eastAsia="zh-CN" w:bidi="ar"/>
        </w:rPr>
        <w:t>.</w:t>
      </w:r>
      <w:r>
        <w:rPr>
          <w:rFonts w:hint="eastAsia" w:ascii="宋体" w:hAnsi="宋体" w:eastAsia="宋体" w:cs="宋体"/>
          <w:kern w:val="2"/>
          <w:sz w:val="24"/>
          <w:szCs w:val="24"/>
          <w:highlight w:val="none"/>
          <w:lang w:val="en-US" w:eastAsia="zh-CN" w:bidi="ar"/>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49E049BA">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3</w:t>
      </w:r>
      <w:r>
        <w:rPr>
          <w:rFonts w:hint="eastAsia" w:ascii="宋体" w:hAnsi="宋体" w:eastAsia="宋体" w:cs="@仿宋_GB2312"/>
          <w:kern w:val="2"/>
          <w:sz w:val="24"/>
          <w:szCs w:val="24"/>
          <w:highlight w:val="none"/>
          <w:lang w:val="en-US" w:eastAsia="zh-CN" w:bidi="ar"/>
        </w:rPr>
        <w:t>.联合体各成员单位内部的职责分工</w:t>
      </w:r>
      <w:r>
        <w:rPr>
          <w:rFonts w:hint="eastAsia" w:ascii="宋体" w:hAnsi="宋体" w:eastAsia="宋体" w:cs="宋体"/>
          <w:kern w:val="2"/>
          <w:sz w:val="24"/>
          <w:szCs w:val="24"/>
          <w:highlight w:val="none"/>
          <w:lang w:val="en-US" w:eastAsia="zh-CN" w:bidi="ar"/>
        </w:rPr>
        <w:t>及各方负责内容的合同金额占总合同金额的百分比如下：</w:t>
      </w:r>
    </w:p>
    <w:p w14:paraId="78A279B1">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u w:val="single"/>
        </w:rPr>
      </w:pPr>
      <w:r>
        <w:rPr>
          <w:rFonts w:hint="eastAsia" w:ascii="宋体" w:hAnsi="宋体" w:eastAsia="宋体" w:cs="宋体"/>
          <w:kern w:val="2"/>
          <w:sz w:val="24"/>
          <w:szCs w:val="24"/>
          <w:highlight w:val="none"/>
          <w:lang w:val="en-US" w:eastAsia="zh-CN" w:bidi="ar"/>
        </w:rPr>
        <w:t>联合体成员一名称：</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，承担</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工作，负责内容的合同金额占总合同金额的百分比：</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w:t>
      </w:r>
    </w:p>
    <w:p w14:paraId="3461678E">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u w:val="single"/>
        </w:rPr>
      </w:pPr>
      <w:r>
        <w:rPr>
          <w:rFonts w:hint="eastAsia" w:ascii="宋体" w:hAnsi="宋体" w:eastAsia="宋体" w:cs="宋体"/>
          <w:kern w:val="2"/>
          <w:sz w:val="24"/>
          <w:szCs w:val="24"/>
          <w:highlight w:val="none"/>
          <w:lang w:val="en-US" w:eastAsia="zh-CN" w:bidi="ar"/>
        </w:rPr>
        <w:t>联合体成员二名称：</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，承担</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工作，负责内容的合同金额占总合同金额的百分比：</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w:t>
      </w:r>
    </w:p>
    <w:p w14:paraId="7ABDC254">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u w:val="single"/>
        </w:rPr>
      </w:pPr>
      <w:r>
        <w:rPr>
          <w:rFonts w:hint="eastAsia" w:ascii="宋体" w:hAnsi="宋体" w:eastAsia="宋体" w:cs="宋体"/>
          <w:kern w:val="2"/>
          <w:sz w:val="24"/>
          <w:szCs w:val="24"/>
          <w:highlight w:val="none"/>
          <w:lang w:val="en-US" w:eastAsia="zh-CN" w:bidi="ar"/>
        </w:rPr>
        <w:t>…………</w:t>
      </w:r>
    </w:p>
    <w:p w14:paraId="28D474D4">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lang w:val="en-US" w:eastAsia="zh-CN" w:bidi="ar"/>
        </w:rPr>
        <w:t>4．</w:t>
      </w:r>
      <w:r>
        <w:rPr>
          <w:rFonts w:hint="eastAsia" w:ascii="宋体" w:hAnsi="宋体" w:eastAsia="宋体" w:cs="宋体"/>
          <w:kern w:val="2"/>
          <w:sz w:val="24"/>
          <w:szCs w:val="24"/>
          <w:highlight w:val="none"/>
          <w:lang w:val="en-US" w:eastAsia="zh-CN" w:bidi="ar"/>
        </w:rPr>
        <w:t>磋商工作和联合体在成交后项目实施过程中的有关费用按各自承担的工作量分摊。</w:t>
      </w:r>
    </w:p>
    <w:p w14:paraId="0EFF3A9C">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lang w:val="en-US" w:eastAsia="zh-CN" w:bidi="ar"/>
        </w:rPr>
        <w:t>5．联合体</w:t>
      </w:r>
      <w:r>
        <w:rPr>
          <w:rFonts w:hint="eastAsia" w:ascii="宋体" w:hAnsi="宋体" w:eastAsia="宋体" w:cs="宋体"/>
          <w:kern w:val="2"/>
          <w:sz w:val="24"/>
          <w:szCs w:val="24"/>
          <w:highlight w:val="none"/>
          <w:lang w:val="en-US" w:eastAsia="zh-CN" w:bidi="ar"/>
        </w:rPr>
        <w:t>成交后，本联合协议是合同的附件，对联合体各成员单位有合同约束力。</w:t>
      </w:r>
    </w:p>
    <w:p w14:paraId="63BD453A">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lang w:val="en-US" w:eastAsia="zh-CN" w:bidi="ar"/>
        </w:rPr>
        <w:t>6．本协议书自签署之日起生效，联合体未</w:t>
      </w:r>
      <w:r>
        <w:rPr>
          <w:rFonts w:hint="eastAsia" w:ascii="宋体" w:hAnsi="宋体" w:eastAsia="宋体" w:cs="宋体"/>
          <w:kern w:val="2"/>
          <w:sz w:val="24"/>
          <w:szCs w:val="24"/>
          <w:highlight w:val="none"/>
          <w:lang w:val="en-US" w:eastAsia="zh-CN" w:bidi="ar"/>
        </w:rPr>
        <w:t>成交或者合同履行完毕后自动失效。</w:t>
      </w:r>
    </w:p>
    <w:p w14:paraId="4711C49C">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联合体成员一：</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（公章）</w:t>
      </w:r>
    </w:p>
    <w:p w14:paraId="24AFF839">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法定代表人：</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（签字或盖章）</w:t>
      </w:r>
    </w:p>
    <w:p w14:paraId="0542C8B8">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联合体成员二：</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（公章）</w:t>
      </w:r>
    </w:p>
    <w:p w14:paraId="17B9EF6B">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法定代表人：</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（签字或盖章）</w:t>
      </w:r>
    </w:p>
    <w:p w14:paraId="20F20793">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w:t>
      </w:r>
    </w:p>
    <w:p w14:paraId="30531601">
      <w:pPr>
        <w:pStyle w:val="21"/>
        <w:keepNext w:val="0"/>
        <w:keepLines w:val="0"/>
        <w:widowControl w:val="0"/>
        <w:suppressLineNumbers w:val="0"/>
        <w:spacing w:before="0" w:beforeAutospacing="0" w:after="0" w:afterAutospacing="0" w:line="360" w:lineRule="auto"/>
        <w:ind w:left="0" w:right="0"/>
        <w:jc w:val="center"/>
        <w:rPr>
          <w:rFonts w:hint="eastAsia" w:ascii="宋体" w:hAnsi="宋体" w:eastAsia="宋体" w:cs="Arial"/>
          <w:b/>
          <w:bCs/>
          <w:kern w:val="2"/>
          <w:sz w:val="24"/>
          <w:szCs w:val="24"/>
          <w:highlight w:val="none"/>
        </w:rPr>
      </w:pPr>
      <w:r>
        <w:rPr>
          <w:rFonts w:hint="eastAsia" w:ascii="宋体" w:hAnsi="宋体" w:eastAsia="宋体" w:cs="Arial"/>
          <w:b/>
          <w:bCs/>
          <w:kern w:val="2"/>
          <w:sz w:val="24"/>
          <w:szCs w:val="24"/>
          <w:highlight w:val="none"/>
          <w:lang w:val="en-US" w:eastAsia="zh-CN" w:bidi="ar"/>
        </w:rPr>
        <w:t xml:space="preserve"> </w:t>
      </w:r>
    </w:p>
    <w:p w14:paraId="166A85C7">
      <w:pPr>
        <w:keepNext w:val="0"/>
        <w:keepLines w:val="0"/>
        <w:widowControl w:val="0"/>
        <w:suppressLineNumbers w:val="0"/>
        <w:spacing w:before="0" w:beforeAutospacing="0" w:after="0" w:afterAutospacing="0"/>
        <w:ind w:left="0" w:right="0" w:firstLine="4560" w:firstLineChars="1900"/>
        <w:jc w:val="both"/>
        <w:rPr>
          <w:highlight w:val="none"/>
        </w:rPr>
      </w:pPr>
      <w:r>
        <w:rPr>
          <w:rFonts w:hint="eastAsia" w:ascii="宋体" w:hAnsi="宋体" w:eastAsia="宋体" w:cs="宋体"/>
          <w:kern w:val="2"/>
          <w:sz w:val="24"/>
          <w:szCs w:val="24"/>
          <w:highlight w:val="none"/>
          <w:lang w:val="en-US" w:eastAsia="zh-CN" w:bidi="ar"/>
        </w:rPr>
        <w:t>签订日期:</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p>
    <w:p w14:paraId="1EAB1451">
      <w:pPr>
        <w:spacing w:line="360" w:lineRule="auto"/>
        <w:jc w:val="center"/>
        <w:outlineLvl w:val="1"/>
        <w:rPr>
          <w:rFonts w:hint="eastAsia" w:asciiTheme="minorEastAsia" w:hAnsiTheme="minorEastAsia" w:eastAsiaTheme="minorEastAsia"/>
          <w:b/>
          <w:color w:val="auto"/>
          <w:sz w:val="24"/>
          <w:highlight w:val="none"/>
        </w:rPr>
      </w:pPr>
    </w:p>
    <w:p w14:paraId="1F4B8CD0">
      <w:pPr>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br w:type="page"/>
      </w:r>
    </w:p>
    <w:p w14:paraId="03F442C2">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十二、</w:t>
      </w:r>
      <w:r>
        <w:rPr>
          <w:rFonts w:hint="eastAsia" w:asciiTheme="minorEastAsia" w:hAnsiTheme="minorEastAsia" w:eastAsiaTheme="minorEastAsia"/>
          <w:b/>
          <w:color w:val="auto"/>
          <w:sz w:val="24"/>
          <w:highlight w:val="none"/>
        </w:rPr>
        <w:t>其他相关证明材料</w:t>
      </w:r>
      <w:bookmarkEnd w:id="76"/>
      <w:bookmarkEnd w:id="77"/>
    </w:p>
    <w:p w14:paraId="42275D95">
      <w:pPr>
        <w:tabs>
          <w:tab w:val="left" w:pos="4620"/>
        </w:tabs>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提供符合磋商邀请、采购需求及评审方法和标准规定的相关证明文件。</w:t>
      </w:r>
    </w:p>
    <w:p w14:paraId="6899BB2B">
      <w:pPr>
        <w:spacing w:line="360" w:lineRule="auto"/>
        <w:ind w:firstLine="435"/>
        <w:rPr>
          <w:rFonts w:asciiTheme="minorEastAsia" w:hAnsiTheme="minorEastAsia" w:eastAsiaTheme="minorEastAsia"/>
          <w:color w:val="auto"/>
          <w:sz w:val="24"/>
          <w:highlight w:val="none"/>
        </w:rPr>
      </w:pPr>
    </w:p>
    <w:p w14:paraId="26DC29F9">
      <w:pPr>
        <w:spacing w:line="360" w:lineRule="auto"/>
        <w:ind w:firstLine="480" w:firstLineChars="200"/>
        <w:rPr>
          <w:rFonts w:asciiTheme="minorEastAsia" w:hAnsiTheme="minorEastAsia" w:eastAsiaTheme="minorEastAsia"/>
          <w:color w:val="auto"/>
          <w:sz w:val="24"/>
          <w:highlight w:val="none"/>
        </w:rPr>
      </w:pPr>
    </w:p>
    <w:p w14:paraId="015181F9">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5BA844B1">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供应商在响应文件制作时可在此栏内上传磋商文件要求上传的证明资料，如营业执照</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证书等，应将上述证明材料制作成扫描件上传。</w:t>
      </w:r>
    </w:p>
    <w:p w14:paraId="240E8579">
      <w:pPr>
        <w:spacing w:line="360" w:lineRule="auto"/>
        <w:jc w:val="center"/>
        <w:rPr>
          <w:rFonts w:asciiTheme="minorEastAsia" w:hAnsiTheme="minorEastAsia" w:eastAsiaTheme="minorEastAsia"/>
          <w:b/>
          <w:color w:val="auto"/>
          <w:sz w:val="24"/>
          <w:highlight w:val="none"/>
        </w:rPr>
      </w:pPr>
    </w:p>
    <w:p w14:paraId="6D4F2D38">
      <w:pPr>
        <w:widowControl/>
        <w:jc w:val="left"/>
        <w:rPr>
          <w:rFonts w:ascii="宋体" w:hAnsi="宋体" w:eastAsia="宋体"/>
          <w:bCs/>
          <w:color w:val="auto"/>
          <w:sz w:val="24"/>
          <w:highlight w:val="none"/>
        </w:rPr>
      </w:pPr>
      <w:r>
        <w:rPr>
          <w:rFonts w:asciiTheme="minorEastAsia" w:hAnsiTheme="minorEastAsia" w:eastAsiaTheme="minorEastAsia"/>
          <w:color w:val="auto"/>
          <w:sz w:val="24"/>
          <w:highlight w:val="none"/>
        </w:rPr>
        <w:br w:type="page"/>
      </w:r>
    </w:p>
    <w:p w14:paraId="7AD567B4">
      <w:pPr>
        <w:keepNext w:val="0"/>
        <w:keepLines w:val="0"/>
        <w:widowControl w:val="0"/>
        <w:suppressLineNumbers w:val="0"/>
        <w:spacing w:before="0" w:beforeAutospacing="0" w:after="0" w:afterAutospacing="0"/>
        <w:ind w:left="0" w:right="0"/>
        <w:jc w:val="both"/>
        <w:outlineLvl w:val="0"/>
        <w:rPr>
          <w:rFonts w:hint="eastAsia" w:ascii="宋体" w:hAnsi="宋体" w:eastAsia="宋体" w:cs="宋体"/>
          <w:color w:val="auto"/>
          <w:kern w:val="2"/>
          <w:sz w:val="28"/>
          <w:szCs w:val="28"/>
          <w:highlight w:val="none"/>
        </w:rPr>
      </w:pPr>
      <w:bookmarkStart w:id="78" w:name="_Toc11016"/>
      <w:bookmarkStart w:id="79" w:name="_Toc63440924"/>
      <w:bookmarkStart w:id="80" w:name="_Toc19418"/>
      <w:r>
        <w:rPr>
          <w:rFonts w:hint="eastAsia" w:ascii="宋体" w:hAnsi="宋体" w:eastAsia="宋体" w:cs="宋体"/>
          <w:b/>
          <w:bCs w:val="0"/>
          <w:color w:val="auto"/>
          <w:kern w:val="2"/>
          <w:sz w:val="28"/>
          <w:szCs w:val="28"/>
          <w:highlight w:val="none"/>
          <w:lang w:val="en-US" w:eastAsia="zh-CN" w:bidi="ar"/>
        </w:rPr>
        <w:t>附件</w:t>
      </w:r>
      <w:r>
        <w:rPr>
          <w:rFonts w:hint="default" w:ascii="Times New Roman" w:hAnsi="Times New Roman" w:eastAsia="宋体" w:cs="Times New Roman"/>
          <w:b/>
          <w:bCs w:val="0"/>
          <w:color w:val="auto"/>
          <w:kern w:val="2"/>
          <w:sz w:val="28"/>
          <w:szCs w:val="28"/>
          <w:highlight w:val="none"/>
          <w:lang w:val="en-US" w:eastAsia="zh-CN" w:bidi="ar"/>
        </w:rPr>
        <w:t>1</w:t>
      </w:r>
      <w:bookmarkEnd w:id="78"/>
    </w:p>
    <w:p w14:paraId="60D83092">
      <w:pPr>
        <w:keepNext w:val="0"/>
        <w:keepLines w:val="0"/>
        <w:widowControl w:val="0"/>
        <w:suppressLineNumbers w:val="0"/>
        <w:spacing w:before="0" w:beforeAutospacing="0" w:after="0" w:afterAutospacing="0" w:line="440" w:lineRule="exact"/>
        <w:ind w:left="0" w:right="0"/>
        <w:jc w:val="center"/>
        <w:rPr>
          <w:rFonts w:hint="eastAsia" w:ascii="黑体" w:hAnsi="宋体" w:eastAsia="黑体" w:cs="黑体"/>
          <w:b/>
          <w:bCs w:val="0"/>
          <w:color w:val="auto"/>
          <w:kern w:val="2"/>
          <w:sz w:val="30"/>
          <w:szCs w:val="30"/>
          <w:highlight w:val="none"/>
        </w:rPr>
      </w:pPr>
      <w:r>
        <w:rPr>
          <w:rFonts w:hint="eastAsia" w:ascii="黑体" w:hAnsi="宋体" w:eastAsia="黑体" w:cs="黑体"/>
          <w:b/>
          <w:bCs w:val="0"/>
          <w:color w:val="auto"/>
          <w:kern w:val="2"/>
          <w:sz w:val="30"/>
          <w:szCs w:val="30"/>
          <w:highlight w:val="none"/>
          <w:lang w:val="en-US" w:eastAsia="zh-CN" w:bidi="ar"/>
        </w:rPr>
        <w:t>关于联合惩戒失信行为 加强信用查询管理的通知</w:t>
      </w:r>
    </w:p>
    <w:p w14:paraId="32566E03">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一、失信行为联合惩戒的范围和查询渠道</w:t>
      </w:r>
    </w:p>
    <w:p w14:paraId="70445A19">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在我市公共资源交易活动中对存在下列失信行为的投标人、法定代表人及其项目经理（建造师）实施联合惩戒，禁止参与我市公共资源交易活动。</w:t>
      </w:r>
    </w:p>
    <w:p w14:paraId="62F9B137">
      <w:pPr>
        <w:keepNext w:val="0"/>
        <w:keepLines w:val="0"/>
        <w:widowControl/>
        <w:suppressLineNumbers w:val="0"/>
        <w:autoSpaceDE w:val="0"/>
        <w:autoSpaceDN/>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（一）工程建设项目</w:t>
      </w:r>
    </w:p>
    <w:p w14:paraId="19B593A4">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1、“信用中国”网站（www.creditchina.gov.cn）查询投标人、法定代表人及其项目经理(建造师)以下失信行为：</w:t>
      </w:r>
    </w:p>
    <w:p w14:paraId="5D8E60AF">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①被列入“失信被执行人”的;</w:t>
      </w:r>
    </w:p>
    <w:p w14:paraId="62ABDED8">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②被列入“重大税收违法失信主体”的；</w:t>
      </w:r>
    </w:p>
    <w:p w14:paraId="6736877B">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③被列入“拖欠农民工工资失信联合惩戒对象名单”的；</w:t>
      </w:r>
    </w:p>
    <w:p w14:paraId="31AA93DB">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④被列入 “严重失信主体名单”的；</w:t>
      </w:r>
    </w:p>
    <w:p w14:paraId="2E6CE4A3">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⑤在“信用中国”网站上披露的仍在公示期的严重失信行为(具体行为类别及判定依据见附件2)的。</w:t>
      </w:r>
    </w:p>
    <w:p w14:paraId="41279983">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2、国家企业信用信息公示系统网站（www.gsxt.gov.cn）查询投标人以下失信行为：</w:t>
      </w:r>
    </w:p>
    <w:p w14:paraId="12FDD578">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①被列入“经营异常名录”或者“严重违法失信名单”的。</w:t>
      </w:r>
    </w:p>
    <w:p w14:paraId="6D2FA5D4">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3、由投标人、法定代表人及其项目经理(建造师)进行承诺，不进行现场网上信用查询的失信行为：</w:t>
      </w:r>
    </w:p>
    <w:p w14:paraId="50E1750F">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①前三年有行贿犯罪行为的单位和个人；</w:t>
      </w:r>
    </w:p>
    <w:p w14:paraId="12284B65">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②被滁州市县两级公管部门取消在一定期限内的投标资格且在取消期限内的；</w:t>
      </w:r>
    </w:p>
    <w:p w14:paraId="3104CBC9">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③被滁州市县两级各行业主管部门取消在一定期限内的投标资格且在取消期限内的；</w:t>
      </w:r>
    </w:p>
    <w:p w14:paraId="2EFF30FE">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④因拖欠农民工工资被县级及以上有关行政主管部门限制投标资格且在限制期限内的；</w:t>
      </w:r>
    </w:p>
    <w:p w14:paraId="1C6B068D">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5923FAF7">
      <w:pPr>
        <w:keepNext w:val="0"/>
        <w:keepLines w:val="0"/>
        <w:widowControl/>
        <w:suppressLineNumbers w:val="0"/>
        <w:autoSpaceDE w:val="0"/>
        <w:autoSpaceDN/>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（二）政府采购项目</w:t>
      </w:r>
    </w:p>
    <w:p w14:paraId="7A3DE018">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1、“信用中国”网站（www.creditchina.gov.cn）查询供应商、法定代表人及其项目负责人以下失信行为：</w:t>
      </w:r>
    </w:p>
    <w:p w14:paraId="7AD1C979">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①被列入“失信被执行人”的;</w:t>
      </w:r>
    </w:p>
    <w:p w14:paraId="5662497A">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②被列入“重大税收违法失信主体”的；</w:t>
      </w:r>
    </w:p>
    <w:p w14:paraId="1C261734">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③被列入 “严重失信主体名单”的；</w:t>
      </w:r>
    </w:p>
    <w:p w14:paraId="5B826A6A">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④在“信用中国”网站上披露的仍在公示期的严重失信行为(具体行为类别及判定依据见附件2)的。</w:t>
      </w:r>
    </w:p>
    <w:p w14:paraId="01FD6886">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2、国家企业信用信息公示系统网站（</w:t>
      </w:r>
      <w:r>
        <w:rPr>
          <w:rFonts w:hint="eastAsia" w:ascii="宋体" w:hAnsi="宋体" w:eastAsia="宋体" w:cs="宋体"/>
          <w:bCs/>
          <w:color w:val="auto"/>
          <w:kern w:val="0"/>
          <w:sz w:val="24"/>
          <w:szCs w:val="24"/>
          <w:highlight w:val="none"/>
          <w:vertAlign w:val="baseline"/>
          <w:lang w:val="en-US" w:eastAsia="zh-CN" w:bidi="ar"/>
        </w:rPr>
        <w:fldChar w:fldCharType="begin"/>
      </w:r>
      <w:r>
        <w:rPr>
          <w:rFonts w:hint="eastAsia" w:ascii="宋体" w:hAnsi="宋体" w:eastAsia="宋体" w:cs="宋体"/>
          <w:bCs/>
          <w:color w:val="auto"/>
          <w:kern w:val="0"/>
          <w:sz w:val="24"/>
          <w:szCs w:val="24"/>
          <w:highlight w:val="none"/>
          <w:vertAlign w:val="baseline"/>
          <w:lang w:val="en-US" w:eastAsia="zh-CN" w:bidi="ar"/>
        </w:rPr>
        <w:instrText xml:space="preserve"> HYPERLINK "http://www.gsxt.gov.cn）查询" </w:instrText>
      </w:r>
      <w:r>
        <w:rPr>
          <w:rFonts w:hint="eastAsia" w:ascii="宋体" w:hAnsi="宋体" w:eastAsia="宋体" w:cs="宋体"/>
          <w:bCs/>
          <w:color w:val="auto"/>
          <w:kern w:val="0"/>
          <w:sz w:val="24"/>
          <w:szCs w:val="24"/>
          <w:highlight w:val="none"/>
          <w:vertAlign w:val="baseline"/>
          <w:lang w:val="en-US" w:eastAsia="zh-CN" w:bidi="ar"/>
        </w:rPr>
        <w:fldChar w:fldCharType="separate"/>
      </w:r>
      <w:r>
        <w:rPr>
          <w:rFonts w:hint="eastAsia" w:ascii="宋体" w:hAnsi="宋体" w:eastAsia="宋体" w:cs="宋体"/>
          <w:bCs/>
          <w:color w:val="auto"/>
          <w:kern w:val="0"/>
          <w:sz w:val="24"/>
          <w:szCs w:val="24"/>
          <w:highlight w:val="none"/>
          <w:vertAlign w:val="baseline"/>
          <w:lang w:val="en-US" w:eastAsia="zh-CN" w:bidi="ar"/>
        </w:rPr>
        <w:t>www.gsxt.gov.cn）</w:t>
      </w:r>
      <w:r>
        <w:rPr>
          <w:rFonts w:hint="eastAsia" w:ascii="宋体" w:hAnsi="宋体" w:eastAsia="宋体" w:cs="宋体"/>
          <w:bCs/>
          <w:color w:val="auto"/>
          <w:kern w:val="0"/>
          <w:sz w:val="24"/>
          <w:szCs w:val="24"/>
          <w:highlight w:val="none"/>
          <w:vertAlign w:val="baseline"/>
          <w:lang w:val="en-US" w:eastAsia="zh-CN" w:bidi="ar"/>
        </w:rPr>
        <w:fldChar w:fldCharType="end"/>
      </w:r>
      <w:r>
        <w:rPr>
          <w:rFonts w:hint="eastAsia" w:ascii="宋体" w:hAnsi="宋体" w:eastAsia="宋体" w:cs="宋体"/>
          <w:bCs/>
          <w:color w:val="auto"/>
          <w:kern w:val="0"/>
          <w:sz w:val="24"/>
          <w:szCs w:val="24"/>
          <w:highlight w:val="none"/>
          <w:vertAlign w:val="baseline"/>
          <w:lang w:val="en-US" w:eastAsia="zh-CN" w:bidi="ar"/>
        </w:rPr>
        <w:t>查询供应商以下失信行为：</w:t>
      </w:r>
    </w:p>
    <w:p w14:paraId="73FB16D6">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①</w:t>
      </w:r>
      <w:bookmarkStart w:id="81" w:name="OLE_LINK100"/>
      <w:bookmarkStart w:id="82" w:name="OLE_LINK101"/>
      <w:bookmarkStart w:id="83" w:name="OLE_LINK102"/>
      <w:r>
        <w:rPr>
          <w:rFonts w:hint="eastAsia" w:ascii="宋体" w:hAnsi="宋体" w:eastAsia="宋体" w:cs="宋体"/>
          <w:bCs/>
          <w:color w:val="auto"/>
          <w:kern w:val="0"/>
          <w:sz w:val="24"/>
          <w:szCs w:val="24"/>
          <w:highlight w:val="none"/>
          <w:vertAlign w:val="baseline"/>
          <w:lang w:val="en-US" w:eastAsia="zh-CN" w:bidi="ar"/>
        </w:rPr>
        <w:t>被列入“经营异常名录”或者“严重违法失信名单”的</w:t>
      </w:r>
      <w:bookmarkEnd w:id="81"/>
      <w:bookmarkEnd w:id="82"/>
      <w:bookmarkEnd w:id="83"/>
      <w:r>
        <w:rPr>
          <w:rFonts w:hint="eastAsia" w:ascii="宋体" w:hAnsi="宋体" w:eastAsia="宋体" w:cs="宋体"/>
          <w:bCs/>
          <w:color w:val="auto"/>
          <w:kern w:val="0"/>
          <w:sz w:val="24"/>
          <w:szCs w:val="24"/>
          <w:highlight w:val="none"/>
          <w:vertAlign w:val="baseline"/>
          <w:lang w:val="en-US" w:eastAsia="zh-CN" w:bidi="ar"/>
        </w:rPr>
        <w:t>。</w:t>
      </w:r>
    </w:p>
    <w:p w14:paraId="5762D90D">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3、中国政府采购网站（</w:t>
      </w:r>
      <w:bookmarkStart w:id="84" w:name="OLE_LINK96"/>
      <w:bookmarkStart w:id="85" w:name="OLE_LINK95"/>
      <w:r>
        <w:rPr>
          <w:rFonts w:hint="eastAsia" w:ascii="宋体" w:hAnsi="宋体" w:eastAsia="宋体" w:cs="宋体"/>
          <w:bCs/>
          <w:color w:val="auto"/>
          <w:kern w:val="0"/>
          <w:sz w:val="24"/>
          <w:szCs w:val="24"/>
          <w:highlight w:val="none"/>
          <w:vertAlign w:val="baseline"/>
          <w:lang w:val="en-US" w:eastAsia="zh-CN" w:bidi="ar"/>
        </w:rPr>
        <w:fldChar w:fldCharType="begin"/>
      </w:r>
      <w:r>
        <w:rPr>
          <w:rFonts w:hint="eastAsia" w:ascii="宋体" w:hAnsi="宋体" w:eastAsia="宋体" w:cs="宋体"/>
          <w:bCs/>
          <w:color w:val="auto"/>
          <w:kern w:val="0"/>
          <w:sz w:val="24"/>
          <w:szCs w:val="24"/>
          <w:highlight w:val="none"/>
          <w:vertAlign w:val="baseline"/>
          <w:lang w:val="en-US" w:eastAsia="zh-CN" w:bidi="ar"/>
        </w:rPr>
        <w:instrText xml:space="preserve"> HYPERLINK "http://www.ccgp.gov.cn" </w:instrText>
      </w:r>
      <w:r>
        <w:rPr>
          <w:rFonts w:hint="eastAsia" w:ascii="宋体" w:hAnsi="宋体" w:eastAsia="宋体" w:cs="宋体"/>
          <w:bCs/>
          <w:color w:val="auto"/>
          <w:kern w:val="0"/>
          <w:sz w:val="24"/>
          <w:szCs w:val="24"/>
          <w:highlight w:val="none"/>
          <w:vertAlign w:val="baseline"/>
          <w:lang w:val="en-US" w:eastAsia="zh-CN" w:bidi="ar"/>
        </w:rPr>
        <w:fldChar w:fldCharType="separate"/>
      </w:r>
      <w:r>
        <w:rPr>
          <w:rFonts w:hint="eastAsia" w:ascii="宋体" w:hAnsi="宋体" w:eastAsia="宋体" w:cs="宋体"/>
          <w:bCs/>
          <w:color w:val="auto"/>
          <w:kern w:val="0"/>
          <w:sz w:val="24"/>
          <w:szCs w:val="24"/>
          <w:highlight w:val="none"/>
          <w:vertAlign w:val="baseline"/>
          <w:lang w:val="en-US" w:eastAsia="zh-CN" w:bidi="ar"/>
        </w:rPr>
        <w:t>www.ccgp.gov.cn</w:t>
      </w:r>
      <w:r>
        <w:rPr>
          <w:rFonts w:hint="eastAsia" w:ascii="宋体" w:hAnsi="宋体" w:eastAsia="宋体" w:cs="宋体"/>
          <w:bCs/>
          <w:color w:val="auto"/>
          <w:kern w:val="0"/>
          <w:sz w:val="24"/>
          <w:szCs w:val="24"/>
          <w:highlight w:val="none"/>
          <w:vertAlign w:val="baseline"/>
          <w:lang w:val="en-US" w:eastAsia="zh-CN" w:bidi="ar"/>
        </w:rPr>
        <w:fldChar w:fldCharType="end"/>
      </w:r>
      <w:bookmarkEnd w:id="84"/>
      <w:bookmarkEnd w:id="85"/>
      <w:r>
        <w:rPr>
          <w:rFonts w:hint="eastAsia" w:ascii="宋体" w:hAnsi="宋体" w:eastAsia="宋体" w:cs="宋体"/>
          <w:bCs/>
          <w:color w:val="auto"/>
          <w:kern w:val="0"/>
          <w:sz w:val="24"/>
          <w:szCs w:val="24"/>
          <w:highlight w:val="none"/>
          <w:vertAlign w:val="baseline"/>
          <w:lang w:val="en-US" w:eastAsia="zh-CN" w:bidi="ar"/>
        </w:rPr>
        <w:t>）查询以下失信行为：</w:t>
      </w:r>
    </w:p>
    <w:p w14:paraId="35657655">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①</w:t>
      </w:r>
      <w:bookmarkStart w:id="86" w:name="OLE_LINK104"/>
      <w:bookmarkStart w:id="87" w:name="OLE_LINK105"/>
      <w:bookmarkStart w:id="88" w:name="OLE_LINK106"/>
      <w:r>
        <w:rPr>
          <w:rFonts w:hint="eastAsia" w:ascii="宋体" w:hAnsi="宋体" w:eastAsia="宋体" w:cs="宋体"/>
          <w:bCs/>
          <w:color w:val="auto"/>
          <w:kern w:val="0"/>
          <w:sz w:val="24"/>
          <w:szCs w:val="24"/>
          <w:highlight w:val="none"/>
          <w:vertAlign w:val="baseline"/>
          <w:lang w:val="en-US" w:eastAsia="zh-CN" w:bidi="ar"/>
        </w:rPr>
        <w:t>被列入“政府采购严重违法失信行为信息记录”的</w:t>
      </w:r>
      <w:bookmarkEnd w:id="86"/>
      <w:bookmarkEnd w:id="87"/>
      <w:bookmarkEnd w:id="88"/>
      <w:r>
        <w:rPr>
          <w:rFonts w:hint="eastAsia" w:ascii="宋体" w:hAnsi="宋体" w:eastAsia="宋体" w:cs="宋体"/>
          <w:bCs/>
          <w:color w:val="auto"/>
          <w:kern w:val="0"/>
          <w:sz w:val="24"/>
          <w:szCs w:val="24"/>
          <w:highlight w:val="none"/>
          <w:vertAlign w:val="baseline"/>
          <w:lang w:val="en-US" w:eastAsia="zh-CN" w:bidi="ar"/>
        </w:rPr>
        <w:t>。</w:t>
      </w:r>
    </w:p>
    <w:p w14:paraId="355AE9E0">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4、由竞争主体进行承诺，不进行现场网上信用查询的失信行为：</w:t>
      </w:r>
    </w:p>
    <w:p w14:paraId="3E48D7D0">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①前三年有行贿犯罪行为的单位和个人。</w:t>
      </w:r>
    </w:p>
    <w:p w14:paraId="22AA7A8B">
      <w:pPr>
        <w:keepNext w:val="0"/>
        <w:keepLines w:val="0"/>
        <w:widowControl/>
        <w:suppressLineNumbers w:val="0"/>
        <w:autoSpaceDE w:val="0"/>
        <w:autoSpaceDN/>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二、在开评标活动中的查询程序</w:t>
      </w:r>
    </w:p>
    <w:p w14:paraId="68D6BCFF">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74F08785">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EA23AE8">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3、项目单位及其委托的代理机构应当做好信用查询结果截图和记录留存。</w:t>
      </w:r>
    </w:p>
    <w:p w14:paraId="45F2A111">
      <w:pPr>
        <w:keepNext w:val="0"/>
        <w:keepLines w:val="0"/>
        <w:widowControl/>
        <w:suppressLineNumbers w:val="0"/>
        <w:autoSpaceDE w:val="0"/>
        <w:autoSpaceDN/>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三、相关要求</w:t>
      </w:r>
    </w:p>
    <w:p w14:paraId="066102AD">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1、参与公共资源交易活动的竞争主体根据上述范围查询的内容进行自查并承诺，出具《诚信投标承诺书》（诚信投标承诺书包括但不限于上述自查并承诺内容）并注明承诺日期（投标截止时间前5日内）。</w:t>
      </w:r>
    </w:p>
    <w:p w14:paraId="2AFB92E5">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3EA033B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46ED5839">
      <w:pPr>
        <w:keepNext w:val="0"/>
        <w:keepLines w:val="0"/>
        <w:widowControl/>
        <w:suppressLineNumbers w:val="0"/>
        <w:autoSpaceDE w:val="0"/>
        <w:autoSpaceDN/>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2、“信用中国”查询的严重失信行为判定依据为各行业主管部门下发的联合惩戒文件中规定的行为（按附件2执行）。</w:t>
      </w:r>
    </w:p>
    <w:p w14:paraId="01F2D47F">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3、资格预审的项目以递交资格预审申请文件截止时间查询为准；资格后审的项目以递交投标文件截止时间查询为准。</w:t>
      </w:r>
    </w:p>
    <w:p w14:paraId="622EF38B">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r>
        <w:rPr>
          <w:rFonts w:hint="eastAsia"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b/>
          <w:bCs w:val="0"/>
          <w:color w:val="auto"/>
          <w:kern w:val="2"/>
          <w:sz w:val="24"/>
          <w:szCs w:val="24"/>
          <w:highlight w:val="none"/>
          <w:lang w:val="en-US" w:eastAsia="zh-CN" w:bidi="ar"/>
        </w:rPr>
        <w:br w:type="page"/>
      </w:r>
      <w:r>
        <w:rPr>
          <w:rFonts w:hint="eastAsia" w:ascii="宋体" w:hAnsi="宋体" w:eastAsia="宋体" w:cs="宋体"/>
          <w:b/>
          <w:bCs w:val="0"/>
          <w:color w:val="auto"/>
          <w:kern w:val="2"/>
          <w:sz w:val="24"/>
          <w:szCs w:val="24"/>
          <w:highlight w:val="none"/>
          <w:lang w:val="en-US" w:eastAsia="zh-CN" w:bidi="ar"/>
        </w:rPr>
        <w:t>附件</w:t>
      </w:r>
      <w:r>
        <w:rPr>
          <w:rFonts w:hint="default" w:ascii="Times New Roman" w:hAnsi="Times New Roman" w:eastAsia="宋体" w:cs="Times New Roman"/>
          <w:b/>
          <w:bCs w:val="0"/>
          <w:color w:val="auto"/>
          <w:kern w:val="2"/>
          <w:sz w:val="24"/>
          <w:szCs w:val="24"/>
          <w:highlight w:val="none"/>
          <w:lang w:val="en-US" w:eastAsia="zh-CN" w:bidi="ar"/>
        </w:rPr>
        <w:t>2</w:t>
      </w:r>
    </w:p>
    <w:p w14:paraId="13C84D27">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“信用中国”查询的严重失信行为类别及判定依据</w:t>
      </w:r>
    </w:p>
    <w:p w14:paraId="2AFB8C56">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2B4B5F73">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“信用中国”查询的严重失信行为判定依据为各行业主管部门下发的联合惩戒文件中规定的行为。下面将部分类别的严重失信行为列举如下：</w:t>
      </w:r>
    </w:p>
    <w:p w14:paraId="0D69A1ED">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一、安全生产领域严重失信行为：</w:t>
      </w:r>
    </w:p>
    <w:p w14:paraId="6123C66A">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（一）下列发生生产安全事故的生产经营单位及其有关人员应当列入严重失信主体名单：</w:t>
      </w:r>
    </w:p>
    <w:p w14:paraId="20DDB535">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1、发生特别重大、重大生产安全事故的生产经营单位及其主要负责人，以及经调查认定对该事故发生负有责任，应当列入名单的其他单位和人员；</w:t>
      </w:r>
    </w:p>
    <w:p w14:paraId="1085019E">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2、12个月内累计发生2起以上较大生产安全事故的生产经营单位及其主要负责人；</w:t>
      </w:r>
    </w:p>
    <w:p w14:paraId="4D93404E">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3、发生生产安全事故，情节特别严重、影响特别恶劣，依照《中华人民共和国安全生产法》第一百一十四条的规定被处以罚款数额2倍以上5倍以下罚款的生产经营单位及其主要负责人；</w:t>
      </w:r>
    </w:p>
    <w:p w14:paraId="57F95552">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4、瞒报、谎报生产安全事故的生产经营单位及其有关责任人员；</w:t>
      </w:r>
    </w:p>
    <w:p w14:paraId="5EB3ACB0">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5、发生生产安全事故后，不立即组织抢救或者在事故调查处理期间擅离职守或者逃匿的生产经营单位主要负责人。</w:t>
      </w:r>
    </w:p>
    <w:p w14:paraId="23B7D869">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（二）下列未发生生产安全事故，但因安全生产违法行为，受到行政处罚的生产经营单位或者机构及其有关人员，应当列入严重失信主体名单：</w:t>
      </w:r>
    </w:p>
    <w:p w14:paraId="59165439">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1、未依法取得安全生产相关许可或者许可被暂扣、吊销期间从事相关生产经营活动的生产经营单位及其主要负责人；</w:t>
      </w:r>
    </w:p>
    <w:p w14:paraId="55FC1063">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2、承担安全评价、认证、检测、检验职责的机构及其直接责任人员租借资质、挂靠、出具虚假报告或者证书的；</w:t>
      </w:r>
    </w:p>
    <w:p w14:paraId="71020CA9">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3、在应急管理部门作出行政处罚后，有执行能力拒不执行或者逃避执行的生产经营单位及其主要负责人；</w:t>
      </w:r>
    </w:p>
    <w:p w14:paraId="6EFAA957">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4、其他违反安全生产法律法规受到行政处罚，且性质恶劣、情节严重的。</w:t>
      </w:r>
    </w:p>
    <w:p w14:paraId="4429B76F">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依据：《安全生产严重失信主体名单管理办法》（2023年8月8日应急管理部令第11号）</w:t>
      </w:r>
    </w:p>
    <w:p w14:paraId="7C158083">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Times New Roman"/>
          <w:b/>
          <w:bCs/>
          <w:color w:val="auto"/>
          <w:kern w:val="0"/>
          <w:sz w:val="24"/>
          <w:szCs w:val="24"/>
          <w:highlight w:val="none"/>
          <w:vertAlign w:val="baseline"/>
          <w:lang w:val="en-US" w:eastAsia="zh-CN" w:bidi="ar"/>
        </w:rPr>
        <w:t xml:space="preserve"> </w:t>
      </w:r>
    </w:p>
    <w:p w14:paraId="48958011">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二、环境保护领域严重失信行为：</w:t>
      </w:r>
    </w:p>
    <w:p w14:paraId="56D3DA83">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（一）因为环境违法构成环境犯罪的；</w:t>
      </w:r>
    </w:p>
    <w:p w14:paraId="538FB4FD">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（二）建设项目环境影响评价文件未按规定通过审批，擅自开工建设的；</w:t>
      </w:r>
    </w:p>
    <w:p w14:paraId="251566B3">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（三）建设项目环保设施未建成、环保措施未落实、未通过竣工环保验收或者验收不合格，主体工程正式投入生产或者使用的；</w:t>
      </w:r>
    </w:p>
    <w:p w14:paraId="0E6234D5">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（四）建设项目性质、规模、地点、采用的生产工艺或者防治污染、防止生态破坏的措施发生重大变动，未重新报批环境影响评价文件，擅自投入生产或者使用的；</w:t>
      </w:r>
    </w:p>
    <w:p w14:paraId="6E1A6BE5">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（五）主要污染物排放总量超过控制指标的；</w:t>
      </w:r>
    </w:p>
    <w:p w14:paraId="4AC78711">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（六）私设暗管或者利用渗井、渗坑、裂隙、溶洞等排放、倾倒、处置水污染物，或者通过私设旁路排放大气污染物的；</w:t>
      </w:r>
    </w:p>
    <w:p w14:paraId="7AF8AA41">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（七）非法排放、倾倒、处置危险废物，或者向无经营许可证或者超出经营许可范围的单位或个人提供或者委托其收集、贮存、利用、处置危险废物的；</w:t>
      </w:r>
    </w:p>
    <w:p w14:paraId="2D5B2D6C">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（八）环境违法行为造成集中式生活饮用水水源取水中断的；</w:t>
      </w:r>
    </w:p>
    <w:p w14:paraId="19FC6628">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（九）环境违法行为对生活饮用水水源保护区、自然保护区、国家重点生态功能区、风景名胜区、居住功能区、基本农田保护区等环境敏感区造成重大不利影响的；</w:t>
      </w:r>
    </w:p>
    <w:p w14:paraId="6C8225EC">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（十）违法从事自然资源开发、交通基础设施建设，以及其他开发建设活动，造成严重生态破坏的；</w:t>
      </w:r>
    </w:p>
    <w:p w14:paraId="6E84B9D3">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（十一）发生较大及以上突发环境事件的；</w:t>
      </w:r>
    </w:p>
    <w:p w14:paraId="26BD7622">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（十二）被环保部门挂牌督办，整改逾期未完成的；</w:t>
      </w:r>
    </w:p>
    <w:p w14:paraId="6ED0D6E2">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（十三）以暴力、威胁等方式拒绝、阻挠环保部门工作人员现场检查的；</w:t>
      </w:r>
    </w:p>
    <w:p w14:paraId="33D95365">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（十四）违反重污染天气应急预案有关规定，对重污染天气响应不力的。</w:t>
      </w:r>
    </w:p>
    <w:p w14:paraId="6F045EED">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依据：《关于对环境保护领域失信生产经营单位及其有关人员开展联合惩戒的合作备忘录》、《企业环境信用评价办法（试行）》（环发〔2013〕150号）</w:t>
      </w:r>
    </w:p>
    <w:p w14:paraId="25EA1BEF">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Times New Roman"/>
          <w:b/>
          <w:bCs/>
          <w:color w:val="auto"/>
          <w:kern w:val="0"/>
          <w:sz w:val="24"/>
          <w:szCs w:val="24"/>
          <w:highlight w:val="none"/>
          <w:vertAlign w:val="baseline"/>
          <w:lang w:val="en-US" w:eastAsia="zh-CN" w:bidi="ar"/>
        </w:rPr>
        <w:t xml:space="preserve"> </w:t>
      </w:r>
    </w:p>
    <w:p w14:paraId="71A9E2FA">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三、公共资源交易领域严重失信行为</w:t>
      </w:r>
    </w:p>
    <w:p w14:paraId="19F43FBF">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（一）违反法律规定，必须进行招标的项目而不招标的，将必须进行招标的项目化整为零或者以其他任何方式规避招标的； </w:t>
      </w:r>
    </w:p>
    <w:p w14:paraId="1172A5A0">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（二）招标代理机构违反法律规定，泄露应当保密的与招标投标活动有关的情况和资料的，或者与招标人、投标人串通损害 国家利益、社会公共利益或者他人合法权益的；</w:t>
      </w:r>
    </w:p>
    <w:p w14:paraId="2BF1CAB6">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（三）招标人以不合理的条件限制或者排斥潜在投标人的，对潜在投标人实行歧视待遇的，强制要求投标人组成联合体共同 投标的，或者限制投标人之间竞争的；</w:t>
      </w:r>
    </w:p>
    <w:p w14:paraId="4BC16798">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（四）依法必须进行招标的项目的招标人向他人透露已获取招标文件的潜在投标人的名称、数量或者可能影响公平竞争的有 关招标投标的其他情况的，或者泄露标底的；</w:t>
      </w:r>
    </w:p>
    <w:p w14:paraId="002201D5">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（五）投标人相互串通投标或者与招标人串通投标的，投标人以向招标人或者评标委员会成员行贿的手段谋取中标的； </w:t>
      </w:r>
    </w:p>
    <w:p w14:paraId="1CB1E551">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（六）投标人以他人名义投标或者以其他方式弄虚作假，骗取中标的；</w:t>
      </w:r>
    </w:p>
    <w:p w14:paraId="4C73FC62">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（七）依法必须进行招标的项目，招标人违反法律规定，与投标人就投标价格、投标方案等实质性内容进行谈判的；</w:t>
      </w:r>
    </w:p>
    <w:p w14:paraId="01DAD9B1">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7E645CB6">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（九）招标人在评标委员会依法推荐的中标候选人以外确定中标人的，依法必须进行招标的项目在所有投标被评标委员会否 决后自行确定中标人的； </w:t>
      </w:r>
    </w:p>
    <w:p w14:paraId="5F338613">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（十）中标人将中标项目转让给他人的，将中标项目肢解后分别转让给他人的，违反法律规定将中标项目的部分主体、关键 性工作分包给他人的，或者分包人再次分包的； </w:t>
      </w:r>
    </w:p>
    <w:p w14:paraId="57982861">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（十一）招标人与中标人不按照招标文件和中标人的投标文件订立合同的，或者招标人、中标人订立背离合同实质性内容的 协议的； </w:t>
      </w:r>
    </w:p>
    <w:p w14:paraId="7F9F67D5">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（十二）中标人不按照与招标人订立的合同履行义务，情节严重的； </w:t>
      </w:r>
    </w:p>
    <w:p w14:paraId="5398A889">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70375502">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029A4F35">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（十五）采购人对应当实行集中采购的政府采购项目，不委托集中采购机构实行集中采购的； </w:t>
      </w:r>
    </w:p>
    <w:p w14:paraId="2DE6C357">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（十六）采购人、采购代理机构违反法律规定隐匿、销毁应当保存的采购文件或者伪造、变造采购文件的； </w:t>
      </w:r>
    </w:p>
    <w:p w14:paraId="61012D9F">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2A2FA615">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（十八）疫苗生产企业向县级疾病预防控制机构以外的单位或者个人销售第二类疫苗的； </w:t>
      </w:r>
    </w:p>
    <w:p w14:paraId="0F71A2B9">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Times New Roman"/>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（十九）存在其他违反公共资源交易法律法规行为的。</w:t>
      </w:r>
    </w:p>
    <w:p w14:paraId="2C2BEE01">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依据：《关于对公共资源交易领域严重失信主体开展联合惩戒的备忘录》（发改法规〔2018〕457号）</w:t>
      </w:r>
    </w:p>
    <w:p w14:paraId="47919D78">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63497E43">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四、社会保险领域严重失信行为</w:t>
      </w:r>
    </w:p>
    <w:p w14:paraId="6DEF5A5B">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（一）用人单位未按相关规定参加社会保险且拒不整改的； </w:t>
      </w:r>
    </w:p>
    <w:p w14:paraId="71AA5D80">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（二）用人单位未如实申报社会保险缴费基数且拒不整改的； </w:t>
      </w:r>
    </w:p>
    <w:p w14:paraId="63A2FDCA">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（三）应缴纳社会保险费却拒不缴纳的； </w:t>
      </w:r>
    </w:p>
    <w:p w14:paraId="287D41F3">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（四）隐匿、转移、侵占、挪用社会保险费款、基金或者违规投资运营的；</w:t>
      </w:r>
    </w:p>
    <w:p w14:paraId="49F52FA2">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（五）以欺诈、伪造证明材料或者其他手段参加、申报社会保险和骗取社会保险基金支出或社会保险待遇的； </w:t>
      </w:r>
    </w:p>
    <w:p w14:paraId="11EB6629">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（六）非法获取、出售或变相交易社会保险个人权益数据的； </w:t>
      </w:r>
    </w:p>
    <w:p w14:paraId="10984AC4">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（七）社会保险服务机构违反服务协议或相关规定的； </w:t>
      </w:r>
    </w:p>
    <w:p w14:paraId="07698347">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（八）拒绝协助社会保险行政部门、经办机构对事故和问题进 行调查核实的；拒绝接受或协助税务部门对社会保险实施监督检查， 不如实提供与社会保险相关各项资料的； </w:t>
      </w:r>
    </w:p>
    <w:p w14:paraId="18EFFC53">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（九）其他违反法律法规规定的。</w:t>
      </w:r>
    </w:p>
    <w:p w14:paraId="29D96382">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依据：《关于对社会保险领域严重失信企业及其有关人员实施联合惩戒的合作备忘录》（发改财金〔2018〕1704号）</w:t>
      </w:r>
    </w:p>
    <w:p w14:paraId="1FD8B352">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0F4A0834">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五、建筑市场领域严重失信行为</w:t>
      </w:r>
    </w:p>
    <w:p w14:paraId="07300770">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（一）利用虚假材料、以欺骗手段取得企业资质的；</w:t>
      </w:r>
    </w:p>
    <w:p w14:paraId="0936A8E5">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（二）发生转包、出借资质，受到行政处罚的；</w:t>
      </w:r>
    </w:p>
    <w:p w14:paraId="2F972BCE">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（三）发生重大及以上工程质量安全事故，或1年内累计发生2次及以上较大工程质量安全事故，或发生性质恶劣、危害性严重、社会影响大的较大工程质量安全事故，受到行政处罚的；</w:t>
      </w:r>
    </w:p>
    <w:p w14:paraId="545D4CFC">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（四）经法院判决或仲裁机构裁决，认定为拖欠工程款,且拒不履行生效法律文书确定的义务的。</w:t>
      </w:r>
    </w:p>
    <w:p w14:paraId="02B4D084">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各级住房城乡建设主管部门应当参照建筑市场主体“黑名单”，对被人力资源社会保障行政部门列入拖欠农民工工资“黑名单”的建筑市场各方主体加强监管。</w:t>
      </w:r>
    </w:p>
    <w:p w14:paraId="09AFFCDE">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依据：《建筑市场信用管理暂行办法》（建市〔2017〕241号）</w:t>
      </w:r>
    </w:p>
    <w:p w14:paraId="05B4A8BB">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3A4E53C8">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六、政府采购严重失信行为</w:t>
      </w:r>
    </w:p>
    <w:p w14:paraId="54F19CF7">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供应商、采购代理机构在三年内受到财政部门作出下列情形之一的行政处罚，列入政府采购严重违法失信行为记录名单。</w:t>
      </w:r>
    </w:p>
    <w:p w14:paraId="7BF0ED98">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（一）三万元以上罚款；</w:t>
      </w:r>
    </w:p>
    <w:p w14:paraId="26227FBB">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（二）在一至三年内禁止参加政府采购活动（处罚期限届满的除外）；</w:t>
      </w:r>
    </w:p>
    <w:p w14:paraId="25BF2721">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（三）在一至三年内禁止代理政府采购业务（处罚期限届满的除外）；</w:t>
      </w:r>
    </w:p>
    <w:p w14:paraId="26D4BDC4">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Times New Roman"/>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（四）撤销政府采购代理机构资格（仅针对《政府采购法》第78条修改前作出的处罚决定）。</w:t>
      </w:r>
    </w:p>
    <w:p w14:paraId="7BE44862">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依据：《关于报送政府采购严重违法失信行为信息记录的通知》（财办库〔2014〕526号）</w:t>
      </w:r>
    </w:p>
    <w:p w14:paraId="4F55D610">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 </w:t>
      </w:r>
    </w:p>
    <w:p w14:paraId="784B56B1">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0"/>
          <w:sz w:val="24"/>
          <w:szCs w:val="24"/>
          <w:highlight w:val="none"/>
          <w:vertAlign w:val="baseline"/>
          <w:lang w:val="en-US" w:eastAsia="zh-CN" w:bidi="ar"/>
        </w:rPr>
      </w:pPr>
      <w:r>
        <w:rPr>
          <w:rFonts w:hint="eastAsia" w:ascii="宋体" w:hAnsi="宋体" w:eastAsia="宋体" w:cs="宋体"/>
          <w:b/>
          <w:bCs w:val="0"/>
          <w:color w:val="auto"/>
          <w:kern w:val="0"/>
          <w:sz w:val="24"/>
          <w:szCs w:val="24"/>
          <w:highlight w:val="none"/>
          <w:vertAlign w:val="baseline"/>
          <w:lang w:val="en-US" w:eastAsia="zh-CN" w:bidi="ar"/>
        </w:rPr>
        <w:t>未列出的其他类别严重失信行为，由招标人（代理机构）根据各类别行业主管部门下发的联合惩戒文件进行判断。</w:t>
      </w:r>
    </w:p>
    <w:p w14:paraId="1425390C">
      <w:pPr>
        <w:spacing w:line="360" w:lineRule="auto"/>
        <w:jc w:val="center"/>
        <w:outlineLvl w:val="0"/>
        <w:rPr>
          <w:rFonts w:hint="eastAsia" w:ascii="宋体" w:hAnsi="宋体" w:eastAsia="宋体"/>
          <w:b/>
          <w:bCs/>
          <w:color w:val="auto"/>
          <w:sz w:val="28"/>
          <w:highlight w:val="none"/>
        </w:rPr>
      </w:pPr>
    </w:p>
    <w:p w14:paraId="66919D24">
      <w:pPr>
        <w:spacing w:line="360" w:lineRule="auto"/>
        <w:jc w:val="center"/>
        <w:outlineLvl w:val="0"/>
        <w:rPr>
          <w:rFonts w:hint="eastAsia" w:ascii="宋体" w:hAnsi="宋体" w:eastAsia="宋体"/>
          <w:b/>
          <w:bCs/>
          <w:color w:val="auto"/>
          <w:sz w:val="28"/>
          <w:highlight w:val="none"/>
        </w:rPr>
      </w:pPr>
    </w:p>
    <w:p w14:paraId="7F3D3922">
      <w:pPr>
        <w:rPr>
          <w:rFonts w:hint="eastAsia" w:ascii="宋体" w:hAnsi="宋体" w:eastAsia="宋体"/>
          <w:b/>
          <w:bCs/>
          <w:color w:val="auto"/>
          <w:sz w:val="28"/>
          <w:highlight w:val="none"/>
        </w:rPr>
      </w:pPr>
      <w:r>
        <w:rPr>
          <w:rFonts w:hint="eastAsia" w:ascii="宋体" w:hAnsi="宋体" w:eastAsia="宋体"/>
          <w:b/>
          <w:bCs/>
          <w:color w:val="auto"/>
          <w:sz w:val="28"/>
          <w:highlight w:val="none"/>
        </w:rPr>
        <w:br w:type="page"/>
      </w:r>
    </w:p>
    <w:p w14:paraId="5EC24F74">
      <w:pPr>
        <w:spacing w:line="360" w:lineRule="auto"/>
        <w:jc w:val="center"/>
        <w:outlineLvl w:val="0"/>
        <w:rPr>
          <w:rFonts w:ascii="宋体" w:hAnsi="宋体" w:eastAsia="宋体"/>
          <w:b/>
          <w:bCs/>
          <w:color w:val="auto"/>
          <w:sz w:val="28"/>
          <w:highlight w:val="none"/>
        </w:rPr>
      </w:pPr>
      <w:bookmarkStart w:id="89" w:name="_Toc7345"/>
      <w:r>
        <w:rPr>
          <w:rFonts w:hint="eastAsia" w:ascii="宋体" w:hAnsi="宋体" w:eastAsia="宋体"/>
          <w:b/>
          <w:bCs/>
          <w:color w:val="auto"/>
          <w:sz w:val="28"/>
          <w:highlight w:val="none"/>
        </w:rPr>
        <w:t>第</w:t>
      </w:r>
      <w:r>
        <w:rPr>
          <w:rFonts w:hint="eastAsia" w:ascii="宋体" w:hAnsi="宋体" w:eastAsia="宋体"/>
          <w:b/>
          <w:bCs/>
          <w:color w:val="auto"/>
          <w:sz w:val="28"/>
          <w:highlight w:val="none"/>
          <w:lang w:val="en-US" w:eastAsia="zh-CN"/>
        </w:rPr>
        <w:t>七</w:t>
      </w:r>
      <w:r>
        <w:rPr>
          <w:rFonts w:hint="eastAsia" w:ascii="宋体" w:hAnsi="宋体" w:eastAsia="宋体"/>
          <w:b/>
          <w:bCs/>
          <w:color w:val="auto"/>
          <w:sz w:val="28"/>
          <w:highlight w:val="none"/>
        </w:rPr>
        <w:t>章  政府采购</w:t>
      </w:r>
      <w:bookmarkEnd w:id="79"/>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80"/>
      <w:bookmarkEnd w:id="89"/>
    </w:p>
    <w:p w14:paraId="6178FDF3">
      <w:pPr>
        <w:spacing w:line="360" w:lineRule="auto"/>
        <w:jc w:val="center"/>
        <w:outlineLvl w:val="1"/>
        <w:rPr>
          <w:rFonts w:ascii="仿宋" w:hAnsi="仿宋" w:eastAsia="仿宋" w:cs="仿宋"/>
          <w:b/>
          <w:bCs/>
          <w:color w:val="auto"/>
          <w:sz w:val="32"/>
          <w:szCs w:val="44"/>
          <w:highlight w:val="none"/>
        </w:rPr>
      </w:pPr>
      <w:bookmarkStart w:id="90" w:name="_Toc8735"/>
      <w:bookmarkStart w:id="91" w:name="_Toc2142"/>
      <w:r>
        <w:rPr>
          <w:rFonts w:hint="eastAsia" w:ascii="仿宋" w:hAnsi="仿宋" w:eastAsia="仿宋" w:cs="仿宋"/>
          <w:b/>
          <w:bCs/>
          <w:color w:val="auto"/>
          <w:sz w:val="32"/>
          <w:szCs w:val="44"/>
          <w:highlight w:val="none"/>
        </w:rPr>
        <w:t>询问函范本</w:t>
      </w:r>
      <w:bookmarkEnd w:id="90"/>
      <w:bookmarkEnd w:id="91"/>
    </w:p>
    <w:p w14:paraId="47BD5E75">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597A4071">
      <w:pPr>
        <w:adjustRightInd w:val="0"/>
        <w:snapToGrid w:val="0"/>
        <w:spacing w:line="360" w:lineRule="auto"/>
        <w:rPr>
          <w:rFonts w:hint="eastAsia" w:cs="仿宋" w:asciiTheme="minorEastAsia" w:hAnsiTheme="minorEastAsia" w:eastAsiaTheme="minorEastAsia"/>
          <w:b/>
          <w:bCs/>
          <w:color w:val="auto"/>
          <w:sz w:val="24"/>
          <w:szCs w:val="24"/>
          <w:highlight w:val="non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val="en-US" w:eastAsia="zh-CN"/>
        </w:rPr>
        <w:t>采购人</w:t>
      </w:r>
    </w:p>
    <w:p w14:paraId="627834C9">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i/>
          <w:iCs/>
          <w:color w:val="auto"/>
          <w:sz w:val="24"/>
          <w:szCs w:val="24"/>
          <w:highlight w:val="none"/>
          <w:u w:val="none"/>
          <w:lang w:val="en-US" w:eastAsia="zh-CN"/>
        </w:rPr>
        <w:t>（</w:t>
      </w:r>
      <w:r>
        <w:rPr>
          <w:rFonts w:hint="eastAsia" w:cs="仿宋" w:asciiTheme="minorEastAsia" w:hAnsiTheme="minorEastAsia" w:eastAsiaTheme="minorEastAsia"/>
          <w:i/>
          <w:iCs/>
          <w:color w:val="auto"/>
          <w:sz w:val="24"/>
          <w:szCs w:val="24"/>
          <w:highlight w:val="none"/>
          <w:u w:val="none"/>
        </w:rPr>
        <w:t>项目</w:t>
      </w:r>
      <w:r>
        <w:rPr>
          <w:rFonts w:hint="eastAsia" w:cs="仿宋" w:asciiTheme="minorEastAsia" w:hAnsiTheme="minorEastAsia" w:eastAsiaTheme="minorEastAsia"/>
          <w:i/>
          <w:iCs/>
          <w:color w:val="auto"/>
          <w:sz w:val="24"/>
          <w:szCs w:val="24"/>
          <w:highlight w:val="none"/>
          <w:u w:val="none"/>
          <w:lang w:val="en-US" w:eastAsia="zh-CN"/>
        </w:rPr>
        <w:t>名称、</w:t>
      </w:r>
      <w:r>
        <w:rPr>
          <w:rFonts w:hint="eastAsia" w:cs="仿宋" w:asciiTheme="minorEastAsia" w:hAnsiTheme="minorEastAsia" w:eastAsiaTheme="minorEastAsia"/>
          <w:i/>
          <w:iCs/>
          <w:color w:val="auto"/>
          <w:sz w:val="24"/>
          <w:szCs w:val="24"/>
          <w:highlight w:val="none"/>
          <w:u w:val="none"/>
        </w:rPr>
        <w:t>编号)</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57412228">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92" w:name="_Toc9092"/>
      <w:bookmarkStart w:id="93" w:name="_Toc26386"/>
      <w:r>
        <w:rPr>
          <w:rFonts w:hint="eastAsia" w:cs="仿宋" w:asciiTheme="minorEastAsia" w:hAnsiTheme="minorEastAsia" w:eastAsiaTheme="minorEastAsia"/>
          <w:color w:val="auto"/>
          <w:sz w:val="24"/>
          <w:szCs w:val="24"/>
          <w:highlight w:val="none"/>
        </w:rPr>
        <w:t>一、(事项一)</w:t>
      </w:r>
      <w:bookmarkEnd w:id="92"/>
      <w:bookmarkEnd w:id="93"/>
    </w:p>
    <w:p w14:paraId="37A8020E">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59ADC856">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533C735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6AECE0D7">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94" w:name="_Toc17582"/>
      <w:bookmarkStart w:id="95" w:name="_Toc9273"/>
      <w:r>
        <w:rPr>
          <w:rFonts w:hint="eastAsia" w:cs="仿宋" w:asciiTheme="minorEastAsia" w:hAnsiTheme="minorEastAsia" w:eastAsiaTheme="minorEastAsia"/>
          <w:color w:val="auto"/>
          <w:sz w:val="24"/>
          <w:szCs w:val="24"/>
          <w:highlight w:val="none"/>
        </w:rPr>
        <w:t>二、(事项二)</w:t>
      </w:r>
      <w:bookmarkEnd w:id="94"/>
      <w:bookmarkEnd w:id="95"/>
    </w:p>
    <w:p w14:paraId="01F56FF6">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19CC245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4874252C">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68B5C52A">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63CFAC80">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61D1EAA2">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45245215">
      <w:pPr>
        <w:jc w:val="center"/>
        <w:outlineLvl w:val="1"/>
        <w:rPr>
          <w:rFonts w:ascii="仿宋" w:hAnsi="仿宋" w:eastAsia="仿宋" w:cs="仿宋"/>
          <w:b/>
          <w:bCs/>
          <w:color w:val="auto"/>
          <w:sz w:val="32"/>
          <w:szCs w:val="44"/>
          <w:highlight w:val="none"/>
        </w:rPr>
      </w:pPr>
      <w:bookmarkStart w:id="96" w:name="_Toc26673"/>
      <w:bookmarkStart w:id="97" w:name="_Toc6990"/>
      <w:r>
        <w:rPr>
          <w:rFonts w:hint="eastAsia" w:ascii="仿宋" w:hAnsi="仿宋" w:eastAsia="仿宋" w:cs="仿宋"/>
          <w:b/>
          <w:bCs/>
          <w:color w:val="auto"/>
          <w:sz w:val="32"/>
          <w:szCs w:val="44"/>
          <w:highlight w:val="none"/>
        </w:rPr>
        <w:t>质疑函范本</w:t>
      </w:r>
      <w:bookmarkEnd w:id="96"/>
      <w:bookmarkEnd w:id="97"/>
    </w:p>
    <w:p w14:paraId="4F78C1A0">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98" w:name="_Toc29510"/>
      <w:bookmarkStart w:id="99" w:name="_Toc2994"/>
      <w:r>
        <w:rPr>
          <w:rFonts w:hint="eastAsia" w:cs="仿宋" w:asciiTheme="minorEastAsia" w:hAnsiTheme="minorEastAsia" w:eastAsiaTheme="minorEastAsia"/>
          <w:b/>
          <w:bCs/>
          <w:color w:val="auto"/>
          <w:sz w:val="24"/>
          <w:szCs w:val="24"/>
          <w:highlight w:val="none"/>
        </w:rPr>
        <w:t>一、质疑供应商基本信息</w:t>
      </w:r>
      <w:bookmarkEnd w:id="98"/>
      <w:bookmarkEnd w:id="99"/>
    </w:p>
    <w:p w14:paraId="5E752D8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766764C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0783EBC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1B16BCC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2EB32BEB">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1A8988D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034FFD35">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00" w:name="_Toc28130"/>
      <w:bookmarkStart w:id="101" w:name="_Toc31042"/>
      <w:r>
        <w:rPr>
          <w:rFonts w:hint="eastAsia" w:cs="仿宋" w:asciiTheme="minorEastAsia" w:hAnsiTheme="minorEastAsia" w:eastAsiaTheme="minorEastAsia"/>
          <w:b/>
          <w:bCs/>
          <w:color w:val="auto"/>
          <w:sz w:val="24"/>
          <w:szCs w:val="24"/>
          <w:highlight w:val="none"/>
        </w:rPr>
        <w:t>二、质疑项目基本情况</w:t>
      </w:r>
      <w:bookmarkEnd w:id="100"/>
      <w:bookmarkEnd w:id="101"/>
    </w:p>
    <w:p w14:paraId="30C07B8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00D27EB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509E11E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59ECC80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4414F6F9">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02" w:name="_Toc20587"/>
      <w:bookmarkStart w:id="103" w:name="_Toc6486"/>
      <w:r>
        <w:rPr>
          <w:rFonts w:hint="eastAsia" w:cs="仿宋" w:asciiTheme="minorEastAsia" w:hAnsiTheme="minorEastAsia" w:eastAsiaTheme="minorEastAsia"/>
          <w:b/>
          <w:bCs/>
          <w:color w:val="auto"/>
          <w:sz w:val="24"/>
          <w:szCs w:val="24"/>
          <w:highlight w:val="none"/>
        </w:rPr>
        <w:t>三、质疑事项具体内容</w:t>
      </w:r>
      <w:bookmarkEnd w:id="102"/>
      <w:bookmarkEnd w:id="103"/>
    </w:p>
    <w:p w14:paraId="5C9CF40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7B5A26C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70D36DA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7767C38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62CE974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1085CBB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3959E12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20CFBC6B">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04" w:name="_Toc32755"/>
      <w:bookmarkStart w:id="105" w:name="_Toc20470"/>
      <w:r>
        <w:rPr>
          <w:rFonts w:hint="eastAsia" w:cs="仿宋" w:asciiTheme="minorEastAsia" w:hAnsiTheme="minorEastAsia" w:eastAsiaTheme="minorEastAsia"/>
          <w:b/>
          <w:bCs/>
          <w:color w:val="auto"/>
          <w:sz w:val="24"/>
          <w:szCs w:val="24"/>
          <w:highlight w:val="none"/>
        </w:rPr>
        <w:t>四、与质疑事项相关的质疑请求</w:t>
      </w:r>
      <w:bookmarkEnd w:id="104"/>
      <w:bookmarkEnd w:id="105"/>
    </w:p>
    <w:p w14:paraId="04694AC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7B8BCF46">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460B5B93">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2D97829D">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67D69619">
      <w:pPr>
        <w:outlineLvl w:val="0"/>
        <w:rPr>
          <w:rFonts w:asciiTheme="minorEastAsia" w:hAnsiTheme="minorEastAsia" w:eastAsiaTheme="minorEastAsia"/>
          <w:b/>
          <w:color w:val="auto"/>
          <w:sz w:val="28"/>
          <w:szCs w:val="32"/>
          <w:highlight w:val="none"/>
        </w:rPr>
      </w:pPr>
      <w:bookmarkStart w:id="106" w:name="_Toc21667"/>
      <w:bookmarkStart w:id="107" w:name="_Toc20635"/>
      <w:bookmarkStart w:id="108" w:name="_Toc8368"/>
      <w:r>
        <w:rPr>
          <w:rFonts w:hint="eastAsia" w:asciiTheme="minorEastAsia" w:hAnsiTheme="minorEastAsia" w:eastAsiaTheme="minorEastAsia"/>
          <w:b/>
          <w:color w:val="auto"/>
          <w:sz w:val="28"/>
          <w:szCs w:val="32"/>
          <w:highlight w:val="none"/>
        </w:rPr>
        <w:t>质疑函制作说明：</w:t>
      </w:r>
      <w:bookmarkEnd w:id="106"/>
      <w:bookmarkEnd w:id="107"/>
      <w:bookmarkEnd w:id="108"/>
    </w:p>
    <w:p w14:paraId="386C970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44AD327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3FB0B7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FC20CA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1519EBB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76EFDB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098D5">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1F27D">
    <w:pPr>
      <w:pStyle w:val="17"/>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posOffset>2157730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3C173">
                          <w:pPr>
                            <w:pStyle w:val="17"/>
                            <w:rPr>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9.9pt;margin-top:0pt;height:144pt;width:144pt;mso-position-horizontal-relative:margin;mso-wrap-style:none;z-index:251659264;mso-width-relative:page;mso-height-relative:page;" filled="f" stroked="f" coordsize="21600,21600" o:gfxdata="UEsDBAoAAAAAAIdO4kAAAAAAAAAAAAAAAAAEAAAAZHJzL1BLAwQUAAAACACHTuJAVwBugNUAAAAI&#10;AQAADwAAAGRycy9kb3ducmV2LnhtbE2PzU7DMBCE70i8g7VI3KjdBJU0xKlERTgi0XDg6MbbJOCf&#10;yHbT8PYsJziOZjTzTbVbrGEzhjh6J2G9EsDQdV6Prpfw3jZ3BbCYlNPKeIcSvjHCrr6+qlSp/cW9&#10;4XxIPaMSF0slYUhpKjmP3YBWxZWf0JF38sGqRDL0XAd1oXJreCbEhls1OloY1IT7Abuvw9lK2Ddt&#10;G2aMwXzgS5N/vj7d4/Mi5e3NWjwCS7ikvzD84hM61MR09GenIzMS8nxL6EkCPSJ7kz2QPErIikIA&#10;ryv+/0D9A1BLAwQUAAAACACHTuJAuow4KzICAABh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cAboDVAAAACAEAAA8AAAAAAAAAAQAgAAAAIgAAAGRycy9kb3ducmV2LnhtbFBL&#10;AQIUABQAAAAIAIdO4kC6jDgrMgIAAGEEAAAOAAAAAAAAAAEAIAAAACQBAABkcnMvZTJvRG9jLnht&#10;bFBLBQYAAAAABgAGAFkBAADIBQAAAAA=&#10;">
              <v:fill on="f" focussize="0,0"/>
              <v:stroke on="f" weight="0.5pt"/>
              <v:imagedata o:title=""/>
              <o:lock v:ext="edit" aspectratio="f"/>
              <v:textbox inset="0mm,0mm,0mm,0mm" style="mso-fit-shape-to-text:t;">
                <w:txbxContent>
                  <w:p w14:paraId="14F3C173">
                    <w:pPr>
                      <w:pStyle w:val="17"/>
                      <w:rPr>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3BD32">
    <w:pPr>
      <w:pStyle w:val="18"/>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142B7">
    <w:pPr>
      <w:pStyle w:val="18"/>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3379E"/>
    <w:multiLevelType w:val="multilevel"/>
    <w:tmpl w:val="2323379E"/>
    <w:lvl w:ilvl="0" w:tentative="0">
      <w:start w:val="1"/>
      <w:numFmt w:val="chineseCountingThousand"/>
      <w:pStyle w:val="24"/>
      <w:lvlText w:val="%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ZDY5ZDNjMmE2ZDcxYTFkMDY0Zjg5Mjg3YTE0YTgifQ=="/>
  </w:docVars>
  <w:rsids>
    <w:rsidRoot w:val="00276BA1"/>
    <w:rsid w:val="0000043F"/>
    <w:rsid w:val="000037F9"/>
    <w:rsid w:val="000049DA"/>
    <w:rsid w:val="00005403"/>
    <w:rsid w:val="000056B7"/>
    <w:rsid w:val="00007D87"/>
    <w:rsid w:val="000131F7"/>
    <w:rsid w:val="00014039"/>
    <w:rsid w:val="00016B6C"/>
    <w:rsid w:val="00020B57"/>
    <w:rsid w:val="00020B6D"/>
    <w:rsid w:val="000323E2"/>
    <w:rsid w:val="00040C25"/>
    <w:rsid w:val="00042139"/>
    <w:rsid w:val="00042B14"/>
    <w:rsid w:val="00044F49"/>
    <w:rsid w:val="000450C3"/>
    <w:rsid w:val="00050A3F"/>
    <w:rsid w:val="00052F95"/>
    <w:rsid w:val="00054AA3"/>
    <w:rsid w:val="00056ECB"/>
    <w:rsid w:val="00057B40"/>
    <w:rsid w:val="000648D2"/>
    <w:rsid w:val="00070E0E"/>
    <w:rsid w:val="0007146E"/>
    <w:rsid w:val="00076DB7"/>
    <w:rsid w:val="00080FEB"/>
    <w:rsid w:val="00094D41"/>
    <w:rsid w:val="00097CB9"/>
    <w:rsid w:val="000A0161"/>
    <w:rsid w:val="000A10A9"/>
    <w:rsid w:val="000A6693"/>
    <w:rsid w:val="000A7970"/>
    <w:rsid w:val="000A7D94"/>
    <w:rsid w:val="000B1511"/>
    <w:rsid w:val="000B6249"/>
    <w:rsid w:val="000C1DB1"/>
    <w:rsid w:val="000D19EC"/>
    <w:rsid w:val="000D3F37"/>
    <w:rsid w:val="000E3C74"/>
    <w:rsid w:val="000E3F9B"/>
    <w:rsid w:val="000E478E"/>
    <w:rsid w:val="000E668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30601"/>
    <w:rsid w:val="00132F4D"/>
    <w:rsid w:val="00133EA0"/>
    <w:rsid w:val="00137249"/>
    <w:rsid w:val="00140687"/>
    <w:rsid w:val="00146421"/>
    <w:rsid w:val="00153B20"/>
    <w:rsid w:val="00155F64"/>
    <w:rsid w:val="00157856"/>
    <w:rsid w:val="00160729"/>
    <w:rsid w:val="0016455F"/>
    <w:rsid w:val="00165398"/>
    <w:rsid w:val="00166794"/>
    <w:rsid w:val="00166ED8"/>
    <w:rsid w:val="001714C9"/>
    <w:rsid w:val="00171515"/>
    <w:rsid w:val="00172B93"/>
    <w:rsid w:val="001768BC"/>
    <w:rsid w:val="0018119B"/>
    <w:rsid w:val="001844AB"/>
    <w:rsid w:val="001853C7"/>
    <w:rsid w:val="00192879"/>
    <w:rsid w:val="001944B8"/>
    <w:rsid w:val="001967D2"/>
    <w:rsid w:val="00196DA3"/>
    <w:rsid w:val="001970C3"/>
    <w:rsid w:val="001971E5"/>
    <w:rsid w:val="001A0C0F"/>
    <w:rsid w:val="001A68E5"/>
    <w:rsid w:val="001B2A54"/>
    <w:rsid w:val="001B2BA4"/>
    <w:rsid w:val="001B5014"/>
    <w:rsid w:val="001B7327"/>
    <w:rsid w:val="001C2A15"/>
    <w:rsid w:val="001D22EA"/>
    <w:rsid w:val="001D53B4"/>
    <w:rsid w:val="001E1835"/>
    <w:rsid w:val="001F28D2"/>
    <w:rsid w:val="001F2F45"/>
    <w:rsid w:val="001F3023"/>
    <w:rsid w:val="001F35F6"/>
    <w:rsid w:val="001F4AAF"/>
    <w:rsid w:val="001F74CA"/>
    <w:rsid w:val="001F7590"/>
    <w:rsid w:val="002003B6"/>
    <w:rsid w:val="0020244A"/>
    <w:rsid w:val="002049B4"/>
    <w:rsid w:val="0020520B"/>
    <w:rsid w:val="002076AD"/>
    <w:rsid w:val="00213C55"/>
    <w:rsid w:val="00223CF4"/>
    <w:rsid w:val="00224B69"/>
    <w:rsid w:val="00224C4A"/>
    <w:rsid w:val="00231187"/>
    <w:rsid w:val="0023407E"/>
    <w:rsid w:val="00240B40"/>
    <w:rsid w:val="00244182"/>
    <w:rsid w:val="002544A1"/>
    <w:rsid w:val="00257ECE"/>
    <w:rsid w:val="00260382"/>
    <w:rsid w:val="00260B94"/>
    <w:rsid w:val="00264F2E"/>
    <w:rsid w:val="00271245"/>
    <w:rsid w:val="00272BD6"/>
    <w:rsid w:val="00273F66"/>
    <w:rsid w:val="00274A9E"/>
    <w:rsid w:val="00276BA1"/>
    <w:rsid w:val="00280984"/>
    <w:rsid w:val="002832CF"/>
    <w:rsid w:val="00283599"/>
    <w:rsid w:val="002835E3"/>
    <w:rsid w:val="00284542"/>
    <w:rsid w:val="002A14D1"/>
    <w:rsid w:val="002A1A1D"/>
    <w:rsid w:val="002A28AD"/>
    <w:rsid w:val="002B04FD"/>
    <w:rsid w:val="002B5318"/>
    <w:rsid w:val="002B6D27"/>
    <w:rsid w:val="002B7A09"/>
    <w:rsid w:val="002C060C"/>
    <w:rsid w:val="002C078A"/>
    <w:rsid w:val="002D05DD"/>
    <w:rsid w:val="002D0E4D"/>
    <w:rsid w:val="002D2965"/>
    <w:rsid w:val="002D3D02"/>
    <w:rsid w:val="002D4CB5"/>
    <w:rsid w:val="002D5900"/>
    <w:rsid w:val="002D684B"/>
    <w:rsid w:val="002E2D3A"/>
    <w:rsid w:val="002E3B26"/>
    <w:rsid w:val="002E4AB8"/>
    <w:rsid w:val="002E7FC4"/>
    <w:rsid w:val="00310070"/>
    <w:rsid w:val="0031081B"/>
    <w:rsid w:val="003110EC"/>
    <w:rsid w:val="00314289"/>
    <w:rsid w:val="003206A6"/>
    <w:rsid w:val="0032560D"/>
    <w:rsid w:val="00327C92"/>
    <w:rsid w:val="00333292"/>
    <w:rsid w:val="003344E7"/>
    <w:rsid w:val="0033580B"/>
    <w:rsid w:val="003365E7"/>
    <w:rsid w:val="003378D5"/>
    <w:rsid w:val="003473D7"/>
    <w:rsid w:val="00351995"/>
    <w:rsid w:val="00351AC8"/>
    <w:rsid w:val="00353075"/>
    <w:rsid w:val="00363E02"/>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B25A5"/>
    <w:rsid w:val="003B4130"/>
    <w:rsid w:val="003B6FA1"/>
    <w:rsid w:val="003B715B"/>
    <w:rsid w:val="003C2C62"/>
    <w:rsid w:val="003C5566"/>
    <w:rsid w:val="003C577A"/>
    <w:rsid w:val="003C7C74"/>
    <w:rsid w:val="003D1D14"/>
    <w:rsid w:val="003D6C7C"/>
    <w:rsid w:val="003D6EFB"/>
    <w:rsid w:val="003D7E52"/>
    <w:rsid w:val="003E25C6"/>
    <w:rsid w:val="003F7528"/>
    <w:rsid w:val="004011AA"/>
    <w:rsid w:val="0040202C"/>
    <w:rsid w:val="00404A8F"/>
    <w:rsid w:val="00406508"/>
    <w:rsid w:val="004110F6"/>
    <w:rsid w:val="004134F8"/>
    <w:rsid w:val="0041456E"/>
    <w:rsid w:val="004148E3"/>
    <w:rsid w:val="00414F7E"/>
    <w:rsid w:val="004164F8"/>
    <w:rsid w:val="00422224"/>
    <w:rsid w:val="00426F05"/>
    <w:rsid w:val="004328E1"/>
    <w:rsid w:val="004427B7"/>
    <w:rsid w:val="0044349F"/>
    <w:rsid w:val="00445F1F"/>
    <w:rsid w:val="00447862"/>
    <w:rsid w:val="00451F60"/>
    <w:rsid w:val="00452BB2"/>
    <w:rsid w:val="00456054"/>
    <w:rsid w:val="0045656D"/>
    <w:rsid w:val="00462D98"/>
    <w:rsid w:val="00463E7D"/>
    <w:rsid w:val="00472A44"/>
    <w:rsid w:val="00473A89"/>
    <w:rsid w:val="00475899"/>
    <w:rsid w:val="00482C78"/>
    <w:rsid w:val="00483ABC"/>
    <w:rsid w:val="0048634A"/>
    <w:rsid w:val="004874AE"/>
    <w:rsid w:val="0049056F"/>
    <w:rsid w:val="00492217"/>
    <w:rsid w:val="00494D24"/>
    <w:rsid w:val="004951D1"/>
    <w:rsid w:val="004960BB"/>
    <w:rsid w:val="004A1BA3"/>
    <w:rsid w:val="004A27D0"/>
    <w:rsid w:val="004A4D67"/>
    <w:rsid w:val="004B7E79"/>
    <w:rsid w:val="004C13CB"/>
    <w:rsid w:val="004C1AAB"/>
    <w:rsid w:val="004C5B90"/>
    <w:rsid w:val="004D3D4B"/>
    <w:rsid w:val="004D5498"/>
    <w:rsid w:val="004D66A5"/>
    <w:rsid w:val="004D6B00"/>
    <w:rsid w:val="004E1D50"/>
    <w:rsid w:val="004E3266"/>
    <w:rsid w:val="004E38BA"/>
    <w:rsid w:val="004E50CA"/>
    <w:rsid w:val="004F27A0"/>
    <w:rsid w:val="0050027D"/>
    <w:rsid w:val="00501382"/>
    <w:rsid w:val="005048FB"/>
    <w:rsid w:val="00510563"/>
    <w:rsid w:val="00510798"/>
    <w:rsid w:val="005119B5"/>
    <w:rsid w:val="005125F1"/>
    <w:rsid w:val="00524A11"/>
    <w:rsid w:val="00527768"/>
    <w:rsid w:val="00530EA4"/>
    <w:rsid w:val="005327FB"/>
    <w:rsid w:val="00533251"/>
    <w:rsid w:val="00533FCA"/>
    <w:rsid w:val="005346EF"/>
    <w:rsid w:val="00542F0C"/>
    <w:rsid w:val="005470D4"/>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571E"/>
    <w:rsid w:val="005C1D52"/>
    <w:rsid w:val="005C46AC"/>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6517"/>
    <w:rsid w:val="00636EE7"/>
    <w:rsid w:val="00637690"/>
    <w:rsid w:val="00640E1E"/>
    <w:rsid w:val="0064389A"/>
    <w:rsid w:val="00645442"/>
    <w:rsid w:val="006525CD"/>
    <w:rsid w:val="00653F7F"/>
    <w:rsid w:val="00662DCD"/>
    <w:rsid w:val="00662EE8"/>
    <w:rsid w:val="00663813"/>
    <w:rsid w:val="00664AFD"/>
    <w:rsid w:val="00667567"/>
    <w:rsid w:val="0067391A"/>
    <w:rsid w:val="00674173"/>
    <w:rsid w:val="0067534F"/>
    <w:rsid w:val="00677D87"/>
    <w:rsid w:val="006834FA"/>
    <w:rsid w:val="00690DB1"/>
    <w:rsid w:val="00693404"/>
    <w:rsid w:val="006953D9"/>
    <w:rsid w:val="006A1269"/>
    <w:rsid w:val="006A5803"/>
    <w:rsid w:val="006A69C3"/>
    <w:rsid w:val="006A7C15"/>
    <w:rsid w:val="006B1242"/>
    <w:rsid w:val="006B1DBC"/>
    <w:rsid w:val="006B3712"/>
    <w:rsid w:val="006B7D9A"/>
    <w:rsid w:val="006C06D9"/>
    <w:rsid w:val="006C3E22"/>
    <w:rsid w:val="006C5716"/>
    <w:rsid w:val="006C64B2"/>
    <w:rsid w:val="006C74A9"/>
    <w:rsid w:val="006D07DE"/>
    <w:rsid w:val="006D361A"/>
    <w:rsid w:val="006D6A81"/>
    <w:rsid w:val="006E06D9"/>
    <w:rsid w:val="006E1D40"/>
    <w:rsid w:val="006E2E1F"/>
    <w:rsid w:val="006E5059"/>
    <w:rsid w:val="006F5F03"/>
    <w:rsid w:val="006F5FFF"/>
    <w:rsid w:val="00710804"/>
    <w:rsid w:val="00711FC6"/>
    <w:rsid w:val="00712952"/>
    <w:rsid w:val="007130B1"/>
    <w:rsid w:val="00713487"/>
    <w:rsid w:val="00715071"/>
    <w:rsid w:val="007231E9"/>
    <w:rsid w:val="00724F0E"/>
    <w:rsid w:val="007270A6"/>
    <w:rsid w:val="00727C59"/>
    <w:rsid w:val="00733730"/>
    <w:rsid w:val="00734E5D"/>
    <w:rsid w:val="00736013"/>
    <w:rsid w:val="00737BF8"/>
    <w:rsid w:val="0074339B"/>
    <w:rsid w:val="0074478E"/>
    <w:rsid w:val="00750B60"/>
    <w:rsid w:val="00756245"/>
    <w:rsid w:val="00761662"/>
    <w:rsid w:val="00764043"/>
    <w:rsid w:val="00766A36"/>
    <w:rsid w:val="007757CF"/>
    <w:rsid w:val="007769F6"/>
    <w:rsid w:val="00780F9D"/>
    <w:rsid w:val="0078128F"/>
    <w:rsid w:val="0078143C"/>
    <w:rsid w:val="007819D9"/>
    <w:rsid w:val="0078683C"/>
    <w:rsid w:val="00790EDB"/>
    <w:rsid w:val="00791538"/>
    <w:rsid w:val="0079326E"/>
    <w:rsid w:val="00796EDE"/>
    <w:rsid w:val="007A5A58"/>
    <w:rsid w:val="007B1C56"/>
    <w:rsid w:val="007B2EDC"/>
    <w:rsid w:val="007C1DD7"/>
    <w:rsid w:val="007C3CD5"/>
    <w:rsid w:val="007C4756"/>
    <w:rsid w:val="007C5E88"/>
    <w:rsid w:val="007C61EF"/>
    <w:rsid w:val="007C6783"/>
    <w:rsid w:val="007D03DE"/>
    <w:rsid w:val="007D1C0D"/>
    <w:rsid w:val="007D2D23"/>
    <w:rsid w:val="007E1AE9"/>
    <w:rsid w:val="007E27D6"/>
    <w:rsid w:val="007E3921"/>
    <w:rsid w:val="00801028"/>
    <w:rsid w:val="00803793"/>
    <w:rsid w:val="00804000"/>
    <w:rsid w:val="008101A2"/>
    <w:rsid w:val="00817A01"/>
    <w:rsid w:val="00820937"/>
    <w:rsid w:val="00825E35"/>
    <w:rsid w:val="00830A4E"/>
    <w:rsid w:val="008334F8"/>
    <w:rsid w:val="00835FFD"/>
    <w:rsid w:val="0084381F"/>
    <w:rsid w:val="00843E35"/>
    <w:rsid w:val="008524CE"/>
    <w:rsid w:val="00857633"/>
    <w:rsid w:val="0086440C"/>
    <w:rsid w:val="008674ED"/>
    <w:rsid w:val="00874EE6"/>
    <w:rsid w:val="00876659"/>
    <w:rsid w:val="0087734C"/>
    <w:rsid w:val="00882141"/>
    <w:rsid w:val="00886BD4"/>
    <w:rsid w:val="008876EC"/>
    <w:rsid w:val="008922A8"/>
    <w:rsid w:val="00895BD5"/>
    <w:rsid w:val="008A16C4"/>
    <w:rsid w:val="008A4A27"/>
    <w:rsid w:val="008A649F"/>
    <w:rsid w:val="008A6FED"/>
    <w:rsid w:val="008B39C5"/>
    <w:rsid w:val="008B51AA"/>
    <w:rsid w:val="008C67F2"/>
    <w:rsid w:val="008D064A"/>
    <w:rsid w:val="008D2537"/>
    <w:rsid w:val="008D2B0F"/>
    <w:rsid w:val="008D633C"/>
    <w:rsid w:val="008E449E"/>
    <w:rsid w:val="008E4BDD"/>
    <w:rsid w:val="008E770C"/>
    <w:rsid w:val="008F187F"/>
    <w:rsid w:val="008F402F"/>
    <w:rsid w:val="008F76E8"/>
    <w:rsid w:val="00904508"/>
    <w:rsid w:val="009078A1"/>
    <w:rsid w:val="00911E9C"/>
    <w:rsid w:val="00917405"/>
    <w:rsid w:val="00920C1F"/>
    <w:rsid w:val="00920F7C"/>
    <w:rsid w:val="00922718"/>
    <w:rsid w:val="00924743"/>
    <w:rsid w:val="00932A87"/>
    <w:rsid w:val="00934CAE"/>
    <w:rsid w:val="0093560E"/>
    <w:rsid w:val="0094257D"/>
    <w:rsid w:val="009443B6"/>
    <w:rsid w:val="00946F68"/>
    <w:rsid w:val="0095356F"/>
    <w:rsid w:val="0095467C"/>
    <w:rsid w:val="00954A61"/>
    <w:rsid w:val="00955C6F"/>
    <w:rsid w:val="00966C7B"/>
    <w:rsid w:val="009701DC"/>
    <w:rsid w:val="009715D8"/>
    <w:rsid w:val="009811A8"/>
    <w:rsid w:val="00991460"/>
    <w:rsid w:val="00995BF9"/>
    <w:rsid w:val="009975CC"/>
    <w:rsid w:val="009A0CAF"/>
    <w:rsid w:val="009A2207"/>
    <w:rsid w:val="009A2D34"/>
    <w:rsid w:val="009A6565"/>
    <w:rsid w:val="009B0EDA"/>
    <w:rsid w:val="009B6C42"/>
    <w:rsid w:val="009D2998"/>
    <w:rsid w:val="009D31F7"/>
    <w:rsid w:val="009D32C2"/>
    <w:rsid w:val="009D50DB"/>
    <w:rsid w:val="009E2932"/>
    <w:rsid w:val="009E3A0A"/>
    <w:rsid w:val="009F1936"/>
    <w:rsid w:val="009F3E91"/>
    <w:rsid w:val="00A008DA"/>
    <w:rsid w:val="00A00C93"/>
    <w:rsid w:val="00A0571E"/>
    <w:rsid w:val="00A13A27"/>
    <w:rsid w:val="00A1499B"/>
    <w:rsid w:val="00A170D8"/>
    <w:rsid w:val="00A30A1B"/>
    <w:rsid w:val="00A311AD"/>
    <w:rsid w:val="00A314C2"/>
    <w:rsid w:val="00A501BF"/>
    <w:rsid w:val="00A519A0"/>
    <w:rsid w:val="00A5274A"/>
    <w:rsid w:val="00A62A2E"/>
    <w:rsid w:val="00A63A4D"/>
    <w:rsid w:val="00A63E86"/>
    <w:rsid w:val="00A67AF7"/>
    <w:rsid w:val="00A75185"/>
    <w:rsid w:val="00A754A0"/>
    <w:rsid w:val="00A757C3"/>
    <w:rsid w:val="00A75E5B"/>
    <w:rsid w:val="00A75F4B"/>
    <w:rsid w:val="00A7684A"/>
    <w:rsid w:val="00A83B69"/>
    <w:rsid w:val="00A86533"/>
    <w:rsid w:val="00A91CA2"/>
    <w:rsid w:val="00A92FB8"/>
    <w:rsid w:val="00A948F1"/>
    <w:rsid w:val="00AA0BE3"/>
    <w:rsid w:val="00AA18F9"/>
    <w:rsid w:val="00AA1D7D"/>
    <w:rsid w:val="00AA2790"/>
    <w:rsid w:val="00AA3806"/>
    <w:rsid w:val="00AB139D"/>
    <w:rsid w:val="00AB2A35"/>
    <w:rsid w:val="00AB2D05"/>
    <w:rsid w:val="00AB3EFB"/>
    <w:rsid w:val="00AB7314"/>
    <w:rsid w:val="00AC0B05"/>
    <w:rsid w:val="00AC1962"/>
    <w:rsid w:val="00AC7F9D"/>
    <w:rsid w:val="00AD079A"/>
    <w:rsid w:val="00AD1890"/>
    <w:rsid w:val="00AE2149"/>
    <w:rsid w:val="00AE2BF3"/>
    <w:rsid w:val="00AE33AE"/>
    <w:rsid w:val="00AE3986"/>
    <w:rsid w:val="00AE3F91"/>
    <w:rsid w:val="00AF5B63"/>
    <w:rsid w:val="00B0053D"/>
    <w:rsid w:val="00B01176"/>
    <w:rsid w:val="00B039E3"/>
    <w:rsid w:val="00B06D36"/>
    <w:rsid w:val="00B12BC4"/>
    <w:rsid w:val="00B22838"/>
    <w:rsid w:val="00B33E8F"/>
    <w:rsid w:val="00B33E95"/>
    <w:rsid w:val="00B3720B"/>
    <w:rsid w:val="00B45D0B"/>
    <w:rsid w:val="00B52FA0"/>
    <w:rsid w:val="00B5558A"/>
    <w:rsid w:val="00B56513"/>
    <w:rsid w:val="00B61B64"/>
    <w:rsid w:val="00B631E4"/>
    <w:rsid w:val="00B64376"/>
    <w:rsid w:val="00B6570C"/>
    <w:rsid w:val="00B6790B"/>
    <w:rsid w:val="00B7401F"/>
    <w:rsid w:val="00B769CF"/>
    <w:rsid w:val="00B806C3"/>
    <w:rsid w:val="00B80D6F"/>
    <w:rsid w:val="00B84FCA"/>
    <w:rsid w:val="00B9089F"/>
    <w:rsid w:val="00B91826"/>
    <w:rsid w:val="00B91AEE"/>
    <w:rsid w:val="00B95F5A"/>
    <w:rsid w:val="00B96EAD"/>
    <w:rsid w:val="00BA4962"/>
    <w:rsid w:val="00BA4B7C"/>
    <w:rsid w:val="00BA79F5"/>
    <w:rsid w:val="00BA7EA7"/>
    <w:rsid w:val="00BB2E28"/>
    <w:rsid w:val="00BB3AB6"/>
    <w:rsid w:val="00BB766D"/>
    <w:rsid w:val="00BC007B"/>
    <w:rsid w:val="00BC1715"/>
    <w:rsid w:val="00BC26BA"/>
    <w:rsid w:val="00BC35F8"/>
    <w:rsid w:val="00BC481B"/>
    <w:rsid w:val="00BD08DF"/>
    <w:rsid w:val="00BD2D29"/>
    <w:rsid w:val="00BD617C"/>
    <w:rsid w:val="00BE782C"/>
    <w:rsid w:val="00BF376F"/>
    <w:rsid w:val="00BF46A6"/>
    <w:rsid w:val="00BF6CAD"/>
    <w:rsid w:val="00BF71FB"/>
    <w:rsid w:val="00C04DBF"/>
    <w:rsid w:val="00C05E4C"/>
    <w:rsid w:val="00C06545"/>
    <w:rsid w:val="00C134AF"/>
    <w:rsid w:val="00C220FC"/>
    <w:rsid w:val="00C24DFA"/>
    <w:rsid w:val="00C24F9D"/>
    <w:rsid w:val="00C30182"/>
    <w:rsid w:val="00C31FC9"/>
    <w:rsid w:val="00C37A63"/>
    <w:rsid w:val="00C42248"/>
    <w:rsid w:val="00C46A36"/>
    <w:rsid w:val="00C47037"/>
    <w:rsid w:val="00C50235"/>
    <w:rsid w:val="00C509E3"/>
    <w:rsid w:val="00C53625"/>
    <w:rsid w:val="00C548BA"/>
    <w:rsid w:val="00C5679D"/>
    <w:rsid w:val="00C57784"/>
    <w:rsid w:val="00C602C1"/>
    <w:rsid w:val="00C63FC0"/>
    <w:rsid w:val="00C66392"/>
    <w:rsid w:val="00C7075D"/>
    <w:rsid w:val="00C73D09"/>
    <w:rsid w:val="00C74895"/>
    <w:rsid w:val="00C74C5E"/>
    <w:rsid w:val="00C82558"/>
    <w:rsid w:val="00C827A2"/>
    <w:rsid w:val="00C82B69"/>
    <w:rsid w:val="00C82C8E"/>
    <w:rsid w:val="00C82CB3"/>
    <w:rsid w:val="00C91B28"/>
    <w:rsid w:val="00C91F3A"/>
    <w:rsid w:val="00C93590"/>
    <w:rsid w:val="00CA31EA"/>
    <w:rsid w:val="00CA5446"/>
    <w:rsid w:val="00CB14E5"/>
    <w:rsid w:val="00CB218D"/>
    <w:rsid w:val="00CB5625"/>
    <w:rsid w:val="00CB5797"/>
    <w:rsid w:val="00CC1C17"/>
    <w:rsid w:val="00CC4F7F"/>
    <w:rsid w:val="00CC5D70"/>
    <w:rsid w:val="00CD09E1"/>
    <w:rsid w:val="00CE1780"/>
    <w:rsid w:val="00CE4913"/>
    <w:rsid w:val="00CE66BD"/>
    <w:rsid w:val="00CF0671"/>
    <w:rsid w:val="00CF247A"/>
    <w:rsid w:val="00CF44AD"/>
    <w:rsid w:val="00CF4D7C"/>
    <w:rsid w:val="00CF4FC0"/>
    <w:rsid w:val="00CF7486"/>
    <w:rsid w:val="00D00637"/>
    <w:rsid w:val="00D1072F"/>
    <w:rsid w:val="00D108A5"/>
    <w:rsid w:val="00D14585"/>
    <w:rsid w:val="00D153C8"/>
    <w:rsid w:val="00D17F98"/>
    <w:rsid w:val="00D20EFF"/>
    <w:rsid w:val="00D215B9"/>
    <w:rsid w:val="00D31324"/>
    <w:rsid w:val="00D4386E"/>
    <w:rsid w:val="00D51432"/>
    <w:rsid w:val="00D53ED8"/>
    <w:rsid w:val="00D541A0"/>
    <w:rsid w:val="00D64857"/>
    <w:rsid w:val="00D6493A"/>
    <w:rsid w:val="00D649A5"/>
    <w:rsid w:val="00D66833"/>
    <w:rsid w:val="00D67875"/>
    <w:rsid w:val="00D71E86"/>
    <w:rsid w:val="00D731C6"/>
    <w:rsid w:val="00D745C5"/>
    <w:rsid w:val="00D75327"/>
    <w:rsid w:val="00D77D6B"/>
    <w:rsid w:val="00D80C36"/>
    <w:rsid w:val="00D81A32"/>
    <w:rsid w:val="00D86EE1"/>
    <w:rsid w:val="00D95E90"/>
    <w:rsid w:val="00D96126"/>
    <w:rsid w:val="00DA2FD5"/>
    <w:rsid w:val="00DB4B1C"/>
    <w:rsid w:val="00DB5085"/>
    <w:rsid w:val="00DB619F"/>
    <w:rsid w:val="00DB7211"/>
    <w:rsid w:val="00DC1062"/>
    <w:rsid w:val="00DC132C"/>
    <w:rsid w:val="00DC181A"/>
    <w:rsid w:val="00DC5727"/>
    <w:rsid w:val="00DD43F0"/>
    <w:rsid w:val="00DD44DE"/>
    <w:rsid w:val="00DE09AB"/>
    <w:rsid w:val="00DE1DCC"/>
    <w:rsid w:val="00DE352F"/>
    <w:rsid w:val="00DE4A3F"/>
    <w:rsid w:val="00DE5A99"/>
    <w:rsid w:val="00DF4367"/>
    <w:rsid w:val="00DF7291"/>
    <w:rsid w:val="00E0574A"/>
    <w:rsid w:val="00E1243D"/>
    <w:rsid w:val="00E12742"/>
    <w:rsid w:val="00E146D4"/>
    <w:rsid w:val="00E14815"/>
    <w:rsid w:val="00E21D37"/>
    <w:rsid w:val="00E220ED"/>
    <w:rsid w:val="00E22B44"/>
    <w:rsid w:val="00E30ACD"/>
    <w:rsid w:val="00E32735"/>
    <w:rsid w:val="00E34236"/>
    <w:rsid w:val="00E44B88"/>
    <w:rsid w:val="00E60DDB"/>
    <w:rsid w:val="00E65AD9"/>
    <w:rsid w:val="00E66E36"/>
    <w:rsid w:val="00E67F21"/>
    <w:rsid w:val="00E702ED"/>
    <w:rsid w:val="00E709A4"/>
    <w:rsid w:val="00E75917"/>
    <w:rsid w:val="00E772DB"/>
    <w:rsid w:val="00E86012"/>
    <w:rsid w:val="00E860CA"/>
    <w:rsid w:val="00E86BAB"/>
    <w:rsid w:val="00E92962"/>
    <w:rsid w:val="00E94E10"/>
    <w:rsid w:val="00E96743"/>
    <w:rsid w:val="00E96A42"/>
    <w:rsid w:val="00E97497"/>
    <w:rsid w:val="00EA16D5"/>
    <w:rsid w:val="00EA49C5"/>
    <w:rsid w:val="00EA6279"/>
    <w:rsid w:val="00EB5027"/>
    <w:rsid w:val="00EB6C87"/>
    <w:rsid w:val="00EC1836"/>
    <w:rsid w:val="00EC2F6E"/>
    <w:rsid w:val="00EC3990"/>
    <w:rsid w:val="00EC484B"/>
    <w:rsid w:val="00EC7E58"/>
    <w:rsid w:val="00ED15FA"/>
    <w:rsid w:val="00ED5C9F"/>
    <w:rsid w:val="00EE050C"/>
    <w:rsid w:val="00EE2113"/>
    <w:rsid w:val="00EE5730"/>
    <w:rsid w:val="00EE6E9A"/>
    <w:rsid w:val="00EF2AC4"/>
    <w:rsid w:val="00EF397E"/>
    <w:rsid w:val="00F0340C"/>
    <w:rsid w:val="00F06F68"/>
    <w:rsid w:val="00F11241"/>
    <w:rsid w:val="00F15E9D"/>
    <w:rsid w:val="00F23FA7"/>
    <w:rsid w:val="00F24C2D"/>
    <w:rsid w:val="00F27BEC"/>
    <w:rsid w:val="00F27D59"/>
    <w:rsid w:val="00F316E1"/>
    <w:rsid w:val="00F32155"/>
    <w:rsid w:val="00F32A81"/>
    <w:rsid w:val="00F40C82"/>
    <w:rsid w:val="00F4197F"/>
    <w:rsid w:val="00F46998"/>
    <w:rsid w:val="00F5382D"/>
    <w:rsid w:val="00F53D9C"/>
    <w:rsid w:val="00F54195"/>
    <w:rsid w:val="00F5462B"/>
    <w:rsid w:val="00F54653"/>
    <w:rsid w:val="00F54FAC"/>
    <w:rsid w:val="00F569DE"/>
    <w:rsid w:val="00F57205"/>
    <w:rsid w:val="00F634AD"/>
    <w:rsid w:val="00F63677"/>
    <w:rsid w:val="00F70658"/>
    <w:rsid w:val="00F7417E"/>
    <w:rsid w:val="00F75B81"/>
    <w:rsid w:val="00F761CA"/>
    <w:rsid w:val="00F804C4"/>
    <w:rsid w:val="00F80C7E"/>
    <w:rsid w:val="00F82F83"/>
    <w:rsid w:val="00F86097"/>
    <w:rsid w:val="00F90C64"/>
    <w:rsid w:val="00F9210C"/>
    <w:rsid w:val="00F92B30"/>
    <w:rsid w:val="00F933B9"/>
    <w:rsid w:val="00F94674"/>
    <w:rsid w:val="00F94919"/>
    <w:rsid w:val="00F94A59"/>
    <w:rsid w:val="00FA25B6"/>
    <w:rsid w:val="00FA2FAF"/>
    <w:rsid w:val="00FA54F6"/>
    <w:rsid w:val="00FA64B1"/>
    <w:rsid w:val="00FA70F3"/>
    <w:rsid w:val="00FA71CD"/>
    <w:rsid w:val="00FB0453"/>
    <w:rsid w:val="00FB0C07"/>
    <w:rsid w:val="00FB205F"/>
    <w:rsid w:val="00FB298D"/>
    <w:rsid w:val="00FB3171"/>
    <w:rsid w:val="00FB444E"/>
    <w:rsid w:val="00FC1439"/>
    <w:rsid w:val="00FC3F65"/>
    <w:rsid w:val="00FC5007"/>
    <w:rsid w:val="00FC70AD"/>
    <w:rsid w:val="00FC724B"/>
    <w:rsid w:val="00FC7910"/>
    <w:rsid w:val="00FD01E0"/>
    <w:rsid w:val="00FD50FC"/>
    <w:rsid w:val="00FE1627"/>
    <w:rsid w:val="00FE2D4E"/>
    <w:rsid w:val="00FE3F22"/>
    <w:rsid w:val="00FF092F"/>
    <w:rsid w:val="00FF0DA7"/>
    <w:rsid w:val="00FF2B09"/>
    <w:rsid w:val="00FF44E0"/>
    <w:rsid w:val="00FF6C72"/>
    <w:rsid w:val="01057174"/>
    <w:rsid w:val="0127237A"/>
    <w:rsid w:val="015873C5"/>
    <w:rsid w:val="015C4E83"/>
    <w:rsid w:val="01722E9F"/>
    <w:rsid w:val="017600E6"/>
    <w:rsid w:val="017F5898"/>
    <w:rsid w:val="0185764C"/>
    <w:rsid w:val="01915CC2"/>
    <w:rsid w:val="019F4757"/>
    <w:rsid w:val="0241242E"/>
    <w:rsid w:val="02443CCC"/>
    <w:rsid w:val="027108F1"/>
    <w:rsid w:val="02880C6E"/>
    <w:rsid w:val="02B63CEC"/>
    <w:rsid w:val="02EB0203"/>
    <w:rsid w:val="02EF2692"/>
    <w:rsid w:val="034445B5"/>
    <w:rsid w:val="03A72764"/>
    <w:rsid w:val="03B629A7"/>
    <w:rsid w:val="03C43552"/>
    <w:rsid w:val="04B05649"/>
    <w:rsid w:val="04F80D9E"/>
    <w:rsid w:val="05BA3DD1"/>
    <w:rsid w:val="05D714EA"/>
    <w:rsid w:val="064A0C38"/>
    <w:rsid w:val="067E27BC"/>
    <w:rsid w:val="068F0ACF"/>
    <w:rsid w:val="06954AF6"/>
    <w:rsid w:val="069637C4"/>
    <w:rsid w:val="06AE129F"/>
    <w:rsid w:val="071271AE"/>
    <w:rsid w:val="072D20A4"/>
    <w:rsid w:val="073B420D"/>
    <w:rsid w:val="07C12195"/>
    <w:rsid w:val="07D71DC7"/>
    <w:rsid w:val="08192736"/>
    <w:rsid w:val="08397703"/>
    <w:rsid w:val="08BA0E0D"/>
    <w:rsid w:val="0937357F"/>
    <w:rsid w:val="098D7D07"/>
    <w:rsid w:val="09A909AA"/>
    <w:rsid w:val="09F47D86"/>
    <w:rsid w:val="0A052B89"/>
    <w:rsid w:val="0A3D35AB"/>
    <w:rsid w:val="0A542106"/>
    <w:rsid w:val="0A6C4667"/>
    <w:rsid w:val="0AC97464"/>
    <w:rsid w:val="0AD876A7"/>
    <w:rsid w:val="0AF049F1"/>
    <w:rsid w:val="0AFF69E2"/>
    <w:rsid w:val="0B2360D1"/>
    <w:rsid w:val="0B2C7DE0"/>
    <w:rsid w:val="0B947958"/>
    <w:rsid w:val="0B9C06D5"/>
    <w:rsid w:val="0BAB10D1"/>
    <w:rsid w:val="0BBE711B"/>
    <w:rsid w:val="0BD47173"/>
    <w:rsid w:val="0C1B47F2"/>
    <w:rsid w:val="0C4264AA"/>
    <w:rsid w:val="0C6157E5"/>
    <w:rsid w:val="0C700315"/>
    <w:rsid w:val="0CF42A49"/>
    <w:rsid w:val="0D224C0A"/>
    <w:rsid w:val="0D295F98"/>
    <w:rsid w:val="0D3816F5"/>
    <w:rsid w:val="0D466B4A"/>
    <w:rsid w:val="0D474670"/>
    <w:rsid w:val="0D8458C4"/>
    <w:rsid w:val="0D8B3316"/>
    <w:rsid w:val="0DA27AF9"/>
    <w:rsid w:val="0DB63633"/>
    <w:rsid w:val="0DBF68FD"/>
    <w:rsid w:val="0DCB34F3"/>
    <w:rsid w:val="0E812471"/>
    <w:rsid w:val="0EFE3455"/>
    <w:rsid w:val="0F403A6D"/>
    <w:rsid w:val="10090F42"/>
    <w:rsid w:val="10120F66"/>
    <w:rsid w:val="10142F30"/>
    <w:rsid w:val="105B6243"/>
    <w:rsid w:val="10607C4F"/>
    <w:rsid w:val="10625C40"/>
    <w:rsid w:val="106E6418"/>
    <w:rsid w:val="10990825"/>
    <w:rsid w:val="10D40911"/>
    <w:rsid w:val="11323C4E"/>
    <w:rsid w:val="11E45716"/>
    <w:rsid w:val="12067AF4"/>
    <w:rsid w:val="12517511"/>
    <w:rsid w:val="1299596E"/>
    <w:rsid w:val="12D71D5F"/>
    <w:rsid w:val="13147343"/>
    <w:rsid w:val="13433B2C"/>
    <w:rsid w:val="13622204"/>
    <w:rsid w:val="14095D3A"/>
    <w:rsid w:val="143914E4"/>
    <w:rsid w:val="14BE0ADF"/>
    <w:rsid w:val="150505A4"/>
    <w:rsid w:val="151B7FB7"/>
    <w:rsid w:val="15AF54A9"/>
    <w:rsid w:val="15B17473"/>
    <w:rsid w:val="15B64A89"/>
    <w:rsid w:val="15CC7E09"/>
    <w:rsid w:val="15DA4F00"/>
    <w:rsid w:val="16300397"/>
    <w:rsid w:val="167B6427"/>
    <w:rsid w:val="16B27D38"/>
    <w:rsid w:val="17BE24A9"/>
    <w:rsid w:val="17C61EE4"/>
    <w:rsid w:val="17D77080"/>
    <w:rsid w:val="17DE3E23"/>
    <w:rsid w:val="19263CD4"/>
    <w:rsid w:val="1930691F"/>
    <w:rsid w:val="19D11A42"/>
    <w:rsid w:val="19FB6BA4"/>
    <w:rsid w:val="1A352420"/>
    <w:rsid w:val="1A510CFD"/>
    <w:rsid w:val="1A54637E"/>
    <w:rsid w:val="1A6528FE"/>
    <w:rsid w:val="1A835004"/>
    <w:rsid w:val="1AB33345"/>
    <w:rsid w:val="1ABC044C"/>
    <w:rsid w:val="1ABF618E"/>
    <w:rsid w:val="1AD339E7"/>
    <w:rsid w:val="1B31170E"/>
    <w:rsid w:val="1B4B17D0"/>
    <w:rsid w:val="1B542D7A"/>
    <w:rsid w:val="1BA02D05"/>
    <w:rsid w:val="1BA61F6F"/>
    <w:rsid w:val="1BE94919"/>
    <w:rsid w:val="1C093B64"/>
    <w:rsid w:val="1C3D55BC"/>
    <w:rsid w:val="1C63029E"/>
    <w:rsid w:val="1C6B037B"/>
    <w:rsid w:val="1C715A71"/>
    <w:rsid w:val="1CA1494D"/>
    <w:rsid w:val="1CA52637"/>
    <w:rsid w:val="1CC921E7"/>
    <w:rsid w:val="1D0E0D07"/>
    <w:rsid w:val="1D1C4205"/>
    <w:rsid w:val="1D444EB6"/>
    <w:rsid w:val="1DA840EB"/>
    <w:rsid w:val="1DF83E22"/>
    <w:rsid w:val="1E1D46AD"/>
    <w:rsid w:val="1E4531C0"/>
    <w:rsid w:val="1F29350C"/>
    <w:rsid w:val="1FC55FF4"/>
    <w:rsid w:val="1FCB2EDF"/>
    <w:rsid w:val="1FD40B49"/>
    <w:rsid w:val="2000568E"/>
    <w:rsid w:val="200A7EAB"/>
    <w:rsid w:val="201A2AFF"/>
    <w:rsid w:val="203A2CE5"/>
    <w:rsid w:val="208539D6"/>
    <w:rsid w:val="20B9542D"/>
    <w:rsid w:val="20C16461"/>
    <w:rsid w:val="20ED2E58"/>
    <w:rsid w:val="20FF5536"/>
    <w:rsid w:val="21367194"/>
    <w:rsid w:val="21444369"/>
    <w:rsid w:val="21963C10"/>
    <w:rsid w:val="21CB366A"/>
    <w:rsid w:val="21DE339D"/>
    <w:rsid w:val="226F2197"/>
    <w:rsid w:val="22E91FFA"/>
    <w:rsid w:val="23146520"/>
    <w:rsid w:val="23205778"/>
    <w:rsid w:val="23585502"/>
    <w:rsid w:val="23596C26"/>
    <w:rsid w:val="239767DA"/>
    <w:rsid w:val="23DB14C5"/>
    <w:rsid w:val="24042E63"/>
    <w:rsid w:val="24456480"/>
    <w:rsid w:val="24577437"/>
    <w:rsid w:val="24584540"/>
    <w:rsid w:val="24635A04"/>
    <w:rsid w:val="246851A0"/>
    <w:rsid w:val="24E0567E"/>
    <w:rsid w:val="25256AF7"/>
    <w:rsid w:val="255D409B"/>
    <w:rsid w:val="2561056D"/>
    <w:rsid w:val="25652EDE"/>
    <w:rsid w:val="25981AB5"/>
    <w:rsid w:val="25DA3E7C"/>
    <w:rsid w:val="262D78EB"/>
    <w:rsid w:val="263F3C7D"/>
    <w:rsid w:val="265231DC"/>
    <w:rsid w:val="265D18B9"/>
    <w:rsid w:val="26E72CF4"/>
    <w:rsid w:val="26EB3CAB"/>
    <w:rsid w:val="27CA60F4"/>
    <w:rsid w:val="27E234BC"/>
    <w:rsid w:val="27E85AF1"/>
    <w:rsid w:val="288240FF"/>
    <w:rsid w:val="28BF1224"/>
    <w:rsid w:val="28C929C1"/>
    <w:rsid w:val="291C4345"/>
    <w:rsid w:val="29332221"/>
    <w:rsid w:val="295220BC"/>
    <w:rsid w:val="29934A6D"/>
    <w:rsid w:val="299A1C85"/>
    <w:rsid w:val="29DA6B0B"/>
    <w:rsid w:val="2A093B18"/>
    <w:rsid w:val="2A1C2D12"/>
    <w:rsid w:val="2A4D7312"/>
    <w:rsid w:val="2A8D7B4E"/>
    <w:rsid w:val="2AA148FB"/>
    <w:rsid w:val="2ABD245A"/>
    <w:rsid w:val="2AD104E2"/>
    <w:rsid w:val="2AFB4FC0"/>
    <w:rsid w:val="2B412386"/>
    <w:rsid w:val="2B5B780D"/>
    <w:rsid w:val="2B876854"/>
    <w:rsid w:val="2BB34FD2"/>
    <w:rsid w:val="2BC43604"/>
    <w:rsid w:val="2BD15D21"/>
    <w:rsid w:val="2BD52484"/>
    <w:rsid w:val="2BE62A1C"/>
    <w:rsid w:val="2BFD6B16"/>
    <w:rsid w:val="2C6E3570"/>
    <w:rsid w:val="2C8124F8"/>
    <w:rsid w:val="2C843672"/>
    <w:rsid w:val="2CE10D2D"/>
    <w:rsid w:val="2CEA687B"/>
    <w:rsid w:val="2D1633EB"/>
    <w:rsid w:val="2D345514"/>
    <w:rsid w:val="2D5819A5"/>
    <w:rsid w:val="2D9708A4"/>
    <w:rsid w:val="2DA57F4B"/>
    <w:rsid w:val="2DCA3B5A"/>
    <w:rsid w:val="2DDE64D3"/>
    <w:rsid w:val="2DE16C1F"/>
    <w:rsid w:val="2DF05041"/>
    <w:rsid w:val="2E027D31"/>
    <w:rsid w:val="2E096892"/>
    <w:rsid w:val="2E1B2EA1"/>
    <w:rsid w:val="2E395380"/>
    <w:rsid w:val="2E450300"/>
    <w:rsid w:val="2E63511A"/>
    <w:rsid w:val="2E636360"/>
    <w:rsid w:val="2E6F2713"/>
    <w:rsid w:val="2EB35320"/>
    <w:rsid w:val="2EE6563F"/>
    <w:rsid w:val="2EF830D5"/>
    <w:rsid w:val="2F111D48"/>
    <w:rsid w:val="2F283EAA"/>
    <w:rsid w:val="2F2C7428"/>
    <w:rsid w:val="2F317872"/>
    <w:rsid w:val="2F3F0C54"/>
    <w:rsid w:val="2F4615DA"/>
    <w:rsid w:val="2F810850"/>
    <w:rsid w:val="2FB40713"/>
    <w:rsid w:val="30085A89"/>
    <w:rsid w:val="302F1268"/>
    <w:rsid w:val="30444D13"/>
    <w:rsid w:val="30D10B44"/>
    <w:rsid w:val="30ED2B9B"/>
    <w:rsid w:val="310821E5"/>
    <w:rsid w:val="31197749"/>
    <w:rsid w:val="31B00187"/>
    <w:rsid w:val="323B0398"/>
    <w:rsid w:val="324A2389"/>
    <w:rsid w:val="32691053"/>
    <w:rsid w:val="32A538A5"/>
    <w:rsid w:val="32CF509C"/>
    <w:rsid w:val="330373EB"/>
    <w:rsid w:val="33080B55"/>
    <w:rsid w:val="330E360D"/>
    <w:rsid w:val="33492641"/>
    <w:rsid w:val="335747AC"/>
    <w:rsid w:val="33B37D2E"/>
    <w:rsid w:val="33C06BFF"/>
    <w:rsid w:val="33E764F4"/>
    <w:rsid w:val="34033D81"/>
    <w:rsid w:val="344F264A"/>
    <w:rsid w:val="344F3C87"/>
    <w:rsid w:val="348C7C8B"/>
    <w:rsid w:val="348F2D94"/>
    <w:rsid w:val="34C91C8B"/>
    <w:rsid w:val="34F051F3"/>
    <w:rsid w:val="352620DC"/>
    <w:rsid w:val="3531125E"/>
    <w:rsid w:val="35E054DE"/>
    <w:rsid w:val="35E5310F"/>
    <w:rsid w:val="36097A13"/>
    <w:rsid w:val="36581519"/>
    <w:rsid w:val="3661430F"/>
    <w:rsid w:val="369D587E"/>
    <w:rsid w:val="36B87C32"/>
    <w:rsid w:val="36CF1D5D"/>
    <w:rsid w:val="36CF7301"/>
    <w:rsid w:val="370F3BF6"/>
    <w:rsid w:val="371D28E3"/>
    <w:rsid w:val="375D1E78"/>
    <w:rsid w:val="37E33E7C"/>
    <w:rsid w:val="37E47653"/>
    <w:rsid w:val="382947EF"/>
    <w:rsid w:val="388D1222"/>
    <w:rsid w:val="38EE783A"/>
    <w:rsid w:val="38F01E0F"/>
    <w:rsid w:val="38F15A12"/>
    <w:rsid w:val="39293004"/>
    <w:rsid w:val="393336C0"/>
    <w:rsid w:val="39820C37"/>
    <w:rsid w:val="39882115"/>
    <w:rsid w:val="399651CC"/>
    <w:rsid w:val="39D8471E"/>
    <w:rsid w:val="39E10D60"/>
    <w:rsid w:val="3A203377"/>
    <w:rsid w:val="3A3D1A61"/>
    <w:rsid w:val="3A8328DC"/>
    <w:rsid w:val="3A8C79E3"/>
    <w:rsid w:val="3A960861"/>
    <w:rsid w:val="3AB931B1"/>
    <w:rsid w:val="3ADC54E1"/>
    <w:rsid w:val="3AF07A3A"/>
    <w:rsid w:val="3B0A17B5"/>
    <w:rsid w:val="3B0C034B"/>
    <w:rsid w:val="3B11613A"/>
    <w:rsid w:val="3BBA40DC"/>
    <w:rsid w:val="3BF1271B"/>
    <w:rsid w:val="3BFC5E74"/>
    <w:rsid w:val="3C0059BB"/>
    <w:rsid w:val="3C5A58BF"/>
    <w:rsid w:val="3C5F3E33"/>
    <w:rsid w:val="3C776471"/>
    <w:rsid w:val="3CC64D02"/>
    <w:rsid w:val="3CD66855"/>
    <w:rsid w:val="3CFC5061"/>
    <w:rsid w:val="3D1B7B1B"/>
    <w:rsid w:val="3D502D9B"/>
    <w:rsid w:val="3D9077EA"/>
    <w:rsid w:val="3DFD7F8F"/>
    <w:rsid w:val="3F1907ED"/>
    <w:rsid w:val="3F283A52"/>
    <w:rsid w:val="3F5E4365"/>
    <w:rsid w:val="3FBE7F13"/>
    <w:rsid w:val="40861B2C"/>
    <w:rsid w:val="41087697"/>
    <w:rsid w:val="41214BFD"/>
    <w:rsid w:val="415470E2"/>
    <w:rsid w:val="41596343"/>
    <w:rsid w:val="416E38FB"/>
    <w:rsid w:val="41770ACF"/>
    <w:rsid w:val="41AF5742"/>
    <w:rsid w:val="41BB759E"/>
    <w:rsid w:val="42213351"/>
    <w:rsid w:val="42435353"/>
    <w:rsid w:val="425608D6"/>
    <w:rsid w:val="42664FBD"/>
    <w:rsid w:val="42B740A7"/>
    <w:rsid w:val="42CD2946"/>
    <w:rsid w:val="42D34BF8"/>
    <w:rsid w:val="42E83C24"/>
    <w:rsid w:val="42FC216C"/>
    <w:rsid w:val="42FF3315"/>
    <w:rsid w:val="4353477A"/>
    <w:rsid w:val="437A5885"/>
    <w:rsid w:val="43C05511"/>
    <w:rsid w:val="446B6021"/>
    <w:rsid w:val="447A6BAC"/>
    <w:rsid w:val="449F0313"/>
    <w:rsid w:val="4595695A"/>
    <w:rsid w:val="45CF25DD"/>
    <w:rsid w:val="45FC7108"/>
    <w:rsid w:val="46B53E1D"/>
    <w:rsid w:val="46BD7ED2"/>
    <w:rsid w:val="46D22C21"/>
    <w:rsid w:val="473A7BED"/>
    <w:rsid w:val="4779040E"/>
    <w:rsid w:val="47863A67"/>
    <w:rsid w:val="478F71C4"/>
    <w:rsid w:val="47D34348"/>
    <w:rsid w:val="47EF335F"/>
    <w:rsid w:val="4821786A"/>
    <w:rsid w:val="4825146D"/>
    <w:rsid w:val="48253225"/>
    <w:rsid w:val="48D04F3E"/>
    <w:rsid w:val="48FB42D1"/>
    <w:rsid w:val="49407CA0"/>
    <w:rsid w:val="498126DD"/>
    <w:rsid w:val="4A080708"/>
    <w:rsid w:val="4A547DF1"/>
    <w:rsid w:val="4A6169D0"/>
    <w:rsid w:val="4B013AD5"/>
    <w:rsid w:val="4B014864"/>
    <w:rsid w:val="4B071F90"/>
    <w:rsid w:val="4B125CE2"/>
    <w:rsid w:val="4B2C48CA"/>
    <w:rsid w:val="4B4E2A92"/>
    <w:rsid w:val="4B835265"/>
    <w:rsid w:val="4B954E7C"/>
    <w:rsid w:val="4C055307"/>
    <w:rsid w:val="4C2537F3"/>
    <w:rsid w:val="4C312198"/>
    <w:rsid w:val="4D3E64AE"/>
    <w:rsid w:val="4DC8085E"/>
    <w:rsid w:val="4E151645"/>
    <w:rsid w:val="4E6B046C"/>
    <w:rsid w:val="4E6C5709"/>
    <w:rsid w:val="4E707289"/>
    <w:rsid w:val="4E9E4717"/>
    <w:rsid w:val="4EEA3D40"/>
    <w:rsid w:val="4EF3571C"/>
    <w:rsid w:val="4EFD6CDC"/>
    <w:rsid w:val="4F00728A"/>
    <w:rsid w:val="4F3016F5"/>
    <w:rsid w:val="4F3F6AB1"/>
    <w:rsid w:val="4F5D071B"/>
    <w:rsid w:val="4F8151E4"/>
    <w:rsid w:val="4F8847C5"/>
    <w:rsid w:val="4F9B688F"/>
    <w:rsid w:val="50067073"/>
    <w:rsid w:val="50C36BA5"/>
    <w:rsid w:val="50E95575"/>
    <w:rsid w:val="511D0F3D"/>
    <w:rsid w:val="517D5E7F"/>
    <w:rsid w:val="51DD691E"/>
    <w:rsid w:val="51F64E25"/>
    <w:rsid w:val="52550769"/>
    <w:rsid w:val="52752746"/>
    <w:rsid w:val="527B72D6"/>
    <w:rsid w:val="527D5F08"/>
    <w:rsid w:val="52C378C2"/>
    <w:rsid w:val="52DD09D8"/>
    <w:rsid w:val="52EC3194"/>
    <w:rsid w:val="536B3351"/>
    <w:rsid w:val="5379560D"/>
    <w:rsid w:val="53BD2563"/>
    <w:rsid w:val="53C438F2"/>
    <w:rsid w:val="53D855EF"/>
    <w:rsid w:val="53DF072C"/>
    <w:rsid w:val="54087D99"/>
    <w:rsid w:val="543A3BB4"/>
    <w:rsid w:val="545D5AF4"/>
    <w:rsid w:val="548A4B3B"/>
    <w:rsid w:val="549C03CB"/>
    <w:rsid w:val="54A72003"/>
    <w:rsid w:val="54B576DE"/>
    <w:rsid w:val="55723669"/>
    <w:rsid w:val="5577646D"/>
    <w:rsid w:val="558D05EC"/>
    <w:rsid w:val="55C645F4"/>
    <w:rsid w:val="56023921"/>
    <w:rsid w:val="56151261"/>
    <w:rsid w:val="56550D6B"/>
    <w:rsid w:val="56D06A51"/>
    <w:rsid w:val="5712706A"/>
    <w:rsid w:val="571A0F26"/>
    <w:rsid w:val="571C1C97"/>
    <w:rsid w:val="57305E0A"/>
    <w:rsid w:val="576D53C0"/>
    <w:rsid w:val="57803BF0"/>
    <w:rsid w:val="57BC2B32"/>
    <w:rsid w:val="57D12A81"/>
    <w:rsid w:val="57DA1D5C"/>
    <w:rsid w:val="5809250B"/>
    <w:rsid w:val="580E15DF"/>
    <w:rsid w:val="580F01B2"/>
    <w:rsid w:val="581A61D6"/>
    <w:rsid w:val="58BA1767"/>
    <w:rsid w:val="59011BEE"/>
    <w:rsid w:val="59080725"/>
    <w:rsid w:val="592D08A8"/>
    <w:rsid w:val="59387C36"/>
    <w:rsid w:val="59A65848"/>
    <w:rsid w:val="59BE0FF0"/>
    <w:rsid w:val="59C01C6B"/>
    <w:rsid w:val="59C363FA"/>
    <w:rsid w:val="5A3617D9"/>
    <w:rsid w:val="5A513A05"/>
    <w:rsid w:val="5A737E20"/>
    <w:rsid w:val="5A7F6B6C"/>
    <w:rsid w:val="5AFB613D"/>
    <w:rsid w:val="5B080567"/>
    <w:rsid w:val="5B76642D"/>
    <w:rsid w:val="5B884B20"/>
    <w:rsid w:val="5B971658"/>
    <w:rsid w:val="5BB4249E"/>
    <w:rsid w:val="5BC0556E"/>
    <w:rsid w:val="5BC81C40"/>
    <w:rsid w:val="5BF353EE"/>
    <w:rsid w:val="5C15773A"/>
    <w:rsid w:val="5C3F26AF"/>
    <w:rsid w:val="5C9A78E6"/>
    <w:rsid w:val="5CB55550"/>
    <w:rsid w:val="5CE609DA"/>
    <w:rsid w:val="5D3309DE"/>
    <w:rsid w:val="5D351306"/>
    <w:rsid w:val="5D657C27"/>
    <w:rsid w:val="5D8B01B4"/>
    <w:rsid w:val="5DA327CA"/>
    <w:rsid w:val="5DCF7A63"/>
    <w:rsid w:val="5DE60909"/>
    <w:rsid w:val="5DE762FC"/>
    <w:rsid w:val="5DEB0B1F"/>
    <w:rsid w:val="5DEC23C3"/>
    <w:rsid w:val="5E6617D8"/>
    <w:rsid w:val="5E714AFD"/>
    <w:rsid w:val="5EA22A81"/>
    <w:rsid w:val="5EB84053"/>
    <w:rsid w:val="5EBF1885"/>
    <w:rsid w:val="5ED300C5"/>
    <w:rsid w:val="5FA6034F"/>
    <w:rsid w:val="5FBF7663"/>
    <w:rsid w:val="5FC5111D"/>
    <w:rsid w:val="5FCD244A"/>
    <w:rsid w:val="5FD41360"/>
    <w:rsid w:val="5FD74633"/>
    <w:rsid w:val="607246D5"/>
    <w:rsid w:val="60885CA7"/>
    <w:rsid w:val="60A071E8"/>
    <w:rsid w:val="60E412C0"/>
    <w:rsid w:val="61714B8D"/>
    <w:rsid w:val="61AD1DFA"/>
    <w:rsid w:val="61E323AE"/>
    <w:rsid w:val="622639C9"/>
    <w:rsid w:val="623331AC"/>
    <w:rsid w:val="62333335"/>
    <w:rsid w:val="623C31ED"/>
    <w:rsid w:val="6247406C"/>
    <w:rsid w:val="625772C4"/>
    <w:rsid w:val="633839B4"/>
    <w:rsid w:val="636F3034"/>
    <w:rsid w:val="63A064A2"/>
    <w:rsid w:val="63CD15D5"/>
    <w:rsid w:val="63E356AC"/>
    <w:rsid w:val="64530E0A"/>
    <w:rsid w:val="64B1428F"/>
    <w:rsid w:val="64E41ED7"/>
    <w:rsid w:val="64E831B8"/>
    <w:rsid w:val="64EA12AF"/>
    <w:rsid w:val="650516A8"/>
    <w:rsid w:val="65330581"/>
    <w:rsid w:val="65613696"/>
    <w:rsid w:val="65830E72"/>
    <w:rsid w:val="65C77271"/>
    <w:rsid w:val="66550C7C"/>
    <w:rsid w:val="669F36BE"/>
    <w:rsid w:val="66A7157D"/>
    <w:rsid w:val="66D823BF"/>
    <w:rsid w:val="66E81280"/>
    <w:rsid w:val="66F607A6"/>
    <w:rsid w:val="67303132"/>
    <w:rsid w:val="67BF46A4"/>
    <w:rsid w:val="67E900A7"/>
    <w:rsid w:val="67EB4FC1"/>
    <w:rsid w:val="68172908"/>
    <w:rsid w:val="681C35DE"/>
    <w:rsid w:val="689866A0"/>
    <w:rsid w:val="68C36416"/>
    <w:rsid w:val="69043521"/>
    <w:rsid w:val="69110DD3"/>
    <w:rsid w:val="691427CE"/>
    <w:rsid w:val="691D526F"/>
    <w:rsid w:val="695D4175"/>
    <w:rsid w:val="69676D3F"/>
    <w:rsid w:val="69A2602B"/>
    <w:rsid w:val="6A0665BA"/>
    <w:rsid w:val="6A2E3597"/>
    <w:rsid w:val="6A4964A7"/>
    <w:rsid w:val="6A5F4DAD"/>
    <w:rsid w:val="6A894DD0"/>
    <w:rsid w:val="6B2D47E7"/>
    <w:rsid w:val="6B3D5CA9"/>
    <w:rsid w:val="6B8E2CAD"/>
    <w:rsid w:val="6BC32289"/>
    <w:rsid w:val="6C492150"/>
    <w:rsid w:val="6C705F6D"/>
    <w:rsid w:val="6C8D150C"/>
    <w:rsid w:val="6C964502"/>
    <w:rsid w:val="6CB31D06"/>
    <w:rsid w:val="6CE35249"/>
    <w:rsid w:val="6CFC710B"/>
    <w:rsid w:val="6D3527BF"/>
    <w:rsid w:val="6D3A6E8E"/>
    <w:rsid w:val="6D6C08BF"/>
    <w:rsid w:val="6DA73C10"/>
    <w:rsid w:val="6DC37FC8"/>
    <w:rsid w:val="6DFD5F26"/>
    <w:rsid w:val="6E39711A"/>
    <w:rsid w:val="6E997D6C"/>
    <w:rsid w:val="6EB37CB6"/>
    <w:rsid w:val="6ED742C8"/>
    <w:rsid w:val="6EF616F6"/>
    <w:rsid w:val="6F5D575B"/>
    <w:rsid w:val="6F653D83"/>
    <w:rsid w:val="708811A7"/>
    <w:rsid w:val="70951A45"/>
    <w:rsid w:val="70BB1D85"/>
    <w:rsid w:val="70C8281B"/>
    <w:rsid w:val="70C94717"/>
    <w:rsid w:val="70C95A75"/>
    <w:rsid w:val="70CD22D0"/>
    <w:rsid w:val="71467526"/>
    <w:rsid w:val="717209D9"/>
    <w:rsid w:val="71902C0D"/>
    <w:rsid w:val="71C02DE5"/>
    <w:rsid w:val="72367C59"/>
    <w:rsid w:val="723E4876"/>
    <w:rsid w:val="726B360F"/>
    <w:rsid w:val="72824C4C"/>
    <w:rsid w:val="72834520"/>
    <w:rsid w:val="72D354A8"/>
    <w:rsid w:val="73697BBA"/>
    <w:rsid w:val="737722D7"/>
    <w:rsid w:val="738B18DE"/>
    <w:rsid w:val="73A86934"/>
    <w:rsid w:val="740C0C71"/>
    <w:rsid w:val="74785E04"/>
    <w:rsid w:val="749A746A"/>
    <w:rsid w:val="74FC2405"/>
    <w:rsid w:val="75041948"/>
    <w:rsid w:val="752C4F4C"/>
    <w:rsid w:val="753019CD"/>
    <w:rsid w:val="75322959"/>
    <w:rsid w:val="754058DD"/>
    <w:rsid w:val="7615092E"/>
    <w:rsid w:val="762027B2"/>
    <w:rsid w:val="76621D63"/>
    <w:rsid w:val="76735D63"/>
    <w:rsid w:val="7682346D"/>
    <w:rsid w:val="76976BFF"/>
    <w:rsid w:val="76E44C82"/>
    <w:rsid w:val="771A04F8"/>
    <w:rsid w:val="77594FE0"/>
    <w:rsid w:val="77905715"/>
    <w:rsid w:val="77AC54F3"/>
    <w:rsid w:val="77C26C1D"/>
    <w:rsid w:val="77F30411"/>
    <w:rsid w:val="780954C8"/>
    <w:rsid w:val="780F0D30"/>
    <w:rsid w:val="78105AA2"/>
    <w:rsid w:val="782D15D9"/>
    <w:rsid w:val="783C764B"/>
    <w:rsid w:val="784A4B73"/>
    <w:rsid w:val="78544995"/>
    <w:rsid w:val="78617423"/>
    <w:rsid w:val="786924FD"/>
    <w:rsid w:val="7894419D"/>
    <w:rsid w:val="78A3591C"/>
    <w:rsid w:val="78A91184"/>
    <w:rsid w:val="79022643"/>
    <w:rsid w:val="79224A93"/>
    <w:rsid w:val="7950018C"/>
    <w:rsid w:val="79837AAE"/>
    <w:rsid w:val="7995454B"/>
    <w:rsid w:val="799B26EC"/>
    <w:rsid w:val="79B0209F"/>
    <w:rsid w:val="7A5B3FA8"/>
    <w:rsid w:val="7A7632E8"/>
    <w:rsid w:val="7AB67B89"/>
    <w:rsid w:val="7AE863F2"/>
    <w:rsid w:val="7AE91FA6"/>
    <w:rsid w:val="7B1A0118"/>
    <w:rsid w:val="7BA174E1"/>
    <w:rsid w:val="7BBB4D2B"/>
    <w:rsid w:val="7BC04FC3"/>
    <w:rsid w:val="7CA0464C"/>
    <w:rsid w:val="7CA72746"/>
    <w:rsid w:val="7D230DDA"/>
    <w:rsid w:val="7D4C6582"/>
    <w:rsid w:val="7D796C4C"/>
    <w:rsid w:val="7D87580C"/>
    <w:rsid w:val="7DC26844"/>
    <w:rsid w:val="7DC33C3F"/>
    <w:rsid w:val="7DD00A7F"/>
    <w:rsid w:val="7DE762AB"/>
    <w:rsid w:val="7E3239CA"/>
    <w:rsid w:val="7E877EF0"/>
    <w:rsid w:val="7EA0293B"/>
    <w:rsid w:val="7EA81A90"/>
    <w:rsid w:val="7EFC5E66"/>
    <w:rsid w:val="7F2B14FE"/>
    <w:rsid w:val="7F38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5">
    <w:name w:val="heading 1"/>
    <w:basedOn w:val="1"/>
    <w:next w:val="1"/>
    <w:link w:val="60"/>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link w:val="62"/>
    <w:autoRedefine/>
    <w:semiHidden/>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67"/>
    <w:autoRedefine/>
    <w:qFormat/>
    <w:uiPriority w:val="0"/>
    <w:pPr>
      <w:keepNext/>
      <w:keepLines/>
      <w:spacing w:before="280" w:after="290" w:line="376" w:lineRule="auto"/>
      <w:outlineLvl w:val="3"/>
    </w:pPr>
    <w:rPr>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ascii="宋体"/>
      <w:szCs w:val="20"/>
    </w:rPr>
  </w:style>
  <w:style w:type="paragraph" w:styleId="3">
    <w:name w:val="Body Text Indent"/>
    <w:basedOn w:val="1"/>
    <w:next w:val="4"/>
    <w:qFormat/>
    <w:uiPriority w:val="0"/>
    <w:pPr>
      <w:widowControl w:val="0"/>
      <w:spacing w:after="120" w:line="240" w:lineRule="auto"/>
      <w:ind w:left="420" w:leftChars="200"/>
      <w:textAlignment w:val="auto"/>
    </w:pPr>
    <w:rPr>
      <w:rFonts w:ascii="Times New Roman" w:hAnsi="Times New Roman" w:eastAsia="宋体"/>
      <w:color w:val="auto"/>
      <w:kern w:val="2"/>
      <w:szCs w:val="24"/>
    </w:rPr>
  </w:style>
  <w:style w:type="paragraph" w:styleId="4">
    <w:name w:val="envelope return"/>
    <w:basedOn w:val="1"/>
    <w:qFormat/>
    <w:uiPriority w:val="0"/>
    <w:pPr>
      <w:snapToGrid w:val="0"/>
    </w:pPr>
    <w:rPr>
      <w:rFonts w:ascii="Arial" w:hAnsi="Arial"/>
    </w:rPr>
  </w:style>
  <w:style w:type="paragraph" w:styleId="9">
    <w:name w:val="toc 7"/>
    <w:basedOn w:val="1"/>
    <w:next w:val="1"/>
    <w:qFormat/>
    <w:uiPriority w:val="39"/>
    <w:pPr>
      <w:ind w:left="1260"/>
      <w:jc w:val="left"/>
    </w:pPr>
    <w:rPr>
      <w:sz w:val="18"/>
      <w:szCs w:val="18"/>
    </w:rPr>
  </w:style>
  <w:style w:type="paragraph" w:styleId="10">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1">
    <w:name w:val="annotation text"/>
    <w:basedOn w:val="1"/>
    <w:link w:val="59"/>
    <w:autoRedefine/>
    <w:qFormat/>
    <w:uiPriority w:val="0"/>
    <w:pPr>
      <w:jc w:val="left"/>
    </w:pPr>
    <w:rPr>
      <w:rFonts w:ascii="Arial" w:hAnsi="Arial" w:eastAsia="黑体" w:cs="Arial"/>
    </w:rPr>
  </w:style>
  <w:style w:type="paragraph" w:styleId="12">
    <w:name w:val="Body Text"/>
    <w:basedOn w:val="1"/>
    <w:link w:val="68"/>
    <w:autoRedefine/>
    <w:qFormat/>
    <w:uiPriority w:val="0"/>
    <w:pPr>
      <w:spacing w:after="120"/>
    </w:pPr>
    <w:rPr>
      <w:rFonts w:ascii="@微软简标宋" w:hAnsi="@微软简标宋" w:eastAsia="@微软简标宋" w:cs="@微软简标宋"/>
      <w:szCs w:val="24"/>
      <w:lang w:val="zh-CN"/>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48"/>
    <w:autoRedefine/>
    <w:qFormat/>
    <w:uiPriority w:val="99"/>
    <w:rPr>
      <w:rFonts w:ascii="宋体" w:hAnsi="Courier New" w:eastAsiaTheme="minorEastAsia" w:cstheme="minorBidi"/>
      <w:szCs w:val="22"/>
    </w:rPr>
  </w:style>
  <w:style w:type="paragraph" w:styleId="15">
    <w:name w:val="Date"/>
    <w:basedOn w:val="1"/>
    <w:next w:val="1"/>
    <w:link w:val="55"/>
    <w:autoRedefine/>
    <w:qFormat/>
    <w:uiPriority w:val="0"/>
    <w:rPr>
      <w:rFonts w:ascii="Arial" w:hAnsi="Arial" w:eastAsia="宋体" w:cs="Arial"/>
      <w:b/>
      <w:sz w:val="28"/>
    </w:rPr>
  </w:style>
  <w:style w:type="paragraph" w:styleId="16">
    <w:name w:val="Balloon Text"/>
    <w:basedOn w:val="1"/>
    <w:link w:val="42"/>
    <w:autoRedefine/>
    <w:semiHidden/>
    <w:unhideWhenUsed/>
    <w:qFormat/>
    <w:uiPriority w:val="99"/>
    <w:rPr>
      <w:sz w:val="18"/>
      <w:szCs w:val="18"/>
    </w:rPr>
  </w:style>
  <w:style w:type="paragraph" w:styleId="17">
    <w:name w:val="footer"/>
    <w:basedOn w:val="1"/>
    <w:link w:val="47"/>
    <w:autoRedefine/>
    <w:unhideWhenUsed/>
    <w:qFormat/>
    <w:uiPriority w:val="99"/>
    <w:pPr>
      <w:tabs>
        <w:tab w:val="center" w:pos="4153"/>
        <w:tab w:val="right" w:pos="8306"/>
      </w:tabs>
      <w:snapToGrid w:val="0"/>
      <w:jc w:val="left"/>
    </w:pPr>
    <w:rPr>
      <w:sz w:val="18"/>
      <w:szCs w:val="18"/>
    </w:rPr>
  </w:style>
  <w:style w:type="paragraph" w:styleId="18">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next w:val="22"/>
    <w:autoRedefine/>
    <w:qFormat/>
    <w:uiPriority w:val="0"/>
    <w:pPr>
      <w:spacing w:before="100" w:beforeAutospacing="1" w:after="100" w:afterAutospacing="1"/>
      <w:jc w:val="left"/>
    </w:pPr>
    <w:rPr>
      <w:rFonts w:cs="Times New Roman"/>
      <w:kern w:val="0"/>
      <w:sz w:val="24"/>
    </w:rPr>
  </w:style>
  <w:style w:type="paragraph" w:customStyle="1" w:styleId="22">
    <w:name w:val="正文文字 8"/>
    <w:basedOn w:val="1"/>
    <w:next w:val="1"/>
    <w:autoRedefine/>
    <w:qFormat/>
    <w:uiPriority w:val="99"/>
    <w:pPr>
      <w:ind w:left="240"/>
    </w:pPr>
    <w:rPr>
      <w:sz w:val="16"/>
    </w:rPr>
  </w:style>
  <w:style w:type="paragraph" w:styleId="23">
    <w:name w:val="index 1"/>
    <w:basedOn w:val="1"/>
    <w:next w:val="1"/>
    <w:autoRedefine/>
    <w:qFormat/>
    <w:uiPriority w:val="0"/>
    <w:pPr>
      <w:jc w:val="center"/>
    </w:pPr>
    <w:rPr>
      <w:rFonts w:ascii="Arial" w:hAnsi="Arial" w:eastAsia="Arial" w:cs="Arial"/>
      <w:b/>
      <w:bCs/>
      <w:sz w:val="28"/>
    </w:rPr>
  </w:style>
  <w:style w:type="paragraph" w:styleId="24">
    <w:name w:val="Title"/>
    <w:basedOn w:val="1"/>
    <w:next w:val="1"/>
    <w:qFormat/>
    <w:uiPriority w:val="0"/>
    <w:pPr>
      <w:numPr>
        <w:ilvl w:val="0"/>
        <w:numId w:val="1"/>
      </w:numPr>
      <w:spacing w:line="360" w:lineRule="auto"/>
      <w:jc w:val="left"/>
      <w:outlineLvl w:val="0"/>
    </w:pPr>
    <w:rPr>
      <w:rFonts w:ascii="Cambria" w:hAnsi="Cambria" w:cs="Times New Roman"/>
      <w:b/>
      <w:bCs/>
      <w:sz w:val="28"/>
      <w:szCs w:val="32"/>
    </w:rPr>
  </w:style>
  <w:style w:type="paragraph" w:styleId="25">
    <w:name w:val="Body Text First Indent"/>
    <w:basedOn w:val="12"/>
    <w:autoRedefine/>
    <w:unhideWhenUsed/>
    <w:qFormat/>
    <w:uiPriority w:val="99"/>
    <w:pPr>
      <w:ind w:firstLine="420" w:firstLineChars="100"/>
    </w:pPr>
  </w:style>
  <w:style w:type="table" w:styleId="27">
    <w:name w:val="Table Grid"/>
    <w:basedOn w:val="2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0"/>
    <w:rPr>
      <w:b/>
      <w:bCs/>
    </w:rPr>
  </w:style>
  <w:style w:type="character" w:styleId="30">
    <w:name w:val="FollowedHyperlink"/>
    <w:basedOn w:val="28"/>
    <w:autoRedefine/>
    <w:semiHidden/>
    <w:unhideWhenUsed/>
    <w:qFormat/>
    <w:uiPriority w:val="99"/>
    <w:rPr>
      <w:color w:val="800080"/>
      <w:u w:val="none"/>
    </w:rPr>
  </w:style>
  <w:style w:type="character" w:styleId="31">
    <w:name w:val="Emphasis"/>
    <w:basedOn w:val="28"/>
    <w:autoRedefine/>
    <w:qFormat/>
    <w:uiPriority w:val="20"/>
    <w:rPr>
      <w:b/>
      <w:bCs/>
    </w:rPr>
  </w:style>
  <w:style w:type="character" w:styleId="32">
    <w:name w:val="HTML Definition"/>
    <w:basedOn w:val="28"/>
    <w:autoRedefine/>
    <w:semiHidden/>
    <w:unhideWhenUsed/>
    <w:qFormat/>
    <w:uiPriority w:val="99"/>
  </w:style>
  <w:style w:type="character" w:styleId="33">
    <w:name w:val="HTML Typewriter"/>
    <w:basedOn w:val="28"/>
    <w:autoRedefine/>
    <w:semiHidden/>
    <w:unhideWhenUsed/>
    <w:qFormat/>
    <w:uiPriority w:val="99"/>
    <w:rPr>
      <w:rFonts w:hint="default" w:ascii="monospace" w:hAnsi="monospace" w:eastAsia="monospace" w:cs="monospace"/>
      <w:sz w:val="20"/>
    </w:rPr>
  </w:style>
  <w:style w:type="character" w:styleId="34">
    <w:name w:val="HTML Acronym"/>
    <w:basedOn w:val="28"/>
    <w:autoRedefine/>
    <w:semiHidden/>
    <w:unhideWhenUsed/>
    <w:qFormat/>
    <w:uiPriority w:val="99"/>
  </w:style>
  <w:style w:type="character" w:styleId="35">
    <w:name w:val="HTML Variable"/>
    <w:basedOn w:val="28"/>
    <w:autoRedefine/>
    <w:semiHidden/>
    <w:unhideWhenUsed/>
    <w:qFormat/>
    <w:uiPriority w:val="99"/>
  </w:style>
  <w:style w:type="character" w:styleId="36">
    <w:name w:val="Hyperlink"/>
    <w:basedOn w:val="28"/>
    <w:autoRedefine/>
    <w:unhideWhenUsed/>
    <w:qFormat/>
    <w:uiPriority w:val="99"/>
    <w:rPr>
      <w:color w:val="0000FF" w:themeColor="hyperlink"/>
      <w:u w:val="single"/>
      <w14:textFill>
        <w14:solidFill>
          <w14:schemeClr w14:val="hlink"/>
        </w14:solidFill>
      </w14:textFill>
    </w:rPr>
  </w:style>
  <w:style w:type="character" w:styleId="37">
    <w:name w:val="HTML Code"/>
    <w:basedOn w:val="28"/>
    <w:autoRedefine/>
    <w:semiHidden/>
    <w:unhideWhenUsed/>
    <w:qFormat/>
    <w:uiPriority w:val="99"/>
    <w:rPr>
      <w:rFonts w:ascii="monospace" w:hAnsi="monospace" w:eastAsia="monospace" w:cs="monospace"/>
      <w:sz w:val="20"/>
    </w:rPr>
  </w:style>
  <w:style w:type="character" w:styleId="38">
    <w:name w:val="HTML Cite"/>
    <w:basedOn w:val="28"/>
    <w:autoRedefine/>
    <w:semiHidden/>
    <w:unhideWhenUsed/>
    <w:qFormat/>
    <w:uiPriority w:val="99"/>
  </w:style>
  <w:style w:type="character" w:styleId="39">
    <w:name w:val="HTML Keyboard"/>
    <w:basedOn w:val="28"/>
    <w:autoRedefine/>
    <w:semiHidden/>
    <w:unhideWhenUsed/>
    <w:qFormat/>
    <w:uiPriority w:val="99"/>
    <w:rPr>
      <w:rFonts w:hint="default" w:ascii="monospace" w:hAnsi="monospace" w:eastAsia="monospace" w:cs="monospace"/>
      <w:sz w:val="20"/>
    </w:rPr>
  </w:style>
  <w:style w:type="character" w:styleId="40">
    <w:name w:val="HTML Sample"/>
    <w:basedOn w:val="28"/>
    <w:autoRedefine/>
    <w:semiHidden/>
    <w:unhideWhenUsed/>
    <w:qFormat/>
    <w:uiPriority w:val="99"/>
    <w:rPr>
      <w:rFonts w:hint="default" w:ascii="monospace" w:hAnsi="monospace" w:eastAsia="monospace" w:cs="monospace"/>
    </w:rPr>
  </w:style>
  <w:style w:type="paragraph" w:customStyle="1" w:styleId="41">
    <w:name w:val="正文 New"/>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character" w:customStyle="1" w:styleId="42">
    <w:name w:val="批注框文本 Char"/>
    <w:basedOn w:val="28"/>
    <w:link w:val="16"/>
    <w:autoRedefine/>
    <w:semiHidden/>
    <w:qFormat/>
    <w:uiPriority w:val="99"/>
    <w:rPr>
      <w:rFonts w:ascii="@仿宋_GB2312" w:hAnsi="@仿宋_GB2312" w:eastAsia="@仿宋_GB2312" w:cs="@仿宋_GB2312"/>
      <w:sz w:val="18"/>
      <w:szCs w:val="18"/>
    </w:rPr>
  </w:style>
  <w:style w:type="paragraph" w:customStyle="1" w:styleId="43">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4">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5">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6">
    <w:name w:val="页眉 Char"/>
    <w:basedOn w:val="28"/>
    <w:link w:val="18"/>
    <w:autoRedefine/>
    <w:qFormat/>
    <w:uiPriority w:val="0"/>
    <w:rPr>
      <w:rFonts w:ascii="@仿宋_GB2312" w:hAnsi="@仿宋_GB2312" w:eastAsia="@仿宋_GB2312" w:cs="@仿宋_GB2312"/>
      <w:sz w:val="18"/>
      <w:szCs w:val="18"/>
    </w:rPr>
  </w:style>
  <w:style w:type="character" w:customStyle="1" w:styleId="47">
    <w:name w:val="页脚 Char"/>
    <w:basedOn w:val="28"/>
    <w:link w:val="17"/>
    <w:autoRedefine/>
    <w:qFormat/>
    <w:uiPriority w:val="99"/>
    <w:rPr>
      <w:rFonts w:ascii="@仿宋_GB2312" w:hAnsi="@仿宋_GB2312" w:eastAsia="@仿宋_GB2312" w:cs="@仿宋_GB2312"/>
      <w:sz w:val="18"/>
      <w:szCs w:val="18"/>
    </w:rPr>
  </w:style>
  <w:style w:type="character" w:customStyle="1" w:styleId="48">
    <w:name w:val="纯文本 Char"/>
    <w:link w:val="14"/>
    <w:autoRedefine/>
    <w:qFormat/>
    <w:uiPriority w:val="0"/>
    <w:rPr>
      <w:rFonts w:ascii="宋体" w:hAnsi="Courier New"/>
    </w:rPr>
  </w:style>
  <w:style w:type="character" w:customStyle="1" w:styleId="49">
    <w:name w:val="纯文本 字符1"/>
    <w:basedOn w:val="28"/>
    <w:autoRedefine/>
    <w:semiHidden/>
    <w:qFormat/>
    <w:uiPriority w:val="99"/>
    <w:rPr>
      <w:rFonts w:hAnsi="Courier New" w:cs="Courier New" w:asciiTheme="minorEastAsia"/>
      <w:szCs w:val="20"/>
    </w:rPr>
  </w:style>
  <w:style w:type="character" w:customStyle="1" w:styleId="50">
    <w:name w:val="未处理的提及1"/>
    <w:basedOn w:val="28"/>
    <w:autoRedefine/>
    <w:semiHidden/>
    <w:unhideWhenUsed/>
    <w:qFormat/>
    <w:uiPriority w:val="99"/>
    <w:rPr>
      <w:color w:val="605E5C"/>
      <w:shd w:val="clear" w:color="auto" w:fill="E1DFDD"/>
    </w:rPr>
  </w:style>
  <w:style w:type="paragraph" w:styleId="51">
    <w:name w:val="List Paragraph"/>
    <w:basedOn w:val="1"/>
    <w:autoRedefine/>
    <w:qFormat/>
    <w:uiPriority w:val="34"/>
    <w:pPr>
      <w:ind w:firstLine="420" w:firstLineChars="200"/>
    </w:pPr>
  </w:style>
  <w:style w:type="paragraph" w:customStyle="1" w:styleId="52">
    <w:name w:val="Char Char Char Char Char Char Char1 Char"/>
    <w:basedOn w:val="1"/>
    <w:autoRedefine/>
    <w:qFormat/>
    <w:uiPriority w:val="0"/>
    <w:rPr>
      <w:rFonts w:ascii="Arial" w:hAnsi="Arial" w:eastAsia="宋体" w:cs="Arial"/>
      <w:sz w:val="24"/>
    </w:rPr>
  </w:style>
  <w:style w:type="table" w:customStyle="1" w:styleId="53">
    <w:name w:val="网格表 1 浅色1"/>
    <w:basedOn w:val="2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4">
    <w:name w:val="日期 字符"/>
    <w:basedOn w:val="28"/>
    <w:autoRedefine/>
    <w:semiHidden/>
    <w:qFormat/>
    <w:uiPriority w:val="99"/>
    <w:rPr>
      <w:rFonts w:ascii="@仿宋_GB2312" w:hAnsi="@仿宋_GB2312" w:eastAsia="@仿宋_GB2312" w:cs="@仿宋_GB2312"/>
      <w:szCs w:val="20"/>
    </w:rPr>
  </w:style>
  <w:style w:type="character" w:customStyle="1" w:styleId="55">
    <w:name w:val="日期 Char"/>
    <w:link w:val="15"/>
    <w:autoRedefine/>
    <w:qFormat/>
    <w:uiPriority w:val="0"/>
    <w:rPr>
      <w:rFonts w:ascii="Arial" w:hAnsi="Arial" w:eastAsia="宋体" w:cs="Arial"/>
      <w:b/>
      <w:sz w:val="28"/>
      <w:szCs w:val="20"/>
    </w:rPr>
  </w:style>
  <w:style w:type="character" w:customStyle="1" w:styleId="56">
    <w:name w:val="纯文本 Char1"/>
    <w:link w:val="57"/>
    <w:autoRedefine/>
    <w:qFormat/>
    <w:locked/>
    <w:uiPriority w:val="0"/>
    <w:rPr>
      <w:rFonts w:ascii="Arial" w:hAnsi="Arial" w:eastAsia="Arial"/>
      <w:kern w:val="2"/>
      <w:sz w:val="21"/>
      <w:lang w:val="en-US" w:eastAsia="zh-CN" w:bidi="ar-SA"/>
    </w:rPr>
  </w:style>
  <w:style w:type="paragraph" w:customStyle="1" w:styleId="57">
    <w:name w:val="纯文本1"/>
    <w:basedOn w:val="1"/>
    <w:link w:val="56"/>
    <w:autoRedefine/>
    <w:qFormat/>
    <w:uiPriority w:val="0"/>
    <w:rPr>
      <w:rFonts w:ascii="Arial" w:hAnsi="Arial" w:eastAsia="Arial" w:cstheme="minorBidi"/>
    </w:rPr>
  </w:style>
  <w:style w:type="character" w:customStyle="1" w:styleId="58">
    <w:name w:val="批注文字 Char"/>
    <w:basedOn w:val="28"/>
    <w:autoRedefine/>
    <w:semiHidden/>
    <w:qFormat/>
    <w:uiPriority w:val="99"/>
    <w:rPr>
      <w:rFonts w:ascii="@仿宋_GB2312" w:hAnsi="@仿宋_GB2312" w:eastAsia="@仿宋_GB2312" w:cs="@仿宋_GB2312"/>
      <w:szCs w:val="20"/>
    </w:rPr>
  </w:style>
  <w:style w:type="character" w:customStyle="1" w:styleId="59">
    <w:name w:val="批注文字 Char1"/>
    <w:link w:val="11"/>
    <w:autoRedefine/>
    <w:qFormat/>
    <w:uiPriority w:val="0"/>
    <w:rPr>
      <w:rFonts w:ascii="Arial" w:hAnsi="Arial" w:eastAsia="黑体" w:cs="Arial"/>
      <w:szCs w:val="20"/>
    </w:rPr>
  </w:style>
  <w:style w:type="character" w:customStyle="1" w:styleId="60">
    <w:name w:val="标题 1 Char"/>
    <w:basedOn w:val="28"/>
    <w:link w:val="5"/>
    <w:autoRedefine/>
    <w:qFormat/>
    <w:uiPriority w:val="9"/>
    <w:rPr>
      <w:rFonts w:ascii="@仿宋_GB2312" w:hAnsi="@仿宋_GB2312" w:eastAsia="@仿宋_GB2312" w:cs="@仿宋_GB2312"/>
      <w:b/>
      <w:bCs/>
      <w:kern w:val="44"/>
      <w:sz w:val="44"/>
      <w:szCs w:val="44"/>
    </w:rPr>
  </w:style>
  <w:style w:type="paragraph" w:customStyle="1" w:styleId="61">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2">
    <w:name w:val="标题 3 Char"/>
    <w:basedOn w:val="28"/>
    <w:link w:val="7"/>
    <w:autoRedefine/>
    <w:semiHidden/>
    <w:qFormat/>
    <w:uiPriority w:val="9"/>
    <w:rPr>
      <w:rFonts w:ascii="@仿宋_GB2312" w:hAnsi="@仿宋_GB2312" w:eastAsia="@仿宋_GB2312" w:cs="@仿宋_GB2312"/>
      <w:b/>
      <w:bCs/>
      <w:sz w:val="32"/>
      <w:szCs w:val="32"/>
    </w:rPr>
  </w:style>
  <w:style w:type="character" w:customStyle="1" w:styleId="63">
    <w:name w:val="fontstyle01"/>
    <w:basedOn w:val="28"/>
    <w:autoRedefine/>
    <w:qFormat/>
    <w:uiPriority w:val="0"/>
    <w:rPr>
      <w:rFonts w:hint="eastAsia" w:ascii="宋体" w:hAnsi="宋体" w:eastAsia="宋体"/>
      <w:color w:val="000000"/>
      <w:sz w:val="22"/>
      <w:szCs w:val="22"/>
    </w:rPr>
  </w:style>
  <w:style w:type="character" w:customStyle="1" w:styleId="64">
    <w:name w:val="fontstyle21"/>
    <w:basedOn w:val="28"/>
    <w:autoRedefine/>
    <w:qFormat/>
    <w:uiPriority w:val="0"/>
    <w:rPr>
      <w:rFonts w:hint="default" w:ascii="TimesNewRomanPSMT" w:hAnsi="TimesNewRomanPSMT"/>
      <w:color w:val="000000"/>
      <w:sz w:val="22"/>
      <w:szCs w:val="22"/>
    </w:rPr>
  </w:style>
  <w:style w:type="character" w:customStyle="1" w:styleId="65">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6">
    <w:name w:val="标题 4 字符"/>
    <w:basedOn w:val="28"/>
    <w:autoRedefine/>
    <w:semiHidden/>
    <w:qFormat/>
    <w:uiPriority w:val="9"/>
    <w:rPr>
      <w:rFonts w:asciiTheme="majorHAnsi" w:hAnsiTheme="majorHAnsi" w:eastAsiaTheme="majorEastAsia" w:cstheme="majorBidi"/>
      <w:b/>
      <w:bCs/>
      <w:sz w:val="28"/>
      <w:szCs w:val="28"/>
    </w:rPr>
  </w:style>
  <w:style w:type="character" w:customStyle="1" w:styleId="67">
    <w:name w:val="标题 4 Char"/>
    <w:link w:val="8"/>
    <w:autoRedefine/>
    <w:qFormat/>
    <w:uiPriority w:val="0"/>
    <w:rPr>
      <w:rFonts w:ascii="@仿宋_GB2312" w:hAnsi="@仿宋_GB2312" w:eastAsia="@仿宋_GB2312" w:cs="@仿宋_GB2312"/>
      <w:b/>
      <w:bCs/>
      <w:sz w:val="28"/>
      <w:szCs w:val="28"/>
    </w:rPr>
  </w:style>
  <w:style w:type="character" w:customStyle="1" w:styleId="68">
    <w:name w:val="正文文本 Char"/>
    <w:basedOn w:val="28"/>
    <w:link w:val="12"/>
    <w:autoRedefine/>
    <w:qFormat/>
    <w:uiPriority w:val="0"/>
    <w:rPr>
      <w:rFonts w:ascii="@微软简标宋" w:hAnsi="@微软简标宋" w:eastAsia="@微软简标宋" w:cs="@微软简标宋"/>
      <w:szCs w:val="24"/>
      <w:lang w:val="zh-CN" w:eastAsia="zh-CN"/>
    </w:rPr>
  </w:style>
  <w:style w:type="table" w:customStyle="1" w:styleId="69">
    <w:name w:val="网格型1"/>
    <w:basedOn w:val="2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
    <w:name w:val="Table Normal"/>
    <w:autoRedefine/>
    <w:semiHidden/>
    <w:unhideWhenUsed/>
    <w:qFormat/>
    <w:uiPriority w:val="0"/>
    <w:tblPr>
      <w:tblCellMar>
        <w:top w:w="0" w:type="dxa"/>
        <w:left w:w="0" w:type="dxa"/>
        <w:bottom w:w="0" w:type="dxa"/>
        <w:right w:w="0" w:type="dxa"/>
      </w:tblCellMar>
    </w:tblPr>
  </w:style>
  <w:style w:type="paragraph" w:customStyle="1" w:styleId="71">
    <w:name w:val="Table Text"/>
    <w:basedOn w:val="1"/>
    <w:autoRedefine/>
    <w:semiHidden/>
    <w:qFormat/>
    <w:uiPriority w:val="0"/>
    <w:rPr>
      <w:rFonts w:ascii="Arial" w:hAnsi="Arial" w:eastAsia="Arial" w:cs="Arial"/>
      <w:sz w:val="21"/>
      <w:szCs w:val="21"/>
      <w:lang w:val="en-US" w:eastAsia="en-US" w:bidi="ar-SA"/>
    </w:rPr>
  </w:style>
  <w:style w:type="character" w:customStyle="1" w:styleId="72">
    <w:name w:val="hover"/>
    <w:basedOn w:val="28"/>
    <w:qFormat/>
    <w:uiPriority w:val="0"/>
    <w:rPr>
      <w:color w:val="2590EB"/>
      <w:shd w:val="clear" w:fill="E9F4FD"/>
    </w:rPr>
  </w:style>
  <w:style w:type="character" w:customStyle="1" w:styleId="73">
    <w:name w:val="hover1"/>
    <w:basedOn w:val="28"/>
    <w:qFormat/>
    <w:uiPriority w:val="0"/>
  </w:style>
  <w:style w:type="character" w:customStyle="1" w:styleId="74">
    <w:name w:val="hover2"/>
    <w:basedOn w:val="28"/>
    <w:qFormat/>
    <w:uiPriority w:val="0"/>
    <w:rPr>
      <w:color w:val="2590EB"/>
    </w:rPr>
  </w:style>
  <w:style w:type="character" w:customStyle="1" w:styleId="75">
    <w:name w:val="hover3"/>
    <w:basedOn w:val="28"/>
    <w:qFormat/>
    <w:uiPriority w:val="0"/>
    <w:rPr>
      <w:color w:val="2590EB"/>
    </w:rPr>
  </w:style>
  <w:style w:type="character" w:customStyle="1" w:styleId="76">
    <w:name w:val="hover4"/>
    <w:basedOn w:val="28"/>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351A8-48F5-4B18-AF42-26053916CB99}">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87</Pages>
  <Words>2505</Words>
  <Characters>2851</Characters>
  <Lines>1</Lines>
  <Paragraphs>1</Paragraphs>
  <TotalTime>56</TotalTime>
  <ScaleCrop>false</ScaleCrop>
  <LinksUpToDate>false</LinksUpToDate>
  <CharactersWithSpaces>2947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这不科学</cp:lastModifiedBy>
  <cp:lastPrinted>2025-05-22T01:51:00Z</cp:lastPrinted>
  <dcterms:modified xsi:type="dcterms:W3CDTF">2025-08-22T03:27:33Z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CB0C572EF7BA4638A39BC1E34D54212A_13</vt:lpwstr>
  </property>
  <property fmtid="{D5CDD505-2E9C-101B-9397-08002B2CF9AE}" pid="4" name="KSOTemplateDocerSaveRecord">
    <vt:lpwstr>eyJoZGlkIjoiZmI5ZDY5ZDNjMmE2ZDcxYTFkMDY0Zjg5Mjg3YTE0YTgiLCJ1c2VySWQiOiI1MDM3MjkwOTMifQ==</vt:lpwstr>
  </property>
</Properties>
</file>